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5F726B9" w:rsidR="00C2094B" w:rsidRPr="004E49B0" w:rsidRDefault="002E4F86" w:rsidP="002E4F86">
            <w:pPr>
              <w:pStyle w:val="00bDBInfo"/>
              <w:rPr>
                <w:rFonts w:cs="Arial"/>
              </w:rPr>
            </w:pPr>
            <w:bookmarkStart w:id="0" w:name="_GoBack"/>
            <w:bookmarkEnd w:id="0"/>
            <w:r>
              <w:rPr>
                <w:rFonts w:cs="Arial"/>
              </w:rPr>
              <w:t xml:space="preserve">1 February </w:t>
            </w:r>
            <w:r w:rsidR="00EF5FB9">
              <w:rPr>
                <w:rFonts w:cs="Arial"/>
              </w:rPr>
              <w:t>201</w:t>
            </w:r>
            <w:r>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0072F360"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Pr="00EC1154">
              <w:rPr>
                <w:rFonts w:cs="Arial"/>
              </w:rPr>
              <w:t>Consultation Paper on</w:t>
            </w:r>
            <w:r w:rsidR="00AF38AF" w:rsidRPr="00EC1154">
              <w:rPr>
                <w:rFonts w:cs="Arial"/>
              </w:rPr>
              <w:t xml:space="preserve"> the </w:t>
            </w:r>
            <w:r w:rsidR="00210E59" w:rsidRPr="00391CB0">
              <w:rPr>
                <w:rFonts w:cs="Arial"/>
              </w:rPr>
              <w:t xml:space="preserve"> </w:t>
            </w:r>
            <w:r w:rsidR="002E4F86">
              <w:rPr>
                <w:rFonts w:cs="Arial"/>
              </w:rPr>
              <w:t>G</w:t>
            </w:r>
            <w:r w:rsidR="00210E59" w:rsidRPr="00391CB0">
              <w:rPr>
                <w:rFonts w:cs="Arial"/>
              </w:rPr>
              <w:t>uidelines</w:t>
            </w:r>
            <w:r w:rsidR="00EC1154" w:rsidRPr="00391CB0">
              <w:rPr>
                <w:rFonts w:cs="Arial"/>
              </w:rPr>
              <w:t xml:space="preserve"> </w:t>
            </w:r>
            <w:r w:rsidR="00EC1154">
              <w:rPr>
                <w:rFonts w:cs="Arial"/>
              </w:rPr>
              <w:t xml:space="preserve">on </w:t>
            </w:r>
            <w:r w:rsidR="002E4F86">
              <w:rPr>
                <w:rFonts w:cs="Arial"/>
              </w:rPr>
              <w:t>liquidity stress testing in UCITS and AIFs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6A3CB033" w14:textId="325E4CE6" w:rsidR="00620D7C" w:rsidRPr="004E49B0" w:rsidRDefault="00620D7C" w:rsidP="002E4F86">
            <w:pPr>
              <w:pStyle w:val="02Date"/>
              <w:rPr>
                <w:rFonts w:cs="Arial"/>
              </w:rPr>
            </w:pPr>
            <w:r w:rsidRPr="004E49B0">
              <w:rPr>
                <w:rFonts w:cs="Arial"/>
              </w:rPr>
              <w:lastRenderedPageBreak/>
              <w:t xml:space="preserve">Date: </w:t>
            </w:r>
            <w:r w:rsidR="002E4F86">
              <w:rPr>
                <w:rFonts w:cs="Arial"/>
                <w:shd w:val="clear" w:color="auto" w:fill="FFFFFF" w:themeFill="background1"/>
              </w:rPr>
              <w:t>1 February 2019</w:t>
            </w:r>
          </w:p>
        </w:tc>
      </w:tr>
    </w:tbl>
    <w:p w14:paraId="6A3CB035"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3CA63A75" w14:textId="77777777" w:rsidR="00EC1154" w:rsidRPr="00EC1154" w:rsidRDefault="00EC1154" w:rsidP="00EC1154">
      <w:pPr>
        <w:rPr>
          <w:rStyle w:val="SubtleEmphasis"/>
          <w:b w:val="0"/>
          <w:sz w:val="22"/>
        </w:rPr>
      </w:pPr>
      <w:r w:rsidRPr="00EC1154">
        <w:rPr>
          <w:rStyle w:val="SubtleEmphasis"/>
          <w:b w:val="0"/>
          <w:sz w:val="22"/>
        </w:rPr>
        <w:t>ESMA invites comments on all matters in this paper and in particular on the specific questions in Annex I. Comments are most helpful if they:</w:t>
      </w:r>
    </w:p>
    <w:p w14:paraId="501D6714" w14:textId="77777777" w:rsidR="00EC1154" w:rsidRPr="00EC1154" w:rsidRDefault="00EC1154" w:rsidP="00EC1154">
      <w:pPr>
        <w:ind w:left="709"/>
        <w:rPr>
          <w:rStyle w:val="SubtleEmphasis"/>
          <w:b w:val="0"/>
          <w:sz w:val="22"/>
        </w:rPr>
      </w:pPr>
      <w:r w:rsidRPr="00EC1154">
        <w:rPr>
          <w:rStyle w:val="SubtleEmphasis"/>
          <w:b w:val="0"/>
          <w:sz w:val="22"/>
        </w:rPr>
        <w:t>- respond to the question stated;</w:t>
      </w:r>
    </w:p>
    <w:p w14:paraId="13085C89" w14:textId="77777777" w:rsidR="00EC1154" w:rsidRPr="00EC1154" w:rsidRDefault="00EC1154" w:rsidP="00EC1154">
      <w:pPr>
        <w:ind w:left="709"/>
        <w:rPr>
          <w:rStyle w:val="SubtleEmphasis"/>
          <w:b w:val="0"/>
          <w:sz w:val="22"/>
        </w:rPr>
      </w:pPr>
      <w:r w:rsidRPr="00EC1154">
        <w:rPr>
          <w:rStyle w:val="SubtleEmphasis"/>
          <w:b w:val="0"/>
          <w:sz w:val="22"/>
        </w:rPr>
        <w:t>- indicate the specific question to which the comment relates;</w:t>
      </w:r>
    </w:p>
    <w:p w14:paraId="42D2A752" w14:textId="77777777" w:rsidR="00EC1154" w:rsidRPr="00EC1154" w:rsidRDefault="00EC1154" w:rsidP="00EC1154">
      <w:pPr>
        <w:ind w:left="709"/>
        <w:rPr>
          <w:rStyle w:val="SubtleEmphasis"/>
          <w:b w:val="0"/>
          <w:sz w:val="22"/>
        </w:rPr>
      </w:pPr>
      <w:r w:rsidRPr="00EC1154">
        <w:rPr>
          <w:rStyle w:val="SubtleEmphasis"/>
          <w:b w:val="0"/>
          <w:sz w:val="22"/>
        </w:rPr>
        <w:t>- contain a clear rationale; and</w:t>
      </w:r>
    </w:p>
    <w:p w14:paraId="2669CD6E" w14:textId="77777777" w:rsidR="00EC1154" w:rsidRPr="00EC1154" w:rsidRDefault="00EC1154" w:rsidP="00EC1154">
      <w:pPr>
        <w:ind w:left="709"/>
        <w:rPr>
          <w:rStyle w:val="SubtleEmphasis"/>
          <w:b w:val="0"/>
          <w:sz w:val="22"/>
        </w:rPr>
      </w:pPr>
      <w:r w:rsidRPr="00EC1154">
        <w:rPr>
          <w:rStyle w:val="SubtleEmphasis"/>
          <w:b w:val="0"/>
          <w:sz w:val="22"/>
        </w:rPr>
        <w:t>- describe any alternatives ESMA should consider.</w:t>
      </w:r>
    </w:p>
    <w:p w14:paraId="43FACA3B" w14:textId="77777777" w:rsidR="00EC1154" w:rsidRPr="00EC1154" w:rsidRDefault="00EC1154" w:rsidP="00EC1154">
      <w:pPr>
        <w:rPr>
          <w:rStyle w:val="SubtleEmphasis"/>
          <w:sz w:val="22"/>
        </w:rPr>
      </w:pPr>
    </w:p>
    <w:p w14:paraId="072D080A" w14:textId="7756DBF2" w:rsidR="00EC1154" w:rsidRDefault="00EC1154" w:rsidP="00EC1154">
      <w:pPr>
        <w:rPr>
          <w:rStyle w:val="SubtleEmphasis"/>
          <w:b w:val="0"/>
          <w:sz w:val="22"/>
        </w:rPr>
      </w:pPr>
      <w:r w:rsidRPr="00EC1154">
        <w:rPr>
          <w:rStyle w:val="SubtleEmphasis"/>
          <w:b w:val="0"/>
          <w:sz w:val="22"/>
        </w:rPr>
        <w:t xml:space="preserve">ESMA will consider all comments received by </w:t>
      </w:r>
      <w:r w:rsidR="00F41BDD" w:rsidRPr="00F41BDD">
        <w:rPr>
          <w:rStyle w:val="SubtleEmphasis"/>
          <w:sz w:val="22"/>
        </w:rPr>
        <w:t xml:space="preserve">1 </w:t>
      </w:r>
      <w:r w:rsidR="002E4F86">
        <w:rPr>
          <w:rStyle w:val="SubtleEmphasis"/>
          <w:sz w:val="22"/>
        </w:rPr>
        <w:t>April</w:t>
      </w:r>
      <w:r w:rsidRPr="00F41BDD">
        <w:rPr>
          <w:rStyle w:val="SubtleEmphasis"/>
          <w:sz w:val="22"/>
        </w:rPr>
        <w:t xml:space="preserve"> 2019</w:t>
      </w:r>
      <w:r w:rsidRPr="00F41BDD">
        <w:rPr>
          <w:rStyle w:val="SubtleEmphasis"/>
          <w:b w:val="0"/>
          <w:sz w:val="22"/>
        </w:rPr>
        <w:t>.</w:t>
      </w:r>
      <w:r w:rsidRPr="00EC1154">
        <w:rPr>
          <w:rStyle w:val="SubtleEmphasis"/>
          <w:b w:val="0"/>
          <w:sz w:val="22"/>
        </w:rPr>
        <w:t xml:space="preserve"> </w:t>
      </w:r>
    </w:p>
    <w:p w14:paraId="5A40BE0F" w14:textId="77777777" w:rsidR="002E4F86" w:rsidRPr="002E4F86" w:rsidRDefault="002E4F86" w:rsidP="00EC1154">
      <w:pPr>
        <w:rPr>
          <w:rStyle w:val="SubtleEmphasis"/>
          <w:sz w:val="22"/>
        </w:rPr>
      </w:pPr>
    </w:p>
    <w:p w14:paraId="7DC28D96" w14:textId="77777777" w:rsidR="002E4F86" w:rsidRPr="002E4F86" w:rsidRDefault="002E4F86" w:rsidP="002E4F86">
      <w:pPr>
        <w:rPr>
          <w:sz w:val="22"/>
        </w:rPr>
      </w:pPr>
      <w:r w:rsidRPr="002E4F86">
        <w:rPr>
          <w:sz w:val="22"/>
        </w:rPr>
        <w:t xml:space="preserve">All contributions should be submitted online at </w:t>
      </w:r>
      <w:hyperlink r:id="rId16" w:history="1">
        <w:r w:rsidRPr="002E4F86">
          <w:rPr>
            <w:rStyle w:val="Hyperlink"/>
            <w:sz w:val="22"/>
          </w:rPr>
          <w:t>www.esma.europa.eu</w:t>
        </w:r>
      </w:hyperlink>
      <w:r w:rsidRPr="002E4F86">
        <w:rPr>
          <w:sz w:val="22"/>
        </w:rPr>
        <w:t xml:space="preserve"> under the heading ‘Your input - Consultations’. </w:t>
      </w:r>
    </w:p>
    <w:p w14:paraId="368AA039" w14:textId="77777777" w:rsidR="002E4F86" w:rsidRPr="00EC1154" w:rsidRDefault="002E4F86" w:rsidP="00EC1154">
      <w:pPr>
        <w:rPr>
          <w:rStyle w:val="SubtleEmphasis"/>
          <w:b w:val="0"/>
          <w:sz w:val="22"/>
        </w:rPr>
      </w:pP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64415312"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2E4F86">
        <w:rPr>
          <w:rStyle w:val="SubtleEmphasis"/>
          <w:b w:val="0"/>
          <w:sz w:val="22"/>
        </w:rPr>
        <w:t>LST</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648E346"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lastRenderedPageBreak/>
        <w:t>When you have drafted your response, name your response form according to the following convention: ESMA_</w:t>
      </w:r>
      <w:r w:rsidR="002E4F86">
        <w:rPr>
          <w:rStyle w:val="SubtleEmphasis"/>
          <w:b w:val="0"/>
          <w:sz w:val="22"/>
        </w:rPr>
        <w:t>LST</w:t>
      </w:r>
      <w:r w:rsidRPr="00E40A5C">
        <w:rPr>
          <w:rStyle w:val="SubtleEmphasis"/>
          <w:b w:val="0"/>
          <w:sz w:val="22"/>
        </w:rPr>
        <w:t>_nameofrespondent_RESPONSEFORM. For example, for a respondent named ABCD, the response form would be entitled ESMA_</w:t>
      </w:r>
      <w:r w:rsidR="002E4F86">
        <w:rPr>
          <w:rStyle w:val="SubtleEmphasis"/>
          <w:b w:val="0"/>
          <w:sz w:val="22"/>
        </w:rPr>
        <w:t>LST</w:t>
      </w:r>
      <w:r w:rsidRPr="00E40A5C">
        <w:rPr>
          <w:rStyle w:val="SubtleEmphasis"/>
          <w:b w:val="0"/>
          <w:sz w:val="22"/>
        </w:rPr>
        <w:t>_ABCD_RESPONSEFORM.</w:t>
      </w:r>
    </w:p>
    <w:p w14:paraId="6A3CB045" w14:textId="5C9B8FAE" w:rsidR="009A3017" w:rsidRPr="00E40A5C" w:rsidRDefault="009A3017" w:rsidP="00EF5FB9">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7"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w:t>
      </w: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C28CCD8" w14:textId="77777777" w:rsidR="002E4F86" w:rsidRPr="002E4F86" w:rsidRDefault="002E4F86" w:rsidP="002E4F86">
      <w:pPr>
        <w:rPr>
          <w:sz w:val="22"/>
          <w:szCs w:val="22"/>
        </w:rPr>
      </w:pPr>
      <w:r w:rsidRPr="002E4F86">
        <w:rPr>
          <w:sz w:val="22"/>
          <w:szCs w:val="22"/>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C8BD4E" w14:textId="77777777" w:rsidR="002E4F86" w:rsidRPr="00EC1154" w:rsidRDefault="002E4F86" w:rsidP="00EC1154">
      <w:pPr>
        <w:spacing w:after="240"/>
        <w:jc w:val="both"/>
        <w:rPr>
          <w:rStyle w:val="SubtleEmphasis"/>
          <w:b w:val="0"/>
          <w:sz w:val="22"/>
        </w:rPr>
      </w:pPr>
    </w:p>
    <w:p w14:paraId="6A3CB048"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6A3CB049" w14:textId="77777777" w:rsidR="00210E59" w:rsidRPr="00210E59" w:rsidRDefault="00210E59" w:rsidP="00210E59">
      <w:pPr>
        <w:rPr>
          <w:sz w:val="22"/>
        </w:rPr>
      </w:pPr>
      <w:r w:rsidRPr="00210E59">
        <w:rPr>
          <w:sz w:val="22"/>
        </w:rPr>
        <w:t xml:space="preserve">Information on data protection can be found at </w:t>
      </w:r>
      <w:hyperlink r:id="rId18" w:history="1">
        <w:r w:rsidRPr="00210E59">
          <w:rPr>
            <w:rStyle w:val="Hyperlink"/>
            <w:sz w:val="22"/>
          </w:rPr>
          <w:t>www.esma.europa.eu</w:t>
        </w:r>
      </w:hyperlink>
      <w:r w:rsidRPr="00210E59">
        <w:rPr>
          <w:sz w:val="22"/>
        </w:rPr>
        <w:t xml:space="preserve"> under the heading </w:t>
      </w:r>
      <w:hyperlink r:id="rId19" w:history="1">
        <w:r w:rsidRPr="00210E59">
          <w:rPr>
            <w:rStyle w:val="Hyperlink"/>
            <w:sz w:val="22"/>
          </w:rPr>
          <w:t>Legal Notice</w:t>
        </w:r>
      </w:hyperlink>
      <w:r w:rsidRPr="00210E59">
        <w:rPr>
          <w:sz w:val="22"/>
        </w:rPr>
        <w:t>.</w:t>
      </w:r>
    </w:p>
    <w:p w14:paraId="6A3CB04A" w14:textId="77777777" w:rsidR="00210E59" w:rsidRDefault="00210E59" w:rsidP="009A3017">
      <w:pPr>
        <w:spacing w:after="120"/>
        <w:jc w:val="both"/>
        <w:rPr>
          <w:rStyle w:val="SubtleEmphasis"/>
          <w:sz w:val="22"/>
          <w:lang w:eastAsia="en-GB"/>
        </w:rPr>
      </w:pPr>
    </w:p>
    <w:p w14:paraId="6A3CB04B"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210E59">
        <w:rPr>
          <w:rStyle w:val="SubtleEmphasis"/>
          <w:sz w:val="22"/>
          <w:lang w:eastAsia="en-GB"/>
        </w:rPr>
        <w:t>is paper?</w:t>
      </w:r>
    </w:p>
    <w:bookmarkEnd w:id="1"/>
    <w:p w14:paraId="33F5E19F" w14:textId="77777777" w:rsidR="002E4F86" w:rsidRPr="002E4F86" w:rsidRDefault="002E4F86" w:rsidP="002E4F86">
      <w:pPr>
        <w:rPr>
          <w:sz w:val="22"/>
        </w:rPr>
      </w:pPr>
      <w:r w:rsidRPr="002E4F86">
        <w:rPr>
          <w:sz w:val="22"/>
        </w:rPr>
        <w:t xml:space="preserve">The main stakeholders to whom these guidelines would apply are managers of UCITS and EU AIFMs as well as EU depositaries overseeing UCITS and EU AIFs. The paper will also be of interest to trade associations, investors and consumer groups relating to UCITS and EU AIFs. </w:t>
      </w:r>
    </w:p>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8D4B66">
        <w:tc>
          <w:tcPr>
            <w:tcW w:w="3929" w:type="dxa"/>
            <w:shd w:val="clear" w:color="auto" w:fill="auto"/>
          </w:tcPr>
          <w:p w14:paraId="6A3CB050" w14:textId="77777777" w:rsidR="00B327E9" w:rsidRPr="00E40A5C" w:rsidRDefault="00B327E9" w:rsidP="008D4B66">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66FF8D64" w:rsidR="00B327E9" w:rsidRPr="00AB6D88" w:rsidRDefault="008D4B66" w:rsidP="008D4B66">
                <w:pPr>
                  <w:rPr>
                    <w:rStyle w:val="PlaceholderText"/>
                    <w:rFonts w:cs="Arial"/>
                  </w:rPr>
                </w:pPr>
                <w:r>
                  <w:rPr>
                    <w:rStyle w:val="PlaceholderText"/>
                    <w:rFonts w:cs="Arial"/>
                  </w:rPr>
                  <w:t>The Investment Association</w:t>
                </w:r>
              </w:p>
            </w:tc>
          </w:sdtContent>
        </w:sdt>
      </w:tr>
      <w:tr w:rsidR="00B327E9" w:rsidRPr="00AB6D88" w14:paraId="6A3CB055" w14:textId="77777777" w:rsidTr="008D4B66">
        <w:tc>
          <w:tcPr>
            <w:tcW w:w="3929" w:type="dxa"/>
            <w:shd w:val="clear" w:color="auto" w:fill="auto"/>
          </w:tcPr>
          <w:p w14:paraId="6A3CB053" w14:textId="77777777" w:rsidR="00B327E9" w:rsidRPr="00E40A5C" w:rsidRDefault="00B327E9" w:rsidP="008D4B66">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1D425F2" w:rsidR="00B327E9" w:rsidRPr="00AB6D88" w:rsidRDefault="00CF62B0" w:rsidP="008D4B66">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D4B66">
                  <w:rPr>
                    <w:rFonts w:cs="Arial"/>
                  </w:rPr>
                  <w:t>Investment Services</w:t>
                </w:r>
              </w:sdtContent>
            </w:sdt>
          </w:p>
        </w:tc>
      </w:tr>
      <w:tr w:rsidR="00B327E9" w:rsidRPr="00AB6D88" w14:paraId="6A3CB058" w14:textId="77777777" w:rsidTr="008D4B66">
        <w:tc>
          <w:tcPr>
            <w:tcW w:w="3929" w:type="dxa"/>
            <w:shd w:val="clear" w:color="auto" w:fill="auto"/>
          </w:tcPr>
          <w:p w14:paraId="6A3CB056" w14:textId="77777777" w:rsidR="00B327E9" w:rsidRPr="00E40A5C" w:rsidRDefault="00B327E9" w:rsidP="008D4B66">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00D674D5" w:rsidR="00B327E9" w:rsidRPr="00AB6D88" w:rsidRDefault="008D4B66" w:rsidP="008D4B66">
                <w:pPr>
                  <w:rPr>
                    <w:rFonts w:cs="Arial"/>
                  </w:rPr>
                </w:pPr>
                <w:r>
                  <w:rPr>
                    <w:rFonts w:ascii="MS Gothic" w:eastAsia="MS Gothic" w:hAnsi="MS Gothic" w:cs="Arial" w:hint="eastAsia"/>
                  </w:rPr>
                  <w:t>☒</w:t>
                </w:r>
              </w:p>
            </w:tc>
          </w:sdtContent>
        </w:sdt>
      </w:tr>
      <w:tr w:rsidR="00B327E9" w:rsidRPr="00AB6D88" w14:paraId="6A3CB05B" w14:textId="77777777" w:rsidTr="008D4B66">
        <w:tc>
          <w:tcPr>
            <w:tcW w:w="3929" w:type="dxa"/>
            <w:shd w:val="clear" w:color="auto" w:fill="auto"/>
          </w:tcPr>
          <w:p w14:paraId="6A3CB059" w14:textId="77777777" w:rsidR="00B327E9" w:rsidRPr="00E40A5C" w:rsidRDefault="00B327E9" w:rsidP="008D4B66">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4846E39A" w:rsidR="00B327E9" w:rsidRPr="00AB6D88" w:rsidRDefault="008D4B66" w:rsidP="008D4B66">
                <w:pPr>
                  <w:rPr>
                    <w:rFonts w:cs="Arial"/>
                  </w:rPr>
                </w:pPr>
                <w:r>
                  <w:rPr>
                    <w:rFonts w:cs="Arial"/>
                  </w:rPr>
                  <w:t>UK</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A2B66DC" w:rsidR="00B327E9" w:rsidRPr="006F4535" w:rsidRDefault="00B327E9" w:rsidP="00B327E9">
      <w:r w:rsidRPr="006F4535">
        <w:t>&lt;ESMA_COMMENT_</w:t>
      </w:r>
      <w:r w:rsidR="00407232">
        <w:rPr>
          <w:rFonts w:cs="Arial"/>
        </w:rPr>
        <w:t>LST</w:t>
      </w:r>
      <w:r w:rsidRPr="006F4535">
        <w:t>_1&gt;</w:t>
      </w:r>
    </w:p>
    <w:p w14:paraId="0C2F7E56" w14:textId="7840AD78" w:rsidR="006678CA" w:rsidRDefault="006678CA" w:rsidP="00B327E9">
      <w:permStart w:id="411981036" w:edGrp="everyone"/>
      <w:r>
        <w:t>The Investment Association (IA</w:t>
      </w:r>
      <w:r w:rsidR="00446422">
        <w:rPr>
          <w:rStyle w:val="FootnoteReference"/>
        </w:rPr>
        <w:footnoteReference w:id="2"/>
      </w:r>
      <w:r>
        <w:t>) welcomes the opportunity to respond to ESMA’s Consultation on Draft Guidelines on Liquidity Stress Testing for Investment Funds.</w:t>
      </w:r>
    </w:p>
    <w:p w14:paraId="74737755" w14:textId="77777777" w:rsidR="006678CA" w:rsidRDefault="006678CA" w:rsidP="00B327E9"/>
    <w:p w14:paraId="383B4080" w14:textId="6FBB5622" w:rsidR="006678CA" w:rsidRDefault="006678CA" w:rsidP="00B327E9">
      <w:r>
        <w:t xml:space="preserve">The IA is of the opinion that Liquidity Stress Testing (LST) is an important risk management tool for fund managers to use to </w:t>
      </w:r>
      <w:r w:rsidR="00DE3EFF">
        <w:t xml:space="preserve">assess the impact of market stresses and to </w:t>
      </w:r>
      <w:r>
        <w:t xml:space="preserve">anticipate activity in stressed market conditions and make parties aware of how they are likely to behave, ultimately protecting investors and providing stability </w:t>
      </w:r>
      <w:r w:rsidR="001C6D6D">
        <w:t>in</w:t>
      </w:r>
      <w:r>
        <w:t xml:space="preserve"> the market.</w:t>
      </w:r>
    </w:p>
    <w:p w14:paraId="5A2B14DD" w14:textId="77777777" w:rsidR="006678CA" w:rsidRDefault="006678CA" w:rsidP="00B327E9"/>
    <w:p w14:paraId="569B01B9" w14:textId="3A2AD04D" w:rsidR="006678CA" w:rsidRDefault="006678CA" w:rsidP="00B327E9">
      <w:r>
        <w:t>LST, as part of liquidity management, is already a well-established concept within the area of fund management and most managers will already have a thorough LST policy and process in place</w:t>
      </w:r>
      <w:r w:rsidR="006E2364">
        <w:t>, using historical, hypothetical and</w:t>
      </w:r>
      <w:r w:rsidR="008E1A67">
        <w:t xml:space="preserve">, in some cases, </w:t>
      </w:r>
      <w:r w:rsidR="006E2364">
        <w:t>reverse stress testing</w:t>
      </w:r>
      <w:r>
        <w:t>.</w:t>
      </w:r>
      <w:r w:rsidR="008E1A67">
        <w:t xml:space="preserve">  </w:t>
      </w:r>
      <w:r w:rsidR="00DE3EFF">
        <w:t xml:space="preserve">Both the UCITS Directive and AIFMD require managers to perform period liquidity stress testing and NCAs supervise firms’ adherence to the requirements.  </w:t>
      </w:r>
      <w:r w:rsidR="008E1A67">
        <w:t>Any application of the proposed Guidelines would not lead to fundamental changes in process for managers.</w:t>
      </w:r>
    </w:p>
    <w:p w14:paraId="150E6A35" w14:textId="77777777" w:rsidR="006678CA" w:rsidRDefault="006678CA" w:rsidP="00B327E9"/>
    <w:p w14:paraId="6A3CB061" w14:textId="3829B8E9" w:rsidR="00B327E9" w:rsidRDefault="00FA444D" w:rsidP="00B327E9">
      <w:r>
        <w:t xml:space="preserve">We welcome </w:t>
      </w:r>
      <w:r w:rsidR="006678CA">
        <w:t xml:space="preserve">the principles-based nature of the proposed Guidelines and </w:t>
      </w:r>
      <w:r>
        <w:t>the flexibility offered as to the frequency of stress testing and the ability to tailor testing according to the nature, scale and complexity of the funds.</w:t>
      </w:r>
      <w:r w:rsidR="006678CA">
        <w:t xml:space="preserve">  </w:t>
      </w:r>
      <w:r w:rsidR="001C6D6D">
        <w:t>The IA</w:t>
      </w:r>
      <w:r w:rsidR="006678CA">
        <w:t xml:space="preserve"> stress</w:t>
      </w:r>
      <w:r w:rsidR="001C6D6D">
        <w:t>es</w:t>
      </w:r>
      <w:r w:rsidR="006678CA">
        <w:t xml:space="preserve"> that </w:t>
      </w:r>
      <w:r w:rsidR="00DE3EFF">
        <w:t xml:space="preserve">LST is part of a manager’s risk management process, but is not the only tool employed and </w:t>
      </w:r>
      <w:r w:rsidR="006678CA">
        <w:t>managers shoul</w:t>
      </w:r>
      <w:r w:rsidR="006E2364">
        <w:t>d be able to take a proportionate</w:t>
      </w:r>
      <w:r w:rsidR="006678CA">
        <w:t xml:space="preserve"> approach to LST in their par</w:t>
      </w:r>
      <w:r w:rsidR="006678CA">
        <w:lastRenderedPageBreak/>
        <w:t>ticular range of funds when applying the Guidelines</w:t>
      </w:r>
      <w:r w:rsidR="001836AC">
        <w:t xml:space="preserve">, </w:t>
      </w:r>
      <w:r w:rsidR="00275B5A" w:rsidRPr="00E67A52">
        <w:t xml:space="preserve">having regard to </w:t>
      </w:r>
      <w:r w:rsidR="00DA4D54" w:rsidRPr="00E67A52">
        <w:t>the rede</w:t>
      </w:r>
      <w:r w:rsidR="00E75841" w:rsidRPr="00E67A52">
        <w:t xml:space="preserve">mption frequency and typical redemption profiles of the investors as well as the liquidity profile of </w:t>
      </w:r>
      <w:r w:rsidR="0046768E" w:rsidRPr="00E67A52">
        <w:t>t</w:t>
      </w:r>
      <w:r w:rsidR="00E75841" w:rsidRPr="00E67A52">
        <w:t>he underlying assets.</w:t>
      </w:r>
    </w:p>
    <w:p w14:paraId="0E5F0C37" w14:textId="77777777" w:rsidR="00447F4F" w:rsidRDefault="00447F4F" w:rsidP="00B327E9"/>
    <w:p w14:paraId="6F6462D8" w14:textId="38D3E442" w:rsidR="00447F4F" w:rsidRDefault="00447F4F" w:rsidP="00B327E9">
      <w:r>
        <w:t>It must also be borne in mind that the granularity</w:t>
      </w:r>
      <w:r w:rsidR="001A54FA">
        <w:t xml:space="preserve"> of</w:t>
      </w:r>
      <w:r>
        <w:t xml:space="preserve"> data available to fund managers can vary between asset classes, and in particular data on the underlying investors of a fund can be of limited </w:t>
      </w:r>
      <w:r w:rsidR="002E0630">
        <w:t>usefulness</w:t>
      </w:r>
      <w:r>
        <w:t>, particularly where the ultimate investor invests through an intermediary.</w:t>
      </w:r>
    </w:p>
    <w:p w14:paraId="33A7A494" w14:textId="77777777" w:rsidR="00DE3EFF" w:rsidRDefault="00DE3EFF" w:rsidP="00B327E9"/>
    <w:p w14:paraId="416184C0" w14:textId="61A9C09F" w:rsidR="00DE3EFF" w:rsidRPr="00E67A52" w:rsidRDefault="0019757A" w:rsidP="00B327E9">
      <w:r>
        <w:t>However, i</w:t>
      </w:r>
      <w:r w:rsidR="00DE3EFF">
        <w:t xml:space="preserve">n some cases, detailed in the answers to the specific questions, the Guidelines </w:t>
      </w:r>
      <w:r>
        <w:t xml:space="preserve">and the explanatory text </w:t>
      </w:r>
      <w:r w:rsidR="00DE3EFF">
        <w:t>can be seen as being overly</w:t>
      </w:r>
      <w:r>
        <w:t xml:space="preserve">-prescriptive.  In </w:t>
      </w:r>
      <w:r w:rsidR="00284057">
        <w:t>those</w:t>
      </w:r>
      <w:r>
        <w:t xml:space="preserve"> cases, overly mandating firms’ processes c</w:t>
      </w:r>
      <w:r w:rsidR="00284057">
        <w:t>ould</w:t>
      </w:r>
      <w:r>
        <w:t xml:space="preserve"> lead to herding behaviour, which </w:t>
      </w:r>
      <w:r w:rsidR="00284057">
        <w:t>could</w:t>
      </w:r>
      <w:r>
        <w:t xml:space="preserve"> contribute to increasing </w:t>
      </w:r>
      <w:r w:rsidR="002203FA">
        <w:t>rather than reducing</w:t>
      </w:r>
      <w:r>
        <w:t xml:space="preserve"> risk</w:t>
      </w:r>
      <w:r w:rsidR="002203FA">
        <w:t>s</w:t>
      </w:r>
      <w:r>
        <w:t xml:space="preserve"> </w:t>
      </w:r>
      <w:r w:rsidR="002203FA">
        <w:t>across</w:t>
      </w:r>
      <w:r>
        <w:t xml:space="preserve"> the market.</w:t>
      </w:r>
    </w:p>
    <w:p w14:paraId="1D1A9597" w14:textId="77777777" w:rsidR="008E1A67" w:rsidRDefault="008E1A67" w:rsidP="00B327E9"/>
    <w:p w14:paraId="1FE983B8" w14:textId="79ADAB33" w:rsidR="008E1A67" w:rsidRDefault="008E1A67" w:rsidP="00B327E9">
      <w:r>
        <w:t>It must be noted that there are a number of methods of performing LST, for example time to liquidate or price impact.  In reality, the methods are not independent of each other, so it would be helpful if the guidance as to methodology is not too prescriptive and firms would be able to select the method(s) most appropriate to their funds.  ESMA has helpfully noted the wide variety of approaches that can be taken as regards the liabilities side of the balance sheet, and it would be useful if a similar approach could be taken on the assets side.</w:t>
      </w:r>
    </w:p>
    <w:p w14:paraId="67CCC6CF" w14:textId="77777777" w:rsidR="00F546F7" w:rsidRDefault="00F546F7" w:rsidP="00B327E9"/>
    <w:p w14:paraId="44BFF030" w14:textId="08CC098A" w:rsidR="00F546F7" w:rsidRDefault="00F546F7" w:rsidP="00B327E9">
      <w:r>
        <w:t>We hope that this consultation results in the setting of industry best practice, rather than mandating</w:t>
      </w:r>
      <w:r w:rsidR="00216573">
        <w:t xml:space="preserve"> </w:t>
      </w:r>
      <w:r w:rsidR="00216573" w:rsidRPr="00E67A52">
        <w:t xml:space="preserve">a </w:t>
      </w:r>
      <w:r w:rsidR="005774E0" w:rsidRPr="00E67A52">
        <w:t xml:space="preserve">prescribed </w:t>
      </w:r>
      <w:r>
        <w:t>methodology.</w:t>
      </w:r>
    </w:p>
    <w:p w14:paraId="34277613" w14:textId="77777777" w:rsidR="00F546F7" w:rsidRDefault="00F546F7" w:rsidP="00B327E9"/>
    <w:p w14:paraId="211448FE" w14:textId="2F84DDB0" w:rsidR="00F546F7" w:rsidRDefault="00F546F7" w:rsidP="00B327E9">
      <w:r>
        <w:t xml:space="preserve">We note that the paper talks about time and cost interchangeably, sometimes talking about time and/or cost, sometimes talking about time and cost.  </w:t>
      </w:r>
      <w:r w:rsidR="003A15E4" w:rsidRPr="00E67A52">
        <w:t>For clarity we recommend the final guidance refers</w:t>
      </w:r>
      <w:r w:rsidR="003A15E4">
        <w:t xml:space="preserve"> </w:t>
      </w:r>
      <w:r>
        <w:t xml:space="preserve">consistently </w:t>
      </w:r>
      <w:r w:rsidR="00064632" w:rsidRPr="00E67A52">
        <w:t xml:space="preserve">to </w:t>
      </w:r>
      <w:r>
        <w:t>time and/or cost.</w:t>
      </w:r>
    </w:p>
    <w:p w14:paraId="43461B97" w14:textId="77777777" w:rsidR="00704899" w:rsidRDefault="00704899" w:rsidP="00B327E9"/>
    <w:p w14:paraId="5708960F" w14:textId="60EAC249" w:rsidR="00704899" w:rsidRDefault="00983157" w:rsidP="00B327E9">
      <w:r>
        <w:t xml:space="preserve">While </w:t>
      </w:r>
      <w:r w:rsidR="00F028BC">
        <w:t xml:space="preserve">firms have established stress testing programs in place, significant changes and recalibrations may be needed to these programs to </w:t>
      </w:r>
      <w:r w:rsidR="00251F01">
        <w:t>adapt</w:t>
      </w:r>
      <w:r w:rsidR="00F028BC">
        <w:t xml:space="preserve"> these</w:t>
      </w:r>
      <w:r w:rsidR="00251F01">
        <w:t xml:space="preserve"> to the Guidelines</w:t>
      </w:r>
      <w:r w:rsidR="00F028BC">
        <w:t xml:space="preserve">. </w:t>
      </w:r>
      <w:r w:rsidR="00704899">
        <w:t xml:space="preserve">The IA </w:t>
      </w:r>
      <w:r w:rsidR="008B5156">
        <w:t>expects that firms would require at least 1</w:t>
      </w:r>
      <w:r w:rsidR="00497C13">
        <w:t>8</w:t>
      </w:r>
      <w:r w:rsidR="008B5156">
        <w:t xml:space="preserve"> months to implement the Guidelines</w:t>
      </w:r>
      <w:r w:rsidR="009604B9">
        <w:t xml:space="preserve">, particularly if a </w:t>
      </w:r>
      <w:r w:rsidR="00A376EC">
        <w:t>more prescriptive approach is adopted</w:t>
      </w:r>
      <w:r w:rsidR="008B5156">
        <w:t>.</w:t>
      </w:r>
    </w:p>
    <w:permEnd w:id="411981036"/>
    <w:p w14:paraId="6A3CB062" w14:textId="47F65A8C" w:rsidR="00B327E9" w:rsidRPr="00BF28DA" w:rsidRDefault="00B327E9" w:rsidP="00B327E9">
      <w:r w:rsidRPr="00BF28DA">
        <w:t>&lt;ESMA_COMMENT_</w:t>
      </w:r>
      <w:r w:rsidR="00407232">
        <w:rPr>
          <w:rFonts w:cs="Arial"/>
        </w:rPr>
        <w:t>LST</w:t>
      </w:r>
      <w:r w:rsidR="000A58BE">
        <w:t>_</w:t>
      </w:r>
      <w:r w:rsidRPr="00BF28DA">
        <w:t>1&gt;</w:t>
      </w:r>
    </w:p>
    <w:p w14:paraId="6A3CB063" w14:textId="77777777" w:rsidR="00F31E57" w:rsidRPr="00BF28DA" w:rsidRDefault="00F31E57" w:rsidP="00D34282"/>
    <w:p w14:paraId="06A9DE9E" w14:textId="77777777" w:rsidR="00407232" w:rsidRDefault="00F31E57" w:rsidP="00407232">
      <w:pPr>
        <w:pStyle w:val="Questionstyle"/>
        <w:numPr>
          <w:ilvl w:val="0"/>
          <w:numId w:val="44"/>
        </w:numPr>
        <w:ind w:left="720"/>
      </w:pPr>
      <w:r w:rsidRPr="0075015C">
        <w:br w:type="page"/>
      </w:r>
      <w:r w:rsidR="00407232">
        <w:lastRenderedPageBreak/>
        <w:t xml:space="preserve">: </w:t>
      </w:r>
      <w:r w:rsidR="00407232" w:rsidRPr="00406901">
        <w:t>What additional costs and benefits would compliance with the proposed Guidelines bring to the stakeholder(s) you represent? Please provide quantitative figures, where available.</w:t>
      </w:r>
    </w:p>
    <w:p w14:paraId="3DCE0B98" w14:textId="77777777" w:rsidR="00407232" w:rsidRDefault="00407232" w:rsidP="00407232">
      <w:pPr>
        <w:rPr>
          <w:rFonts w:cs="Arial"/>
        </w:rPr>
      </w:pPr>
      <w:r>
        <w:rPr>
          <w:rFonts w:cs="Arial"/>
        </w:rPr>
        <w:t>&lt;ESMA_QUESTION_LST_1&gt;</w:t>
      </w:r>
    </w:p>
    <w:p w14:paraId="51161309" w14:textId="26294CB4" w:rsidR="009550A3" w:rsidRDefault="00CB642D" w:rsidP="00407232">
      <w:pPr>
        <w:rPr>
          <w:rFonts w:cs="Arial"/>
        </w:rPr>
      </w:pPr>
      <w:permStart w:id="1296003605" w:edGrp="everyone"/>
      <w:r>
        <w:rPr>
          <w:rFonts w:cs="Arial"/>
        </w:rPr>
        <w:t>Due to the fact that LST is already in place for most funds and managers,</w:t>
      </w:r>
      <w:r w:rsidR="00503A05">
        <w:rPr>
          <w:rFonts w:cs="Arial"/>
        </w:rPr>
        <w:t xml:space="preserve"> </w:t>
      </w:r>
      <w:r w:rsidR="00F3772E" w:rsidRPr="00E67A52">
        <w:rPr>
          <w:rFonts w:cs="Arial"/>
        </w:rPr>
        <w:t>in line with the principles proposed by the draft Guidelines,</w:t>
      </w:r>
      <w:r>
        <w:rPr>
          <w:rFonts w:cs="Arial"/>
        </w:rPr>
        <w:t xml:space="preserve"> w</w:t>
      </w:r>
      <w:r w:rsidR="00F546F7">
        <w:rPr>
          <w:rFonts w:cs="Arial"/>
        </w:rPr>
        <w:t>e cannot identify any substantial additional costs and benefits brought by complying with the proposed Guidelines.</w:t>
      </w:r>
      <w:r w:rsidR="009550A3">
        <w:rPr>
          <w:rFonts w:cs="Arial"/>
        </w:rPr>
        <w:t xml:space="preserve">  </w:t>
      </w:r>
    </w:p>
    <w:p w14:paraId="310754BD" w14:textId="77777777" w:rsidR="009550A3" w:rsidRDefault="009550A3" w:rsidP="00407232">
      <w:pPr>
        <w:rPr>
          <w:rFonts w:cs="Arial"/>
        </w:rPr>
      </w:pPr>
    </w:p>
    <w:p w14:paraId="249FA8E7" w14:textId="297707EB" w:rsidR="00407232" w:rsidRDefault="009550A3" w:rsidP="00407232">
      <w:pPr>
        <w:rPr>
          <w:rFonts w:cs="Arial"/>
        </w:rPr>
      </w:pPr>
      <w:r>
        <w:rPr>
          <w:rFonts w:cs="Arial"/>
        </w:rPr>
        <w:t>Managers may need to refine their LST policy and procedures, but amendments should not be particularly onerous or costly.</w:t>
      </w:r>
      <w:r w:rsidR="000A2EE5">
        <w:rPr>
          <w:rFonts w:cs="Arial"/>
        </w:rPr>
        <w:t xml:space="preserve">  </w:t>
      </w:r>
    </w:p>
    <w:p w14:paraId="68105804" w14:textId="33A2FD65" w:rsidR="00CB642D" w:rsidRDefault="00CB642D" w:rsidP="00407232">
      <w:pPr>
        <w:rPr>
          <w:rFonts w:cs="Arial"/>
        </w:rPr>
      </w:pPr>
    </w:p>
    <w:p w14:paraId="0EDFD56D" w14:textId="0C75AE14" w:rsidR="007A5ED1" w:rsidRPr="00E67A52" w:rsidRDefault="007A5ED1" w:rsidP="00407232">
      <w:pPr>
        <w:rPr>
          <w:rFonts w:cs="Arial"/>
        </w:rPr>
      </w:pPr>
      <w:r w:rsidRPr="00E67A52">
        <w:rPr>
          <w:rFonts w:cs="Arial"/>
        </w:rPr>
        <w:t xml:space="preserve">Were ESMA to adopt a more prescriptive approach to LST, this would likely not only incur additional cost for the industry but more importantly result in LSTs less suited to the specific characteristics of the fund, to the detriment of </w:t>
      </w:r>
      <w:r w:rsidR="007E0A14" w:rsidRPr="00E67A52">
        <w:rPr>
          <w:rFonts w:cs="Arial"/>
        </w:rPr>
        <w:t>investor protection.</w:t>
      </w:r>
      <w:r w:rsidR="000A2EE5">
        <w:rPr>
          <w:rFonts w:cs="Arial"/>
        </w:rPr>
        <w:t xml:space="preserve">  One possible increase in costs would be in relation to the provision of data.  It is not yet clear whether data vendors are able to provide comprehensive and reliable asset liquidity data across the full range of assets invested in.  It is unclear how much this could cost and how there would be any corresponding benefit for investors.</w:t>
      </w:r>
      <w:r w:rsidRPr="00E67A52">
        <w:rPr>
          <w:rFonts w:cs="Arial"/>
        </w:rPr>
        <w:t xml:space="preserve">  </w:t>
      </w:r>
    </w:p>
    <w:p w14:paraId="1B6A3E2A" w14:textId="77777777" w:rsidR="007A5ED1" w:rsidRDefault="007A5ED1" w:rsidP="00407232">
      <w:pPr>
        <w:rPr>
          <w:rFonts w:cs="Arial"/>
        </w:rPr>
      </w:pPr>
    </w:p>
    <w:p w14:paraId="78B5E33C" w14:textId="330D927B" w:rsidR="00CB642D" w:rsidRDefault="00CB642D" w:rsidP="00407232">
      <w:pPr>
        <w:rPr>
          <w:rFonts w:cs="Arial"/>
        </w:rPr>
      </w:pPr>
      <w:r>
        <w:rPr>
          <w:rFonts w:cs="Arial"/>
        </w:rPr>
        <w:t>We note that ESMA has not provided quantitative measurements of the costs and benefits of the proposed measures.  A discussion of the quantitative measures would be useful for managers.</w:t>
      </w:r>
    </w:p>
    <w:permEnd w:id="1296003605"/>
    <w:p w14:paraId="1C1F61DD" w14:textId="77777777" w:rsidR="00407232" w:rsidRDefault="00407232" w:rsidP="00407232">
      <w:pPr>
        <w:rPr>
          <w:rFonts w:cs="Arial"/>
        </w:rPr>
      </w:pPr>
      <w:r>
        <w:rPr>
          <w:rFonts w:cs="Arial"/>
        </w:rPr>
        <w:t>&lt;ESMA_QUESTION_LST_1&gt;</w:t>
      </w:r>
    </w:p>
    <w:p w14:paraId="7AFA1ABF" w14:textId="77777777" w:rsidR="00407232" w:rsidRDefault="00407232" w:rsidP="00407232">
      <w:pPr>
        <w:rPr>
          <w:rFonts w:cs="Arial"/>
        </w:rPr>
      </w:pPr>
    </w:p>
    <w:p w14:paraId="67E10BD1" w14:textId="77777777" w:rsidR="00407232" w:rsidRDefault="00407232" w:rsidP="00407232">
      <w:pPr>
        <w:pStyle w:val="Questionstyle"/>
        <w:numPr>
          <w:ilvl w:val="0"/>
          <w:numId w:val="44"/>
        </w:numPr>
        <w:ind w:left="720"/>
      </w:pPr>
      <w:r>
        <w:t xml:space="preserve">: </w:t>
      </w:r>
      <w:r w:rsidRPr="00406901">
        <w:t xml:space="preserve">Do you agree with the scope of these Guidelines? Should certain types of funds be explicitly excluded from these Guidelines? Should MMFs remain in-scope of these Guidelines? </w:t>
      </w:r>
    </w:p>
    <w:p w14:paraId="3F8F49A3" w14:textId="77777777" w:rsidR="00407232" w:rsidRDefault="00407232" w:rsidP="00407232">
      <w:pPr>
        <w:rPr>
          <w:rFonts w:cs="Arial"/>
        </w:rPr>
      </w:pPr>
      <w:r>
        <w:rPr>
          <w:rFonts w:cs="Arial"/>
        </w:rPr>
        <w:t>&lt;ESMA_QUESTION_LST_2&gt;</w:t>
      </w:r>
    </w:p>
    <w:p w14:paraId="7708BD97" w14:textId="5E5B6C6B" w:rsidR="00407232" w:rsidRDefault="00DA4A26" w:rsidP="00407232">
      <w:pPr>
        <w:rPr>
          <w:rFonts w:cs="Arial"/>
        </w:rPr>
      </w:pPr>
      <w:permStart w:id="706622868" w:edGrp="everyone"/>
      <w:r>
        <w:rPr>
          <w:rFonts w:cs="Arial"/>
        </w:rPr>
        <w:t>As the Guidelines are principles-based and LST can be modified, depending on the nature, scale and complexity of the fund in question, it is appropriate to extend the Guidelines to all funds suggested</w:t>
      </w:r>
      <w:r w:rsidR="00E67A52">
        <w:rPr>
          <w:rFonts w:cs="Arial"/>
        </w:rPr>
        <w:t>, with the exception of MMFs</w:t>
      </w:r>
      <w:r>
        <w:rPr>
          <w:rFonts w:cs="Arial"/>
        </w:rPr>
        <w:t>.</w:t>
      </w:r>
    </w:p>
    <w:p w14:paraId="4A5477B6" w14:textId="77777777" w:rsidR="0019757A" w:rsidRDefault="0019757A" w:rsidP="00407232">
      <w:pPr>
        <w:rPr>
          <w:rFonts w:cs="Arial"/>
        </w:rPr>
      </w:pPr>
    </w:p>
    <w:p w14:paraId="40A26A08" w14:textId="0218571D" w:rsidR="0019757A" w:rsidRDefault="0019757A" w:rsidP="00407232">
      <w:pPr>
        <w:rPr>
          <w:rFonts w:cs="Arial"/>
        </w:rPr>
      </w:pPr>
      <w:r>
        <w:rPr>
          <w:rFonts w:cs="Arial"/>
        </w:rPr>
        <w:t>The IA agrees that ETFs should be in scope, but the nature of ETF structures should be specifically taken into account when performing LST.</w:t>
      </w:r>
    </w:p>
    <w:p w14:paraId="745B259A" w14:textId="77777777" w:rsidR="00E67A52" w:rsidRDefault="00E67A52" w:rsidP="00407232">
      <w:pPr>
        <w:rPr>
          <w:rFonts w:cs="Arial"/>
        </w:rPr>
      </w:pPr>
    </w:p>
    <w:p w14:paraId="482DD503" w14:textId="74F5C1C9" w:rsidR="00E67A52" w:rsidRDefault="00E67A52" w:rsidP="00407232">
      <w:pPr>
        <w:rPr>
          <w:rFonts w:cs="Arial"/>
        </w:rPr>
      </w:pPr>
      <w:r>
        <w:rPr>
          <w:rFonts w:cs="Arial"/>
        </w:rPr>
        <w:lastRenderedPageBreak/>
        <w:t xml:space="preserve">Specific stress testing guidelines for MMFs are </w:t>
      </w:r>
      <w:r w:rsidR="00DD79A3">
        <w:rPr>
          <w:rFonts w:cs="Arial"/>
        </w:rPr>
        <w:t xml:space="preserve">already in place, and more detailed guidelines on stress test scenarios specific to MMFs are </w:t>
      </w:r>
      <w:r>
        <w:rPr>
          <w:rFonts w:cs="Arial"/>
        </w:rPr>
        <w:t xml:space="preserve">currently being </w:t>
      </w:r>
      <w:r w:rsidR="00DD79A3">
        <w:rPr>
          <w:rFonts w:cs="Arial"/>
        </w:rPr>
        <w:t>developed</w:t>
      </w:r>
      <w:r>
        <w:rPr>
          <w:rFonts w:cs="Arial"/>
        </w:rPr>
        <w:t xml:space="preserve">.  Where managers are obliged to follow two sets of guidelines, with possible contradictions, this can be operationally difficult and confusing and not produce the desired outcome.  The IA recommends that MMFs </w:t>
      </w:r>
      <w:r w:rsidR="00B35AD1">
        <w:rPr>
          <w:rFonts w:cs="Arial"/>
        </w:rPr>
        <w:t>are only subject to the specific MMF stress test guidelines designed for their particular characteristics and not the Guidelines proposed here.</w:t>
      </w:r>
    </w:p>
    <w:p w14:paraId="12C96170" w14:textId="77777777" w:rsidR="00940395" w:rsidRDefault="00940395" w:rsidP="00407232">
      <w:pPr>
        <w:rPr>
          <w:rFonts w:cs="Arial"/>
        </w:rPr>
      </w:pPr>
    </w:p>
    <w:p w14:paraId="4FF27A7D" w14:textId="67B21D45" w:rsidR="00940395" w:rsidRDefault="00940395" w:rsidP="00407232">
      <w:pPr>
        <w:rPr>
          <w:rFonts w:cs="Arial"/>
        </w:rPr>
      </w:pPr>
      <w:r>
        <w:rPr>
          <w:rFonts w:cs="Arial"/>
        </w:rPr>
        <w:t>It is also inappropriate to include closed-ended AIFs in the scope of the Guidelines, due to the lack of liquidity risk on the liabilities side</w:t>
      </w:r>
      <w:r w:rsidR="00970960">
        <w:rPr>
          <w:rFonts w:cs="Arial"/>
        </w:rPr>
        <w:t>, given that there are no on-demand redemptions</w:t>
      </w:r>
      <w:r>
        <w:rPr>
          <w:rFonts w:cs="Arial"/>
        </w:rPr>
        <w:t>.  The main risks for closed-ended AIFs stems from the over-use of leverage, which is not something to be taken into account in this context.</w:t>
      </w:r>
    </w:p>
    <w:permEnd w:id="706622868"/>
    <w:p w14:paraId="255E3FB8" w14:textId="77777777" w:rsidR="00407232" w:rsidRDefault="00407232" w:rsidP="00407232">
      <w:pPr>
        <w:rPr>
          <w:rFonts w:cs="Arial"/>
        </w:rPr>
      </w:pPr>
      <w:r>
        <w:rPr>
          <w:rFonts w:cs="Arial"/>
        </w:rPr>
        <w:t>&lt;ESMA_QUESTION_LST_2&gt;</w:t>
      </w:r>
    </w:p>
    <w:p w14:paraId="2BBF450B" w14:textId="77777777" w:rsidR="00407232" w:rsidRDefault="00407232" w:rsidP="00407232">
      <w:pPr>
        <w:rPr>
          <w:rFonts w:cs="Arial"/>
        </w:rPr>
      </w:pPr>
    </w:p>
    <w:p w14:paraId="63C8909C" w14:textId="77777777" w:rsidR="00407232" w:rsidRDefault="00407232" w:rsidP="00407232">
      <w:pPr>
        <w:pStyle w:val="Questionstyle"/>
        <w:numPr>
          <w:ilvl w:val="0"/>
          <w:numId w:val="44"/>
        </w:numPr>
        <w:ind w:left="720"/>
      </w:pPr>
      <w:r>
        <w:t xml:space="preserve">: </w:t>
      </w:r>
      <w:r w:rsidRPr="00406901">
        <w:t>Is additional clarity required regarding the scope of these Guidelines? Is additional clarity required regarding the meaning of ‘nature, scale and complexity’ of a fund?</w:t>
      </w:r>
      <w:r>
        <w:t xml:space="preserve"> Are there circumstances in which it would, in your view, be inappropriate for a UCITS to undertake LST?</w:t>
      </w:r>
    </w:p>
    <w:p w14:paraId="206093CE" w14:textId="77777777" w:rsidR="00407232" w:rsidRDefault="00407232" w:rsidP="00407232">
      <w:pPr>
        <w:rPr>
          <w:rFonts w:cs="Arial"/>
        </w:rPr>
      </w:pPr>
      <w:r>
        <w:rPr>
          <w:rFonts w:cs="Arial"/>
        </w:rPr>
        <w:t>&lt;ESMA_QUESTION_LST_3&gt;</w:t>
      </w:r>
    </w:p>
    <w:p w14:paraId="468135EA" w14:textId="1E3F6072" w:rsidR="00307833" w:rsidRDefault="00533A21" w:rsidP="00407232">
      <w:pPr>
        <w:rPr>
          <w:rFonts w:cs="Arial"/>
        </w:rPr>
      </w:pPr>
      <w:permStart w:id="86838892" w:edGrp="everyone"/>
      <w:r>
        <w:rPr>
          <w:rFonts w:cs="Arial"/>
        </w:rPr>
        <w:t xml:space="preserve">The IA finds </w:t>
      </w:r>
      <w:r w:rsidRPr="00B35AD1">
        <w:rPr>
          <w:rFonts w:cs="Arial"/>
        </w:rPr>
        <w:t xml:space="preserve">the </w:t>
      </w:r>
      <w:r w:rsidR="000B6279" w:rsidRPr="00B35AD1">
        <w:rPr>
          <w:rFonts w:cs="Arial"/>
        </w:rPr>
        <w:t>scope of the</w:t>
      </w:r>
      <w:r w:rsidR="000B6279">
        <w:rPr>
          <w:rFonts w:cs="Arial"/>
        </w:rPr>
        <w:t xml:space="preserve"> </w:t>
      </w:r>
      <w:r>
        <w:rPr>
          <w:rFonts w:cs="Arial"/>
        </w:rPr>
        <w:t xml:space="preserve">Guidelines </w:t>
      </w:r>
      <w:r w:rsidR="00307833">
        <w:rPr>
          <w:rFonts w:cs="Arial"/>
        </w:rPr>
        <w:t xml:space="preserve">sufficiently </w:t>
      </w:r>
      <w:r>
        <w:rPr>
          <w:rFonts w:cs="Arial"/>
        </w:rPr>
        <w:t xml:space="preserve">clear and does not require any additional clarity.  </w:t>
      </w:r>
    </w:p>
    <w:p w14:paraId="63EBF9B5" w14:textId="77777777" w:rsidR="00307833" w:rsidRDefault="00307833" w:rsidP="00407232">
      <w:pPr>
        <w:rPr>
          <w:rFonts w:cs="Arial"/>
        </w:rPr>
      </w:pPr>
    </w:p>
    <w:p w14:paraId="3413053A" w14:textId="04446321" w:rsidR="00407232" w:rsidRPr="00A04060" w:rsidRDefault="00533A21" w:rsidP="00407232">
      <w:pPr>
        <w:rPr>
          <w:rFonts w:cs="Arial"/>
          <w:highlight w:val="green"/>
        </w:rPr>
      </w:pPr>
      <w:r>
        <w:rPr>
          <w:rFonts w:cs="Arial"/>
        </w:rPr>
        <w:t xml:space="preserve">There are circumstances where it would be inappropriate for a UCITS to undertake </w:t>
      </w:r>
      <w:r w:rsidRPr="003D3C3E">
        <w:rPr>
          <w:rFonts w:cs="Arial"/>
          <w:highlight w:val="green"/>
        </w:rPr>
        <w:t>LST</w:t>
      </w:r>
      <w:r w:rsidR="00B35AD1">
        <w:rPr>
          <w:rFonts w:cs="Arial"/>
          <w:highlight w:val="green"/>
        </w:rPr>
        <w:t>.</w:t>
      </w:r>
      <w:r w:rsidRPr="003D3C3E">
        <w:rPr>
          <w:rFonts w:cs="Arial"/>
          <w:highlight w:val="green"/>
        </w:rPr>
        <w:t xml:space="preserve"> </w:t>
      </w:r>
      <w:r w:rsidR="00B35AD1">
        <w:rPr>
          <w:rFonts w:cs="Arial"/>
          <w:highlight w:val="green"/>
        </w:rPr>
        <w:t xml:space="preserve"> </w:t>
      </w:r>
      <w:r w:rsidR="00B35AD1" w:rsidRPr="00A04060">
        <w:rPr>
          <w:rFonts w:cs="Arial"/>
        </w:rPr>
        <w:t xml:space="preserve">In addition to the point re MMFs </w:t>
      </w:r>
      <w:r w:rsidR="00FB4DB3">
        <w:rPr>
          <w:rFonts w:cs="Arial"/>
        </w:rPr>
        <w:t xml:space="preserve">and closed-ended AIFs </w:t>
      </w:r>
      <w:r w:rsidR="00B35AD1" w:rsidRPr="00A04060">
        <w:rPr>
          <w:rFonts w:cs="Arial"/>
        </w:rPr>
        <w:t>in response to Question 2, it would be inappropriate to require UCITS and AIFs in liquidation to conduct LST once normal operations have been suspended.</w:t>
      </w:r>
    </w:p>
    <w:permEnd w:id="86838892"/>
    <w:p w14:paraId="58BC4F2C" w14:textId="77777777" w:rsidR="00407232" w:rsidRDefault="00407232" w:rsidP="00407232">
      <w:pPr>
        <w:rPr>
          <w:rFonts w:cs="Arial"/>
        </w:rPr>
      </w:pPr>
      <w:r>
        <w:rPr>
          <w:rFonts w:cs="Arial"/>
        </w:rPr>
        <w:t>&lt;ESMA_QUESTION_LST_3&gt;</w:t>
      </w:r>
    </w:p>
    <w:p w14:paraId="4B36214D" w14:textId="77777777" w:rsidR="00407232" w:rsidRDefault="00407232" w:rsidP="00407232">
      <w:pPr>
        <w:rPr>
          <w:rFonts w:cs="Arial"/>
        </w:rPr>
      </w:pPr>
    </w:p>
    <w:p w14:paraId="76A86A66" w14:textId="384DD17B" w:rsidR="00407232" w:rsidRPr="00406901" w:rsidRDefault="00407232" w:rsidP="00407232">
      <w:pPr>
        <w:pStyle w:val="Questionstyle"/>
        <w:numPr>
          <w:ilvl w:val="0"/>
          <w:numId w:val="44"/>
        </w:numPr>
        <w:ind w:left="720"/>
      </w:pPr>
      <w:r>
        <w:t xml:space="preserve">: </w:t>
      </w:r>
      <w:r w:rsidRPr="00406901">
        <w:t>What are you</w:t>
      </w:r>
      <w:r w:rsidR="00254C9E">
        <w:t>r</w:t>
      </w:r>
      <w:r w:rsidRPr="00406901">
        <w:t xml:space="preserve"> views on when the Guidelines should become applicable? How much time would</w:t>
      </w:r>
      <w:r>
        <w:t xml:space="preserve"> manager</w:t>
      </w:r>
      <w:r w:rsidRPr="00406901">
        <w:t>s require to operationalise the requirements of these Guidelines?</w:t>
      </w:r>
    </w:p>
    <w:p w14:paraId="3606CCAE" w14:textId="77777777" w:rsidR="00407232" w:rsidRDefault="00407232" w:rsidP="00407232">
      <w:pPr>
        <w:rPr>
          <w:rFonts w:cs="Arial"/>
        </w:rPr>
      </w:pPr>
      <w:r>
        <w:rPr>
          <w:rFonts w:cs="Arial"/>
        </w:rPr>
        <w:t>&lt;ESMA_QUESTION_LST_4&gt;</w:t>
      </w:r>
    </w:p>
    <w:p w14:paraId="3DE71257" w14:textId="43119BD9" w:rsidR="00407232" w:rsidRDefault="00533A21" w:rsidP="00407232">
      <w:pPr>
        <w:rPr>
          <w:rFonts w:cs="Arial"/>
        </w:rPr>
      </w:pPr>
      <w:permStart w:id="758265983" w:edGrp="everyone"/>
      <w:r>
        <w:rPr>
          <w:rFonts w:cs="Arial"/>
        </w:rPr>
        <w:t xml:space="preserve">Managers would require at least </w:t>
      </w:r>
      <w:r w:rsidR="00497C13">
        <w:rPr>
          <w:rFonts w:cs="Arial"/>
        </w:rPr>
        <w:t>eighteen</w:t>
      </w:r>
      <w:r>
        <w:rPr>
          <w:rFonts w:cs="Arial"/>
        </w:rPr>
        <w:t xml:space="preserve"> months to review their LST policies and procedures against the requirements of the Guidelines.</w:t>
      </w:r>
      <w:r w:rsidR="00CB642D">
        <w:rPr>
          <w:rFonts w:cs="Arial"/>
        </w:rPr>
        <w:t xml:space="preserve">  The exact length of time needed would depend on the final Guidelines and Explanatory Considerations and the scope of changes to current market practice.</w:t>
      </w:r>
    </w:p>
    <w:permEnd w:id="758265983"/>
    <w:p w14:paraId="64B7795B" w14:textId="77777777" w:rsidR="00407232" w:rsidRDefault="00407232" w:rsidP="00407232">
      <w:pPr>
        <w:rPr>
          <w:rFonts w:cs="Arial"/>
        </w:rPr>
      </w:pPr>
      <w:r>
        <w:rPr>
          <w:rFonts w:cs="Arial"/>
        </w:rPr>
        <w:t>&lt;ESMA_QUESTION_LST_4&gt;</w:t>
      </w:r>
    </w:p>
    <w:p w14:paraId="6DB78B85" w14:textId="77777777" w:rsidR="00407232" w:rsidRDefault="00407232" w:rsidP="00407232">
      <w:pPr>
        <w:rPr>
          <w:rFonts w:cs="Arial"/>
        </w:rPr>
      </w:pPr>
    </w:p>
    <w:p w14:paraId="35706A00" w14:textId="77777777" w:rsidR="00407232" w:rsidRDefault="00407232" w:rsidP="00407232">
      <w:pPr>
        <w:pStyle w:val="Questionstyle"/>
        <w:numPr>
          <w:ilvl w:val="0"/>
          <w:numId w:val="44"/>
        </w:numPr>
        <w:ind w:left="720"/>
      </w:pPr>
      <w:r>
        <w:t xml:space="preserve">: </w:t>
      </w:r>
      <w:r w:rsidRPr="00406901">
        <w:t xml:space="preserve">Do you agree with the proposed approach of setting out a list of Guidelines all funds should follow, and the provision of </w:t>
      </w:r>
      <w:r>
        <w:t>explanatory considerations</w:t>
      </w:r>
      <w:r w:rsidRPr="00406901">
        <w:t xml:space="preserve"> to help</w:t>
      </w:r>
      <w:r>
        <w:t xml:space="preserve"> manager</w:t>
      </w:r>
      <w:r w:rsidRPr="00406901">
        <w:t>s comply with those</w:t>
      </w:r>
      <w:r>
        <w:t xml:space="preserve"> overarching</w:t>
      </w:r>
      <w:r w:rsidRPr="00406901">
        <w:t xml:space="preserve"> Guidelines?</w:t>
      </w:r>
      <w:r>
        <w:t xml:space="preserve"> Do you see merit in including some of the explanatory considerations in the final Guidelines?</w:t>
      </w:r>
      <w:r w:rsidRPr="00406901">
        <w:t xml:space="preserve"> </w:t>
      </w:r>
    </w:p>
    <w:p w14:paraId="349F3F11" w14:textId="77777777" w:rsidR="00407232" w:rsidRDefault="00407232" w:rsidP="00407232">
      <w:pPr>
        <w:rPr>
          <w:rFonts w:cs="Arial"/>
        </w:rPr>
      </w:pPr>
      <w:r>
        <w:rPr>
          <w:rFonts w:cs="Arial"/>
        </w:rPr>
        <w:t>&lt;ESMA_QUESTION_LST_5&gt;</w:t>
      </w:r>
    </w:p>
    <w:p w14:paraId="50CE3073" w14:textId="6A23A399" w:rsidR="004532DF" w:rsidRDefault="00533A21" w:rsidP="00407232">
      <w:pPr>
        <w:rPr>
          <w:rFonts w:cs="Arial"/>
        </w:rPr>
      </w:pPr>
      <w:permStart w:id="948246633" w:edGrp="everyone"/>
      <w:r>
        <w:rPr>
          <w:rFonts w:cs="Arial"/>
        </w:rPr>
        <w:t xml:space="preserve">Yes, we agree with the proposed </w:t>
      </w:r>
      <w:r w:rsidR="00F91FFB">
        <w:rPr>
          <w:rFonts w:cs="Arial"/>
        </w:rPr>
        <w:t xml:space="preserve">principles-based </w:t>
      </w:r>
      <w:r>
        <w:rPr>
          <w:rFonts w:cs="Arial"/>
        </w:rPr>
        <w:t>approach</w:t>
      </w:r>
      <w:r w:rsidR="00F91FFB">
        <w:rPr>
          <w:rFonts w:cs="Arial"/>
        </w:rPr>
        <w:t>, which allows managers to adapt the Guidelines according to the nature, scale and complexity of the particular fund in question</w:t>
      </w:r>
      <w:r>
        <w:rPr>
          <w:rFonts w:cs="Arial"/>
        </w:rPr>
        <w:t xml:space="preserve">.  </w:t>
      </w:r>
    </w:p>
    <w:p w14:paraId="666CFC9D" w14:textId="77777777" w:rsidR="004532DF" w:rsidRDefault="004532DF" w:rsidP="00407232">
      <w:pPr>
        <w:rPr>
          <w:rFonts w:cs="Arial"/>
        </w:rPr>
      </w:pPr>
    </w:p>
    <w:p w14:paraId="5C434A70" w14:textId="6B4C1933" w:rsidR="00407232" w:rsidRDefault="004532DF" w:rsidP="00407232">
      <w:pPr>
        <w:rPr>
          <w:rFonts w:cs="Arial"/>
        </w:rPr>
      </w:pPr>
      <w:r>
        <w:rPr>
          <w:rFonts w:cs="Arial"/>
        </w:rPr>
        <w:t>We think that s</w:t>
      </w:r>
      <w:r w:rsidR="00533A21">
        <w:rPr>
          <w:rFonts w:cs="Arial"/>
        </w:rPr>
        <w:t>ome explanatory considerations would be of use and could be contained in an Appendix to the Guidelines.</w:t>
      </w:r>
      <w:r>
        <w:rPr>
          <w:rFonts w:cs="Arial"/>
        </w:rPr>
        <w:t xml:space="preserve">  We do not agree with adding further granularity to the Guidelines themselves.</w:t>
      </w:r>
    </w:p>
    <w:p w14:paraId="616F9A55" w14:textId="77777777" w:rsidR="004532DF" w:rsidRDefault="004532DF" w:rsidP="00407232">
      <w:pPr>
        <w:rPr>
          <w:rFonts w:cs="Arial"/>
        </w:rPr>
      </w:pPr>
    </w:p>
    <w:p w14:paraId="63E4ADC1" w14:textId="56EAB953" w:rsidR="004532DF" w:rsidRDefault="004532DF" w:rsidP="00407232">
      <w:pPr>
        <w:rPr>
          <w:rFonts w:cs="Arial"/>
        </w:rPr>
      </w:pPr>
      <w:r>
        <w:rPr>
          <w:rFonts w:cs="Arial"/>
        </w:rPr>
        <w:t>Over time, it would be operationally easier to expand or amend the explanatory considerations, rather than the Guidelines themselves.</w:t>
      </w:r>
    </w:p>
    <w:permEnd w:id="948246633"/>
    <w:p w14:paraId="1C8B8DAC" w14:textId="77777777" w:rsidR="00407232" w:rsidRDefault="00407232" w:rsidP="00407232">
      <w:pPr>
        <w:rPr>
          <w:rFonts w:cs="Arial"/>
        </w:rPr>
      </w:pPr>
      <w:r>
        <w:rPr>
          <w:rFonts w:cs="Arial"/>
        </w:rPr>
        <w:t>&lt;ESMA_QUESTION_LST_5&gt;</w:t>
      </w:r>
    </w:p>
    <w:p w14:paraId="30C6B0F0" w14:textId="77777777" w:rsidR="00407232" w:rsidRDefault="00407232" w:rsidP="00407232">
      <w:pPr>
        <w:rPr>
          <w:rFonts w:cs="Arial"/>
        </w:rPr>
      </w:pPr>
    </w:p>
    <w:p w14:paraId="517EBC88" w14:textId="77777777" w:rsidR="00407232" w:rsidRPr="00406901" w:rsidRDefault="00407232" w:rsidP="00407232">
      <w:pPr>
        <w:pStyle w:val="Questionstyle"/>
        <w:numPr>
          <w:ilvl w:val="0"/>
          <w:numId w:val="44"/>
        </w:numPr>
        <w:ind w:left="720"/>
      </w:pPr>
      <w:r>
        <w:t xml:space="preserve">: </w:t>
      </w:r>
      <w:r w:rsidRPr="00406901">
        <w:t xml:space="preserve">Do you agree with the proposed Guidelines? What amendments, if any, should ESMA make to its proposed Guidelines?   </w:t>
      </w:r>
    </w:p>
    <w:p w14:paraId="061382FA" w14:textId="77777777" w:rsidR="00407232" w:rsidRDefault="00407232" w:rsidP="00407232">
      <w:pPr>
        <w:rPr>
          <w:rFonts w:cs="Arial"/>
        </w:rPr>
      </w:pPr>
      <w:r>
        <w:rPr>
          <w:rFonts w:cs="Arial"/>
        </w:rPr>
        <w:t>&lt;ESMA_QUESTION_LST_6&gt;</w:t>
      </w:r>
    </w:p>
    <w:p w14:paraId="359474EE" w14:textId="73774470" w:rsidR="00407232" w:rsidRDefault="002B3472" w:rsidP="00407232">
      <w:pPr>
        <w:rPr>
          <w:rFonts w:cs="Arial"/>
        </w:rPr>
      </w:pPr>
      <w:permStart w:id="899314546" w:edGrp="everyone"/>
      <w:r>
        <w:rPr>
          <w:rFonts w:cs="Arial"/>
        </w:rPr>
        <w:t>The IA</w:t>
      </w:r>
      <w:r w:rsidR="004532DF">
        <w:rPr>
          <w:rFonts w:cs="Arial"/>
        </w:rPr>
        <w:t xml:space="preserve"> </w:t>
      </w:r>
      <w:r w:rsidR="008A1E63">
        <w:rPr>
          <w:rFonts w:cs="Arial"/>
        </w:rPr>
        <w:t xml:space="preserve">largely </w:t>
      </w:r>
      <w:r w:rsidR="004532DF">
        <w:rPr>
          <w:rFonts w:cs="Arial"/>
        </w:rPr>
        <w:t>agree</w:t>
      </w:r>
      <w:r>
        <w:rPr>
          <w:rFonts w:cs="Arial"/>
        </w:rPr>
        <w:t>s</w:t>
      </w:r>
      <w:r w:rsidR="004532DF">
        <w:rPr>
          <w:rFonts w:cs="Arial"/>
        </w:rPr>
        <w:t xml:space="preserve"> with t</w:t>
      </w:r>
      <w:r w:rsidR="00533A21">
        <w:rPr>
          <w:rFonts w:cs="Arial"/>
        </w:rPr>
        <w:t xml:space="preserve">he proposed Guidelines </w:t>
      </w:r>
      <w:r w:rsidR="004532DF">
        <w:rPr>
          <w:rFonts w:cs="Arial"/>
        </w:rPr>
        <w:t xml:space="preserve">and think they </w:t>
      </w:r>
      <w:r w:rsidR="00533A21">
        <w:rPr>
          <w:rFonts w:cs="Arial"/>
        </w:rPr>
        <w:t xml:space="preserve">are sensible and in line with </w:t>
      </w:r>
      <w:r w:rsidR="00361DFE" w:rsidRPr="00B35AD1">
        <w:rPr>
          <w:rFonts w:cs="Arial"/>
        </w:rPr>
        <w:t>recognised good practices that</w:t>
      </w:r>
      <w:r w:rsidR="000F1762" w:rsidRPr="00B35AD1">
        <w:rPr>
          <w:rFonts w:cs="Arial"/>
        </w:rPr>
        <w:t xml:space="preserve"> </w:t>
      </w:r>
      <w:r w:rsidR="00533A21">
        <w:rPr>
          <w:rFonts w:cs="Arial"/>
        </w:rPr>
        <w:t>firms already have in place with regards to LST.</w:t>
      </w:r>
      <w:r>
        <w:rPr>
          <w:rFonts w:cs="Arial"/>
        </w:rPr>
        <w:t xml:space="preserve">  We particularly welcome the principles-based nature of the Guidelines and the ability of managers to adapt them to the nature, scale and complexity of their funds.</w:t>
      </w:r>
    </w:p>
    <w:p w14:paraId="0A3546C5" w14:textId="77777777" w:rsidR="008A1E63" w:rsidRDefault="008A1E63" w:rsidP="00407232">
      <w:pPr>
        <w:rPr>
          <w:rFonts w:cs="Arial"/>
        </w:rPr>
      </w:pPr>
    </w:p>
    <w:p w14:paraId="1B384803" w14:textId="77777777" w:rsidR="003D41EE" w:rsidRPr="00B35AD1" w:rsidRDefault="003D41EE" w:rsidP="003D41EE">
      <w:pPr>
        <w:rPr>
          <w:rFonts w:cs="Arial"/>
        </w:rPr>
      </w:pPr>
      <w:r w:rsidRPr="00B35AD1">
        <w:rPr>
          <w:rFonts w:cs="Arial"/>
        </w:rPr>
        <w:t xml:space="preserve">The IA has reservations however surrounding the proposal that LST should be taken into account in decision-making in the investment process, as it can be difficult to implement, particularly in scenarios which are unlikely to happen. Such a requirement could also unnecessarily constrain the portfolio decisions of the investment manager to the detriment of investment performance and ultimately the returns experienced by investors. </w:t>
      </w:r>
    </w:p>
    <w:p w14:paraId="592F6472" w14:textId="77777777" w:rsidR="003D41EE" w:rsidRDefault="003D41EE" w:rsidP="00407232">
      <w:pPr>
        <w:rPr>
          <w:rFonts w:cs="Arial"/>
        </w:rPr>
      </w:pPr>
    </w:p>
    <w:p w14:paraId="06334DE9" w14:textId="794095EB" w:rsidR="003D41EE" w:rsidRDefault="008A1E63" w:rsidP="00407232">
      <w:pPr>
        <w:rPr>
          <w:rFonts w:cs="Arial"/>
        </w:rPr>
      </w:pPr>
      <w:r>
        <w:rPr>
          <w:rFonts w:cs="Arial"/>
        </w:rPr>
        <w:t xml:space="preserve">We note that Guideline 5d builds on Recital 61 of the AIFMD Level 2 Regulation when it talks </w:t>
      </w:r>
      <w:r w:rsidR="0080326F">
        <w:rPr>
          <w:rFonts w:cs="Arial"/>
        </w:rPr>
        <w:t xml:space="preserve">about setting of limits regarding fund liquidity.  The IA does not agree with the setting of rigid limits and the wording in Guideline 5d appears to see the setting of limits as mandatory.  Firms should be free to set limits if they believe it </w:t>
      </w:r>
      <w:r w:rsidR="0080326F">
        <w:rPr>
          <w:rFonts w:cs="Arial"/>
        </w:rPr>
        <w:lastRenderedPageBreak/>
        <w:t xml:space="preserve">appropriate for their funds, </w:t>
      </w:r>
      <w:r w:rsidR="0049711C" w:rsidRPr="00B35AD1">
        <w:rPr>
          <w:rFonts w:cs="Arial"/>
        </w:rPr>
        <w:t xml:space="preserve">having regard to the </w:t>
      </w:r>
      <w:r w:rsidR="003C62F6" w:rsidRPr="00B35AD1">
        <w:rPr>
          <w:rFonts w:cs="Arial"/>
        </w:rPr>
        <w:t xml:space="preserve">redemption commitments of the fund and the requirements of </w:t>
      </w:r>
      <w:r w:rsidR="00BC5065" w:rsidRPr="00B35AD1">
        <w:rPr>
          <w:rFonts w:cs="Arial"/>
        </w:rPr>
        <w:t>investors</w:t>
      </w:r>
      <w:r w:rsidR="00BC5065">
        <w:rPr>
          <w:rFonts w:cs="Arial"/>
        </w:rPr>
        <w:t xml:space="preserve">, </w:t>
      </w:r>
      <w:r w:rsidR="0080326F">
        <w:rPr>
          <w:rFonts w:cs="Arial"/>
        </w:rPr>
        <w:t>but should not be compelled to do so.</w:t>
      </w:r>
    </w:p>
    <w:p w14:paraId="0B66FA86" w14:textId="77777777" w:rsidR="00187011" w:rsidRDefault="00187011" w:rsidP="00407232">
      <w:pPr>
        <w:rPr>
          <w:rFonts w:cs="Arial"/>
        </w:rPr>
      </w:pPr>
    </w:p>
    <w:p w14:paraId="08A5A7F2" w14:textId="70830B94" w:rsidR="00187011" w:rsidRDefault="00187011" w:rsidP="00407232">
      <w:pPr>
        <w:rPr>
          <w:rFonts w:cs="Arial"/>
        </w:rPr>
      </w:pPr>
      <w:r>
        <w:rPr>
          <w:rFonts w:cs="Arial"/>
        </w:rPr>
        <w:t>As regards Guideline 7b, the wording surrounding gross and net redemptions is overly prescriptive.  The decision of whether to analyse gross redemptions, net redemptions or both should be left to the discretion of the manager</w:t>
      </w:r>
      <w:r w:rsidR="00A33F9F">
        <w:rPr>
          <w:rFonts w:cs="Arial"/>
        </w:rPr>
        <w:t>, particularly bearing in mind the lack of granular investor information available from intermediaries</w:t>
      </w:r>
      <w:r>
        <w:rPr>
          <w:rFonts w:cs="Arial"/>
        </w:rPr>
        <w:t>.</w:t>
      </w:r>
    </w:p>
    <w:p w14:paraId="5628AA68" w14:textId="77777777" w:rsidR="00187011" w:rsidRDefault="00187011" w:rsidP="00407232">
      <w:pPr>
        <w:rPr>
          <w:rFonts w:cs="Arial"/>
        </w:rPr>
      </w:pPr>
    </w:p>
    <w:p w14:paraId="2FAA23B1" w14:textId="2C209590" w:rsidR="00187011" w:rsidRDefault="00187011" w:rsidP="00407232">
      <w:pPr>
        <w:rPr>
          <w:rFonts w:cs="Arial"/>
        </w:rPr>
      </w:pPr>
      <w:r>
        <w:rPr>
          <w:rFonts w:cs="Arial"/>
        </w:rPr>
        <w:t>Guideline 7c insinuates that the more complex a fund’s investment strategy, the more complex the LST model should be.  This is not necessarily the case.  The LST model should take the complexity of a fund’s strategy into account, but should not automatically be a more complex model the more complex the fund.</w:t>
      </w:r>
    </w:p>
    <w:p w14:paraId="6E601C7B" w14:textId="77777777" w:rsidR="00A33F9F" w:rsidRDefault="00A33F9F" w:rsidP="00407232">
      <w:pPr>
        <w:rPr>
          <w:rFonts w:cs="Arial"/>
        </w:rPr>
      </w:pPr>
    </w:p>
    <w:p w14:paraId="7831944A" w14:textId="763210B8" w:rsidR="00A33F9F" w:rsidRDefault="00A33F9F" w:rsidP="00407232">
      <w:pPr>
        <w:rPr>
          <w:rFonts w:cs="Arial"/>
        </w:rPr>
      </w:pPr>
      <w:r>
        <w:rPr>
          <w:rFonts w:cs="Arial"/>
        </w:rPr>
        <w:t>Guideline 8 and paragraph 28 suggests that reverse stress testing is mandatory for all funds.  As detailed in the responses below, reverse stress testing should only occur where the manager possesses adequate information and such testing is appropriate for the fund.</w:t>
      </w:r>
    </w:p>
    <w:p w14:paraId="526E7604" w14:textId="77777777" w:rsidR="00B72F9A" w:rsidRDefault="00B72F9A" w:rsidP="00407232">
      <w:pPr>
        <w:rPr>
          <w:rFonts w:cs="Arial"/>
        </w:rPr>
      </w:pPr>
    </w:p>
    <w:p w14:paraId="72B24E11" w14:textId="1B65794D" w:rsidR="00B72F9A" w:rsidRDefault="00B72F9A" w:rsidP="00407232">
      <w:pPr>
        <w:rPr>
          <w:rFonts w:cs="Arial"/>
        </w:rPr>
      </w:pPr>
      <w:r>
        <w:rPr>
          <w:rFonts w:cs="Arial"/>
        </w:rPr>
        <w:t>In relation to Guidelines 11 and 12, access to information on the ultimate end investor can be difficult to obtain, particularly where the investor accesses a fund through a platform or other intermediary and often information obtained is not of the quality needed to manage anticipated investor activity.  Improvement of the information received by fund managers from intermediaries is a particularly significant improvement that could be made to liquidity management processes.</w:t>
      </w:r>
    </w:p>
    <w:p w14:paraId="72B5C0CC" w14:textId="77777777" w:rsidR="00625E84" w:rsidRDefault="00625E84" w:rsidP="00407232">
      <w:pPr>
        <w:rPr>
          <w:rFonts w:cs="Arial"/>
        </w:rPr>
      </w:pPr>
    </w:p>
    <w:p w14:paraId="41B2589B" w14:textId="2FD7791D" w:rsidR="00625E84" w:rsidRDefault="00625E84" w:rsidP="00407232">
      <w:pPr>
        <w:rPr>
          <w:rFonts w:cs="Arial"/>
        </w:rPr>
      </w:pPr>
      <w:r>
        <w:rPr>
          <w:rFonts w:cs="Arial"/>
        </w:rPr>
        <w:t xml:space="preserve">The IA would like to emphasise that we think that aggregation of funds, as detailed in Guideline 14, should only be undertaken </w:t>
      </w:r>
      <w:r w:rsidR="003D41EE">
        <w:rPr>
          <w:rFonts w:cs="Arial"/>
        </w:rPr>
        <w:t xml:space="preserve">in circumstances </w:t>
      </w:r>
      <w:r>
        <w:rPr>
          <w:rFonts w:cs="Arial"/>
        </w:rPr>
        <w:t>where the manager feels it appropriate</w:t>
      </w:r>
      <w:r w:rsidR="003D41EE">
        <w:rPr>
          <w:rFonts w:cs="Arial"/>
        </w:rPr>
        <w:t>, which could prove to be only in very limited cases</w:t>
      </w:r>
      <w:r>
        <w:rPr>
          <w:rFonts w:cs="Arial"/>
        </w:rPr>
        <w:t>.</w:t>
      </w:r>
    </w:p>
    <w:p w14:paraId="6D9891AD" w14:textId="77777777" w:rsidR="00533A21" w:rsidRDefault="00533A21" w:rsidP="00407232">
      <w:pPr>
        <w:rPr>
          <w:rFonts w:cs="Arial"/>
        </w:rPr>
      </w:pPr>
    </w:p>
    <w:p w14:paraId="53207591" w14:textId="299F4A84" w:rsidR="00A44BA2" w:rsidRDefault="00185C15" w:rsidP="00407232">
      <w:pPr>
        <w:rPr>
          <w:rFonts w:cs="Arial"/>
        </w:rPr>
      </w:pPr>
      <w:r w:rsidRPr="00B35AD1">
        <w:rPr>
          <w:rFonts w:cs="Arial"/>
        </w:rPr>
        <w:t>It is important that funds are not prevented from purchasing</w:t>
      </w:r>
      <w:r w:rsidR="0087043B" w:rsidRPr="00B35AD1">
        <w:rPr>
          <w:rFonts w:cs="Arial"/>
        </w:rPr>
        <w:t xml:space="preserve"> less liquid</w:t>
      </w:r>
      <w:r w:rsidRPr="00B35AD1">
        <w:rPr>
          <w:rFonts w:cs="Arial"/>
        </w:rPr>
        <w:t xml:space="preserve"> assets</w:t>
      </w:r>
      <w:r w:rsidR="00D9340B" w:rsidRPr="00B35AD1">
        <w:rPr>
          <w:rFonts w:cs="Arial"/>
        </w:rPr>
        <w:t xml:space="preserve">, where </w:t>
      </w:r>
      <w:r w:rsidR="008A76CC" w:rsidRPr="00B35AD1">
        <w:rPr>
          <w:rFonts w:cs="Arial"/>
        </w:rPr>
        <w:t xml:space="preserve">this is </w:t>
      </w:r>
      <w:r w:rsidR="0087043B" w:rsidRPr="00B35AD1">
        <w:rPr>
          <w:rFonts w:cs="Arial"/>
        </w:rPr>
        <w:t>consistent with the objective and investment policy of the fund</w:t>
      </w:r>
      <w:r w:rsidRPr="00B35AD1">
        <w:rPr>
          <w:rFonts w:cs="Arial"/>
        </w:rPr>
        <w:t xml:space="preserve">.  </w:t>
      </w:r>
      <w:r w:rsidR="009A6FEA" w:rsidRPr="00B35AD1">
        <w:rPr>
          <w:rFonts w:cs="Arial"/>
        </w:rPr>
        <w:t>There is often a performance premium associated with illiquidity, and s</w:t>
      </w:r>
      <w:r w:rsidRPr="00B35AD1">
        <w:rPr>
          <w:rFonts w:cs="Arial"/>
        </w:rPr>
        <w:t xml:space="preserve">uch assets </w:t>
      </w:r>
      <w:r w:rsidR="00D95074" w:rsidRPr="00B35AD1">
        <w:rPr>
          <w:rFonts w:cs="Arial"/>
        </w:rPr>
        <w:t xml:space="preserve">can </w:t>
      </w:r>
      <w:r w:rsidRPr="00B35AD1">
        <w:rPr>
          <w:rFonts w:cs="Arial"/>
        </w:rPr>
        <w:t>form part of the investment strategy of the entire fund</w:t>
      </w:r>
      <w:r w:rsidR="00D344F8" w:rsidRPr="00B35AD1">
        <w:rPr>
          <w:rFonts w:cs="Arial"/>
        </w:rPr>
        <w:t>. T</w:t>
      </w:r>
      <w:r w:rsidR="00293E82" w:rsidRPr="00B35AD1">
        <w:rPr>
          <w:rFonts w:cs="Arial"/>
        </w:rPr>
        <w:t xml:space="preserve">he </w:t>
      </w:r>
      <w:r w:rsidR="00F61930" w:rsidRPr="00B35AD1">
        <w:rPr>
          <w:rFonts w:cs="Arial"/>
        </w:rPr>
        <w:t>investment manager may balance less liquid assets with more liquid assets to deliver an optimal portfolio balancing performance with liquidity requirements.</w:t>
      </w:r>
    </w:p>
    <w:permEnd w:id="899314546"/>
    <w:p w14:paraId="1B56AC93" w14:textId="77777777" w:rsidR="00407232" w:rsidRDefault="00407232" w:rsidP="00407232">
      <w:pPr>
        <w:rPr>
          <w:rFonts w:cs="Arial"/>
        </w:rPr>
      </w:pPr>
      <w:r>
        <w:rPr>
          <w:rFonts w:cs="Arial"/>
        </w:rPr>
        <w:t>&lt;ESMA_QUESTION_LST_6&gt;</w:t>
      </w:r>
    </w:p>
    <w:p w14:paraId="67273C45" w14:textId="77777777" w:rsidR="00407232" w:rsidRDefault="00407232" w:rsidP="00407232">
      <w:pPr>
        <w:rPr>
          <w:rFonts w:cs="Arial"/>
        </w:rPr>
      </w:pPr>
    </w:p>
    <w:p w14:paraId="67401E19" w14:textId="77777777" w:rsidR="00407232" w:rsidRPr="00406901" w:rsidRDefault="00407232" w:rsidP="00407232">
      <w:pPr>
        <w:pStyle w:val="Questionstyle"/>
        <w:numPr>
          <w:ilvl w:val="0"/>
          <w:numId w:val="44"/>
        </w:numPr>
        <w:ind w:left="720"/>
      </w:pPr>
      <w:r>
        <w:t xml:space="preserve">: </w:t>
      </w:r>
      <w:r w:rsidRPr="00406901">
        <w:t xml:space="preserve">Do you agree with the proposed </w:t>
      </w:r>
      <w:r>
        <w:t>explanatory considerations</w:t>
      </w:r>
      <w:r w:rsidRPr="00406901">
        <w:t xml:space="preserve"> regarding LST of fund assets?</w:t>
      </w:r>
    </w:p>
    <w:p w14:paraId="21CF88AA" w14:textId="77777777" w:rsidR="00407232" w:rsidRDefault="00407232" w:rsidP="00407232">
      <w:pPr>
        <w:rPr>
          <w:rFonts w:cs="Arial"/>
        </w:rPr>
      </w:pPr>
      <w:r>
        <w:rPr>
          <w:rFonts w:cs="Arial"/>
        </w:rPr>
        <w:t>&lt;ESMA_QUESTION_LST_7&gt;</w:t>
      </w:r>
    </w:p>
    <w:p w14:paraId="31BAA498" w14:textId="28CC59FC" w:rsidR="00407232" w:rsidRDefault="00620FE6" w:rsidP="00407232">
      <w:pPr>
        <w:rPr>
          <w:rFonts w:cs="Arial"/>
        </w:rPr>
      </w:pPr>
      <w:permStart w:id="84614278" w:edGrp="everyone"/>
      <w:r>
        <w:rPr>
          <w:rFonts w:cs="Arial"/>
        </w:rPr>
        <w:lastRenderedPageBreak/>
        <w:t>The IA generally agrees with t</w:t>
      </w:r>
      <w:r w:rsidR="00185C15">
        <w:rPr>
          <w:rFonts w:cs="Arial"/>
        </w:rPr>
        <w:t xml:space="preserve">he explanatory considerations </w:t>
      </w:r>
      <w:r>
        <w:rPr>
          <w:rFonts w:cs="Arial"/>
        </w:rPr>
        <w:t xml:space="preserve">and thinks that they </w:t>
      </w:r>
      <w:r w:rsidR="00185C15">
        <w:rPr>
          <w:rFonts w:cs="Arial"/>
        </w:rPr>
        <w:t>are sensible.</w:t>
      </w:r>
    </w:p>
    <w:p w14:paraId="371F30E1" w14:textId="77777777" w:rsidR="009F0401" w:rsidRDefault="009F0401" w:rsidP="00407232">
      <w:pPr>
        <w:rPr>
          <w:rFonts w:cs="Arial"/>
        </w:rPr>
      </w:pPr>
    </w:p>
    <w:p w14:paraId="7C2A5F74" w14:textId="33C2E7FE" w:rsidR="009F0401" w:rsidRDefault="009F0401" w:rsidP="00407232">
      <w:pPr>
        <w:rPr>
          <w:rFonts w:cs="Arial"/>
        </w:rPr>
      </w:pPr>
      <w:r>
        <w:rPr>
          <w:rFonts w:cs="Arial"/>
        </w:rPr>
        <w:t>We note that paragraph 27 states that in stressed market conditions, “financial markets typically exhibit higher volatility and lower liquidity”.  This is not always the case, as in previous stressed conditions, liquid assets have actually displayed increased volumes and liquidity.</w:t>
      </w:r>
    </w:p>
    <w:p w14:paraId="47AC474B" w14:textId="77777777" w:rsidR="00185C15" w:rsidRDefault="00185C15" w:rsidP="00407232">
      <w:pPr>
        <w:rPr>
          <w:rFonts w:cs="Arial"/>
        </w:rPr>
      </w:pPr>
    </w:p>
    <w:p w14:paraId="69D79282" w14:textId="10C3980E" w:rsidR="00711555" w:rsidRPr="006F5F4C" w:rsidRDefault="00700E0F" w:rsidP="00711555">
      <w:pPr>
        <w:rPr>
          <w:rFonts w:cs="Arial"/>
          <w:i/>
        </w:rPr>
      </w:pPr>
      <w:r>
        <w:rPr>
          <w:rFonts w:cs="Arial"/>
        </w:rPr>
        <w:t>One particular point is in relation to the second bullet point of paragraph 23, which refers only to the interests of unitholders.  In this context, the stability of the market as a whole should also be taken into consideration.</w:t>
      </w:r>
      <w:r w:rsidR="00711555">
        <w:rPr>
          <w:rFonts w:cs="Arial"/>
        </w:rPr>
        <w:t xml:space="preserve">  In addition, we note that there may be occasions where investors will redeem</w:t>
      </w:r>
      <w:r w:rsidR="00B35AD1">
        <w:rPr>
          <w:rFonts w:cs="Arial"/>
        </w:rPr>
        <w:t xml:space="preserve"> their holdings in any case, being aware of a higher redemption cost</w:t>
      </w:r>
      <w:r w:rsidR="00711555">
        <w:rPr>
          <w:rFonts w:cs="Arial"/>
        </w:rPr>
        <w:t>, if the need to redeem at any cost is paramount.</w:t>
      </w:r>
      <w:r w:rsidR="005F7C99">
        <w:rPr>
          <w:rFonts w:cs="Arial"/>
        </w:rPr>
        <w:t xml:space="preserve"> </w:t>
      </w:r>
    </w:p>
    <w:p w14:paraId="4E979FCB" w14:textId="77777777" w:rsidR="00700E0F" w:rsidRDefault="00700E0F" w:rsidP="00407232">
      <w:pPr>
        <w:rPr>
          <w:rFonts w:cs="Arial"/>
        </w:rPr>
      </w:pPr>
    </w:p>
    <w:p w14:paraId="32C36C3E" w14:textId="639083FF" w:rsidR="00185C15" w:rsidRDefault="00185C15" w:rsidP="00407232">
      <w:pPr>
        <w:rPr>
          <w:rFonts w:cs="Arial"/>
        </w:rPr>
      </w:pPr>
      <w:r>
        <w:rPr>
          <w:rFonts w:cs="Arial"/>
        </w:rPr>
        <w:t xml:space="preserve">Although we do not have </w:t>
      </w:r>
      <w:r w:rsidR="00700E0F">
        <w:rPr>
          <w:rFonts w:cs="Arial"/>
        </w:rPr>
        <w:t xml:space="preserve">substantial </w:t>
      </w:r>
      <w:r>
        <w:rPr>
          <w:rFonts w:cs="Arial"/>
        </w:rPr>
        <w:t>comment on the explanatory considerations themselves, we urge ESMA to ensure that they remain considerations and are not imposed on firms from a regulatory standpoint.</w:t>
      </w:r>
    </w:p>
    <w:permEnd w:id="84614278"/>
    <w:p w14:paraId="604935F5" w14:textId="77777777" w:rsidR="00407232" w:rsidRDefault="00407232" w:rsidP="00407232">
      <w:pPr>
        <w:rPr>
          <w:rFonts w:cs="Arial"/>
        </w:rPr>
      </w:pPr>
      <w:r>
        <w:rPr>
          <w:rFonts w:cs="Arial"/>
        </w:rPr>
        <w:t>&lt;ESMA_QUESTION_LST_7&gt;</w:t>
      </w:r>
    </w:p>
    <w:p w14:paraId="73A7D091" w14:textId="77777777" w:rsidR="00407232" w:rsidRDefault="00407232" w:rsidP="00407232">
      <w:pPr>
        <w:rPr>
          <w:rFonts w:cs="Arial"/>
        </w:rPr>
      </w:pPr>
    </w:p>
    <w:p w14:paraId="07F93F58" w14:textId="77777777" w:rsidR="00407232" w:rsidRPr="00406901" w:rsidRDefault="00407232" w:rsidP="00407232">
      <w:pPr>
        <w:pStyle w:val="Questionstyle"/>
        <w:numPr>
          <w:ilvl w:val="0"/>
          <w:numId w:val="44"/>
        </w:numPr>
        <w:ind w:left="720"/>
      </w:pPr>
      <w:r>
        <w:t xml:space="preserve">: </w:t>
      </w:r>
      <w:r w:rsidRPr="00406901">
        <w:t>What are your views on the requirement to undertake reverse stress testing, and the use of this tool?</w:t>
      </w:r>
    </w:p>
    <w:p w14:paraId="7FFFBF66" w14:textId="77777777" w:rsidR="00407232" w:rsidRDefault="00407232" w:rsidP="00407232">
      <w:pPr>
        <w:rPr>
          <w:rFonts w:cs="Arial"/>
        </w:rPr>
      </w:pPr>
      <w:r>
        <w:rPr>
          <w:rFonts w:cs="Arial"/>
        </w:rPr>
        <w:t>&lt;ESMA_QUESTION_LST_8&gt;</w:t>
      </w:r>
    </w:p>
    <w:p w14:paraId="115EA13F" w14:textId="2E7C0259" w:rsidR="00407232" w:rsidRPr="00EE052B" w:rsidRDefault="00185C15" w:rsidP="00407232">
      <w:pPr>
        <w:rPr>
          <w:rFonts w:cs="Arial"/>
          <w:u w:val="single"/>
        </w:rPr>
      </w:pPr>
      <w:permStart w:id="158734123" w:edGrp="everyone"/>
      <w:r>
        <w:rPr>
          <w:rFonts w:cs="Arial"/>
        </w:rPr>
        <w:t>The IA agrees that there is a place for reverse stress testing in some situations, but the testing would need to be an appropriate tool for the particular fund</w:t>
      </w:r>
      <w:r w:rsidR="00347E3B">
        <w:rPr>
          <w:rFonts w:cs="Arial"/>
        </w:rPr>
        <w:t xml:space="preserve"> and needs to be fit for purpose.</w:t>
      </w:r>
      <w:r w:rsidR="00EE052B">
        <w:rPr>
          <w:rFonts w:cs="Arial"/>
        </w:rPr>
        <w:t xml:space="preserve"> </w:t>
      </w:r>
      <w:r w:rsidR="00000D5A" w:rsidRPr="00B35AD1">
        <w:rPr>
          <w:rFonts w:cs="Arial"/>
        </w:rPr>
        <w:t xml:space="preserve">Therefore the IA </w:t>
      </w:r>
      <w:r w:rsidR="00B35AD1">
        <w:rPr>
          <w:rFonts w:cs="Arial"/>
        </w:rPr>
        <w:t>considers that</w:t>
      </w:r>
      <w:r w:rsidR="00623CE6" w:rsidRPr="00B35AD1">
        <w:rPr>
          <w:rFonts w:cs="Arial"/>
        </w:rPr>
        <w:t xml:space="preserve"> reverse</w:t>
      </w:r>
      <w:r w:rsidR="00000D5A" w:rsidRPr="00B35AD1">
        <w:rPr>
          <w:rFonts w:cs="Arial"/>
        </w:rPr>
        <w:t xml:space="preserve"> stress testing should be </w:t>
      </w:r>
      <w:r w:rsidR="00210291" w:rsidRPr="00B35AD1">
        <w:rPr>
          <w:rFonts w:cs="Arial"/>
        </w:rPr>
        <w:t>one of the methods available for managers to use as part of their LST program where it is appropriate given the risk characteristics of the fund, but not a requirement in all cases.</w:t>
      </w:r>
      <w:r w:rsidR="00625E84">
        <w:rPr>
          <w:rFonts w:cs="Arial"/>
        </w:rPr>
        <w:t xml:space="preserve">  It could be the case that using larger than normal stressed situations would prove sufficient.</w:t>
      </w:r>
      <w:r w:rsidR="00EE052B">
        <w:rPr>
          <w:rFonts w:cs="Arial"/>
        </w:rPr>
        <w:t xml:space="preserve"> </w:t>
      </w:r>
    </w:p>
    <w:permEnd w:id="158734123"/>
    <w:p w14:paraId="765CA4A8" w14:textId="77777777" w:rsidR="00407232" w:rsidRDefault="00407232" w:rsidP="00407232">
      <w:pPr>
        <w:rPr>
          <w:rFonts w:cs="Arial"/>
        </w:rPr>
      </w:pPr>
      <w:r>
        <w:rPr>
          <w:rFonts w:cs="Arial"/>
        </w:rPr>
        <w:t>&lt;ESMA_QUESTION_LST_8&gt;</w:t>
      </w:r>
    </w:p>
    <w:p w14:paraId="5B25B8C4" w14:textId="77777777" w:rsidR="00407232" w:rsidRDefault="00407232" w:rsidP="00407232">
      <w:pPr>
        <w:rPr>
          <w:rFonts w:cs="Arial"/>
        </w:rPr>
      </w:pPr>
    </w:p>
    <w:p w14:paraId="512E1B3B" w14:textId="77777777" w:rsidR="00407232" w:rsidRPr="00406901" w:rsidRDefault="00407232" w:rsidP="00407232">
      <w:pPr>
        <w:pStyle w:val="Questionstyle"/>
        <w:numPr>
          <w:ilvl w:val="0"/>
          <w:numId w:val="44"/>
        </w:numPr>
        <w:ind w:left="720"/>
      </w:pPr>
      <w:r>
        <w:t xml:space="preserve">: </w:t>
      </w:r>
      <w:r w:rsidRPr="00406901">
        <w:t xml:space="preserve">Do you see merit in providing further </w:t>
      </w:r>
      <w:r>
        <w:t>considerations</w:t>
      </w:r>
      <w:r w:rsidRPr="00406901">
        <w:t xml:space="preserve"> for</w:t>
      </w:r>
      <w:r>
        <w:t xml:space="preserve"> manager</w:t>
      </w:r>
      <w:r w:rsidRPr="00406901">
        <w:t>s on the use of data relevant to asset liquidity, particularly in circumstances when data is scarce?</w:t>
      </w:r>
    </w:p>
    <w:p w14:paraId="70D79314" w14:textId="77777777" w:rsidR="00407232" w:rsidRDefault="00407232" w:rsidP="00407232">
      <w:pPr>
        <w:rPr>
          <w:rFonts w:cs="Arial"/>
        </w:rPr>
      </w:pPr>
      <w:r>
        <w:rPr>
          <w:rFonts w:cs="Arial"/>
        </w:rPr>
        <w:t>&lt;ESMA_QUESTION_LST_9&gt;</w:t>
      </w:r>
    </w:p>
    <w:p w14:paraId="19324EA5" w14:textId="5D68353D" w:rsidR="00407232" w:rsidRDefault="00347E3B" w:rsidP="00407232">
      <w:pPr>
        <w:rPr>
          <w:rFonts w:cs="Arial"/>
        </w:rPr>
      </w:pPr>
      <w:permStart w:id="1525233582" w:edGrp="everyone"/>
      <w:r>
        <w:rPr>
          <w:rFonts w:cs="Arial"/>
        </w:rPr>
        <w:t xml:space="preserve">These considerations are highly subjective, although such data can be relevant in some circumstances.  </w:t>
      </w:r>
      <w:r w:rsidR="00700E0F">
        <w:rPr>
          <w:rFonts w:cs="Arial"/>
        </w:rPr>
        <w:t>It should remain the fund manager’s responsibility to adapt</w:t>
      </w:r>
      <w:r w:rsidR="00210291">
        <w:rPr>
          <w:rFonts w:cs="Arial"/>
        </w:rPr>
        <w:t xml:space="preserve"> </w:t>
      </w:r>
      <w:r w:rsidR="00210291">
        <w:rPr>
          <w:rFonts w:cs="Arial"/>
        </w:rPr>
        <w:lastRenderedPageBreak/>
        <w:t xml:space="preserve">its </w:t>
      </w:r>
      <w:r w:rsidR="00210291" w:rsidRPr="00B35AD1">
        <w:rPr>
          <w:rFonts w:cs="Arial"/>
        </w:rPr>
        <w:t>LST program</w:t>
      </w:r>
      <w:r w:rsidR="00B35AD1">
        <w:rPr>
          <w:rFonts w:cs="Arial"/>
        </w:rPr>
        <w:t>me</w:t>
      </w:r>
      <w:r w:rsidR="00700E0F">
        <w:rPr>
          <w:rFonts w:cs="Arial"/>
        </w:rPr>
        <w:t xml:space="preserve"> to given circumstances, based on the principles of the Guidelines.</w:t>
      </w:r>
    </w:p>
    <w:p w14:paraId="5A5E02A8" w14:textId="77777777" w:rsidR="00446422" w:rsidRDefault="00446422" w:rsidP="00407232">
      <w:pPr>
        <w:rPr>
          <w:rFonts w:cs="Arial"/>
        </w:rPr>
      </w:pPr>
    </w:p>
    <w:p w14:paraId="0CDBCB87" w14:textId="236912AF" w:rsidR="00446422" w:rsidRDefault="00446422" w:rsidP="00407232">
      <w:pPr>
        <w:rPr>
          <w:rFonts w:cs="Arial"/>
        </w:rPr>
      </w:pPr>
      <w:r>
        <w:rPr>
          <w:rFonts w:cs="Arial"/>
        </w:rPr>
        <w:t>Modelling liquidity is much easier if there is transparency as to normal dealing volumes and prices.  Where there is limited data available to managers, assumptions must be made, which can lead to limited usefulness of LST modelling</w:t>
      </w:r>
      <w:r w:rsidR="004D68BB">
        <w:rPr>
          <w:rFonts w:cs="Arial"/>
        </w:rPr>
        <w:t>, increased costs and more time needed to implement</w:t>
      </w:r>
      <w:r>
        <w:rPr>
          <w:rFonts w:cs="Arial"/>
        </w:rPr>
        <w:t xml:space="preserve">.  It would be useful if </w:t>
      </w:r>
      <w:r w:rsidR="00294F5E" w:rsidRPr="00B35AD1">
        <w:rPr>
          <w:rFonts w:cs="Arial"/>
        </w:rPr>
        <w:t>transaction</w:t>
      </w:r>
      <w:r w:rsidR="00294F5E">
        <w:rPr>
          <w:rFonts w:cs="Arial"/>
        </w:rPr>
        <w:t xml:space="preserve"> </w:t>
      </w:r>
      <w:r>
        <w:rPr>
          <w:rFonts w:cs="Arial"/>
        </w:rPr>
        <w:t>data reported to authorities and repositories could be made available to managers to permit useful application of LST.</w:t>
      </w:r>
    </w:p>
    <w:p w14:paraId="7E11E2C6" w14:textId="77777777" w:rsidR="00EA4053" w:rsidRDefault="00EA4053" w:rsidP="00407232">
      <w:pPr>
        <w:rPr>
          <w:rFonts w:cs="Arial"/>
        </w:rPr>
      </w:pPr>
    </w:p>
    <w:p w14:paraId="0F35C623" w14:textId="32D7E44E" w:rsidR="00EA4053" w:rsidRDefault="00EA4053" w:rsidP="00407232">
      <w:pPr>
        <w:rPr>
          <w:rFonts w:cs="Arial"/>
        </w:rPr>
      </w:pPr>
      <w:r>
        <w:rPr>
          <w:rFonts w:cs="Arial"/>
        </w:rPr>
        <w:t>Receipt of an increased number of sources of data does not always lead to improved quality of data, particularly in certain asset classes, such as corporate bonds.  It is necessary for mangers to recognise that LST for asset classes where data is poor cannot be relied upon in the same way as asset classes that have more granular data.</w:t>
      </w:r>
    </w:p>
    <w:p w14:paraId="0BD48498" w14:textId="77777777" w:rsidR="00347E3B" w:rsidRDefault="00347E3B" w:rsidP="00407232">
      <w:pPr>
        <w:rPr>
          <w:rFonts w:cs="Arial"/>
        </w:rPr>
      </w:pPr>
    </w:p>
    <w:p w14:paraId="66CF9053" w14:textId="43E0B351" w:rsidR="00347E3B" w:rsidRDefault="00347E3B" w:rsidP="00407232">
      <w:pPr>
        <w:rPr>
          <w:rFonts w:cs="Arial"/>
        </w:rPr>
      </w:pPr>
      <w:r>
        <w:rPr>
          <w:rFonts w:cs="Arial"/>
        </w:rPr>
        <w:t>Firms have noticed increasing challenge from auditors on the pricing of assets in situations where data is scarce and note that assumptions must be sufficiently justified and documented.</w:t>
      </w:r>
    </w:p>
    <w:permEnd w:id="1525233582"/>
    <w:p w14:paraId="39FFC478" w14:textId="77777777" w:rsidR="00407232" w:rsidRDefault="00407232" w:rsidP="00407232">
      <w:pPr>
        <w:rPr>
          <w:rFonts w:cs="Arial"/>
        </w:rPr>
      </w:pPr>
      <w:r>
        <w:rPr>
          <w:rFonts w:cs="Arial"/>
        </w:rPr>
        <w:t>&lt;ESMA_QUESTION_LST_9&gt;</w:t>
      </w:r>
    </w:p>
    <w:p w14:paraId="2420EFBC" w14:textId="77777777" w:rsidR="00407232" w:rsidRDefault="00407232" w:rsidP="00407232">
      <w:pPr>
        <w:rPr>
          <w:rFonts w:cs="Arial"/>
        </w:rPr>
      </w:pPr>
    </w:p>
    <w:p w14:paraId="1E99C55B" w14:textId="77777777" w:rsidR="00407232" w:rsidRPr="00044459" w:rsidRDefault="00407232" w:rsidP="00407232">
      <w:pPr>
        <w:pStyle w:val="Questionstyle"/>
        <w:numPr>
          <w:ilvl w:val="0"/>
          <w:numId w:val="44"/>
        </w:numPr>
        <w:ind w:left="720"/>
      </w:pPr>
      <w:r>
        <w:t xml:space="preserve">: </w:t>
      </w:r>
      <w:r w:rsidRPr="00044459">
        <w:t>Do you agree with ESMA’s wording regarding the asset liquidation method used in the LST model?  How would you describe the asset liquidation method used by you or the</w:t>
      </w:r>
      <w:r>
        <w:t xml:space="preserve"> manager</w:t>
      </w:r>
      <w:r w:rsidRPr="00044459">
        <w:t>s you represent?</w:t>
      </w:r>
    </w:p>
    <w:p w14:paraId="0C350788" w14:textId="77777777" w:rsidR="00407232" w:rsidRDefault="00407232" w:rsidP="00407232">
      <w:pPr>
        <w:rPr>
          <w:rFonts w:cs="Arial"/>
        </w:rPr>
      </w:pPr>
      <w:r>
        <w:rPr>
          <w:rFonts w:cs="Arial"/>
        </w:rPr>
        <w:t>&lt;ESMA_QUESTION_LST_10&gt;</w:t>
      </w:r>
    </w:p>
    <w:p w14:paraId="696EAD38" w14:textId="1F5E435A" w:rsidR="00407232" w:rsidRDefault="00347E3B" w:rsidP="00407232">
      <w:pPr>
        <w:rPr>
          <w:rFonts w:cs="Arial"/>
        </w:rPr>
      </w:pPr>
      <w:permStart w:id="1920426643" w:edGrp="everyone"/>
      <w:r>
        <w:rPr>
          <w:rFonts w:cs="Arial"/>
        </w:rPr>
        <w:t>It can be difficult to accurately determine</w:t>
      </w:r>
      <w:r w:rsidR="008D6226">
        <w:rPr>
          <w:rFonts w:cs="Arial"/>
        </w:rPr>
        <w:t xml:space="preserve"> </w:t>
      </w:r>
      <w:r w:rsidR="008D6226" w:rsidRPr="00CF0AC4">
        <w:rPr>
          <w:rFonts w:cs="Arial"/>
        </w:rPr>
        <w:t>on an ex-ante basis</w:t>
      </w:r>
      <w:r w:rsidRPr="00CF0AC4">
        <w:rPr>
          <w:rFonts w:cs="Arial"/>
        </w:rPr>
        <w:t xml:space="preserve"> </w:t>
      </w:r>
      <w:r w:rsidR="00447AB7" w:rsidRPr="00CF0AC4">
        <w:rPr>
          <w:rFonts w:cs="Arial"/>
        </w:rPr>
        <w:t>exactly</w:t>
      </w:r>
      <w:r w:rsidR="00447AB7">
        <w:rPr>
          <w:rFonts w:cs="Arial"/>
        </w:rPr>
        <w:t xml:space="preserve"> </w:t>
      </w:r>
      <w:r>
        <w:rPr>
          <w:rFonts w:cs="Arial"/>
        </w:rPr>
        <w:t xml:space="preserve">how you might deal with a particular situation.  </w:t>
      </w:r>
      <w:r w:rsidR="00EA4053">
        <w:rPr>
          <w:rFonts w:cs="Arial"/>
        </w:rPr>
        <w:t xml:space="preserve">Different stressed situations can require different and tailored responses.  </w:t>
      </w:r>
      <w:r>
        <w:rPr>
          <w:rFonts w:cs="Arial"/>
        </w:rPr>
        <w:t>Where a stressed situation occurs, managers will deal with it on a best endeavours basis</w:t>
      </w:r>
      <w:r w:rsidR="00FC3330">
        <w:rPr>
          <w:rFonts w:cs="Arial"/>
        </w:rPr>
        <w:t xml:space="preserve"> in the interests of the investors</w:t>
      </w:r>
      <w:r w:rsidR="007F49C5">
        <w:rPr>
          <w:rFonts w:cs="Arial"/>
        </w:rPr>
        <w:t xml:space="preserve"> </w:t>
      </w:r>
      <w:r w:rsidR="00D46ADB" w:rsidRPr="00CF0AC4">
        <w:rPr>
          <w:rFonts w:cs="Arial"/>
        </w:rPr>
        <w:t>according to the specific circumstances</w:t>
      </w:r>
      <w:r w:rsidR="00FC3330">
        <w:rPr>
          <w:rFonts w:cs="Arial"/>
        </w:rPr>
        <w:t>, no matter what has previously been modelled</w:t>
      </w:r>
      <w:r>
        <w:rPr>
          <w:rFonts w:cs="Arial"/>
        </w:rPr>
        <w:t>.</w:t>
      </w:r>
    </w:p>
    <w:p w14:paraId="6657CA58" w14:textId="77777777" w:rsidR="00347E3B" w:rsidRDefault="00347E3B" w:rsidP="00407232">
      <w:pPr>
        <w:rPr>
          <w:rFonts w:cs="Arial"/>
        </w:rPr>
      </w:pPr>
    </w:p>
    <w:p w14:paraId="37C393C9" w14:textId="69CD650D" w:rsidR="00347E3B" w:rsidRDefault="00347E3B" w:rsidP="00407232">
      <w:pPr>
        <w:rPr>
          <w:rFonts w:cs="Arial"/>
        </w:rPr>
      </w:pPr>
      <w:r>
        <w:rPr>
          <w:rFonts w:cs="Arial"/>
        </w:rPr>
        <w:t xml:space="preserve">One important aspect is whether the situation can be anticipated and the manager can, for example, build up a liquid </w:t>
      </w:r>
      <w:r w:rsidR="00FC3330">
        <w:rPr>
          <w:rFonts w:cs="Arial"/>
        </w:rPr>
        <w:t>portion</w:t>
      </w:r>
      <w:r>
        <w:rPr>
          <w:rFonts w:cs="Arial"/>
        </w:rPr>
        <w:t xml:space="preserve"> of the portfolio.</w:t>
      </w:r>
      <w:r w:rsidR="0025393C">
        <w:rPr>
          <w:rFonts w:cs="Arial"/>
        </w:rPr>
        <w:t xml:space="preserve">  It would be useful if managers were allowed to make assumptions about how they would liquidate assets in a given situation, including liquidating assets on a pro rata basis.</w:t>
      </w:r>
    </w:p>
    <w:p w14:paraId="65096387" w14:textId="77777777" w:rsidR="00347E3B" w:rsidRDefault="00347E3B" w:rsidP="00407232">
      <w:pPr>
        <w:rPr>
          <w:rFonts w:cs="Arial"/>
        </w:rPr>
      </w:pPr>
    </w:p>
    <w:p w14:paraId="02948141" w14:textId="6E61F524" w:rsidR="00347E3B" w:rsidRDefault="00347E3B" w:rsidP="00407232">
      <w:pPr>
        <w:rPr>
          <w:rFonts w:cs="Arial"/>
        </w:rPr>
      </w:pPr>
      <w:r>
        <w:rPr>
          <w:rFonts w:cs="Arial"/>
        </w:rPr>
        <w:t xml:space="preserve">It would be helpful if the wording in relation to </w:t>
      </w:r>
      <w:r w:rsidR="00FC3330">
        <w:rPr>
          <w:rFonts w:cs="Arial"/>
        </w:rPr>
        <w:t>a</w:t>
      </w:r>
      <w:r>
        <w:rPr>
          <w:rFonts w:cs="Arial"/>
        </w:rPr>
        <w:t xml:space="preserve">sset liquidation method in paragraph 32 could be tempered.  For example, “The method of liquidating assets in an LST should </w:t>
      </w:r>
      <w:r w:rsidRPr="00CF0AC4">
        <w:rPr>
          <w:rFonts w:cs="Arial"/>
        </w:rPr>
        <w:t>always accurately</w:t>
      </w:r>
      <w:r>
        <w:rPr>
          <w:rFonts w:cs="Arial"/>
        </w:rPr>
        <w:t xml:space="preserve"> reflect how a manager would liquidate assets during </w:t>
      </w:r>
      <w:r>
        <w:rPr>
          <w:rFonts w:cs="Arial"/>
        </w:rPr>
        <w:lastRenderedPageBreak/>
        <w:t>normal and stressed conditions</w:t>
      </w:r>
      <w:r w:rsidR="00F56556">
        <w:rPr>
          <w:rFonts w:cs="Arial"/>
        </w:rPr>
        <w:t>…” is very rigid and should take account of the fact that other factors may lead to the method being modified in the actual event.</w:t>
      </w:r>
    </w:p>
    <w:permEnd w:id="1920426643"/>
    <w:p w14:paraId="55F81BC1" w14:textId="77777777" w:rsidR="00407232" w:rsidRDefault="00407232" w:rsidP="00407232">
      <w:pPr>
        <w:rPr>
          <w:rFonts w:cs="Arial"/>
        </w:rPr>
      </w:pPr>
      <w:r>
        <w:rPr>
          <w:rFonts w:cs="Arial"/>
        </w:rPr>
        <w:t>&lt;ESMA_QUESTION_LST_10&gt;</w:t>
      </w:r>
    </w:p>
    <w:p w14:paraId="2A4D8FDC" w14:textId="77777777" w:rsidR="00407232" w:rsidRDefault="00407232" w:rsidP="00407232">
      <w:pPr>
        <w:rPr>
          <w:rFonts w:cs="Arial"/>
        </w:rPr>
      </w:pPr>
    </w:p>
    <w:p w14:paraId="7C94AF1A" w14:textId="77777777" w:rsidR="00407232" w:rsidRPr="00044459" w:rsidRDefault="00407232" w:rsidP="00407232">
      <w:pPr>
        <w:pStyle w:val="Questionstyle"/>
        <w:numPr>
          <w:ilvl w:val="0"/>
          <w:numId w:val="44"/>
        </w:numPr>
        <w:ind w:left="720"/>
      </w:pPr>
      <w:r>
        <w:t xml:space="preserve">: </w:t>
      </w:r>
      <w:r w:rsidRPr="00044459">
        <w:t>Do you agree with ESMA’s wording regarding ‘second round effects’? What is your current practice regarding modelling ‘second round effects’?</w:t>
      </w:r>
    </w:p>
    <w:p w14:paraId="6F0E83E2" w14:textId="77777777" w:rsidR="00407232" w:rsidRDefault="00407232" w:rsidP="00407232">
      <w:pPr>
        <w:rPr>
          <w:rFonts w:cs="Arial"/>
        </w:rPr>
      </w:pPr>
      <w:r>
        <w:rPr>
          <w:rFonts w:cs="Arial"/>
        </w:rPr>
        <w:t>&lt;ESMA_QUESTION_LST_11&gt;</w:t>
      </w:r>
    </w:p>
    <w:p w14:paraId="1AE676A8" w14:textId="21E82A30" w:rsidR="00407232" w:rsidRDefault="007A400E" w:rsidP="00407232">
      <w:pPr>
        <w:rPr>
          <w:rFonts w:cs="Arial"/>
        </w:rPr>
      </w:pPr>
      <w:permStart w:id="1254426529" w:edGrp="everyone"/>
      <w:r w:rsidRPr="00CF0AC4">
        <w:rPr>
          <w:rFonts w:cs="Arial"/>
        </w:rPr>
        <w:t>The IA agrees with the wording, but notes that such a situation could actually increase the liquidity of more liquid asset</w:t>
      </w:r>
      <w:r w:rsidR="00D46ADB" w:rsidRPr="00CF0AC4">
        <w:rPr>
          <w:rFonts w:cs="Arial"/>
        </w:rPr>
        <w:t xml:space="preserve">s due to a </w:t>
      </w:r>
      <w:r w:rsidR="00CD6FA3" w:rsidRPr="00CF0AC4">
        <w:rPr>
          <w:rFonts w:cs="Arial"/>
        </w:rPr>
        <w:t>“flight to quality”</w:t>
      </w:r>
      <w:r w:rsidR="00EB15BD" w:rsidRPr="00CF0AC4">
        <w:rPr>
          <w:rFonts w:cs="Arial"/>
        </w:rPr>
        <w:t xml:space="preserve"> often observed in stressed scenarios</w:t>
      </w:r>
      <w:r w:rsidRPr="00CF0AC4">
        <w:rPr>
          <w:rFonts w:cs="Arial"/>
        </w:rPr>
        <w:t xml:space="preserve">. </w:t>
      </w:r>
      <w:r w:rsidR="00D46ADB" w:rsidRPr="00CF0AC4">
        <w:rPr>
          <w:rFonts w:cs="Arial"/>
        </w:rPr>
        <w:t xml:space="preserve"> </w:t>
      </w:r>
      <w:r w:rsidRPr="00CF0AC4">
        <w:rPr>
          <w:rFonts w:cs="Arial"/>
        </w:rPr>
        <w:t xml:space="preserve"> </w:t>
      </w:r>
      <w:r w:rsidR="00CD6FA3" w:rsidRPr="00CF0AC4">
        <w:rPr>
          <w:rFonts w:cs="Arial"/>
        </w:rPr>
        <w:t>S</w:t>
      </w:r>
      <w:r w:rsidRPr="00CF0AC4">
        <w:rPr>
          <w:rFonts w:cs="Arial"/>
        </w:rPr>
        <w:t xml:space="preserve">preads </w:t>
      </w:r>
      <w:r w:rsidR="00CF46B0" w:rsidRPr="00CF0AC4">
        <w:rPr>
          <w:rFonts w:cs="Arial"/>
        </w:rPr>
        <w:t xml:space="preserve">of high quality </w:t>
      </w:r>
      <w:r w:rsidR="00166A57" w:rsidRPr="00CF0AC4">
        <w:rPr>
          <w:rFonts w:cs="Arial"/>
        </w:rPr>
        <w:t xml:space="preserve">(high investment grade) </w:t>
      </w:r>
      <w:r w:rsidR="00CF46B0" w:rsidRPr="00CF0AC4">
        <w:rPr>
          <w:rFonts w:cs="Arial"/>
        </w:rPr>
        <w:t>bond issues</w:t>
      </w:r>
      <w:r w:rsidR="00CF46B0">
        <w:rPr>
          <w:rFonts w:cs="Arial"/>
        </w:rPr>
        <w:t xml:space="preserve"> </w:t>
      </w:r>
      <w:r>
        <w:rPr>
          <w:rFonts w:cs="Arial"/>
        </w:rPr>
        <w:t>may tighten.</w:t>
      </w:r>
    </w:p>
    <w:p w14:paraId="5544B73E" w14:textId="77777777" w:rsidR="007A400E" w:rsidRDefault="007A400E" w:rsidP="00407232">
      <w:pPr>
        <w:rPr>
          <w:rFonts w:cs="Arial"/>
        </w:rPr>
      </w:pPr>
    </w:p>
    <w:p w14:paraId="0E652AE5" w14:textId="7E4AA451" w:rsidR="007A400E" w:rsidRDefault="001D1FFD" w:rsidP="00407232">
      <w:pPr>
        <w:rPr>
          <w:rFonts w:cs="Arial"/>
        </w:rPr>
      </w:pPr>
      <w:r>
        <w:rPr>
          <w:rFonts w:cs="Arial"/>
        </w:rPr>
        <w:t>Member f</w:t>
      </w:r>
      <w:r w:rsidR="007A400E">
        <w:rPr>
          <w:rFonts w:cs="Arial"/>
        </w:rPr>
        <w:t xml:space="preserve">irms have commented that they </w:t>
      </w:r>
      <w:r w:rsidR="00EA4053">
        <w:rPr>
          <w:rFonts w:cs="Arial"/>
        </w:rPr>
        <w:t xml:space="preserve">do consider second round effects and </w:t>
      </w:r>
      <w:r w:rsidR="007A400E">
        <w:rPr>
          <w:rFonts w:cs="Arial"/>
        </w:rPr>
        <w:t>use historical scenarios for LST in this case.</w:t>
      </w:r>
    </w:p>
    <w:permEnd w:id="1254426529"/>
    <w:p w14:paraId="1662C0C2" w14:textId="77777777" w:rsidR="00407232" w:rsidRDefault="00407232" w:rsidP="00407232">
      <w:pPr>
        <w:rPr>
          <w:rFonts w:cs="Arial"/>
        </w:rPr>
      </w:pPr>
      <w:r>
        <w:rPr>
          <w:rFonts w:cs="Arial"/>
        </w:rPr>
        <w:t>&lt;ESMA_QUESTION_LST_11&gt;</w:t>
      </w:r>
    </w:p>
    <w:p w14:paraId="65898F04" w14:textId="77777777" w:rsidR="00407232" w:rsidRDefault="00407232" w:rsidP="00407232">
      <w:pPr>
        <w:rPr>
          <w:rFonts w:cs="Arial"/>
        </w:rPr>
      </w:pPr>
    </w:p>
    <w:p w14:paraId="694083A9" w14:textId="77777777" w:rsidR="00407232" w:rsidRPr="00656546" w:rsidRDefault="00407232" w:rsidP="00407232">
      <w:pPr>
        <w:pStyle w:val="Questionstyle"/>
        <w:numPr>
          <w:ilvl w:val="0"/>
          <w:numId w:val="44"/>
        </w:numPr>
        <w:ind w:left="720"/>
      </w:pPr>
      <w:r>
        <w:t xml:space="preserve">: </w:t>
      </w:r>
      <w:r w:rsidRPr="00044459">
        <w:t xml:space="preserve">What are your views on </w:t>
      </w:r>
      <w:r>
        <w:t>the</w:t>
      </w:r>
      <w:r w:rsidRPr="00044459">
        <w:t xml:space="preserve"> </w:t>
      </w:r>
      <w:r>
        <w:t>considerations</w:t>
      </w:r>
      <w:r w:rsidRPr="00044459">
        <w:t xml:space="preserve"> on difficult to model parameters, such as price uncertainty? What is your current practice concerning this issue?</w:t>
      </w:r>
    </w:p>
    <w:p w14:paraId="6B07EA38" w14:textId="77777777" w:rsidR="00407232" w:rsidRDefault="00407232" w:rsidP="00407232">
      <w:pPr>
        <w:rPr>
          <w:rFonts w:cs="Arial"/>
        </w:rPr>
      </w:pPr>
      <w:r>
        <w:rPr>
          <w:rFonts w:cs="Arial"/>
        </w:rPr>
        <w:t>&lt;ESMA_QUESTION_LST_12&gt;</w:t>
      </w:r>
    </w:p>
    <w:p w14:paraId="29B161E7" w14:textId="534C3A76" w:rsidR="00407232" w:rsidRDefault="00572165" w:rsidP="00407232">
      <w:pPr>
        <w:rPr>
          <w:rFonts w:cs="Arial"/>
        </w:rPr>
      </w:pPr>
      <w:permStart w:id="210646563" w:edGrp="everyone"/>
      <w:r>
        <w:rPr>
          <w:rFonts w:cs="Arial"/>
        </w:rPr>
        <w:t>We agree with the wording proposed.</w:t>
      </w:r>
    </w:p>
    <w:p w14:paraId="459DD6F4" w14:textId="77777777" w:rsidR="00572165" w:rsidRDefault="00572165" w:rsidP="00407232">
      <w:pPr>
        <w:rPr>
          <w:rFonts w:cs="Arial"/>
        </w:rPr>
      </w:pPr>
    </w:p>
    <w:p w14:paraId="5174C0AD" w14:textId="5B9F3C54" w:rsidR="00572165" w:rsidRPr="000331B4" w:rsidRDefault="00572165" w:rsidP="00407232">
      <w:pPr>
        <w:rPr>
          <w:rFonts w:cs="Arial"/>
          <w:i/>
        </w:rPr>
      </w:pPr>
      <w:r>
        <w:rPr>
          <w:rFonts w:cs="Arial"/>
        </w:rPr>
        <w:t xml:space="preserve">UK property funds experienced </w:t>
      </w:r>
      <w:r w:rsidR="00CF0AC4">
        <w:rPr>
          <w:rFonts w:cs="Arial"/>
        </w:rPr>
        <w:t>price uncertainty</w:t>
      </w:r>
      <w:r>
        <w:rPr>
          <w:rFonts w:cs="Arial"/>
        </w:rPr>
        <w:t xml:space="preserve"> in 2016 after the referendum result</w:t>
      </w:r>
      <w:r w:rsidR="00EF077A">
        <w:rPr>
          <w:rFonts w:cs="Arial"/>
        </w:rPr>
        <w:t xml:space="preserve"> and in that case it was one </w:t>
      </w:r>
      <w:r w:rsidR="00CF0AC4">
        <w:rPr>
          <w:rFonts w:cs="Arial"/>
        </w:rPr>
        <w:t xml:space="preserve">of several </w:t>
      </w:r>
      <w:r w:rsidR="00EF077A">
        <w:rPr>
          <w:rFonts w:cs="Arial"/>
        </w:rPr>
        <w:t>factor</w:t>
      </w:r>
      <w:r w:rsidR="00CF0AC4">
        <w:rPr>
          <w:rFonts w:cs="Arial"/>
        </w:rPr>
        <w:t>s</w:t>
      </w:r>
      <w:r w:rsidR="00EF077A">
        <w:rPr>
          <w:rFonts w:cs="Arial"/>
        </w:rPr>
        <w:t xml:space="preserve"> that went towards firms suspending some funds.</w:t>
      </w:r>
      <w:r w:rsidR="000331B4">
        <w:rPr>
          <w:rFonts w:cs="Arial"/>
        </w:rPr>
        <w:t xml:space="preserve"> </w:t>
      </w:r>
    </w:p>
    <w:p w14:paraId="67C44F94" w14:textId="77777777" w:rsidR="00EF077A" w:rsidRDefault="00EF077A" w:rsidP="00407232">
      <w:pPr>
        <w:rPr>
          <w:rFonts w:cs="Arial"/>
        </w:rPr>
      </w:pPr>
    </w:p>
    <w:p w14:paraId="79606FCF" w14:textId="1637638D" w:rsidR="00EF077A" w:rsidRDefault="00EF077A" w:rsidP="00407232">
      <w:pPr>
        <w:rPr>
          <w:rFonts w:cs="Arial"/>
        </w:rPr>
      </w:pPr>
      <w:r>
        <w:rPr>
          <w:rFonts w:cs="Arial"/>
        </w:rPr>
        <w:t>Current practice for firms is that difficult to model parameters, such as price uncertainty</w:t>
      </w:r>
      <w:r w:rsidR="000331B4">
        <w:rPr>
          <w:rFonts w:cs="Arial"/>
        </w:rPr>
        <w:t>,</w:t>
      </w:r>
      <w:r>
        <w:rPr>
          <w:rFonts w:cs="Arial"/>
        </w:rPr>
        <w:t xml:space="preserve"> are factors taken into account as part of firms’ liquidity processes, but they will be considered in conjunction with all other relevant factors when determining which of the available liquidity tools to utilise.</w:t>
      </w:r>
      <w:r w:rsidR="008E4AF6">
        <w:rPr>
          <w:rFonts w:cs="Arial"/>
        </w:rPr>
        <w:t xml:space="preserve">  The IA agrees that scenario testing is important for funds containing assets that are difficult to model.</w:t>
      </w:r>
    </w:p>
    <w:permEnd w:id="210646563"/>
    <w:p w14:paraId="1505A2A1" w14:textId="77777777" w:rsidR="00407232" w:rsidRDefault="00407232" w:rsidP="00407232">
      <w:pPr>
        <w:rPr>
          <w:rFonts w:cs="Arial"/>
        </w:rPr>
      </w:pPr>
      <w:r>
        <w:rPr>
          <w:rFonts w:cs="Arial"/>
        </w:rPr>
        <w:t>&lt;ESMA_QUESTION_LST_12&gt;</w:t>
      </w:r>
    </w:p>
    <w:p w14:paraId="143CA773" w14:textId="77777777" w:rsidR="00407232" w:rsidRDefault="00407232" w:rsidP="00407232">
      <w:pPr>
        <w:rPr>
          <w:rFonts w:cs="Arial"/>
        </w:rPr>
      </w:pPr>
    </w:p>
    <w:p w14:paraId="75F099A7" w14:textId="77777777" w:rsidR="00407232" w:rsidRPr="00044459" w:rsidRDefault="00407232" w:rsidP="00407232">
      <w:pPr>
        <w:pStyle w:val="Questionstyle"/>
        <w:numPr>
          <w:ilvl w:val="0"/>
          <w:numId w:val="44"/>
        </w:numPr>
        <w:ind w:left="720"/>
      </w:pPr>
      <w:r>
        <w:t xml:space="preserve">: </w:t>
      </w:r>
      <w:r w:rsidRPr="00044459">
        <w:t>Do you agree with ESMA</w:t>
      </w:r>
      <w:r>
        <w:t>’s considerations</w:t>
      </w:r>
      <w:r w:rsidRPr="00044459">
        <w:t xml:space="preserve"> on LST in funds investing in less liquid assets? What amendments should be made to the proposed wording? Do you think that ESMA should outline additional and/or specific </w:t>
      </w:r>
      <w:r>
        <w:t>Guidelines</w:t>
      </w:r>
      <w:r w:rsidRPr="00044459">
        <w:t xml:space="preserve"> to be made in any other fund or asset types, such as ETFs?</w:t>
      </w:r>
    </w:p>
    <w:p w14:paraId="2A438252" w14:textId="77777777" w:rsidR="00407232" w:rsidRDefault="00407232" w:rsidP="00407232">
      <w:pPr>
        <w:rPr>
          <w:rFonts w:cs="Arial"/>
        </w:rPr>
      </w:pPr>
      <w:r>
        <w:rPr>
          <w:rFonts w:cs="Arial"/>
        </w:rPr>
        <w:lastRenderedPageBreak/>
        <w:t>&lt;ESMA_QUESTION_LST_13&gt;</w:t>
      </w:r>
    </w:p>
    <w:p w14:paraId="7AEB57EE" w14:textId="0F80D69C" w:rsidR="00407232" w:rsidRDefault="00EF077A" w:rsidP="00407232">
      <w:pPr>
        <w:rPr>
          <w:rFonts w:cs="Arial"/>
        </w:rPr>
      </w:pPr>
      <w:permStart w:id="166614932" w:edGrp="everyone"/>
      <w:r>
        <w:rPr>
          <w:rFonts w:cs="Arial"/>
        </w:rPr>
        <w:t>The IA agrees with the consider</w:t>
      </w:r>
      <w:r w:rsidR="008E4AF6">
        <w:rPr>
          <w:rFonts w:cs="Arial"/>
        </w:rPr>
        <w:t>ations and the proposed wording, but is of the opinion that ESMA should be aware of the limitations as to the quality of data in these cases.</w:t>
      </w:r>
    </w:p>
    <w:p w14:paraId="06DA376A" w14:textId="77777777" w:rsidR="00CF0AC4" w:rsidRDefault="00CF0AC4" w:rsidP="00407232">
      <w:pPr>
        <w:rPr>
          <w:rFonts w:cs="Arial"/>
        </w:rPr>
      </w:pPr>
    </w:p>
    <w:p w14:paraId="5E7BD351" w14:textId="4F66A324" w:rsidR="00CF0AC4" w:rsidRDefault="00CF0AC4" w:rsidP="00407232">
      <w:pPr>
        <w:rPr>
          <w:rFonts w:cs="Arial"/>
        </w:rPr>
      </w:pPr>
      <w:r>
        <w:rPr>
          <w:rFonts w:cs="Arial"/>
        </w:rPr>
        <w:t>The IA recommends that ESMA awaits the current work being undertaken by IOSCO before issuing any guidance or considerations for ETFs.</w:t>
      </w:r>
    </w:p>
    <w:permEnd w:id="166614932"/>
    <w:p w14:paraId="319944FD" w14:textId="77777777" w:rsidR="00407232" w:rsidRDefault="00407232" w:rsidP="00407232">
      <w:pPr>
        <w:rPr>
          <w:rFonts w:cs="Arial"/>
        </w:rPr>
      </w:pPr>
      <w:r>
        <w:rPr>
          <w:rFonts w:cs="Arial"/>
        </w:rPr>
        <w:t>&lt;ESMA_QUESTION_LST_13&gt;</w:t>
      </w:r>
    </w:p>
    <w:p w14:paraId="5FF87DBE" w14:textId="77777777" w:rsidR="00407232" w:rsidRDefault="00407232" w:rsidP="00407232">
      <w:pPr>
        <w:rPr>
          <w:rFonts w:cs="Arial"/>
        </w:rPr>
      </w:pPr>
    </w:p>
    <w:p w14:paraId="5AFCC813" w14:textId="77777777" w:rsidR="00407232" w:rsidRPr="00044459" w:rsidRDefault="00407232" w:rsidP="00407232">
      <w:pPr>
        <w:pStyle w:val="Questionstyle"/>
        <w:numPr>
          <w:ilvl w:val="0"/>
          <w:numId w:val="44"/>
        </w:numPr>
        <w:ind w:left="720"/>
      </w:pPr>
      <w:r>
        <w:t xml:space="preserve">: </w:t>
      </w:r>
      <w:r w:rsidRPr="00044459">
        <w:t xml:space="preserve">Do you agree with the </w:t>
      </w:r>
      <w:r>
        <w:t>considerations</w:t>
      </w:r>
      <w:r w:rsidRPr="00044459">
        <w:t xml:space="preserve"> regarding LST on items on the liabilities side of a fund’s balance sheet?</w:t>
      </w:r>
    </w:p>
    <w:p w14:paraId="2E9469E1" w14:textId="77777777" w:rsidR="00407232" w:rsidRDefault="00407232" w:rsidP="00407232">
      <w:pPr>
        <w:rPr>
          <w:rFonts w:cs="Arial"/>
        </w:rPr>
      </w:pPr>
      <w:r>
        <w:rPr>
          <w:rFonts w:cs="Arial"/>
        </w:rPr>
        <w:t>&lt;ESMA_QUESTION_LST_14&gt;</w:t>
      </w:r>
    </w:p>
    <w:p w14:paraId="780CE7BA" w14:textId="0D49BF25" w:rsidR="00EF077A" w:rsidRDefault="00EF077A" w:rsidP="00407232">
      <w:pPr>
        <w:rPr>
          <w:rFonts w:cs="Arial"/>
        </w:rPr>
      </w:pPr>
      <w:permStart w:id="397612480" w:edGrp="everyone"/>
      <w:r>
        <w:rPr>
          <w:rFonts w:cs="Arial"/>
        </w:rPr>
        <w:t>The considerations are sensible in principle.</w:t>
      </w:r>
      <w:r w:rsidR="008D07F3">
        <w:rPr>
          <w:rFonts w:cs="Arial"/>
        </w:rPr>
        <w:t xml:space="preserve">  The list is not </w:t>
      </w:r>
      <w:r w:rsidR="005C6EBF">
        <w:rPr>
          <w:rFonts w:cs="Arial"/>
        </w:rPr>
        <w:t>exhaustive</w:t>
      </w:r>
      <w:r w:rsidR="008D07F3">
        <w:rPr>
          <w:rFonts w:cs="Arial"/>
        </w:rPr>
        <w:t>, but provides a useful starting point for firms to consider their LST modelling on the liabilities side.</w:t>
      </w:r>
    </w:p>
    <w:p w14:paraId="42CC97D6" w14:textId="77777777" w:rsidR="008D07F3" w:rsidRDefault="008D07F3" w:rsidP="00407232">
      <w:pPr>
        <w:rPr>
          <w:rFonts w:cs="Arial"/>
        </w:rPr>
      </w:pPr>
    </w:p>
    <w:p w14:paraId="4D658519" w14:textId="5804678C" w:rsidR="008D07F3" w:rsidRDefault="008D07F3" w:rsidP="00407232">
      <w:pPr>
        <w:rPr>
          <w:rFonts w:cs="Arial"/>
        </w:rPr>
      </w:pPr>
      <w:r>
        <w:rPr>
          <w:rFonts w:cs="Arial"/>
        </w:rPr>
        <w:t>Two other possible considerations to include in the table are:</w:t>
      </w:r>
    </w:p>
    <w:p w14:paraId="4AAFDED5" w14:textId="6718DF58" w:rsidR="008D07F3" w:rsidRDefault="008D07F3" w:rsidP="008D07F3">
      <w:pPr>
        <w:pStyle w:val="ListParagraph"/>
        <w:numPr>
          <w:ilvl w:val="0"/>
          <w:numId w:val="45"/>
        </w:numPr>
        <w:rPr>
          <w:rFonts w:cs="Arial"/>
        </w:rPr>
      </w:pPr>
      <w:r>
        <w:rPr>
          <w:rFonts w:cs="Arial"/>
        </w:rPr>
        <w:t>The fund’s ability to borrow.  Where a fund can borrow, the line of credit could be removed.</w:t>
      </w:r>
    </w:p>
    <w:p w14:paraId="5CC0AF7B" w14:textId="403D0EC2" w:rsidR="008D07F3" w:rsidRPr="008D07F3" w:rsidRDefault="008D07F3" w:rsidP="008D07F3">
      <w:pPr>
        <w:pStyle w:val="ListParagraph"/>
        <w:numPr>
          <w:ilvl w:val="0"/>
          <w:numId w:val="45"/>
        </w:numPr>
        <w:rPr>
          <w:rFonts w:cs="Arial"/>
        </w:rPr>
      </w:pPr>
      <w:r>
        <w:rPr>
          <w:rFonts w:cs="Arial"/>
        </w:rPr>
        <w:t>Corporate actions and the possible need to commit capital.</w:t>
      </w:r>
    </w:p>
    <w:p w14:paraId="27D32D68" w14:textId="77777777" w:rsidR="00EF077A" w:rsidRDefault="00EF077A" w:rsidP="00407232">
      <w:pPr>
        <w:rPr>
          <w:rFonts w:cs="Arial"/>
        </w:rPr>
      </w:pPr>
    </w:p>
    <w:p w14:paraId="0EAEA293" w14:textId="50E63208" w:rsidR="00407232" w:rsidRDefault="00EF077A" w:rsidP="00407232">
      <w:pPr>
        <w:rPr>
          <w:rFonts w:cs="Arial"/>
        </w:rPr>
      </w:pPr>
      <w:r>
        <w:rPr>
          <w:rFonts w:cs="Arial"/>
        </w:rPr>
        <w:t>It should be noted that investor behaviour modelling can be a useful tool, but</w:t>
      </w:r>
      <w:r w:rsidR="008A1E63">
        <w:rPr>
          <w:rFonts w:cs="Arial"/>
        </w:rPr>
        <w:t>, other than for the purposes of investor concentration,</w:t>
      </w:r>
      <w:r>
        <w:rPr>
          <w:rFonts w:cs="Arial"/>
        </w:rPr>
        <w:t xml:space="preserve"> can be very difficult to model in practice, as firms may not have detailed information on the fund’s </w:t>
      </w:r>
      <w:r w:rsidR="00700E0F">
        <w:rPr>
          <w:rFonts w:cs="Arial"/>
        </w:rPr>
        <w:t xml:space="preserve">ultimate </w:t>
      </w:r>
      <w:r>
        <w:rPr>
          <w:rFonts w:cs="Arial"/>
        </w:rPr>
        <w:t>investor base, particularly where the investor has come into the fund through an intermediary.</w:t>
      </w:r>
      <w:r w:rsidR="00700E0F">
        <w:rPr>
          <w:rFonts w:cs="Arial"/>
        </w:rPr>
        <w:t xml:space="preserve">  Fund managers would only be able to incorporate such behavioural analysis where they receive the relevant information from intermediaries on the ultimate investors.</w:t>
      </w:r>
      <w:r w:rsidR="00FE0F77">
        <w:rPr>
          <w:rFonts w:cs="Arial"/>
        </w:rPr>
        <w:t xml:space="preserve">  Other than investor concentration and the possibility of large investors exiting the fund, it can be difficult to model and analyse investor behaviour, unless the manager has a full suite of information on the investor base and their history.</w:t>
      </w:r>
    </w:p>
    <w:permEnd w:id="397612480"/>
    <w:p w14:paraId="5C9F9FF7" w14:textId="77777777" w:rsidR="00407232" w:rsidRDefault="00407232" w:rsidP="00407232">
      <w:pPr>
        <w:rPr>
          <w:rFonts w:cs="Arial"/>
        </w:rPr>
      </w:pPr>
      <w:r>
        <w:rPr>
          <w:rFonts w:cs="Arial"/>
        </w:rPr>
        <w:t>&lt;ESMA_QUESTION_LST_14&gt;</w:t>
      </w:r>
    </w:p>
    <w:p w14:paraId="72C8BA44" w14:textId="77777777" w:rsidR="00407232" w:rsidRDefault="00407232" w:rsidP="00407232">
      <w:pPr>
        <w:rPr>
          <w:rFonts w:cs="Arial"/>
        </w:rPr>
      </w:pPr>
    </w:p>
    <w:p w14:paraId="199EC65B" w14:textId="77777777" w:rsidR="00407232" w:rsidRPr="00044459" w:rsidRDefault="00407232" w:rsidP="00407232">
      <w:pPr>
        <w:pStyle w:val="Questionstyle"/>
        <w:numPr>
          <w:ilvl w:val="0"/>
          <w:numId w:val="44"/>
        </w:numPr>
        <w:ind w:left="720"/>
      </w:pPr>
      <w:r>
        <w:t xml:space="preserve">: </w:t>
      </w:r>
      <w:r w:rsidRPr="00044459">
        <w:t xml:space="preserve">Do you agree with the </w:t>
      </w:r>
      <w:r>
        <w:t>considerations</w:t>
      </w:r>
      <w:r w:rsidRPr="00044459">
        <w:t xml:space="preserve"> specifying the LST of redemptions and other types of liabilities may need to be considered distinctly, given a fund could potentially limit redemptions but not other sources of liquidity drain? </w:t>
      </w:r>
    </w:p>
    <w:p w14:paraId="7B2C4A13" w14:textId="77777777" w:rsidR="00407232" w:rsidRDefault="00407232" w:rsidP="00407232">
      <w:pPr>
        <w:rPr>
          <w:rFonts w:cs="Arial"/>
        </w:rPr>
      </w:pPr>
      <w:r>
        <w:rPr>
          <w:rFonts w:cs="Arial"/>
        </w:rPr>
        <w:t>&lt;ESMA_QUESTION_LST_15&gt;</w:t>
      </w:r>
    </w:p>
    <w:p w14:paraId="6D22C3DE" w14:textId="2E71D48C" w:rsidR="00407232" w:rsidRDefault="00EF077A" w:rsidP="00407232">
      <w:pPr>
        <w:rPr>
          <w:rFonts w:cs="Arial"/>
        </w:rPr>
      </w:pPr>
      <w:permStart w:id="1059675830" w:edGrp="everyone"/>
      <w:r>
        <w:rPr>
          <w:rFonts w:cs="Arial"/>
        </w:rPr>
        <w:t>We agree that considerations may, in some cases, need to be considered distinctly</w:t>
      </w:r>
      <w:r w:rsidR="005C6EBF">
        <w:rPr>
          <w:rFonts w:cs="Arial"/>
        </w:rPr>
        <w:t xml:space="preserve"> and would like the wording of the considerations to remain flexible enough to allow </w:t>
      </w:r>
      <w:r w:rsidR="005C6EBF">
        <w:rPr>
          <w:rFonts w:cs="Arial"/>
        </w:rPr>
        <w:lastRenderedPageBreak/>
        <w:t xml:space="preserve">managers to apply </w:t>
      </w:r>
      <w:r w:rsidR="009E34D5" w:rsidRPr="00CF0AC4">
        <w:rPr>
          <w:rFonts w:cs="Arial"/>
        </w:rPr>
        <w:t xml:space="preserve">as they deem </w:t>
      </w:r>
      <w:r w:rsidR="00793E56" w:rsidRPr="00CF0AC4">
        <w:rPr>
          <w:rFonts w:cs="Arial"/>
        </w:rPr>
        <w:t xml:space="preserve">these to be appropriate to the </w:t>
      </w:r>
      <w:r w:rsidR="00A533F5" w:rsidRPr="00CF0AC4">
        <w:rPr>
          <w:rFonts w:cs="Arial"/>
        </w:rPr>
        <w:t>nature and characteristics of the fund</w:t>
      </w:r>
      <w:r>
        <w:rPr>
          <w:rFonts w:cs="Arial"/>
        </w:rPr>
        <w:t xml:space="preserve">.  </w:t>
      </w:r>
      <w:r w:rsidR="007F282F">
        <w:rPr>
          <w:rFonts w:cs="Arial"/>
        </w:rPr>
        <w:t>For example, borrowing should be considered an additional “other type of liability”.</w:t>
      </w:r>
    </w:p>
    <w:permEnd w:id="1059675830"/>
    <w:p w14:paraId="69C11D59" w14:textId="77777777" w:rsidR="00407232" w:rsidRDefault="00407232" w:rsidP="00407232">
      <w:pPr>
        <w:rPr>
          <w:rFonts w:cs="Arial"/>
        </w:rPr>
      </w:pPr>
      <w:r>
        <w:rPr>
          <w:rFonts w:cs="Arial"/>
        </w:rPr>
        <w:t>&lt;ESMA_QUESTION_LST_15&gt;</w:t>
      </w:r>
    </w:p>
    <w:p w14:paraId="308FC95B" w14:textId="77777777" w:rsidR="00407232" w:rsidRDefault="00407232" w:rsidP="00407232">
      <w:pPr>
        <w:rPr>
          <w:rFonts w:cs="Arial"/>
        </w:rPr>
      </w:pPr>
    </w:p>
    <w:p w14:paraId="172C82BA" w14:textId="77777777" w:rsidR="00407232" w:rsidRPr="00044459" w:rsidRDefault="00407232" w:rsidP="00407232">
      <w:pPr>
        <w:pStyle w:val="Questionstyle"/>
        <w:numPr>
          <w:ilvl w:val="0"/>
          <w:numId w:val="44"/>
        </w:numPr>
        <w:ind w:left="720"/>
      </w:pPr>
      <w:r>
        <w:t xml:space="preserve">: </w:t>
      </w:r>
      <w:r w:rsidRPr="00044459">
        <w:t>Do you agree with the requirement to reverse stress test items on the liabilities side of the fund balance sheet?</w:t>
      </w:r>
    </w:p>
    <w:p w14:paraId="219FC4CE" w14:textId="77777777" w:rsidR="00407232" w:rsidRDefault="00407232" w:rsidP="00407232">
      <w:pPr>
        <w:rPr>
          <w:rFonts w:cs="Arial"/>
        </w:rPr>
      </w:pPr>
      <w:r>
        <w:rPr>
          <w:rFonts w:cs="Arial"/>
        </w:rPr>
        <w:t>&lt;ESMA_QUESTION_LST_16&gt;</w:t>
      </w:r>
    </w:p>
    <w:p w14:paraId="094DE543" w14:textId="56C66F59" w:rsidR="00407232" w:rsidRDefault="00BC3808" w:rsidP="00407232">
      <w:pPr>
        <w:rPr>
          <w:rFonts w:cs="Arial"/>
        </w:rPr>
      </w:pPr>
      <w:permStart w:id="1783317944" w:edGrp="everyone"/>
      <w:r>
        <w:rPr>
          <w:rFonts w:cs="Arial"/>
        </w:rPr>
        <w:t>As per</w:t>
      </w:r>
      <w:r w:rsidR="00F91A95">
        <w:rPr>
          <w:rFonts w:cs="Arial"/>
        </w:rPr>
        <w:t xml:space="preserve"> </w:t>
      </w:r>
      <w:r w:rsidR="00F91A95" w:rsidRPr="00CF0AC4">
        <w:rPr>
          <w:rFonts w:cs="Arial"/>
        </w:rPr>
        <w:t>our</w:t>
      </w:r>
      <w:r w:rsidR="00F91A95">
        <w:rPr>
          <w:rFonts w:cs="Arial"/>
        </w:rPr>
        <w:t xml:space="preserve"> </w:t>
      </w:r>
      <w:r>
        <w:rPr>
          <w:rFonts w:cs="Arial"/>
        </w:rPr>
        <w:t>answer to Q8 above, the IA agrees that there is a place for reverse stress testing in some situations, but the testing would need to be an appropriate tool for the particular fund and</w:t>
      </w:r>
      <w:r w:rsidR="001E7E06">
        <w:rPr>
          <w:rFonts w:cs="Arial"/>
        </w:rPr>
        <w:t xml:space="preserve"> </w:t>
      </w:r>
      <w:r w:rsidR="001E7E06" w:rsidRPr="00CF0AC4">
        <w:rPr>
          <w:rFonts w:cs="Arial"/>
        </w:rPr>
        <w:t>suitably adapted for the specific risk characteristics of the fund</w:t>
      </w:r>
      <w:r>
        <w:rPr>
          <w:rFonts w:cs="Arial"/>
        </w:rPr>
        <w:t>.</w:t>
      </w:r>
      <w:r w:rsidR="001E7E06">
        <w:rPr>
          <w:rFonts w:cs="Arial"/>
        </w:rPr>
        <w:t xml:space="preserve"> </w:t>
      </w:r>
      <w:r w:rsidR="00EB2B19" w:rsidRPr="00CF0AC4">
        <w:rPr>
          <w:rFonts w:cs="Arial"/>
        </w:rPr>
        <w:t xml:space="preserve">Therefore although stress testing should be listed as one possible methodology that could be used, the IA does not </w:t>
      </w:r>
      <w:r w:rsidR="00CF0AC4">
        <w:rPr>
          <w:rFonts w:cs="Arial"/>
        </w:rPr>
        <w:t>agree</w:t>
      </w:r>
      <w:r w:rsidR="00EB2B19" w:rsidRPr="00CF0AC4">
        <w:rPr>
          <w:rFonts w:cs="Arial"/>
        </w:rPr>
        <w:t xml:space="preserve"> this should be a requirement for all funds.</w:t>
      </w:r>
    </w:p>
    <w:permEnd w:id="1783317944"/>
    <w:p w14:paraId="0C60E754" w14:textId="77777777" w:rsidR="00407232" w:rsidRDefault="00407232" w:rsidP="00407232">
      <w:pPr>
        <w:rPr>
          <w:rFonts w:cs="Arial"/>
        </w:rPr>
      </w:pPr>
      <w:r>
        <w:rPr>
          <w:rFonts w:cs="Arial"/>
        </w:rPr>
        <w:t>&lt;ESMA_QUESTION_LST_16&gt;</w:t>
      </w:r>
    </w:p>
    <w:p w14:paraId="7C972687" w14:textId="77777777" w:rsidR="00407232" w:rsidRDefault="00407232" w:rsidP="00407232">
      <w:pPr>
        <w:rPr>
          <w:rFonts w:cs="Arial"/>
        </w:rPr>
      </w:pPr>
    </w:p>
    <w:p w14:paraId="4DADFEE8" w14:textId="77777777" w:rsidR="00407232" w:rsidRPr="00044459" w:rsidRDefault="00407232" w:rsidP="00407232">
      <w:pPr>
        <w:pStyle w:val="Questionstyle"/>
        <w:numPr>
          <w:ilvl w:val="0"/>
          <w:numId w:val="44"/>
        </w:numPr>
        <w:ind w:left="720"/>
      </w:pPr>
      <w:r>
        <w:t xml:space="preserve">: </w:t>
      </w:r>
      <w:r w:rsidRPr="00044459">
        <w:t>Do you agree with the requirement to incorporate investor behaviour considerations into the LST model ‘where appropriate’? Are there cases which you believe it would not be appropriate, and should these be detailed in these Guidelines?</w:t>
      </w:r>
    </w:p>
    <w:p w14:paraId="2718D97B" w14:textId="77777777" w:rsidR="00407232" w:rsidRDefault="00407232" w:rsidP="00407232">
      <w:pPr>
        <w:rPr>
          <w:rFonts w:cs="Arial"/>
        </w:rPr>
      </w:pPr>
      <w:r>
        <w:rPr>
          <w:rFonts w:cs="Arial"/>
        </w:rPr>
        <w:t>&lt;ESMA_QUESTION_LST_17&gt;</w:t>
      </w:r>
    </w:p>
    <w:p w14:paraId="7F5C1D4B" w14:textId="672D46F3" w:rsidR="00407232" w:rsidRDefault="00BC3808" w:rsidP="00407232">
      <w:pPr>
        <w:rPr>
          <w:rFonts w:cs="Arial"/>
        </w:rPr>
      </w:pPr>
      <w:permStart w:id="2029944753" w:edGrp="everyone"/>
      <w:r>
        <w:rPr>
          <w:rFonts w:cs="Arial"/>
        </w:rPr>
        <w:t>The IA would like to draw ESMA’s attention to our comments on investment behaviour modelling in the response to Q14.</w:t>
      </w:r>
    </w:p>
    <w:p w14:paraId="7690DD76" w14:textId="77777777" w:rsidR="0015764F" w:rsidRDefault="0015764F" w:rsidP="00407232">
      <w:pPr>
        <w:rPr>
          <w:rFonts w:cs="Arial"/>
        </w:rPr>
      </w:pPr>
    </w:p>
    <w:p w14:paraId="46085229" w14:textId="1FBC8DBA" w:rsidR="0015764F" w:rsidRDefault="0015764F" w:rsidP="00407232">
      <w:pPr>
        <w:rPr>
          <w:rFonts w:cs="Arial"/>
        </w:rPr>
      </w:pPr>
      <w:r>
        <w:rPr>
          <w:rFonts w:cs="Arial"/>
        </w:rPr>
        <w:t>Projecting investor behaviour is in almost all cases assumption-driven.  The drafting of the Guideline assumes a sense of precision with regards to predictability.  Investor type and investor concentration would be considered in these cases, but it would not necessarily follow that investor origin or strategy and the resulting behaviour can be modelled.</w:t>
      </w:r>
    </w:p>
    <w:p w14:paraId="03EAF107" w14:textId="77777777" w:rsidR="00BC3808" w:rsidRDefault="00BC3808" w:rsidP="00407232">
      <w:pPr>
        <w:rPr>
          <w:rFonts w:cs="Arial"/>
        </w:rPr>
      </w:pPr>
    </w:p>
    <w:p w14:paraId="18890DF8" w14:textId="7A4E8821" w:rsidR="00BC3808" w:rsidRDefault="00BC3808" w:rsidP="00407232">
      <w:pPr>
        <w:rPr>
          <w:rFonts w:cs="Arial"/>
        </w:rPr>
      </w:pPr>
      <w:r>
        <w:rPr>
          <w:rFonts w:cs="Arial"/>
        </w:rPr>
        <w:t>Investor behaviour modelling can be useful where a firm is in possession of detailed information on the investors, but such information is not normally in the firm’s possession, particularly where sales are through intermediaries.  Firms can and will use the information they have in their possession, but limited information can be of limited use.</w:t>
      </w:r>
      <w:r w:rsidR="0015764F">
        <w:rPr>
          <w:rFonts w:cs="Arial"/>
        </w:rPr>
        <w:t xml:space="preserve">  It would be helpful if ESMA allowed managers to use historic fund flows as a proxy when modelling.</w:t>
      </w:r>
    </w:p>
    <w:p w14:paraId="655CB64C" w14:textId="77777777" w:rsidR="00BC3808" w:rsidRDefault="00BC3808" w:rsidP="00407232">
      <w:pPr>
        <w:rPr>
          <w:rFonts w:cs="Arial"/>
        </w:rPr>
      </w:pPr>
    </w:p>
    <w:p w14:paraId="1C0F1870" w14:textId="08227BD4" w:rsidR="00BC3808" w:rsidRDefault="00BC3808" w:rsidP="00407232">
      <w:pPr>
        <w:rPr>
          <w:rFonts w:cs="Arial"/>
        </w:rPr>
      </w:pPr>
      <w:r>
        <w:rPr>
          <w:rFonts w:cs="Arial"/>
        </w:rPr>
        <w:lastRenderedPageBreak/>
        <w:t>One situation where investor behaviour modelling may be used is for advised investors.  Where a firm is aware that a fund has fallen out of favour with a particular adviser, it can be deduced that clients of that adviser</w:t>
      </w:r>
      <w:r w:rsidR="00863132">
        <w:rPr>
          <w:rFonts w:cs="Arial"/>
        </w:rPr>
        <w:t xml:space="preserve"> </w:t>
      </w:r>
      <w:r w:rsidR="00863132" w:rsidRPr="00CF0AC4">
        <w:rPr>
          <w:rFonts w:cs="Arial"/>
        </w:rPr>
        <w:t>are likely to</w:t>
      </w:r>
      <w:r>
        <w:rPr>
          <w:rFonts w:cs="Arial"/>
        </w:rPr>
        <w:t xml:space="preserve"> redeem from the fund.</w:t>
      </w:r>
    </w:p>
    <w:permEnd w:id="2029944753"/>
    <w:p w14:paraId="0BDCCFBE" w14:textId="77777777" w:rsidR="00407232" w:rsidRDefault="00407232" w:rsidP="00407232">
      <w:pPr>
        <w:rPr>
          <w:rFonts w:cs="Arial"/>
        </w:rPr>
      </w:pPr>
      <w:r>
        <w:rPr>
          <w:rFonts w:cs="Arial"/>
        </w:rPr>
        <w:t>&lt;ESMA_QUESTION_LST_17&gt;</w:t>
      </w:r>
    </w:p>
    <w:p w14:paraId="311A6B7D" w14:textId="77777777" w:rsidR="00407232" w:rsidRDefault="00407232" w:rsidP="00407232">
      <w:pPr>
        <w:rPr>
          <w:rFonts w:cs="Arial"/>
        </w:rPr>
      </w:pPr>
    </w:p>
    <w:p w14:paraId="5D9A6E7A" w14:textId="77777777" w:rsidR="00407232" w:rsidRPr="00044459" w:rsidRDefault="00407232" w:rsidP="00407232">
      <w:pPr>
        <w:pStyle w:val="Questionstyle"/>
        <w:numPr>
          <w:ilvl w:val="0"/>
          <w:numId w:val="44"/>
        </w:numPr>
        <w:ind w:left="720"/>
      </w:pPr>
      <w:r>
        <w:t xml:space="preserve">: </w:t>
      </w:r>
      <w:r w:rsidRPr="00044459">
        <w:t>What do you think about ESMA’s Guideline stating that</w:t>
      </w:r>
      <w:r>
        <w:t xml:space="preserve"> manager</w:t>
      </w:r>
      <w:r w:rsidRPr="00044459">
        <w:t>s should combine LST results on both sides of the balance sheet?</w:t>
      </w:r>
    </w:p>
    <w:p w14:paraId="088D36E2" w14:textId="77777777" w:rsidR="00407232" w:rsidRDefault="00407232" w:rsidP="00407232">
      <w:pPr>
        <w:rPr>
          <w:rFonts w:cs="Arial"/>
        </w:rPr>
      </w:pPr>
      <w:r>
        <w:rPr>
          <w:rFonts w:cs="Arial"/>
        </w:rPr>
        <w:t>&lt;ESMA_QUESTION_LST_18&gt;</w:t>
      </w:r>
    </w:p>
    <w:p w14:paraId="2C7F398B" w14:textId="059A6387" w:rsidR="00407232" w:rsidRDefault="00BC3808" w:rsidP="00407232">
      <w:pPr>
        <w:rPr>
          <w:rFonts w:cs="Arial"/>
        </w:rPr>
      </w:pPr>
      <w:permStart w:id="876048399" w:edGrp="everyone"/>
      <w:r>
        <w:rPr>
          <w:rFonts w:cs="Arial"/>
        </w:rPr>
        <w:t xml:space="preserve">We agree that this is a sensible approach and </w:t>
      </w:r>
      <w:r w:rsidR="00DA5D65" w:rsidRPr="00CF0AC4">
        <w:rPr>
          <w:rFonts w:cs="Arial"/>
        </w:rPr>
        <w:t>it is already good practice for</w:t>
      </w:r>
      <w:r w:rsidR="00DA5D65">
        <w:rPr>
          <w:rFonts w:cs="Arial"/>
        </w:rPr>
        <w:t xml:space="preserve"> </w:t>
      </w:r>
      <w:r>
        <w:rPr>
          <w:rFonts w:cs="Arial"/>
        </w:rPr>
        <w:t xml:space="preserve">managers </w:t>
      </w:r>
      <w:r w:rsidR="00DA5D65" w:rsidRPr="00CF0AC4">
        <w:rPr>
          <w:rFonts w:cs="Arial"/>
        </w:rPr>
        <w:t xml:space="preserve">to </w:t>
      </w:r>
      <w:r>
        <w:rPr>
          <w:rFonts w:cs="Arial"/>
        </w:rPr>
        <w:t>combine LST results when looking at a “worst-case scenario”.</w:t>
      </w:r>
      <w:r w:rsidR="008E4AF6">
        <w:rPr>
          <w:rFonts w:cs="Arial"/>
        </w:rPr>
        <w:t xml:space="preserve">  It should be noted that the usefulness of combining results would depend on the liquidity of the fund’s assets.</w:t>
      </w:r>
    </w:p>
    <w:p w14:paraId="41A36D75" w14:textId="77777777" w:rsidR="00C87705" w:rsidRDefault="00C87705" w:rsidP="00407232">
      <w:pPr>
        <w:rPr>
          <w:rFonts w:cs="Arial"/>
        </w:rPr>
      </w:pPr>
    </w:p>
    <w:p w14:paraId="7E80572E" w14:textId="1C9D6C22" w:rsidR="008E4AF6" w:rsidRPr="00C87705" w:rsidRDefault="00C87705" w:rsidP="00407232">
      <w:pPr>
        <w:rPr>
          <w:rFonts w:cs="Arial"/>
        </w:rPr>
      </w:pPr>
      <w:r>
        <w:rPr>
          <w:rFonts w:cs="Arial"/>
        </w:rPr>
        <w:t xml:space="preserve">However, we do not agree with the proposal on </w:t>
      </w:r>
      <w:r>
        <w:rPr>
          <w:rFonts w:cs="Arial"/>
          <w:u w:val="single"/>
        </w:rPr>
        <w:t>comparing</w:t>
      </w:r>
      <w:r>
        <w:rPr>
          <w:rFonts w:cs="Arial"/>
        </w:rPr>
        <w:t xml:space="preserve"> LST results for more than one fund if this would be required across the whole universe of funds.  Comparing LST results for more than one fund should only take place in cases where funds share similar strategies and profiles.</w:t>
      </w:r>
    </w:p>
    <w:permEnd w:id="876048399"/>
    <w:p w14:paraId="27CF613D" w14:textId="77777777" w:rsidR="00407232" w:rsidRDefault="00407232" w:rsidP="00407232">
      <w:pPr>
        <w:rPr>
          <w:rFonts w:cs="Arial"/>
        </w:rPr>
      </w:pPr>
      <w:r>
        <w:rPr>
          <w:rFonts w:cs="Arial"/>
        </w:rPr>
        <w:t>&lt;ESMA_QUESTION_LST_18&gt;</w:t>
      </w:r>
    </w:p>
    <w:p w14:paraId="59D22F89" w14:textId="77777777" w:rsidR="00407232" w:rsidRDefault="00407232" w:rsidP="00407232">
      <w:pPr>
        <w:rPr>
          <w:rFonts w:cs="Arial"/>
        </w:rPr>
      </w:pPr>
    </w:p>
    <w:p w14:paraId="6F767475" w14:textId="77777777" w:rsidR="00407232" w:rsidRPr="00044459" w:rsidRDefault="00407232" w:rsidP="00407232">
      <w:pPr>
        <w:pStyle w:val="Questionstyle"/>
        <w:numPr>
          <w:ilvl w:val="0"/>
          <w:numId w:val="44"/>
        </w:numPr>
        <w:ind w:left="720"/>
      </w:pPr>
      <w:r>
        <w:t xml:space="preserve">: </w:t>
      </w:r>
      <w:r w:rsidRPr="00044459">
        <w:t>What are your views on ESMA’s Guideline that aggregated LST should be undertaken where deemed appropriate by the</w:t>
      </w:r>
      <w:r>
        <w:t xml:space="preserve"> manager</w:t>
      </w:r>
      <w:r w:rsidRPr="00044459">
        <w:t xml:space="preserve">? </w:t>
      </w:r>
    </w:p>
    <w:p w14:paraId="2E5E969B" w14:textId="77777777" w:rsidR="00407232" w:rsidRDefault="00407232" w:rsidP="00407232">
      <w:pPr>
        <w:rPr>
          <w:rFonts w:cs="Arial"/>
        </w:rPr>
      </w:pPr>
      <w:r>
        <w:rPr>
          <w:rFonts w:cs="Arial"/>
        </w:rPr>
        <w:t>&lt;ESMA_QUESTION_LST_19&gt;</w:t>
      </w:r>
    </w:p>
    <w:p w14:paraId="7DC47393" w14:textId="229FE0E8" w:rsidR="00407232" w:rsidRDefault="00BC3808" w:rsidP="00407232">
      <w:pPr>
        <w:rPr>
          <w:rFonts w:cs="Arial"/>
        </w:rPr>
      </w:pPr>
      <w:permStart w:id="316303533" w:edGrp="everyone"/>
      <w:r>
        <w:rPr>
          <w:rFonts w:cs="Arial"/>
        </w:rPr>
        <w:t xml:space="preserve">Most firms will use aggregated LST </w:t>
      </w:r>
      <w:r w:rsidR="001603B9">
        <w:rPr>
          <w:rFonts w:cs="Arial"/>
        </w:rPr>
        <w:t xml:space="preserve">and a “worst-case scenario” as a starting point for LST.  </w:t>
      </w:r>
    </w:p>
    <w:p w14:paraId="37BE8277" w14:textId="77777777" w:rsidR="001603B9" w:rsidRDefault="001603B9" w:rsidP="00407232">
      <w:pPr>
        <w:rPr>
          <w:rFonts w:cs="Arial"/>
        </w:rPr>
      </w:pPr>
    </w:p>
    <w:p w14:paraId="446C212C" w14:textId="0636D054" w:rsidR="001603B9" w:rsidRDefault="001603B9" w:rsidP="00407232">
      <w:pPr>
        <w:rPr>
          <w:rFonts w:cs="Arial"/>
        </w:rPr>
      </w:pPr>
      <w:r>
        <w:rPr>
          <w:rFonts w:cs="Arial"/>
        </w:rPr>
        <w:t>Aggregation needs to be applied only where appropriate, e.g. funds have the same strategy</w:t>
      </w:r>
      <w:r w:rsidR="005C6EBF">
        <w:rPr>
          <w:rFonts w:cs="Arial"/>
        </w:rPr>
        <w:t xml:space="preserve">, exposure </w:t>
      </w:r>
      <w:r>
        <w:rPr>
          <w:rFonts w:cs="Arial"/>
        </w:rPr>
        <w:t xml:space="preserve">and </w:t>
      </w:r>
      <w:r w:rsidR="000E695A">
        <w:rPr>
          <w:rFonts w:cs="Arial"/>
        </w:rPr>
        <w:t>risk profile</w:t>
      </w:r>
      <w:r>
        <w:rPr>
          <w:rFonts w:cs="Arial"/>
        </w:rPr>
        <w:t>.  The IA asks that the Guideline be amended to emphasise that aggregation should only occur where appropriate, in line with the explanatory wording in paragraphs 56 and 57</w:t>
      </w:r>
      <w:r w:rsidR="00156EC0">
        <w:rPr>
          <w:rFonts w:cs="Arial"/>
        </w:rPr>
        <w:t xml:space="preserve"> and should be at the discretion of the manager</w:t>
      </w:r>
      <w:r>
        <w:rPr>
          <w:rFonts w:cs="Arial"/>
        </w:rPr>
        <w:t>.  It is important that the wording in the explanatory consideration remains as proposed.</w:t>
      </w:r>
    </w:p>
    <w:permEnd w:id="316303533"/>
    <w:p w14:paraId="7492C23D" w14:textId="77777777" w:rsidR="00407232" w:rsidRDefault="00407232" w:rsidP="00407232">
      <w:pPr>
        <w:rPr>
          <w:rFonts w:cs="Arial"/>
        </w:rPr>
      </w:pPr>
      <w:r>
        <w:rPr>
          <w:rFonts w:cs="Arial"/>
        </w:rPr>
        <w:t>&lt;ESMA_QUESTION_LST_19&gt;</w:t>
      </w:r>
    </w:p>
    <w:p w14:paraId="3D329778" w14:textId="77777777" w:rsidR="00407232" w:rsidRDefault="00407232" w:rsidP="00407232">
      <w:pPr>
        <w:rPr>
          <w:rFonts w:cs="Arial"/>
        </w:rPr>
      </w:pPr>
    </w:p>
    <w:p w14:paraId="58E9B36E" w14:textId="77777777" w:rsidR="00407232" w:rsidRPr="00044459" w:rsidRDefault="00407232" w:rsidP="00407232">
      <w:pPr>
        <w:pStyle w:val="Questionstyle"/>
        <w:numPr>
          <w:ilvl w:val="0"/>
          <w:numId w:val="44"/>
        </w:numPr>
        <w:ind w:left="720"/>
      </w:pPr>
      <w:r>
        <w:t xml:space="preserve">: </w:t>
      </w:r>
      <w:r w:rsidRPr="00044459">
        <w:t>What is you</w:t>
      </w:r>
      <w:r>
        <w:t>r</w:t>
      </w:r>
      <w:r w:rsidRPr="00044459">
        <w:t xml:space="preserve"> experience of </w:t>
      </w:r>
      <w:r>
        <w:t xml:space="preserve">performing </w:t>
      </w:r>
      <w:r w:rsidRPr="00044459">
        <w:t xml:space="preserve">aggregated LST and </w:t>
      </w:r>
      <w:r>
        <w:t>how useful are the results</w:t>
      </w:r>
      <w:r w:rsidRPr="00044459">
        <w:t xml:space="preserve">? </w:t>
      </w:r>
    </w:p>
    <w:p w14:paraId="18955ED3" w14:textId="77777777" w:rsidR="00407232" w:rsidRDefault="00407232" w:rsidP="00407232">
      <w:pPr>
        <w:rPr>
          <w:rFonts w:cs="Arial"/>
        </w:rPr>
      </w:pPr>
      <w:r>
        <w:rPr>
          <w:rFonts w:cs="Arial"/>
        </w:rPr>
        <w:t>&lt;ESMA_QUESTION_LST_20&gt;</w:t>
      </w:r>
    </w:p>
    <w:p w14:paraId="356392A7" w14:textId="23A1E869" w:rsidR="00407232" w:rsidRDefault="001603B9" w:rsidP="00407232">
      <w:pPr>
        <w:rPr>
          <w:rFonts w:cs="Arial"/>
        </w:rPr>
      </w:pPr>
      <w:permStart w:id="904553863" w:edGrp="everyone"/>
      <w:r>
        <w:rPr>
          <w:rFonts w:cs="Arial"/>
        </w:rPr>
        <w:lastRenderedPageBreak/>
        <w:t>The results of aggregated LST can be very useful, particularly where the same or similar assets are held by more than one fund</w:t>
      </w:r>
      <w:r w:rsidR="00A04060">
        <w:rPr>
          <w:rFonts w:cs="Arial"/>
        </w:rPr>
        <w:t xml:space="preserve"> that employs the same strategy</w:t>
      </w:r>
      <w:r>
        <w:rPr>
          <w:rFonts w:cs="Arial"/>
        </w:rPr>
        <w:t xml:space="preserve">.  It is important </w:t>
      </w:r>
      <w:r w:rsidR="00A04060">
        <w:rPr>
          <w:rFonts w:cs="Arial"/>
        </w:rPr>
        <w:t>to be able</w:t>
      </w:r>
      <w:r>
        <w:rPr>
          <w:rFonts w:cs="Arial"/>
        </w:rPr>
        <w:t xml:space="preserve"> to look at funds in </w:t>
      </w:r>
      <w:r w:rsidR="00A04060">
        <w:rPr>
          <w:rFonts w:cs="Arial"/>
        </w:rPr>
        <w:t>aggregate</w:t>
      </w:r>
      <w:r>
        <w:rPr>
          <w:rFonts w:cs="Arial"/>
        </w:rPr>
        <w:t xml:space="preserve"> where there are similarities amongst funds.</w:t>
      </w:r>
      <w:r w:rsidR="00A04060">
        <w:rPr>
          <w:rFonts w:cs="Arial"/>
        </w:rPr>
        <w:t xml:space="preserve">  However, it is equally important to </w:t>
      </w:r>
      <w:r w:rsidR="009D6BE6">
        <w:rPr>
          <w:rFonts w:cs="Arial"/>
        </w:rPr>
        <w:t>recognise that funds may hold similar assets for different investment reasons for funds with differing profiles.  In these cases, the particular circumstances of each fund would need to be looked at in isolation.</w:t>
      </w:r>
    </w:p>
    <w:p w14:paraId="12CC6D90" w14:textId="77777777" w:rsidR="001603B9" w:rsidRDefault="001603B9" w:rsidP="00407232">
      <w:pPr>
        <w:rPr>
          <w:rFonts w:cs="Arial"/>
        </w:rPr>
      </w:pPr>
    </w:p>
    <w:p w14:paraId="4422B39A" w14:textId="23FE5BC6" w:rsidR="001603B9" w:rsidRDefault="0039353D" w:rsidP="00407232">
      <w:pPr>
        <w:rPr>
          <w:rFonts w:cs="Arial"/>
        </w:rPr>
      </w:pPr>
      <w:r>
        <w:rPr>
          <w:rFonts w:cs="Arial"/>
        </w:rPr>
        <w:t>Where appropriate, m</w:t>
      </w:r>
      <w:r w:rsidR="001603B9">
        <w:rPr>
          <w:rFonts w:cs="Arial"/>
        </w:rPr>
        <w:t>anagers must consider various scenarios that could impact funds’ liquidity and the number of redemptions to the fund(s) and scenarios and funds should be aggregated as necessary.</w:t>
      </w:r>
      <w:r w:rsidR="00704899">
        <w:rPr>
          <w:rFonts w:cs="Arial"/>
        </w:rPr>
        <w:t xml:space="preserve">  Again, we emphasise that aggregation should </w:t>
      </w:r>
      <w:r>
        <w:rPr>
          <w:rFonts w:cs="Arial"/>
        </w:rPr>
        <w:t xml:space="preserve">not be mandatory for all funds and should </w:t>
      </w:r>
      <w:r w:rsidR="00704899">
        <w:rPr>
          <w:rFonts w:cs="Arial"/>
        </w:rPr>
        <w:t xml:space="preserve">only occur where appropriate, </w:t>
      </w:r>
      <w:r w:rsidR="00A04060">
        <w:rPr>
          <w:rFonts w:cs="Arial"/>
        </w:rPr>
        <w:t>e.g. funds</w:t>
      </w:r>
      <w:r w:rsidR="00704899">
        <w:rPr>
          <w:rFonts w:cs="Arial"/>
        </w:rPr>
        <w:t xml:space="preserve"> hold similar assets and have similar strategies.</w:t>
      </w:r>
    </w:p>
    <w:permEnd w:id="904553863"/>
    <w:p w14:paraId="47FDEDE1" w14:textId="77777777" w:rsidR="00407232" w:rsidRDefault="00407232" w:rsidP="00407232">
      <w:pPr>
        <w:rPr>
          <w:rFonts w:cs="Arial"/>
        </w:rPr>
      </w:pPr>
      <w:r>
        <w:rPr>
          <w:rFonts w:cs="Arial"/>
        </w:rPr>
        <w:t>&lt;ESMA_QUESTION_LST_20&gt;</w:t>
      </w:r>
    </w:p>
    <w:p w14:paraId="739BA913" w14:textId="77777777" w:rsidR="00407232" w:rsidRDefault="00407232" w:rsidP="00407232">
      <w:pPr>
        <w:rPr>
          <w:rFonts w:cs="Arial"/>
        </w:rPr>
      </w:pPr>
    </w:p>
    <w:p w14:paraId="35B24406" w14:textId="77777777" w:rsidR="00407232" w:rsidRPr="00044459" w:rsidRDefault="00407232" w:rsidP="00407232">
      <w:pPr>
        <w:pStyle w:val="Questionstyle"/>
        <w:numPr>
          <w:ilvl w:val="0"/>
          <w:numId w:val="44"/>
        </w:numPr>
        <w:ind w:left="720"/>
      </w:pPr>
      <w:r>
        <w:t xml:space="preserve">: </w:t>
      </w:r>
      <w:r w:rsidRPr="00044459">
        <w:t xml:space="preserve">What are your views on ESMA’s </w:t>
      </w:r>
      <w:r>
        <w:t>considerations</w:t>
      </w:r>
      <w:r w:rsidRPr="00044459">
        <w:t xml:space="preserve"> concerning the use of LST during a fund’s lifecycle?</w:t>
      </w:r>
    </w:p>
    <w:p w14:paraId="12E8796B" w14:textId="77777777" w:rsidR="00407232" w:rsidRDefault="00407232" w:rsidP="00407232">
      <w:pPr>
        <w:rPr>
          <w:rFonts w:cs="Arial"/>
        </w:rPr>
      </w:pPr>
      <w:r>
        <w:rPr>
          <w:rFonts w:cs="Arial"/>
        </w:rPr>
        <w:t>&lt;ESMA_QUESTION_LST_21&gt;</w:t>
      </w:r>
    </w:p>
    <w:p w14:paraId="7B86AC2C" w14:textId="6F1710B3" w:rsidR="00407232" w:rsidRDefault="00C539F0" w:rsidP="00407232">
      <w:pPr>
        <w:rPr>
          <w:rFonts w:cs="Arial"/>
        </w:rPr>
      </w:pPr>
      <w:permStart w:id="503251337" w:edGrp="everyone"/>
      <w:r>
        <w:rPr>
          <w:rFonts w:cs="Arial"/>
        </w:rPr>
        <w:t xml:space="preserve"> </w:t>
      </w:r>
      <w:r w:rsidR="00C800D0">
        <w:rPr>
          <w:rFonts w:cs="Arial"/>
        </w:rPr>
        <w:t xml:space="preserve">The IA’s view is that </w:t>
      </w:r>
      <w:r w:rsidR="00F87179">
        <w:rPr>
          <w:rFonts w:cs="Arial"/>
        </w:rPr>
        <w:t>LST should be</w:t>
      </w:r>
      <w:r w:rsidR="00C73967">
        <w:rPr>
          <w:rFonts w:cs="Arial"/>
        </w:rPr>
        <w:t>, and is</w:t>
      </w:r>
      <w:r w:rsidR="00F87179">
        <w:rPr>
          <w:rFonts w:cs="Arial"/>
        </w:rPr>
        <w:t xml:space="preserve"> used at most stages of a fund’s lifecycle.</w:t>
      </w:r>
    </w:p>
    <w:p w14:paraId="0C785CEB" w14:textId="77777777" w:rsidR="00F87179" w:rsidRDefault="00F87179" w:rsidP="00407232">
      <w:pPr>
        <w:rPr>
          <w:rFonts w:cs="Arial"/>
        </w:rPr>
      </w:pPr>
    </w:p>
    <w:p w14:paraId="34794A15" w14:textId="51FE544E" w:rsidR="00F87179" w:rsidRDefault="00F87179" w:rsidP="00407232">
      <w:pPr>
        <w:rPr>
          <w:rFonts w:cs="Arial"/>
        </w:rPr>
      </w:pPr>
      <w:r>
        <w:rPr>
          <w:rFonts w:cs="Arial"/>
        </w:rPr>
        <w:t>LST is important at the time of a fund’s launch.  It is crucial to consider the potential size of the fund relative to the market.</w:t>
      </w:r>
      <w:r w:rsidR="00C73967">
        <w:rPr>
          <w:rFonts w:cs="Arial"/>
        </w:rPr>
        <w:t xml:space="preserve">  However, as the characteristics of the fund, and more crucially the investor base are unlikely to be fully understood at this stage, there will be some limitations as to the usefulness of LST.</w:t>
      </w:r>
    </w:p>
    <w:p w14:paraId="4184C8F4" w14:textId="77777777" w:rsidR="00F87179" w:rsidRDefault="00F87179" w:rsidP="00407232">
      <w:pPr>
        <w:rPr>
          <w:rFonts w:cs="Arial"/>
        </w:rPr>
      </w:pPr>
    </w:p>
    <w:p w14:paraId="0216D19A" w14:textId="4073B492" w:rsidR="00F87179" w:rsidRDefault="00F87179" w:rsidP="00407232">
      <w:pPr>
        <w:rPr>
          <w:rFonts w:cs="Arial"/>
        </w:rPr>
      </w:pPr>
      <w:r>
        <w:rPr>
          <w:rFonts w:cs="Arial"/>
        </w:rPr>
        <w:t>One factor not mentioned by ESMA is the need to review the size of the fund at various points during its lifecycle.</w:t>
      </w:r>
    </w:p>
    <w:p w14:paraId="7402DCF8" w14:textId="77777777" w:rsidR="00F87179" w:rsidRDefault="00F87179" w:rsidP="00407232">
      <w:pPr>
        <w:rPr>
          <w:rFonts w:cs="Arial"/>
        </w:rPr>
      </w:pPr>
    </w:p>
    <w:p w14:paraId="37967836" w14:textId="471CB70D" w:rsidR="00F87179" w:rsidRDefault="00F87179" w:rsidP="00407232">
      <w:pPr>
        <w:rPr>
          <w:rFonts w:cs="Arial"/>
        </w:rPr>
      </w:pPr>
      <w:r>
        <w:rPr>
          <w:rFonts w:cs="Arial"/>
        </w:rPr>
        <w:t>LST is rarely used during a fund’s closure process</w:t>
      </w:r>
      <w:r w:rsidR="000C1909">
        <w:rPr>
          <w:rFonts w:cs="Arial"/>
        </w:rPr>
        <w:t xml:space="preserve"> </w:t>
      </w:r>
      <w:r w:rsidR="000C1909" w:rsidRPr="00CF0AC4">
        <w:rPr>
          <w:rFonts w:cs="Arial"/>
        </w:rPr>
        <w:t>and is of little value once the fund has ceased trading</w:t>
      </w:r>
      <w:r>
        <w:rPr>
          <w:rFonts w:cs="Arial"/>
        </w:rPr>
        <w:t>.  Managers will plan an orderly closure and may use one or more of the available liquidity tools, without the need for LST.  Managers will consider what will be a fair outcome for remaining investors, including the possibility of suspending a fund when considering how to liquidate a fund.</w:t>
      </w:r>
    </w:p>
    <w:permEnd w:id="503251337"/>
    <w:p w14:paraId="78881DED" w14:textId="77777777" w:rsidR="00407232" w:rsidRDefault="00407232" w:rsidP="00407232">
      <w:pPr>
        <w:rPr>
          <w:rFonts w:cs="Arial"/>
        </w:rPr>
      </w:pPr>
      <w:r>
        <w:rPr>
          <w:rFonts w:cs="Arial"/>
        </w:rPr>
        <w:t>&lt;ESMA_QUESTION_LST_21&gt;</w:t>
      </w:r>
    </w:p>
    <w:p w14:paraId="18F0F660" w14:textId="77777777" w:rsidR="00407232" w:rsidRDefault="00407232" w:rsidP="00407232">
      <w:pPr>
        <w:rPr>
          <w:rFonts w:cs="Arial"/>
        </w:rPr>
      </w:pPr>
    </w:p>
    <w:p w14:paraId="6F287C4A" w14:textId="77777777" w:rsidR="00407232" w:rsidRPr="00044459" w:rsidRDefault="00407232" w:rsidP="00407232">
      <w:pPr>
        <w:pStyle w:val="Questionstyle"/>
        <w:numPr>
          <w:ilvl w:val="0"/>
          <w:numId w:val="44"/>
        </w:numPr>
        <w:ind w:left="720"/>
      </w:pPr>
      <w:r>
        <w:t xml:space="preserve">: </w:t>
      </w:r>
      <w:r w:rsidRPr="00044459">
        <w:t>What is your experience of the use of LST in determining appropriate investments of a fund?</w:t>
      </w:r>
    </w:p>
    <w:p w14:paraId="7F3524A8" w14:textId="77777777" w:rsidR="00407232" w:rsidRDefault="00407232" w:rsidP="00407232">
      <w:pPr>
        <w:rPr>
          <w:rFonts w:cs="Arial"/>
        </w:rPr>
      </w:pPr>
      <w:r>
        <w:rPr>
          <w:rFonts w:cs="Arial"/>
        </w:rPr>
        <w:lastRenderedPageBreak/>
        <w:t>&lt;ESMA_QUESTION_LST_22&gt;</w:t>
      </w:r>
    </w:p>
    <w:p w14:paraId="46565AFA" w14:textId="77777777" w:rsidR="00E85EA0" w:rsidRDefault="00F87179" w:rsidP="00407232">
      <w:pPr>
        <w:rPr>
          <w:rFonts w:cs="Arial"/>
        </w:rPr>
      </w:pPr>
      <w:permStart w:id="576811323" w:edGrp="everyone"/>
      <w:r>
        <w:rPr>
          <w:rFonts w:cs="Arial"/>
        </w:rPr>
        <w:t xml:space="preserve">In the UK, the Financial Conduct Authority, in its Product Governance Sourcebook (PROD) requires managers to use </w:t>
      </w:r>
      <w:r w:rsidR="00C800D0">
        <w:rPr>
          <w:rFonts w:cs="Arial"/>
        </w:rPr>
        <w:t>product testing</w:t>
      </w:r>
      <w:r>
        <w:rPr>
          <w:rFonts w:cs="Arial"/>
        </w:rPr>
        <w:t xml:space="preserve"> in determining appropriate investments of a fund.</w:t>
      </w:r>
      <w:r w:rsidR="00CF0AC4">
        <w:rPr>
          <w:rFonts w:cs="Arial"/>
        </w:rPr>
        <w:t xml:space="preserve">  </w:t>
      </w:r>
      <w:r w:rsidR="008E4AF6">
        <w:rPr>
          <w:rFonts w:cs="Arial"/>
        </w:rPr>
        <w:t xml:space="preserve">Member firms have reported </w:t>
      </w:r>
      <w:r w:rsidR="00E85EA0">
        <w:rPr>
          <w:rFonts w:cs="Arial"/>
        </w:rPr>
        <w:t xml:space="preserve">that LST is an integral part of product design processes.  </w:t>
      </w:r>
    </w:p>
    <w:p w14:paraId="16E1C42B" w14:textId="77777777" w:rsidR="00E85EA0" w:rsidRDefault="00E85EA0" w:rsidP="00407232">
      <w:pPr>
        <w:rPr>
          <w:rFonts w:cs="Arial"/>
        </w:rPr>
      </w:pPr>
    </w:p>
    <w:p w14:paraId="151C5AF4" w14:textId="1E993D66" w:rsidR="00CF0AC4" w:rsidRDefault="00E85EA0" w:rsidP="00407232">
      <w:pPr>
        <w:rPr>
          <w:rFonts w:cs="Arial"/>
        </w:rPr>
      </w:pPr>
      <w:r>
        <w:rPr>
          <w:rFonts w:cs="Arial"/>
        </w:rPr>
        <w:t>One member firm reported identifying unacceptable levels of asset liquidity compared to the target market at the design stage and requiring the fund’s design to be reviewed before launch and also have reported making changes to a fund’s target market in light of the results of LST.</w:t>
      </w:r>
    </w:p>
    <w:permEnd w:id="576811323"/>
    <w:p w14:paraId="18A506EE" w14:textId="2C3F167E" w:rsidR="00407232" w:rsidRDefault="00407232" w:rsidP="00407232">
      <w:pPr>
        <w:rPr>
          <w:rFonts w:cs="Arial"/>
        </w:rPr>
      </w:pPr>
      <w:r>
        <w:rPr>
          <w:rFonts w:cs="Arial"/>
        </w:rPr>
        <w:t>&lt;ESMA_QUESTION_LST_22&gt;</w:t>
      </w:r>
    </w:p>
    <w:p w14:paraId="0E078F29" w14:textId="77777777" w:rsidR="00407232" w:rsidRDefault="00407232" w:rsidP="00407232">
      <w:pPr>
        <w:rPr>
          <w:rFonts w:cs="Arial"/>
        </w:rPr>
      </w:pPr>
    </w:p>
    <w:p w14:paraId="530BE24C" w14:textId="77777777" w:rsidR="00407232" w:rsidRPr="00044459" w:rsidRDefault="00407232" w:rsidP="00407232">
      <w:pPr>
        <w:pStyle w:val="Questionstyle"/>
        <w:numPr>
          <w:ilvl w:val="0"/>
          <w:numId w:val="44"/>
        </w:numPr>
        <w:ind w:left="720"/>
      </w:pPr>
      <w:r>
        <w:t xml:space="preserve">: </w:t>
      </w:r>
      <w:r w:rsidRPr="00044459">
        <w:t>In your view, has ESMA omitted any key uses of LST?</w:t>
      </w:r>
    </w:p>
    <w:p w14:paraId="09F5659D" w14:textId="77777777" w:rsidR="00407232" w:rsidRDefault="00407232" w:rsidP="00407232">
      <w:pPr>
        <w:rPr>
          <w:rFonts w:cs="Arial"/>
        </w:rPr>
      </w:pPr>
      <w:r>
        <w:rPr>
          <w:rFonts w:cs="Arial"/>
        </w:rPr>
        <w:t>&lt;ESMA_QUESTION_LST_23&gt;</w:t>
      </w:r>
    </w:p>
    <w:p w14:paraId="2647F002" w14:textId="00130585" w:rsidR="00407232" w:rsidRDefault="00F87179" w:rsidP="00407232">
      <w:pPr>
        <w:rPr>
          <w:rFonts w:cs="Arial"/>
        </w:rPr>
      </w:pPr>
      <w:permStart w:id="1935288628" w:edGrp="everyone"/>
      <w:r>
        <w:rPr>
          <w:rFonts w:cs="Arial"/>
        </w:rPr>
        <w:t>We refer ESMA to our response to Q21 and the need to consider the size of a fund relative to the market at various stages in a fund’s lifecycle.</w:t>
      </w:r>
    </w:p>
    <w:p w14:paraId="55699F9B" w14:textId="77777777" w:rsidR="00F13C55" w:rsidRDefault="00F13C55" w:rsidP="00407232">
      <w:pPr>
        <w:rPr>
          <w:rFonts w:cs="Arial"/>
        </w:rPr>
      </w:pPr>
    </w:p>
    <w:p w14:paraId="2627D8E0" w14:textId="61B7C910" w:rsidR="00F13C55" w:rsidRDefault="00F13C55" w:rsidP="00407232">
      <w:pPr>
        <w:rPr>
          <w:rFonts w:cs="Arial"/>
        </w:rPr>
      </w:pPr>
      <w:r>
        <w:rPr>
          <w:rFonts w:cs="Arial"/>
        </w:rPr>
        <w:t>LST should also inform risk reviews with fund managers and relationship conversations with investors.</w:t>
      </w:r>
    </w:p>
    <w:permEnd w:id="1935288628"/>
    <w:p w14:paraId="30CF4A81" w14:textId="77777777" w:rsidR="00407232" w:rsidRDefault="00407232" w:rsidP="00407232">
      <w:pPr>
        <w:rPr>
          <w:rFonts w:cs="Arial"/>
        </w:rPr>
      </w:pPr>
      <w:r>
        <w:rPr>
          <w:rFonts w:cs="Arial"/>
        </w:rPr>
        <w:t>&lt;ESMA_QUESTION_LST_23&gt;</w:t>
      </w:r>
    </w:p>
    <w:p w14:paraId="1B69FF2C" w14:textId="77777777" w:rsidR="00407232" w:rsidRDefault="00407232" w:rsidP="00407232">
      <w:pPr>
        <w:rPr>
          <w:rFonts w:cs="Arial"/>
        </w:rPr>
      </w:pPr>
    </w:p>
    <w:p w14:paraId="4C6EF953" w14:textId="77777777" w:rsidR="00407232" w:rsidRPr="00044459" w:rsidRDefault="00407232" w:rsidP="00407232">
      <w:pPr>
        <w:pStyle w:val="Questionstyle"/>
        <w:numPr>
          <w:ilvl w:val="0"/>
          <w:numId w:val="44"/>
        </w:numPr>
        <w:ind w:left="720"/>
      </w:pPr>
      <w:r>
        <w:t xml:space="preserve">: </w:t>
      </w:r>
      <w:r w:rsidRPr="00044459">
        <w:t>Do you agree with ESMA’s Guideline that LST should be undertaken in all cases annually, but that it is recommended to undertake it at least quarterly, unless a different frequency can be justified? What is the range of frequency of LST applied on funds managed by stakeholder(s) you represent?</w:t>
      </w:r>
    </w:p>
    <w:p w14:paraId="585FC3C9" w14:textId="77777777" w:rsidR="00407232" w:rsidRDefault="00407232" w:rsidP="00407232">
      <w:pPr>
        <w:rPr>
          <w:rFonts w:cs="Arial"/>
        </w:rPr>
      </w:pPr>
      <w:r>
        <w:rPr>
          <w:rFonts w:cs="Arial"/>
        </w:rPr>
        <w:t>&lt;ESMA_QUESTION_LST_24&gt;</w:t>
      </w:r>
    </w:p>
    <w:p w14:paraId="6CE6DFAA" w14:textId="04AB57A2" w:rsidR="00407232" w:rsidRDefault="00F87179" w:rsidP="00407232">
      <w:pPr>
        <w:rPr>
          <w:rFonts w:cs="Arial"/>
        </w:rPr>
      </w:pPr>
      <w:permStart w:id="1996162431" w:edGrp="everyone"/>
      <w:r>
        <w:rPr>
          <w:rFonts w:cs="Arial"/>
        </w:rPr>
        <w:t>We agree that quarterly LST should be the starting point for determining the frequency of LST within funds,</w:t>
      </w:r>
    </w:p>
    <w:p w14:paraId="1F330DF6" w14:textId="77777777" w:rsidR="00F87179" w:rsidRDefault="00F87179" w:rsidP="00407232">
      <w:pPr>
        <w:rPr>
          <w:rFonts w:cs="Arial"/>
        </w:rPr>
      </w:pPr>
    </w:p>
    <w:p w14:paraId="3C4D9D58" w14:textId="43934CE9" w:rsidR="00F87179" w:rsidRDefault="00F87179" w:rsidP="00407232">
      <w:pPr>
        <w:rPr>
          <w:rFonts w:cs="Arial"/>
        </w:rPr>
      </w:pPr>
      <w:r>
        <w:rPr>
          <w:rFonts w:cs="Arial"/>
        </w:rPr>
        <w:t>Member firms have reported that they will undertake monthly LST in cases</w:t>
      </w:r>
      <w:r w:rsidR="00C032AB">
        <w:rPr>
          <w:rFonts w:cs="Arial"/>
        </w:rPr>
        <w:t xml:space="preserve"> where they deem that </w:t>
      </w:r>
      <w:r w:rsidR="00F13C55">
        <w:rPr>
          <w:rFonts w:cs="Arial"/>
        </w:rPr>
        <w:t>appropriate</w:t>
      </w:r>
      <w:r>
        <w:rPr>
          <w:rFonts w:cs="Arial"/>
        </w:rPr>
        <w:t xml:space="preserve">, but would require the flexibility to </w:t>
      </w:r>
      <w:r w:rsidR="007940AE">
        <w:rPr>
          <w:rFonts w:cs="Arial"/>
        </w:rPr>
        <w:t>change the frequency of testing as the market demands.  For example, changes in markets such as a change in liquidity of a particular asset class would be one factor that would impact on the frequency of the performance of LST.</w:t>
      </w:r>
    </w:p>
    <w:p w14:paraId="0F0B2DFB" w14:textId="77777777" w:rsidR="007940AE" w:rsidRDefault="007940AE" w:rsidP="00407232">
      <w:pPr>
        <w:rPr>
          <w:rFonts w:cs="Arial"/>
        </w:rPr>
      </w:pPr>
    </w:p>
    <w:p w14:paraId="3C752171" w14:textId="1389E8F4" w:rsidR="007940AE" w:rsidRDefault="007940AE" w:rsidP="00407232">
      <w:pPr>
        <w:rPr>
          <w:rFonts w:cs="Arial"/>
        </w:rPr>
      </w:pPr>
      <w:r>
        <w:rPr>
          <w:rFonts w:cs="Arial"/>
        </w:rPr>
        <w:t>For some funds</w:t>
      </w:r>
      <w:r w:rsidR="00A15EA4">
        <w:rPr>
          <w:rFonts w:cs="Arial"/>
        </w:rPr>
        <w:t xml:space="preserve">, </w:t>
      </w:r>
      <w:r w:rsidR="001A1080" w:rsidRPr="00CF0AC4">
        <w:rPr>
          <w:rFonts w:cs="Arial"/>
        </w:rPr>
        <w:t>particularly closed ended AIFs with no or l</w:t>
      </w:r>
      <w:r w:rsidR="00CF0AC4">
        <w:rPr>
          <w:rFonts w:cs="Arial"/>
        </w:rPr>
        <w:t>imited redemption opportunities</w:t>
      </w:r>
      <w:r w:rsidR="00A31060">
        <w:rPr>
          <w:rFonts w:cs="Arial"/>
        </w:rPr>
        <w:t>, such as</w:t>
      </w:r>
      <w:r>
        <w:rPr>
          <w:rFonts w:cs="Arial"/>
        </w:rPr>
        <w:t xml:space="preserve"> private equity AIFs, less frequent, e.g. annual LST would be </w:t>
      </w:r>
      <w:r>
        <w:rPr>
          <w:rFonts w:cs="Arial"/>
        </w:rPr>
        <w:lastRenderedPageBreak/>
        <w:t>appropriate, as they have very little or no liquidity and may have other features, e.g. lock-in periods, which would make more frequent LST inappropriate.</w:t>
      </w:r>
    </w:p>
    <w:permEnd w:id="1996162431"/>
    <w:p w14:paraId="701F814E" w14:textId="77777777" w:rsidR="00407232" w:rsidRDefault="00407232" w:rsidP="00407232">
      <w:pPr>
        <w:rPr>
          <w:rFonts w:cs="Arial"/>
        </w:rPr>
      </w:pPr>
      <w:r>
        <w:rPr>
          <w:rFonts w:cs="Arial"/>
        </w:rPr>
        <w:t>&lt;ESMA_QUESTION_LST_24&gt;</w:t>
      </w:r>
    </w:p>
    <w:p w14:paraId="03B0739E" w14:textId="77777777" w:rsidR="00407232" w:rsidRDefault="00407232" w:rsidP="00407232">
      <w:pPr>
        <w:rPr>
          <w:rFonts w:cs="Arial"/>
        </w:rPr>
      </w:pPr>
    </w:p>
    <w:p w14:paraId="235025A1" w14:textId="77777777" w:rsidR="00407232" w:rsidRPr="00044459" w:rsidRDefault="00407232" w:rsidP="00407232">
      <w:pPr>
        <w:pStyle w:val="Questionstyle"/>
        <w:numPr>
          <w:ilvl w:val="0"/>
          <w:numId w:val="44"/>
        </w:numPr>
        <w:ind w:left="720"/>
      </w:pPr>
      <w:r>
        <w:t xml:space="preserve">: </w:t>
      </w:r>
      <w:r w:rsidRPr="00044459">
        <w:t>Should ESMA provide more prescriptive Guidelines on the circumstances which can justify a more/less frequent employment of LST?</w:t>
      </w:r>
    </w:p>
    <w:p w14:paraId="54C051ED" w14:textId="77777777" w:rsidR="00407232" w:rsidRDefault="00407232" w:rsidP="00407232">
      <w:pPr>
        <w:rPr>
          <w:rFonts w:cs="Arial"/>
        </w:rPr>
      </w:pPr>
      <w:r>
        <w:rPr>
          <w:rFonts w:cs="Arial"/>
        </w:rPr>
        <w:t>&lt;ESMA_QUESTION_LST_25&gt;</w:t>
      </w:r>
    </w:p>
    <w:p w14:paraId="7113D307" w14:textId="177073C1" w:rsidR="00407232" w:rsidRDefault="007940AE" w:rsidP="00407232">
      <w:pPr>
        <w:rPr>
          <w:rFonts w:cs="Arial"/>
        </w:rPr>
      </w:pPr>
      <w:permStart w:id="779766412" w:edGrp="everyone"/>
      <w:r>
        <w:rPr>
          <w:rFonts w:cs="Arial"/>
        </w:rPr>
        <w:t xml:space="preserve">The IA does not agree that the Guidelines should be more prescriptive.  The wording of the Guidelines should allow managers flexibility </w:t>
      </w:r>
      <w:r w:rsidR="00583C64" w:rsidRPr="00CF0AC4">
        <w:rPr>
          <w:rFonts w:cs="Arial"/>
        </w:rPr>
        <w:t>to</w:t>
      </w:r>
      <w:r w:rsidR="006D173F" w:rsidRPr="00CF0AC4">
        <w:rPr>
          <w:rFonts w:cs="Arial"/>
        </w:rPr>
        <w:t xml:space="preserve"> determine the</w:t>
      </w:r>
      <w:r w:rsidR="00583C64">
        <w:rPr>
          <w:rFonts w:cs="Arial"/>
        </w:rPr>
        <w:t xml:space="preserve"> </w:t>
      </w:r>
      <w:r>
        <w:rPr>
          <w:rFonts w:cs="Arial"/>
        </w:rPr>
        <w:t>frequency of LST, having regard to the nature, scale and complexity of the fund itself.</w:t>
      </w:r>
    </w:p>
    <w:permEnd w:id="779766412"/>
    <w:p w14:paraId="20939CE5" w14:textId="77777777" w:rsidR="00407232" w:rsidRDefault="00407232" w:rsidP="00407232">
      <w:pPr>
        <w:rPr>
          <w:rFonts w:cs="Arial"/>
        </w:rPr>
      </w:pPr>
      <w:r>
        <w:rPr>
          <w:rFonts w:cs="Arial"/>
        </w:rPr>
        <w:t>&lt;ESMA_QUESTION_LST_25&gt;</w:t>
      </w:r>
    </w:p>
    <w:p w14:paraId="59F6BFA7" w14:textId="77777777" w:rsidR="00407232" w:rsidRDefault="00407232" w:rsidP="00407232">
      <w:pPr>
        <w:rPr>
          <w:rFonts w:cs="Arial"/>
        </w:rPr>
      </w:pPr>
    </w:p>
    <w:p w14:paraId="6A2347ED" w14:textId="77777777" w:rsidR="00407232" w:rsidRPr="00044459" w:rsidRDefault="00407232" w:rsidP="00407232">
      <w:pPr>
        <w:pStyle w:val="Questionstyle"/>
        <w:numPr>
          <w:ilvl w:val="0"/>
          <w:numId w:val="44"/>
        </w:numPr>
        <w:ind w:left="720"/>
      </w:pPr>
      <w:r>
        <w:t xml:space="preserve">: </w:t>
      </w:r>
      <w:r w:rsidRPr="00044459">
        <w:t>Do you agree that LST should be employed outside its scheduled frequency (ad-hoc) where justified by an emerging/imminent risk to fund liquidity?</w:t>
      </w:r>
    </w:p>
    <w:p w14:paraId="668B3C44" w14:textId="77777777" w:rsidR="00407232" w:rsidRDefault="00407232" w:rsidP="00407232">
      <w:pPr>
        <w:rPr>
          <w:rFonts w:cs="Arial"/>
        </w:rPr>
      </w:pPr>
      <w:r>
        <w:rPr>
          <w:rFonts w:cs="Arial"/>
        </w:rPr>
        <w:t>&lt;ESMA_QUESTION_LST_26&gt;</w:t>
      </w:r>
    </w:p>
    <w:p w14:paraId="0693EF7F" w14:textId="08D53696" w:rsidR="00407232" w:rsidRPr="00CF0AC4" w:rsidRDefault="00F036E6" w:rsidP="00407232">
      <w:pPr>
        <w:rPr>
          <w:rFonts w:cs="Arial"/>
        </w:rPr>
      </w:pPr>
      <w:permStart w:id="51653807" w:edGrp="everyone"/>
      <w:r>
        <w:rPr>
          <w:rFonts w:cs="Arial"/>
        </w:rPr>
        <w:t>Yes, we agree that this is appropriate.</w:t>
      </w:r>
      <w:r w:rsidR="00821A27">
        <w:rPr>
          <w:rFonts w:cs="Arial"/>
        </w:rPr>
        <w:t xml:space="preserve"> </w:t>
      </w:r>
      <w:r w:rsidR="00821A27" w:rsidRPr="00CF0AC4">
        <w:rPr>
          <w:rFonts w:cs="Arial"/>
        </w:rPr>
        <w:t>T</w:t>
      </w:r>
      <w:r w:rsidR="00F11578" w:rsidRPr="00CF0AC4">
        <w:rPr>
          <w:rFonts w:cs="Arial"/>
        </w:rPr>
        <w:t>he determination of when more frequent LST should be employed should be made by the manager, who will have the most information on how external factors are affecting the liquidity profile of the fund.</w:t>
      </w:r>
    </w:p>
    <w:permEnd w:id="51653807"/>
    <w:p w14:paraId="74579919" w14:textId="77777777" w:rsidR="00407232" w:rsidRDefault="00407232" w:rsidP="00407232">
      <w:pPr>
        <w:rPr>
          <w:rFonts w:cs="Arial"/>
        </w:rPr>
      </w:pPr>
      <w:r>
        <w:rPr>
          <w:rFonts w:cs="Arial"/>
        </w:rPr>
        <w:t>&lt;ESMA_QUESTION_LST_26&gt;</w:t>
      </w:r>
    </w:p>
    <w:p w14:paraId="5F995C9A" w14:textId="77777777" w:rsidR="00407232" w:rsidRDefault="00407232" w:rsidP="00407232">
      <w:pPr>
        <w:rPr>
          <w:rFonts w:cs="Arial"/>
        </w:rPr>
      </w:pPr>
    </w:p>
    <w:p w14:paraId="198257FD" w14:textId="77777777" w:rsidR="00407232" w:rsidRPr="00044459" w:rsidRDefault="00407232" w:rsidP="00407232">
      <w:pPr>
        <w:pStyle w:val="Questionstyle"/>
        <w:numPr>
          <w:ilvl w:val="0"/>
          <w:numId w:val="44"/>
        </w:numPr>
        <w:ind w:left="720"/>
      </w:pPr>
      <w:r>
        <w:t xml:space="preserve">: </w:t>
      </w:r>
      <w:r w:rsidRPr="00044459">
        <w:t xml:space="preserve">What are your views on the governance requirements regarding LST? </w:t>
      </w:r>
    </w:p>
    <w:p w14:paraId="387648CC" w14:textId="77777777" w:rsidR="00407232" w:rsidRDefault="00407232" w:rsidP="00407232">
      <w:pPr>
        <w:rPr>
          <w:rFonts w:cs="Arial"/>
        </w:rPr>
      </w:pPr>
      <w:r>
        <w:rPr>
          <w:rFonts w:cs="Arial"/>
        </w:rPr>
        <w:t>&lt;ESMA_QUESTION_LST_27&gt;</w:t>
      </w:r>
    </w:p>
    <w:p w14:paraId="2CD38351" w14:textId="68AD03BF" w:rsidR="00407232" w:rsidRDefault="00F036E6" w:rsidP="00407232">
      <w:pPr>
        <w:rPr>
          <w:rFonts w:cs="Arial"/>
        </w:rPr>
      </w:pPr>
      <w:permStart w:id="1189693986" w:edGrp="everyone"/>
      <w:r>
        <w:rPr>
          <w:rFonts w:cs="Arial"/>
        </w:rPr>
        <w:t>The IA considers that the governance requirements are fair and provide a solid basis for managers.</w:t>
      </w:r>
    </w:p>
    <w:permEnd w:id="1189693986"/>
    <w:p w14:paraId="49617FA9" w14:textId="77777777" w:rsidR="00407232" w:rsidRDefault="00407232" w:rsidP="00407232">
      <w:pPr>
        <w:rPr>
          <w:rFonts w:cs="Arial"/>
        </w:rPr>
      </w:pPr>
      <w:r>
        <w:rPr>
          <w:rFonts w:cs="Arial"/>
        </w:rPr>
        <w:t>&lt;ESMA_QUESTION_LST_27&gt;</w:t>
      </w:r>
    </w:p>
    <w:p w14:paraId="3C6B49F1" w14:textId="77777777" w:rsidR="00407232" w:rsidRDefault="00407232" w:rsidP="00407232">
      <w:pPr>
        <w:rPr>
          <w:rFonts w:cs="Arial"/>
        </w:rPr>
      </w:pPr>
    </w:p>
    <w:p w14:paraId="7B006A54" w14:textId="77777777" w:rsidR="00407232" w:rsidRPr="00044459" w:rsidRDefault="00407232" w:rsidP="00407232">
      <w:pPr>
        <w:pStyle w:val="Questionstyle"/>
        <w:numPr>
          <w:ilvl w:val="0"/>
          <w:numId w:val="44"/>
        </w:numPr>
        <w:ind w:left="720"/>
      </w:pPr>
      <w:r>
        <w:t xml:space="preserve">: </w:t>
      </w:r>
      <w:r w:rsidRPr="00044459">
        <w:t xml:space="preserve">Should more information be included in the UCITS RMP and AIF RMP? </w:t>
      </w:r>
    </w:p>
    <w:p w14:paraId="59FC192B" w14:textId="77777777" w:rsidR="00407232" w:rsidRDefault="00407232" w:rsidP="00407232">
      <w:pPr>
        <w:rPr>
          <w:rFonts w:cs="Arial"/>
        </w:rPr>
      </w:pPr>
      <w:r>
        <w:rPr>
          <w:rFonts w:cs="Arial"/>
        </w:rPr>
        <w:t>&lt;ESMA_QUESTION_LST_28&gt;</w:t>
      </w:r>
    </w:p>
    <w:p w14:paraId="375E5BD1" w14:textId="462725EA" w:rsidR="00407232" w:rsidRDefault="00F036E6" w:rsidP="00407232">
      <w:pPr>
        <w:rPr>
          <w:rFonts w:cs="Arial"/>
        </w:rPr>
      </w:pPr>
      <w:permStart w:id="1403792818" w:edGrp="everyone"/>
      <w:r>
        <w:rPr>
          <w:rFonts w:cs="Arial"/>
        </w:rPr>
        <w:t xml:space="preserve">The IA considers that the information to be included in the UCITS RMP and AIF RMP should be appropriate </w:t>
      </w:r>
      <w:r w:rsidR="00E0558C">
        <w:rPr>
          <w:rFonts w:cs="Arial"/>
        </w:rPr>
        <w:t>for</w:t>
      </w:r>
      <w:r>
        <w:rPr>
          <w:rFonts w:cs="Arial"/>
        </w:rPr>
        <w:t xml:space="preserve"> the particular UCITS or AIF in question and that extra information should be included if, and only if, it is deemed appropriate for that particular fund and range of funds.</w:t>
      </w:r>
      <w:r w:rsidR="00B34688">
        <w:rPr>
          <w:rFonts w:cs="Arial"/>
        </w:rPr>
        <w:t xml:space="preserve">  We </w:t>
      </w:r>
      <w:r w:rsidR="00B3451D" w:rsidRPr="00CF0AC4">
        <w:rPr>
          <w:rFonts w:cs="Arial"/>
        </w:rPr>
        <w:t>do</w:t>
      </w:r>
      <w:r w:rsidR="00B3451D">
        <w:rPr>
          <w:rFonts w:cs="Arial"/>
        </w:rPr>
        <w:t xml:space="preserve"> </w:t>
      </w:r>
      <w:r w:rsidR="00B34688">
        <w:rPr>
          <w:rFonts w:cs="Arial"/>
        </w:rPr>
        <w:t xml:space="preserve">not </w:t>
      </w:r>
      <w:r w:rsidR="00B3451D" w:rsidRPr="00CF0AC4">
        <w:rPr>
          <w:rFonts w:cs="Arial"/>
        </w:rPr>
        <w:t>believe it is necessary for</w:t>
      </w:r>
      <w:r w:rsidR="00B3451D">
        <w:rPr>
          <w:rFonts w:cs="Arial"/>
        </w:rPr>
        <w:t xml:space="preserve"> </w:t>
      </w:r>
      <w:r w:rsidR="00B34688">
        <w:rPr>
          <w:rFonts w:cs="Arial"/>
        </w:rPr>
        <w:t xml:space="preserve">any further information </w:t>
      </w:r>
      <w:r w:rsidR="00CF0AC4">
        <w:rPr>
          <w:rFonts w:cs="Arial"/>
        </w:rPr>
        <w:t xml:space="preserve">to be </w:t>
      </w:r>
      <w:r w:rsidR="00B34688">
        <w:rPr>
          <w:rFonts w:cs="Arial"/>
        </w:rPr>
        <w:t>mandated.</w:t>
      </w:r>
    </w:p>
    <w:permEnd w:id="1403792818"/>
    <w:p w14:paraId="39F5288F" w14:textId="77777777" w:rsidR="00407232" w:rsidRDefault="00407232" w:rsidP="00407232">
      <w:pPr>
        <w:rPr>
          <w:rFonts w:cs="Arial"/>
        </w:rPr>
      </w:pPr>
      <w:r>
        <w:rPr>
          <w:rFonts w:cs="Arial"/>
        </w:rPr>
        <w:t>&lt;ESMA_QUESTION_LST_28&gt;</w:t>
      </w:r>
    </w:p>
    <w:p w14:paraId="0D21C24E" w14:textId="77777777" w:rsidR="00407232" w:rsidRDefault="00407232" w:rsidP="00407232">
      <w:pPr>
        <w:rPr>
          <w:rFonts w:cs="Arial"/>
        </w:rPr>
      </w:pPr>
    </w:p>
    <w:p w14:paraId="6327E155" w14:textId="77777777" w:rsidR="00407232" w:rsidRPr="00044459" w:rsidRDefault="00407232" w:rsidP="00407232">
      <w:pPr>
        <w:pStyle w:val="Questionstyle"/>
        <w:numPr>
          <w:ilvl w:val="0"/>
          <w:numId w:val="44"/>
        </w:numPr>
        <w:ind w:left="720"/>
      </w:pPr>
      <w:r>
        <w:lastRenderedPageBreak/>
        <w:t xml:space="preserve">: </w:t>
      </w:r>
      <w:r w:rsidRPr="00044459">
        <w:t>Do you have any views on how</w:t>
      </w:r>
      <w:r>
        <w:t xml:space="preserve"> manager</w:t>
      </w:r>
      <w:r w:rsidRPr="00044459">
        <w:t>s which delegate portfolio management can undertake robust LST, independently of the portfolio</w:t>
      </w:r>
      <w:r>
        <w:t xml:space="preserve"> manager</w:t>
      </w:r>
      <w:r w:rsidRPr="00044459">
        <w:t>, particularly when the</w:t>
      </w:r>
      <w:r>
        <w:t xml:space="preserve"> manager</w:t>
      </w:r>
      <w:r w:rsidRPr="00044459">
        <w:t xml:space="preserve"> does not face the market?  </w:t>
      </w:r>
    </w:p>
    <w:p w14:paraId="0BFC6029" w14:textId="77777777" w:rsidR="00407232" w:rsidRDefault="00407232" w:rsidP="00407232">
      <w:pPr>
        <w:rPr>
          <w:rFonts w:cs="Arial"/>
        </w:rPr>
      </w:pPr>
      <w:r>
        <w:rPr>
          <w:rFonts w:cs="Arial"/>
        </w:rPr>
        <w:t>&lt;ESMA_QUESTION_LST_29&gt;</w:t>
      </w:r>
    </w:p>
    <w:p w14:paraId="6C01B60C" w14:textId="2C7B7B3B" w:rsidR="00407232" w:rsidRDefault="00F036E6" w:rsidP="00407232">
      <w:pPr>
        <w:rPr>
          <w:rFonts w:cs="Arial"/>
        </w:rPr>
      </w:pPr>
      <w:permStart w:id="1124483521" w:edGrp="everyone"/>
      <w:r>
        <w:rPr>
          <w:rFonts w:cs="Arial"/>
        </w:rPr>
        <w:t xml:space="preserve">Even if delegating portfolio management, managers should </w:t>
      </w:r>
      <w:r w:rsidR="00666BBC" w:rsidRPr="00CF0AC4">
        <w:rPr>
          <w:rFonts w:cs="Arial"/>
        </w:rPr>
        <w:t>retain the necessary</w:t>
      </w:r>
      <w:r w:rsidR="00666BBC">
        <w:rPr>
          <w:rFonts w:cs="Arial"/>
        </w:rPr>
        <w:t xml:space="preserve"> </w:t>
      </w:r>
      <w:r>
        <w:rPr>
          <w:rFonts w:cs="Arial"/>
        </w:rPr>
        <w:t xml:space="preserve">expertise within their firms and access to </w:t>
      </w:r>
      <w:r w:rsidR="00B34688">
        <w:rPr>
          <w:rFonts w:cs="Arial"/>
        </w:rPr>
        <w:t xml:space="preserve">information on </w:t>
      </w:r>
      <w:r>
        <w:rPr>
          <w:rFonts w:cs="Arial"/>
        </w:rPr>
        <w:t xml:space="preserve">the portfolio and its composition and </w:t>
      </w:r>
      <w:r w:rsidR="00881B3E" w:rsidRPr="00CF0AC4">
        <w:rPr>
          <w:rFonts w:cs="Arial"/>
        </w:rPr>
        <w:t>should</w:t>
      </w:r>
      <w:r w:rsidR="00881B3E">
        <w:rPr>
          <w:rFonts w:cs="Arial"/>
        </w:rPr>
        <w:t xml:space="preserve"> </w:t>
      </w:r>
      <w:r>
        <w:rPr>
          <w:rFonts w:cs="Arial"/>
        </w:rPr>
        <w:t>therefore</w:t>
      </w:r>
      <w:r w:rsidR="00881B3E">
        <w:rPr>
          <w:rFonts w:cs="Arial"/>
        </w:rPr>
        <w:t xml:space="preserve"> </w:t>
      </w:r>
      <w:r w:rsidR="00881B3E" w:rsidRPr="00330634">
        <w:rPr>
          <w:rFonts w:cs="Arial"/>
        </w:rPr>
        <w:t>be</w:t>
      </w:r>
      <w:r w:rsidR="00D83E31" w:rsidRPr="00330634">
        <w:rPr>
          <w:rFonts w:cs="Arial"/>
        </w:rPr>
        <w:t xml:space="preserve"> able to</w:t>
      </w:r>
      <w:r>
        <w:rPr>
          <w:rFonts w:cs="Arial"/>
        </w:rPr>
        <w:t xml:space="preserve"> perform their own LST and challenge the portfolio manager, where appropriate.</w:t>
      </w:r>
    </w:p>
    <w:permEnd w:id="1124483521"/>
    <w:p w14:paraId="18B1CA32" w14:textId="77777777" w:rsidR="00407232" w:rsidRDefault="00407232" w:rsidP="00407232">
      <w:pPr>
        <w:rPr>
          <w:rFonts w:cs="Arial"/>
        </w:rPr>
      </w:pPr>
      <w:r>
        <w:rPr>
          <w:rFonts w:cs="Arial"/>
        </w:rPr>
        <w:t>&lt;ESMA_QUESTION_LST_29&gt;</w:t>
      </w:r>
    </w:p>
    <w:p w14:paraId="77A69FED" w14:textId="77777777" w:rsidR="00407232" w:rsidRDefault="00407232" w:rsidP="00407232">
      <w:pPr>
        <w:rPr>
          <w:rFonts w:cs="Arial"/>
        </w:rPr>
      </w:pPr>
    </w:p>
    <w:p w14:paraId="4E52370A" w14:textId="77777777" w:rsidR="00407232" w:rsidRPr="00044459" w:rsidRDefault="00407232" w:rsidP="00407232">
      <w:pPr>
        <w:pStyle w:val="Questionstyle"/>
        <w:numPr>
          <w:ilvl w:val="0"/>
          <w:numId w:val="44"/>
        </w:numPr>
        <w:ind w:left="720"/>
      </w:pPr>
      <w:r>
        <w:t xml:space="preserve">: </w:t>
      </w:r>
      <w:r w:rsidRPr="00044459">
        <w:t>Do you agree with the proposed Guideline for depositaries on carrying out their duties regarding LST?</w:t>
      </w:r>
    </w:p>
    <w:p w14:paraId="431662DC" w14:textId="77777777" w:rsidR="00407232" w:rsidRDefault="00407232" w:rsidP="00407232">
      <w:pPr>
        <w:rPr>
          <w:rFonts w:cs="Arial"/>
        </w:rPr>
      </w:pPr>
      <w:r>
        <w:rPr>
          <w:rFonts w:cs="Arial"/>
        </w:rPr>
        <w:t>&lt;ESMA_QUESTION_LST_30&gt;</w:t>
      </w:r>
    </w:p>
    <w:p w14:paraId="4CDB5ECC" w14:textId="7EEC7388" w:rsidR="00407232" w:rsidRDefault="00C772AB" w:rsidP="00407232">
      <w:pPr>
        <w:rPr>
          <w:rFonts w:cs="Arial"/>
        </w:rPr>
      </w:pPr>
      <w:permStart w:id="985795538" w:edGrp="everyone"/>
      <w:r w:rsidRPr="00502525">
        <w:rPr>
          <w:rFonts w:cs="Arial"/>
        </w:rPr>
        <w:t>W</w:t>
      </w:r>
      <w:r w:rsidR="00F036E6">
        <w:rPr>
          <w:rFonts w:cs="Arial"/>
        </w:rPr>
        <w:t>e agree that the depositaries’ function is that of oversight and that they should not be</w:t>
      </w:r>
      <w:r w:rsidR="00502525">
        <w:rPr>
          <w:rFonts w:cs="Arial"/>
        </w:rPr>
        <w:t xml:space="preserve"> </w:t>
      </w:r>
      <w:r w:rsidR="00F036E6">
        <w:rPr>
          <w:rFonts w:cs="Arial"/>
        </w:rPr>
        <w:t>perform</w:t>
      </w:r>
      <w:r w:rsidR="004960C4">
        <w:rPr>
          <w:rFonts w:cs="Arial"/>
        </w:rPr>
        <w:t>ing</w:t>
      </w:r>
      <w:r w:rsidR="00F036E6">
        <w:rPr>
          <w:rFonts w:cs="Arial"/>
        </w:rPr>
        <w:t xml:space="preserve"> LST themselves.</w:t>
      </w:r>
      <w:r w:rsidR="0065200E">
        <w:rPr>
          <w:rFonts w:cs="Arial"/>
        </w:rPr>
        <w:t xml:space="preserve"> </w:t>
      </w:r>
      <w:r w:rsidR="0065200E" w:rsidRPr="00330634">
        <w:rPr>
          <w:rFonts w:cs="Arial"/>
        </w:rPr>
        <w:t>The depositary can usefully ensure that a LST program is in place for the fund, but as liquidity management is the role and competency of the manager rather than the depositary, depositaries may not always retain the necessary capabilities to provide detailed challenge to managers on the specifics of their LST programs and should not be expected to.</w:t>
      </w:r>
      <w:r w:rsidR="003D13D4" w:rsidRPr="00330634">
        <w:rPr>
          <w:rFonts w:cs="Arial"/>
        </w:rPr>
        <w:t xml:space="preserve"> There should certainly be no expectation that depositaries should re-perform the LSTs themselves, perform their own LSTs</w:t>
      </w:r>
      <w:r w:rsidR="00C73967">
        <w:rPr>
          <w:rFonts w:cs="Arial"/>
        </w:rPr>
        <w:t xml:space="preserve"> or challenge the results of the fund manager’s LSTs</w:t>
      </w:r>
      <w:r w:rsidR="003D13D4" w:rsidRPr="00330634">
        <w:rPr>
          <w:rFonts w:cs="Arial"/>
        </w:rPr>
        <w:t>.</w:t>
      </w:r>
      <w:r w:rsidR="003D13D4">
        <w:rPr>
          <w:rFonts w:cs="Arial"/>
          <w:u w:val="single"/>
        </w:rPr>
        <w:t xml:space="preserve"> </w:t>
      </w:r>
      <w:r w:rsidR="0065200E">
        <w:rPr>
          <w:rFonts w:cs="Arial"/>
        </w:rPr>
        <w:t xml:space="preserve"> </w:t>
      </w:r>
    </w:p>
    <w:permEnd w:id="985795538"/>
    <w:p w14:paraId="16D09FE3" w14:textId="77777777" w:rsidR="00407232" w:rsidRDefault="00407232" w:rsidP="00407232">
      <w:pPr>
        <w:rPr>
          <w:rFonts w:cs="Arial"/>
        </w:rPr>
      </w:pPr>
      <w:r>
        <w:rPr>
          <w:rFonts w:cs="Arial"/>
        </w:rPr>
        <w:t>&lt;ESMA_QUESTION_LST_30&gt;</w:t>
      </w:r>
    </w:p>
    <w:p w14:paraId="5C9290E5" w14:textId="77777777" w:rsidR="00407232" w:rsidRDefault="00407232" w:rsidP="00407232">
      <w:pPr>
        <w:rPr>
          <w:rFonts w:cs="Arial"/>
        </w:rPr>
      </w:pPr>
    </w:p>
    <w:p w14:paraId="7DCD7B54" w14:textId="77777777" w:rsidR="00407232" w:rsidRPr="00044459" w:rsidRDefault="00407232" w:rsidP="00407232">
      <w:pPr>
        <w:pStyle w:val="Questionstyle"/>
        <w:numPr>
          <w:ilvl w:val="0"/>
          <w:numId w:val="44"/>
        </w:numPr>
        <w:ind w:left="720"/>
      </w:pPr>
      <w:r>
        <w:t xml:space="preserve">: </w:t>
      </w:r>
      <w:r w:rsidRPr="00044459">
        <w:t>In your experience do depositaries review the UCITS RMP and AIF RMP as a matter of course?</w:t>
      </w:r>
    </w:p>
    <w:p w14:paraId="4F01330F" w14:textId="77777777" w:rsidR="00407232" w:rsidRDefault="00407232" w:rsidP="00407232">
      <w:pPr>
        <w:rPr>
          <w:rFonts w:cs="Arial"/>
        </w:rPr>
      </w:pPr>
      <w:r>
        <w:rPr>
          <w:rFonts w:cs="Arial"/>
        </w:rPr>
        <w:t>&lt;ESMA_QUESTION_LST_31&gt;</w:t>
      </w:r>
    </w:p>
    <w:p w14:paraId="7C10B5DD" w14:textId="256C9513" w:rsidR="00407232" w:rsidRDefault="00283C84" w:rsidP="00407232">
      <w:pPr>
        <w:rPr>
          <w:rFonts w:cs="Arial"/>
        </w:rPr>
      </w:pPr>
      <w:permStart w:id="819552036" w:edGrp="everyone"/>
      <w:r>
        <w:rPr>
          <w:rFonts w:cs="Arial"/>
        </w:rPr>
        <w:t>In the experience of IA member firms, depositaries require the UCITS RMP and AIF RMP annually and where there has been a significant update.</w:t>
      </w:r>
    </w:p>
    <w:p w14:paraId="5ADE83A1" w14:textId="77777777" w:rsidR="00283C84" w:rsidRDefault="00283C84" w:rsidP="00407232">
      <w:pPr>
        <w:rPr>
          <w:rFonts w:cs="Arial"/>
        </w:rPr>
      </w:pPr>
    </w:p>
    <w:p w14:paraId="5C59D0E0" w14:textId="4D35A5B5" w:rsidR="00283C84" w:rsidRDefault="00283C84" w:rsidP="00407232">
      <w:pPr>
        <w:rPr>
          <w:rFonts w:cs="Arial"/>
        </w:rPr>
      </w:pPr>
      <w:r>
        <w:rPr>
          <w:rFonts w:cs="Arial"/>
        </w:rPr>
        <w:t xml:space="preserve">Depositaries </w:t>
      </w:r>
      <w:r w:rsidR="002B3332" w:rsidRPr="00330634">
        <w:rPr>
          <w:rFonts w:cs="Arial"/>
        </w:rPr>
        <w:t>in the UK regularly</w:t>
      </w:r>
      <w:r w:rsidR="002B3332">
        <w:rPr>
          <w:rFonts w:cs="Arial"/>
        </w:rPr>
        <w:t xml:space="preserve"> </w:t>
      </w:r>
      <w:r>
        <w:rPr>
          <w:rFonts w:cs="Arial"/>
        </w:rPr>
        <w:t>comment on the content of RMPs</w:t>
      </w:r>
      <w:r w:rsidR="002B3332">
        <w:rPr>
          <w:rFonts w:cs="Arial"/>
        </w:rPr>
        <w:t xml:space="preserve"> </w:t>
      </w:r>
      <w:r w:rsidR="002B3332" w:rsidRPr="00330634">
        <w:rPr>
          <w:rFonts w:cs="Arial"/>
        </w:rPr>
        <w:t>from a perspective of oversight</w:t>
      </w:r>
      <w:r w:rsidR="002B3332">
        <w:rPr>
          <w:rFonts w:cs="Arial"/>
        </w:rPr>
        <w:t>.</w:t>
      </w:r>
      <w:r>
        <w:rPr>
          <w:rFonts w:cs="Arial"/>
        </w:rPr>
        <w:t xml:space="preserve"> </w:t>
      </w:r>
      <w:r w:rsidR="002B3332">
        <w:rPr>
          <w:rFonts w:cs="Arial"/>
        </w:rPr>
        <w:t>O</w:t>
      </w:r>
      <w:r>
        <w:rPr>
          <w:rFonts w:cs="Arial"/>
        </w:rPr>
        <w:t>ften questions are based on certain actual events that have occurred since the last review, why the manager behaved as they did and how they challenged portfolio managers.</w:t>
      </w:r>
    </w:p>
    <w:permEnd w:id="819552036"/>
    <w:p w14:paraId="281DE350" w14:textId="77777777" w:rsidR="00407232" w:rsidRDefault="00407232" w:rsidP="00407232">
      <w:pPr>
        <w:rPr>
          <w:rFonts w:cs="Arial"/>
        </w:rPr>
      </w:pPr>
      <w:r>
        <w:rPr>
          <w:rFonts w:cs="Arial"/>
        </w:rPr>
        <w:t>&lt;ESMA_QUESTION_LST_31&gt;</w:t>
      </w:r>
    </w:p>
    <w:p w14:paraId="1DA629A3" w14:textId="77777777" w:rsidR="00407232" w:rsidRDefault="00407232" w:rsidP="00407232">
      <w:pPr>
        <w:rPr>
          <w:rFonts w:cs="Arial"/>
        </w:rPr>
      </w:pPr>
    </w:p>
    <w:p w14:paraId="0A982730" w14:textId="77777777" w:rsidR="00407232" w:rsidRPr="00044459" w:rsidRDefault="00407232" w:rsidP="00407232">
      <w:pPr>
        <w:pStyle w:val="Questionstyle"/>
        <w:numPr>
          <w:ilvl w:val="0"/>
          <w:numId w:val="44"/>
        </w:numPr>
        <w:ind w:left="720"/>
      </w:pPr>
      <w:r>
        <w:lastRenderedPageBreak/>
        <w:t xml:space="preserve">: </w:t>
      </w:r>
      <w:r w:rsidRPr="00044459">
        <w:t xml:space="preserve">Do you see merit in ESMA publishing further guidance on the reporting of results of </w:t>
      </w:r>
      <w:r>
        <w:t xml:space="preserve">liquidity </w:t>
      </w:r>
      <w:r w:rsidRPr="00044459">
        <w:t>stress tests? If so, in your view how should ESMA require that results be reported?</w:t>
      </w:r>
    </w:p>
    <w:p w14:paraId="0A240F2B" w14:textId="77777777" w:rsidR="00407232" w:rsidRDefault="00407232" w:rsidP="00407232">
      <w:pPr>
        <w:rPr>
          <w:rFonts w:cs="Arial"/>
        </w:rPr>
      </w:pPr>
      <w:r>
        <w:rPr>
          <w:rFonts w:cs="Arial"/>
        </w:rPr>
        <w:t>&lt;ESMA_QUESTION_LST_32&gt;</w:t>
      </w:r>
    </w:p>
    <w:p w14:paraId="246696FA" w14:textId="0F88D30E" w:rsidR="00407232" w:rsidRDefault="00EE1ACA" w:rsidP="00407232">
      <w:pPr>
        <w:rPr>
          <w:rFonts w:cs="Arial"/>
        </w:rPr>
      </w:pPr>
      <w:permStart w:id="244857125" w:edGrp="everyone"/>
      <w:r w:rsidRPr="00330634">
        <w:rPr>
          <w:rFonts w:cs="Arial"/>
        </w:rPr>
        <w:t>Ov</w:t>
      </w:r>
      <w:r w:rsidR="00330634" w:rsidRPr="00330634">
        <w:rPr>
          <w:rFonts w:cs="Arial"/>
        </w:rPr>
        <w:t>erall we believe the principles-</w:t>
      </w:r>
      <w:r w:rsidRPr="00330634">
        <w:rPr>
          <w:rFonts w:cs="Arial"/>
        </w:rPr>
        <w:t xml:space="preserve">based guidance proposed by ESMA is the right approach </w:t>
      </w:r>
      <w:r w:rsidR="000B50D6" w:rsidRPr="00330634">
        <w:rPr>
          <w:rFonts w:cs="Arial"/>
        </w:rPr>
        <w:t xml:space="preserve">to achieve harmonisation of LST </w:t>
      </w:r>
      <w:r w:rsidR="00401CD9" w:rsidRPr="00330634">
        <w:rPr>
          <w:rFonts w:cs="Arial"/>
        </w:rPr>
        <w:t xml:space="preserve">practices across Member States </w:t>
      </w:r>
      <w:r w:rsidRPr="00330634">
        <w:rPr>
          <w:rFonts w:cs="Arial"/>
        </w:rPr>
        <w:t>and we do not see</w:t>
      </w:r>
      <w:r>
        <w:rPr>
          <w:rFonts w:cs="Arial"/>
          <w:u w:val="single"/>
        </w:rPr>
        <w:t xml:space="preserve"> </w:t>
      </w:r>
      <w:r w:rsidR="00283C84">
        <w:rPr>
          <w:rFonts w:cs="Arial"/>
        </w:rPr>
        <w:t>that there is merit in ESMA publishing further guidance</w:t>
      </w:r>
      <w:r w:rsidR="00401CD9">
        <w:rPr>
          <w:rFonts w:cs="Arial"/>
        </w:rPr>
        <w:t xml:space="preserve"> </w:t>
      </w:r>
      <w:r w:rsidR="00401CD9" w:rsidRPr="00330634">
        <w:rPr>
          <w:rFonts w:cs="Arial"/>
        </w:rPr>
        <w:t>at this point</w:t>
      </w:r>
      <w:r w:rsidR="00283C84">
        <w:rPr>
          <w:rFonts w:cs="Arial"/>
        </w:rPr>
        <w:t>.  The IA considers that the reporting of results and its methodology would be best determined by individual National Competent Authorities.</w:t>
      </w:r>
    </w:p>
    <w:permEnd w:id="244857125"/>
    <w:p w14:paraId="0EBAAAB2" w14:textId="77777777" w:rsidR="00407232" w:rsidRDefault="00407232" w:rsidP="00407232">
      <w:pPr>
        <w:rPr>
          <w:rFonts w:cs="Arial"/>
        </w:rPr>
      </w:pPr>
      <w:r>
        <w:rPr>
          <w:rFonts w:cs="Arial"/>
        </w:rPr>
        <w:t>&lt;ESMA_QUESTION_LST_32&gt;</w:t>
      </w:r>
    </w:p>
    <w:p w14:paraId="2A333925" w14:textId="77777777" w:rsidR="00407232" w:rsidRDefault="00407232" w:rsidP="00407232">
      <w:pPr>
        <w:rPr>
          <w:rFonts w:cs="Arial"/>
        </w:rPr>
      </w:pPr>
    </w:p>
    <w:p w14:paraId="0A24090D" w14:textId="77777777" w:rsidR="00407232" w:rsidRPr="007B52B2" w:rsidRDefault="00407232" w:rsidP="00407232">
      <w:pPr>
        <w:rPr>
          <w:rFonts w:cs="Arial"/>
        </w:rPr>
      </w:pPr>
    </w:p>
    <w:p w14:paraId="6A3CB0E1" w14:textId="3AFB523F" w:rsidR="00820CBA" w:rsidRPr="00820CBA" w:rsidRDefault="00820CBA" w:rsidP="00407232">
      <w:pPr>
        <w:pStyle w:val="Questionstyle"/>
        <w:ind w:left="720"/>
      </w:pPr>
    </w:p>
    <w:sectPr w:rsidR="00820CBA" w:rsidRPr="00820CBA"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07C7A" w14:textId="77777777" w:rsidR="00753155" w:rsidRDefault="00753155">
      <w:r>
        <w:separator/>
      </w:r>
    </w:p>
    <w:p w14:paraId="43243401" w14:textId="77777777" w:rsidR="00753155" w:rsidRDefault="00753155"/>
  </w:endnote>
  <w:endnote w:type="continuationSeparator" w:id="0">
    <w:p w14:paraId="1A5C538A" w14:textId="77777777" w:rsidR="00753155" w:rsidRDefault="00753155">
      <w:r>
        <w:continuationSeparator/>
      </w:r>
    </w:p>
    <w:p w14:paraId="62FD9A37" w14:textId="77777777" w:rsidR="00753155" w:rsidRDefault="00753155"/>
  </w:endnote>
  <w:endnote w:type="continuationNotice" w:id="1">
    <w:p w14:paraId="6FC72FA9" w14:textId="77777777" w:rsidR="00753155" w:rsidRDefault="00753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Cambria"/>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E4AF6" w:rsidRPr="00616B9B" w14:paraId="6A3CB0EF" w14:textId="77777777" w:rsidTr="00315E96">
      <w:trPr>
        <w:trHeight w:val="284"/>
      </w:trPr>
      <w:tc>
        <w:tcPr>
          <w:tcW w:w="8460" w:type="dxa"/>
        </w:tcPr>
        <w:p w14:paraId="6A3CB0ED" w14:textId="77777777" w:rsidR="008E4AF6" w:rsidRPr="00315E96" w:rsidRDefault="008E4AF6" w:rsidP="00315E96">
          <w:pPr>
            <w:pStyle w:val="00Footer"/>
            <w:rPr>
              <w:lang w:val="fr-FR"/>
            </w:rPr>
          </w:pPr>
        </w:p>
      </w:tc>
      <w:tc>
        <w:tcPr>
          <w:tcW w:w="952" w:type="dxa"/>
        </w:tcPr>
        <w:p w14:paraId="6A3CB0EE" w14:textId="563C06FA" w:rsidR="008E4AF6" w:rsidRPr="00616B9B" w:rsidRDefault="008E4AF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F62B0">
            <w:rPr>
              <w:rFonts w:cs="Arial"/>
              <w:noProof/>
              <w:sz w:val="22"/>
              <w:szCs w:val="22"/>
            </w:rPr>
            <w:t>3</w:t>
          </w:r>
          <w:r w:rsidRPr="00616B9B">
            <w:rPr>
              <w:rFonts w:cs="Arial"/>
              <w:noProof/>
              <w:sz w:val="22"/>
              <w:szCs w:val="22"/>
            </w:rPr>
            <w:fldChar w:fldCharType="end"/>
          </w:r>
        </w:p>
      </w:tc>
    </w:tr>
  </w:tbl>
  <w:p w14:paraId="6A3CB0F0" w14:textId="77777777" w:rsidR="008E4AF6" w:rsidRDefault="008E4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8E4AF6" w:rsidRDefault="008E4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FDB09" w14:textId="77777777" w:rsidR="00753155" w:rsidRDefault="00753155">
      <w:r>
        <w:separator/>
      </w:r>
    </w:p>
    <w:p w14:paraId="4802D0F2" w14:textId="77777777" w:rsidR="00753155" w:rsidRDefault="00753155"/>
  </w:footnote>
  <w:footnote w:type="continuationSeparator" w:id="0">
    <w:p w14:paraId="12A78736" w14:textId="77777777" w:rsidR="00753155" w:rsidRDefault="00753155">
      <w:r>
        <w:continuationSeparator/>
      </w:r>
    </w:p>
    <w:p w14:paraId="3FFAEE4C" w14:textId="77777777" w:rsidR="00753155" w:rsidRDefault="00753155"/>
  </w:footnote>
  <w:footnote w:type="continuationNotice" w:id="1">
    <w:p w14:paraId="1895F868" w14:textId="77777777" w:rsidR="00753155" w:rsidRDefault="00753155"/>
  </w:footnote>
  <w:footnote w:id="2">
    <w:p w14:paraId="644BD911" w14:textId="68E2A843" w:rsidR="008E4AF6" w:rsidRDefault="008E4AF6">
      <w:pPr>
        <w:pStyle w:val="FootnoteText"/>
      </w:pPr>
      <w:r>
        <w:rPr>
          <w:rStyle w:val="FootnoteReference"/>
        </w:rPr>
        <w:footnoteRef/>
      </w:r>
      <w:r>
        <w:t xml:space="preserve"> The IA champions UK investment management, a world-leading industry which helps millions of households save for the future while supporting businesses and economic growth in the UK and abroad.  Our 250 members range from smaller, specialist UK firms to European and global investment managers with a UK base.  Collectively, they manage nearly £7.7 trillion for savers and institutions, such as pension schemes and insurance companies, in the UK and beyond.  More information can be viewed on our </w:t>
      </w:r>
      <w:hyperlink r:id="rId1" w:history="1">
        <w:r w:rsidRPr="00446422">
          <w:rPr>
            <w:rStyle w:val="Hyperlink"/>
          </w:rPr>
          <w:t>website</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77777777" w:rsidR="008E4AF6" w:rsidRDefault="008E4AF6">
    <w:pPr>
      <w:pStyle w:val="Header"/>
    </w:pPr>
    <w:r>
      <w:rPr>
        <w:noProof/>
        <w:lang w:eastAsia="en-GB"/>
      </w:rPr>
      <w:drawing>
        <wp:anchor distT="0" distB="0" distL="114300" distR="114300" simplePos="0" relativeHeight="251658240" behindDoc="0" locked="0" layoutInCell="1" allowOverlap="1" wp14:anchorId="6A3CB101" wp14:editId="6A3CB10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6A3CB103" wp14:editId="6A3CB104">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9963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77777777" w:rsidR="008E4AF6" w:rsidRDefault="008E4AF6" w:rsidP="00013CCE">
    <w:pPr>
      <w:pStyle w:val="Header"/>
      <w:jc w:val="right"/>
    </w:pPr>
    <w:r>
      <w:rPr>
        <w:noProof/>
        <w:lang w:eastAsia="en-GB"/>
      </w:rPr>
      <w:drawing>
        <wp:anchor distT="0" distB="0" distL="114300" distR="114300" simplePos="0" relativeHeight="251657216" behindDoc="0" locked="0" layoutInCell="1" allowOverlap="1" wp14:anchorId="6A3CB105" wp14:editId="6A3CB10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6A3CB107" wp14:editId="6A3CB10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8E4AF6" w:rsidRDefault="008E4AF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E4AF6" w:rsidRPr="002F4496" w14:paraId="6A3CB0F5" w14:textId="77777777" w:rsidTr="000C06C9">
      <w:trPr>
        <w:trHeight w:val="284"/>
      </w:trPr>
      <w:tc>
        <w:tcPr>
          <w:tcW w:w="8460" w:type="dxa"/>
        </w:tcPr>
        <w:p w14:paraId="6A3CB0F3" w14:textId="77777777" w:rsidR="008E4AF6" w:rsidRPr="000C3B6D" w:rsidRDefault="008E4AF6" w:rsidP="000C06C9">
          <w:pPr>
            <w:pStyle w:val="00Footer"/>
            <w:rPr>
              <w:lang w:val="fr-FR"/>
            </w:rPr>
          </w:pPr>
        </w:p>
      </w:tc>
      <w:tc>
        <w:tcPr>
          <w:tcW w:w="952" w:type="dxa"/>
        </w:tcPr>
        <w:p w14:paraId="6A3CB0F4" w14:textId="77777777" w:rsidR="008E4AF6" w:rsidRPr="00146B34" w:rsidRDefault="008E4AF6" w:rsidP="000C06C9">
          <w:pPr>
            <w:pStyle w:val="00aPagenumber"/>
            <w:rPr>
              <w:lang w:val="fr-FR"/>
            </w:rPr>
          </w:pPr>
        </w:p>
      </w:tc>
    </w:tr>
  </w:tbl>
  <w:p w14:paraId="6A3CB0F6" w14:textId="77777777" w:rsidR="008E4AF6" w:rsidRPr="00DB46C3" w:rsidRDefault="008E4AF6">
    <w:pPr>
      <w:rPr>
        <w:lang w:val="fr-FR"/>
      </w:rPr>
    </w:pPr>
  </w:p>
  <w:p w14:paraId="6A3CB0F7" w14:textId="77777777" w:rsidR="008E4AF6" w:rsidRPr="002F4496" w:rsidRDefault="008E4AF6">
    <w:pPr>
      <w:pStyle w:val="Header"/>
      <w:rPr>
        <w:lang w:val="fr-FR"/>
      </w:rPr>
    </w:pPr>
  </w:p>
  <w:p w14:paraId="6A3CB0F8" w14:textId="77777777" w:rsidR="008E4AF6" w:rsidRPr="002F4496" w:rsidRDefault="008E4AF6" w:rsidP="000C06C9">
    <w:pPr>
      <w:pStyle w:val="Header"/>
      <w:tabs>
        <w:tab w:val="clear" w:pos="4536"/>
        <w:tab w:val="clear" w:pos="9072"/>
        <w:tab w:val="left" w:pos="8227"/>
      </w:tabs>
      <w:rPr>
        <w:lang w:val="fr-FR"/>
      </w:rPr>
    </w:pPr>
  </w:p>
  <w:p w14:paraId="6A3CB0F9" w14:textId="77777777" w:rsidR="008E4AF6" w:rsidRPr="002F4496" w:rsidRDefault="008E4AF6" w:rsidP="000C06C9">
    <w:pPr>
      <w:pStyle w:val="Header"/>
      <w:tabs>
        <w:tab w:val="clear" w:pos="4536"/>
        <w:tab w:val="clear" w:pos="9072"/>
        <w:tab w:val="left" w:pos="8227"/>
      </w:tabs>
      <w:rPr>
        <w:lang w:val="fr-FR"/>
      </w:rPr>
    </w:pPr>
  </w:p>
  <w:p w14:paraId="6A3CB0FA" w14:textId="77777777" w:rsidR="008E4AF6" w:rsidRPr="002F4496" w:rsidRDefault="008E4AF6">
    <w:pPr>
      <w:pStyle w:val="Header"/>
      <w:rPr>
        <w:lang w:val="fr-FR"/>
      </w:rPr>
    </w:pPr>
  </w:p>
  <w:p w14:paraId="6A3CB0FB" w14:textId="77777777" w:rsidR="008E4AF6" w:rsidRPr="002F4496" w:rsidRDefault="008E4AF6">
    <w:pPr>
      <w:pStyle w:val="Header"/>
      <w:rPr>
        <w:lang w:val="fr-FR"/>
      </w:rPr>
    </w:pPr>
  </w:p>
  <w:p w14:paraId="6A3CB0FC" w14:textId="77777777" w:rsidR="008E4AF6" w:rsidRPr="002F4496" w:rsidRDefault="008E4AF6">
    <w:pPr>
      <w:pStyle w:val="Header"/>
      <w:rPr>
        <w:lang w:val="fr-FR"/>
      </w:rPr>
    </w:pPr>
  </w:p>
  <w:p w14:paraId="6A3CB0FD" w14:textId="77777777" w:rsidR="008E4AF6" w:rsidRPr="002F4496" w:rsidRDefault="008E4AF6">
    <w:pPr>
      <w:pStyle w:val="Header"/>
      <w:rPr>
        <w:lang w:val="fr-FR"/>
      </w:rPr>
    </w:pPr>
  </w:p>
  <w:p w14:paraId="6A3CB0FE" w14:textId="77777777" w:rsidR="008E4AF6" w:rsidRPr="002F4496" w:rsidRDefault="008E4AF6">
    <w:pPr>
      <w:pStyle w:val="Header"/>
      <w:rPr>
        <w:highlight w:val="yellow"/>
        <w:lang w:val="fr-FR"/>
      </w:rPr>
    </w:pPr>
  </w:p>
  <w:p w14:paraId="6A3CB0FF" w14:textId="77777777" w:rsidR="008E4AF6" w:rsidRDefault="008E4AF6">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C3D52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6A3CB10B" wp14:editId="6A3CB10C">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042FC2"/>
    <w:multiLevelType w:val="hybridMultilevel"/>
    <w:tmpl w:val="BF24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2"/>
  </w:num>
  <w:num w:numId="4">
    <w:abstractNumId w:val="27"/>
  </w:num>
  <w:num w:numId="5">
    <w:abstractNumId w:val="30"/>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5"/>
  </w:num>
  <w:num w:numId="15">
    <w:abstractNumId w:val="8"/>
  </w:num>
  <w:num w:numId="16">
    <w:abstractNumId w:val="1"/>
  </w:num>
  <w:num w:numId="17">
    <w:abstractNumId w:val="15"/>
  </w:num>
  <w:num w:numId="18">
    <w:abstractNumId w:val="16"/>
  </w:num>
  <w:num w:numId="19">
    <w:abstractNumId w:val="19"/>
  </w:num>
  <w:num w:numId="20">
    <w:abstractNumId w:val="31"/>
  </w:num>
  <w:num w:numId="21">
    <w:abstractNumId w:val="41"/>
  </w:num>
  <w:num w:numId="22">
    <w:abstractNumId w:val="29"/>
  </w:num>
  <w:num w:numId="23">
    <w:abstractNumId w:val="7"/>
  </w:num>
  <w:num w:numId="24">
    <w:abstractNumId w:val="34"/>
  </w:num>
  <w:num w:numId="25">
    <w:abstractNumId w:val="33"/>
  </w:num>
  <w:num w:numId="26">
    <w:abstractNumId w:val="22"/>
  </w:num>
  <w:num w:numId="27">
    <w:abstractNumId w:val="38"/>
  </w:num>
  <w:num w:numId="28">
    <w:abstractNumId w:val="43"/>
  </w:num>
  <w:num w:numId="29">
    <w:abstractNumId w:val="5"/>
  </w:num>
  <w:num w:numId="30">
    <w:abstractNumId w:val="2"/>
  </w:num>
  <w:num w:numId="31">
    <w:abstractNumId w:val="24"/>
  </w:num>
  <w:num w:numId="32">
    <w:abstractNumId w:val="23"/>
  </w:num>
  <w:num w:numId="33">
    <w:abstractNumId w:val="40"/>
  </w:num>
  <w:num w:numId="34">
    <w:abstractNumId w:val="39"/>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6"/>
  </w:num>
  <w:num w:numId="39">
    <w:abstractNumId w:val="13"/>
  </w:num>
  <w:num w:numId="40">
    <w:abstractNumId w:val="10"/>
  </w:num>
  <w:num w:numId="41">
    <w:abstractNumId w:val="20"/>
  </w:num>
  <w:num w:numId="42">
    <w:abstractNumId w:val="37"/>
  </w:num>
  <w:num w:numId="43">
    <w:abstractNumId w:val="28"/>
  </w:num>
  <w:num w:numId="44">
    <w:abstractNumId w:val="28"/>
    <w:lvlOverride w:ilvl="0">
      <w:startOverride w:val="1"/>
    </w:lvlOverride>
  </w:num>
  <w:num w:numId="45">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nAv0NZN8uliW6zjbGQUF4kiNzPHba5TDGW6BktmOUHRWRt3QzWhBPwG2mA2B0iHYMakvh1tDqA7jPGSz8JghEQ==" w:salt="2XYAEhWJzU+WWmRo86uxPA=="/>
  <w:defaultTabStop w:val="709"/>
  <w:autoHyphenation/>
  <w:hyphenationZone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0D5A"/>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31B4"/>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632"/>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2EE5"/>
    <w:rsid w:val="000A358F"/>
    <w:rsid w:val="000A43CC"/>
    <w:rsid w:val="000A58BE"/>
    <w:rsid w:val="000A7314"/>
    <w:rsid w:val="000A7B53"/>
    <w:rsid w:val="000A7B64"/>
    <w:rsid w:val="000A7D5F"/>
    <w:rsid w:val="000B145F"/>
    <w:rsid w:val="000B275C"/>
    <w:rsid w:val="000B2C3D"/>
    <w:rsid w:val="000B31F1"/>
    <w:rsid w:val="000B50D6"/>
    <w:rsid w:val="000B55C0"/>
    <w:rsid w:val="000B5DF2"/>
    <w:rsid w:val="000B6279"/>
    <w:rsid w:val="000C06C9"/>
    <w:rsid w:val="000C190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695A"/>
    <w:rsid w:val="000E7086"/>
    <w:rsid w:val="000E7C65"/>
    <w:rsid w:val="000F04D2"/>
    <w:rsid w:val="000F1762"/>
    <w:rsid w:val="000F55B7"/>
    <w:rsid w:val="000F604F"/>
    <w:rsid w:val="000F7399"/>
    <w:rsid w:val="00101524"/>
    <w:rsid w:val="001027F1"/>
    <w:rsid w:val="00104F2E"/>
    <w:rsid w:val="0010533D"/>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486"/>
    <w:rsid w:val="00151907"/>
    <w:rsid w:val="001544C8"/>
    <w:rsid w:val="00155FAB"/>
    <w:rsid w:val="001567A1"/>
    <w:rsid w:val="00156857"/>
    <w:rsid w:val="00156A87"/>
    <w:rsid w:val="00156EC0"/>
    <w:rsid w:val="0015764F"/>
    <w:rsid w:val="00157E79"/>
    <w:rsid w:val="00157EED"/>
    <w:rsid w:val="001603B9"/>
    <w:rsid w:val="0016087A"/>
    <w:rsid w:val="00160A5C"/>
    <w:rsid w:val="001613EC"/>
    <w:rsid w:val="0016358A"/>
    <w:rsid w:val="001638D4"/>
    <w:rsid w:val="00164664"/>
    <w:rsid w:val="00164F15"/>
    <w:rsid w:val="001651A4"/>
    <w:rsid w:val="0016552B"/>
    <w:rsid w:val="00166A57"/>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36AC"/>
    <w:rsid w:val="001843B5"/>
    <w:rsid w:val="00185C15"/>
    <w:rsid w:val="00186829"/>
    <w:rsid w:val="001868CA"/>
    <w:rsid w:val="00187011"/>
    <w:rsid w:val="00187304"/>
    <w:rsid w:val="001875BE"/>
    <w:rsid w:val="0019017A"/>
    <w:rsid w:val="00190B8C"/>
    <w:rsid w:val="00190FF8"/>
    <w:rsid w:val="0019311A"/>
    <w:rsid w:val="0019490B"/>
    <w:rsid w:val="0019508A"/>
    <w:rsid w:val="00195BFF"/>
    <w:rsid w:val="001960D8"/>
    <w:rsid w:val="0019757A"/>
    <w:rsid w:val="001A1080"/>
    <w:rsid w:val="001A117F"/>
    <w:rsid w:val="001A1642"/>
    <w:rsid w:val="001A371B"/>
    <w:rsid w:val="001A4766"/>
    <w:rsid w:val="001A54FA"/>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6817"/>
    <w:rsid w:val="001C6D6D"/>
    <w:rsid w:val="001D000A"/>
    <w:rsid w:val="001D0883"/>
    <w:rsid w:val="001D1FFD"/>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E7E06"/>
    <w:rsid w:val="001F0F63"/>
    <w:rsid w:val="001F3996"/>
    <w:rsid w:val="001F44A4"/>
    <w:rsid w:val="001F579D"/>
    <w:rsid w:val="001F65EF"/>
    <w:rsid w:val="001F697B"/>
    <w:rsid w:val="002005A6"/>
    <w:rsid w:val="00204CBC"/>
    <w:rsid w:val="002051F1"/>
    <w:rsid w:val="002067BA"/>
    <w:rsid w:val="00210291"/>
    <w:rsid w:val="0021058D"/>
    <w:rsid w:val="00210E59"/>
    <w:rsid w:val="00211E2F"/>
    <w:rsid w:val="00211E9E"/>
    <w:rsid w:val="00214FB4"/>
    <w:rsid w:val="00215940"/>
    <w:rsid w:val="00216573"/>
    <w:rsid w:val="00217C23"/>
    <w:rsid w:val="002203FA"/>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1F01"/>
    <w:rsid w:val="00252843"/>
    <w:rsid w:val="0025393C"/>
    <w:rsid w:val="002543F8"/>
    <w:rsid w:val="00254C9E"/>
    <w:rsid w:val="002550C2"/>
    <w:rsid w:val="002551A4"/>
    <w:rsid w:val="002559F3"/>
    <w:rsid w:val="00256DFE"/>
    <w:rsid w:val="00261D56"/>
    <w:rsid w:val="00261FD3"/>
    <w:rsid w:val="00264077"/>
    <w:rsid w:val="00266B9A"/>
    <w:rsid w:val="00270E54"/>
    <w:rsid w:val="00273681"/>
    <w:rsid w:val="002754B5"/>
    <w:rsid w:val="00275B5A"/>
    <w:rsid w:val="002764C5"/>
    <w:rsid w:val="002772AE"/>
    <w:rsid w:val="00280613"/>
    <w:rsid w:val="0028274D"/>
    <w:rsid w:val="00282B96"/>
    <w:rsid w:val="00282DFB"/>
    <w:rsid w:val="002833D6"/>
    <w:rsid w:val="00283C84"/>
    <w:rsid w:val="00283F51"/>
    <w:rsid w:val="00284057"/>
    <w:rsid w:val="00286064"/>
    <w:rsid w:val="002867B1"/>
    <w:rsid w:val="00287BBB"/>
    <w:rsid w:val="00287E3B"/>
    <w:rsid w:val="00290638"/>
    <w:rsid w:val="00291763"/>
    <w:rsid w:val="00291D80"/>
    <w:rsid w:val="00293156"/>
    <w:rsid w:val="00293BE7"/>
    <w:rsid w:val="00293E82"/>
    <w:rsid w:val="002946DC"/>
    <w:rsid w:val="00294F5E"/>
    <w:rsid w:val="00296005"/>
    <w:rsid w:val="002A0C82"/>
    <w:rsid w:val="002A0CD8"/>
    <w:rsid w:val="002A13EB"/>
    <w:rsid w:val="002A35EF"/>
    <w:rsid w:val="002A3DE0"/>
    <w:rsid w:val="002A40EA"/>
    <w:rsid w:val="002A46E8"/>
    <w:rsid w:val="002A491C"/>
    <w:rsid w:val="002B1FEF"/>
    <w:rsid w:val="002B2DF8"/>
    <w:rsid w:val="002B3332"/>
    <w:rsid w:val="002B3472"/>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0630"/>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833"/>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0634"/>
    <w:rsid w:val="0033194F"/>
    <w:rsid w:val="00332304"/>
    <w:rsid w:val="00332406"/>
    <w:rsid w:val="00332D8D"/>
    <w:rsid w:val="00336B56"/>
    <w:rsid w:val="00341B25"/>
    <w:rsid w:val="00341EC0"/>
    <w:rsid w:val="0034240C"/>
    <w:rsid w:val="00344496"/>
    <w:rsid w:val="00345968"/>
    <w:rsid w:val="00347667"/>
    <w:rsid w:val="00347E3B"/>
    <w:rsid w:val="003507E2"/>
    <w:rsid w:val="003522B2"/>
    <w:rsid w:val="0035455E"/>
    <w:rsid w:val="00354A6F"/>
    <w:rsid w:val="00354B48"/>
    <w:rsid w:val="00355789"/>
    <w:rsid w:val="003557F4"/>
    <w:rsid w:val="00357C60"/>
    <w:rsid w:val="003609B6"/>
    <w:rsid w:val="00361119"/>
    <w:rsid w:val="00361DFE"/>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353D"/>
    <w:rsid w:val="00394CE6"/>
    <w:rsid w:val="00395E7B"/>
    <w:rsid w:val="00395F4C"/>
    <w:rsid w:val="003A15E4"/>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89B"/>
    <w:rsid w:val="003C4A02"/>
    <w:rsid w:val="003C4F05"/>
    <w:rsid w:val="003C6191"/>
    <w:rsid w:val="003C62F6"/>
    <w:rsid w:val="003C6E49"/>
    <w:rsid w:val="003C74B0"/>
    <w:rsid w:val="003D0CBF"/>
    <w:rsid w:val="003D0DD6"/>
    <w:rsid w:val="003D13D4"/>
    <w:rsid w:val="003D3C3E"/>
    <w:rsid w:val="003D41EE"/>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9B4"/>
    <w:rsid w:val="003F2E45"/>
    <w:rsid w:val="003F3EFE"/>
    <w:rsid w:val="003F40B8"/>
    <w:rsid w:val="003F5C06"/>
    <w:rsid w:val="00400195"/>
    <w:rsid w:val="0040075B"/>
    <w:rsid w:val="00401CD9"/>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6422"/>
    <w:rsid w:val="00447AB7"/>
    <w:rsid w:val="00447F4F"/>
    <w:rsid w:val="00447FBE"/>
    <w:rsid w:val="0045035E"/>
    <w:rsid w:val="00450F6C"/>
    <w:rsid w:val="0045175A"/>
    <w:rsid w:val="00451ED9"/>
    <w:rsid w:val="00452180"/>
    <w:rsid w:val="00453072"/>
    <w:rsid w:val="004532DF"/>
    <w:rsid w:val="004539F8"/>
    <w:rsid w:val="00453F26"/>
    <w:rsid w:val="0045503F"/>
    <w:rsid w:val="00455273"/>
    <w:rsid w:val="00460905"/>
    <w:rsid w:val="00461E35"/>
    <w:rsid w:val="004621DB"/>
    <w:rsid w:val="004634A7"/>
    <w:rsid w:val="00463787"/>
    <w:rsid w:val="00466926"/>
    <w:rsid w:val="00466FDA"/>
    <w:rsid w:val="004671D0"/>
    <w:rsid w:val="004674D1"/>
    <w:rsid w:val="0046768E"/>
    <w:rsid w:val="00470773"/>
    <w:rsid w:val="00471FF9"/>
    <w:rsid w:val="00473E74"/>
    <w:rsid w:val="00473FEF"/>
    <w:rsid w:val="00475B8E"/>
    <w:rsid w:val="00480327"/>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0C4"/>
    <w:rsid w:val="004964F6"/>
    <w:rsid w:val="00496821"/>
    <w:rsid w:val="0049711C"/>
    <w:rsid w:val="00497750"/>
    <w:rsid w:val="00497B44"/>
    <w:rsid w:val="00497C13"/>
    <w:rsid w:val="004A00E5"/>
    <w:rsid w:val="004A01A7"/>
    <w:rsid w:val="004A03FB"/>
    <w:rsid w:val="004A0D09"/>
    <w:rsid w:val="004A116E"/>
    <w:rsid w:val="004A357F"/>
    <w:rsid w:val="004A3DAD"/>
    <w:rsid w:val="004A4AC0"/>
    <w:rsid w:val="004B0335"/>
    <w:rsid w:val="004B0F1C"/>
    <w:rsid w:val="004B18AE"/>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8BB"/>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2525"/>
    <w:rsid w:val="00503A05"/>
    <w:rsid w:val="00503A3E"/>
    <w:rsid w:val="00503F59"/>
    <w:rsid w:val="0050472F"/>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3A21"/>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2165"/>
    <w:rsid w:val="00573569"/>
    <w:rsid w:val="00573871"/>
    <w:rsid w:val="0057389E"/>
    <w:rsid w:val="005738DE"/>
    <w:rsid w:val="005762EC"/>
    <w:rsid w:val="005765C0"/>
    <w:rsid w:val="005774E0"/>
    <w:rsid w:val="005778DE"/>
    <w:rsid w:val="00580B3F"/>
    <w:rsid w:val="005825F2"/>
    <w:rsid w:val="00583C64"/>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931"/>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C6EBF"/>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7C99"/>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0FE6"/>
    <w:rsid w:val="00621089"/>
    <w:rsid w:val="00621E1F"/>
    <w:rsid w:val="006228B2"/>
    <w:rsid w:val="006228E1"/>
    <w:rsid w:val="00622E32"/>
    <w:rsid w:val="00623688"/>
    <w:rsid w:val="00623CE6"/>
    <w:rsid w:val="006247E0"/>
    <w:rsid w:val="00625E84"/>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00E"/>
    <w:rsid w:val="006521F3"/>
    <w:rsid w:val="006524D5"/>
    <w:rsid w:val="00652BBD"/>
    <w:rsid w:val="00653633"/>
    <w:rsid w:val="00653F69"/>
    <w:rsid w:val="00654936"/>
    <w:rsid w:val="00655485"/>
    <w:rsid w:val="006558B3"/>
    <w:rsid w:val="00660B0D"/>
    <w:rsid w:val="00660BF0"/>
    <w:rsid w:val="0066189C"/>
    <w:rsid w:val="006630CF"/>
    <w:rsid w:val="00663EFF"/>
    <w:rsid w:val="00666BBC"/>
    <w:rsid w:val="00666F74"/>
    <w:rsid w:val="006678CA"/>
    <w:rsid w:val="00667FEA"/>
    <w:rsid w:val="006710D2"/>
    <w:rsid w:val="00671A8B"/>
    <w:rsid w:val="00671E8F"/>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26B"/>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173F"/>
    <w:rsid w:val="006D399F"/>
    <w:rsid w:val="006D4F0C"/>
    <w:rsid w:val="006D5645"/>
    <w:rsid w:val="006E0A4F"/>
    <w:rsid w:val="006E0C8A"/>
    <w:rsid w:val="006E2364"/>
    <w:rsid w:val="006E2A23"/>
    <w:rsid w:val="006E35E5"/>
    <w:rsid w:val="006E3C72"/>
    <w:rsid w:val="006E4F20"/>
    <w:rsid w:val="006E649A"/>
    <w:rsid w:val="006F08DC"/>
    <w:rsid w:val="006F1D42"/>
    <w:rsid w:val="006F34FD"/>
    <w:rsid w:val="006F3948"/>
    <w:rsid w:val="006F4403"/>
    <w:rsid w:val="006F4535"/>
    <w:rsid w:val="006F45EC"/>
    <w:rsid w:val="006F47B8"/>
    <w:rsid w:val="006F47D2"/>
    <w:rsid w:val="006F4B04"/>
    <w:rsid w:val="006F5456"/>
    <w:rsid w:val="006F57F2"/>
    <w:rsid w:val="006F5F4C"/>
    <w:rsid w:val="006F6468"/>
    <w:rsid w:val="00700247"/>
    <w:rsid w:val="00700E0F"/>
    <w:rsid w:val="00701051"/>
    <w:rsid w:val="007021C2"/>
    <w:rsid w:val="00702502"/>
    <w:rsid w:val="007033A8"/>
    <w:rsid w:val="0070421B"/>
    <w:rsid w:val="007043F0"/>
    <w:rsid w:val="0070482E"/>
    <w:rsid w:val="00704899"/>
    <w:rsid w:val="00704D25"/>
    <w:rsid w:val="00710519"/>
    <w:rsid w:val="00710F6E"/>
    <w:rsid w:val="00711555"/>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3155"/>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3FEE"/>
    <w:rsid w:val="00791EB4"/>
    <w:rsid w:val="007928F1"/>
    <w:rsid w:val="0079357D"/>
    <w:rsid w:val="007937CC"/>
    <w:rsid w:val="00793A31"/>
    <w:rsid w:val="00793E56"/>
    <w:rsid w:val="007940AE"/>
    <w:rsid w:val="00794979"/>
    <w:rsid w:val="007956B7"/>
    <w:rsid w:val="00795F1A"/>
    <w:rsid w:val="00796EDE"/>
    <w:rsid w:val="00797297"/>
    <w:rsid w:val="007974B3"/>
    <w:rsid w:val="00797875"/>
    <w:rsid w:val="007A076C"/>
    <w:rsid w:val="007A2140"/>
    <w:rsid w:val="007A23E2"/>
    <w:rsid w:val="007A2F86"/>
    <w:rsid w:val="007A31A5"/>
    <w:rsid w:val="007A400E"/>
    <w:rsid w:val="007A411B"/>
    <w:rsid w:val="007A45E6"/>
    <w:rsid w:val="007A4B28"/>
    <w:rsid w:val="007A5C2C"/>
    <w:rsid w:val="007A5ED1"/>
    <w:rsid w:val="007A6F4E"/>
    <w:rsid w:val="007A7678"/>
    <w:rsid w:val="007B0CD8"/>
    <w:rsid w:val="007B0DE0"/>
    <w:rsid w:val="007B21DE"/>
    <w:rsid w:val="007B2BB9"/>
    <w:rsid w:val="007B43E8"/>
    <w:rsid w:val="007B4740"/>
    <w:rsid w:val="007B502C"/>
    <w:rsid w:val="007B5F3B"/>
    <w:rsid w:val="007C02B0"/>
    <w:rsid w:val="007C0327"/>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0A14"/>
    <w:rsid w:val="007E1411"/>
    <w:rsid w:val="007E1882"/>
    <w:rsid w:val="007E1BB4"/>
    <w:rsid w:val="007E3514"/>
    <w:rsid w:val="007E4AAA"/>
    <w:rsid w:val="007E4BD2"/>
    <w:rsid w:val="007E4C29"/>
    <w:rsid w:val="007E5E44"/>
    <w:rsid w:val="007F0DDA"/>
    <w:rsid w:val="007F170C"/>
    <w:rsid w:val="007F1939"/>
    <w:rsid w:val="007F282F"/>
    <w:rsid w:val="007F365C"/>
    <w:rsid w:val="007F49C5"/>
    <w:rsid w:val="007F4A2A"/>
    <w:rsid w:val="007F5066"/>
    <w:rsid w:val="007F621C"/>
    <w:rsid w:val="007F7155"/>
    <w:rsid w:val="00800C28"/>
    <w:rsid w:val="0080245E"/>
    <w:rsid w:val="0080326F"/>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1A2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32"/>
    <w:rsid w:val="0086326D"/>
    <w:rsid w:val="00863CC1"/>
    <w:rsid w:val="00865B01"/>
    <w:rsid w:val="00866D7A"/>
    <w:rsid w:val="00866EE3"/>
    <w:rsid w:val="008701E5"/>
    <w:rsid w:val="0087043B"/>
    <w:rsid w:val="008706C5"/>
    <w:rsid w:val="00871F04"/>
    <w:rsid w:val="00874671"/>
    <w:rsid w:val="008746C1"/>
    <w:rsid w:val="00880224"/>
    <w:rsid w:val="00881B3E"/>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1E63"/>
    <w:rsid w:val="008A2585"/>
    <w:rsid w:val="008A2718"/>
    <w:rsid w:val="008A4CF6"/>
    <w:rsid w:val="008A4E42"/>
    <w:rsid w:val="008A51AA"/>
    <w:rsid w:val="008A6A12"/>
    <w:rsid w:val="008A76CC"/>
    <w:rsid w:val="008B0DC6"/>
    <w:rsid w:val="008B2B9E"/>
    <w:rsid w:val="008B31F5"/>
    <w:rsid w:val="008B4C79"/>
    <w:rsid w:val="008B5156"/>
    <w:rsid w:val="008B5D2D"/>
    <w:rsid w:val="008B6361"/>
    <w:rsid w:val="008C0320"/>
    <w:rsid w:val="008C2A81"/>
    <w:rsid w:val="008C3863"/>
    <w:rsid w:val="008C4BDC"/>
    <w:rsid w:val="008C50FF"/>
    <w:rsid w:val="008C5435"/>
    <w:rsid w:val="008C6BD1"/>
    <w:rsid w:val="008D07F3"/>
    <w:rsid w:val="008D2DB5"/>
    <w:rsid w:val="008D3F10"/>
    <w:rsid w:val="008D4B66"/>
    <w:rsid w:val="008D611D"/>
    <w:rsid w:val="008D6226"/>
    <w:rsid w:val="008E1A67"/>
    <w:rsid w:val="008E1B6A"/>
    <w:rsid w:val="008E1B70"/>
    <w:rsid w:val="008E3054"/>
    <w:rsid w:val="008E32FF"/>
    <w:rsid w:val="008E4AF6"/>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BA3"/>
    <w:rsid w:val="00917093"/>
    <w:rsid w:val="0092030E"/>
    <w:rsid w:val="009203D0"/>
    <w:rsid w:val="009217B1"/>
    <w:rsid w:val="00921A42"/>
    <w:rsid w:val="009223BB"/>
    <w:rsid w:val="00922491"/>
    <w:rsid w:val="00923BCF"/>
    <w:rsid w:val="009252EC"/>
    <w:rsid w:val="00925AEC"/>
    <w:rsid w:val="0092751A"/>
    <w:rsid w:val="009305C4"/>
    <w:rsid w:val="00931FAF"/>
    <w:rsid w:val="009355E6"/>
    <w:rsid w:val="009360F6"/>
    <w:rsid w:val="009371DC"/>
    <w:rsid w:val="0093759D"/>
    <w:rsid w:val="00940239"/>
    <w:rsid w:val="00940395"/>
    <w:rsid w:val="00942BD6"/>
    <w:rsid w:val="00942DED"/>
    <w:rsid w:val="00944404"/>
    <w:rsid w:val="009452D7"/>
    <w:rsid w:val="00945FD1"/>
    <w:rsid w:val="00946CCC"/>
    <w:rsid w:val="00947A5F"/>
    <w:rsid w:val="009503E5"/>
    <w:rsid w:val="00950F71"/>
    <w:rsid w:val="00952F2C"/>
    <w:rsid w:val="009532E3"/>
    <w:rsid w:val="00953615"/>
    <w:rsid w:val="00954BAF"/>
    <w:rsid w:val="009550A3"/>
    <w:rsid w:val="00955F48"/>
    <w:rsid w:val="009560B3"/>
    <w:rsid w:val="0095745E"/>
    <w:rsid w:val="00957CE0"/>
    <w:rsid w:val="0096002E"/>
    <w:rsid w:val="0096039E"/>
    <w:rsid w:val="009604B9"/>
    <w:rsid w:val="00962CEF"/>
    <w:rsid w:val="00963766"/>
    <w:rsid w:val="00963D60"/>
    <w:rsid w:val="00963FDF"/>
    <w:rsid w:val="00964780"/>
    <w:rsid w:val="00964C32"/>
    <w:rsid w:val="0096528F"/>
    <w:rsid w:val="009653F2"/>
    <w:rsid w:val="009661DF"/>
    <w:rsid w:val="009667BD"/>
    <w:rsid w:val="00967674"/>
    <w:rsid w:val="00967CE2"/>
    <w:rsid w:val="00970960"/>
    <w:rsid w:val="00971DA3"/>
    <w:rsid w:val="00972161"/>
    <w:rsid w:val="0097261B"/>
    <w:rsid w:val="00974881"/>
    <w:rsid w:val="0097606C"/>
    <w:rsid w:val="009771D1"/>
    <w:rsid w:val="0098012D"/>
    <w:rsid w:val="00980845"/>
    <w:rsid w:val="00981BD9"/>
    <w:rsid w:val="0098225F"/>
    <w:rsid w:val="00983157"/>
    <w:rsid w:val="00983A3C"/>
    <w:rsid w:val="00983EFA"/>
    <w:rsid w:val="00984C15"/>
    <w:rsid w:val="00986E0F"/>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6FEA"/>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3FE0"/>
    <w:rsid w:val="009C6091"/>
    <w:rsid w:val="009C634F"/>
    <w:rsid w:val="009C6C20"/>
    <w:rsid w:val="009D0219"/>
    <w:rsid w:val="009D0D55"/>
    <w:rsid w:val="009D2295"/>
    <w:rsid w:val="009D2511"/>
    <w:rsid w:val="009D291D"/>
    <w:rsid w:val="009D3E7C"/>
    <w:rsid w:val="009D55CA"/>
    <w:rsid w:val="009D5EF0"/>
    <w:rsid w:val="009D6401"/>
    <w:rsid w:val="009D6BE6"/>
    <w:rsid w:val="009E0711"/>
    <w:rsid w:val="009E1917"/>
    <w:rsid w:val="009E2FDB"/>
    <w:rsid w:val="009E34D5"/>
    <w:rsid w:val="009E3594"/>
    <w:rsid w:val="009E6B77"/>
    <w:rsid w:val="009E7724"/>
    <w:rsid w:val="009E7D1F"/>
    <w:rsid w:val="009F0401"/>
    <w:rsid w:val="009F1D82"/>
    <w:rsid w:val="009F37AA"/>
    <w:rsid w:val="009F544C"/>
    <w:rsid w:val="009F5731"/>
    <w:rsid w:val="009F6321"/>
    <w:rsid w:val="009F6378"/>
    <w:rsid w:val="009F7669"/>
    <w:rsid w:val="009F7F45"/>
    <w:rsid w:val="009F7FD5"/>
    <w:rsid w:val="00A005D4"/>
    <w:rsid w:val="00A0083C"/>
    <w:rsid w:val="00A01A90"/>
    <w:rsid w:val="00A02370"/>
    <w:rsid w:val="00A024CA"/>
    <w:rsid w:val="00A04060"/>
    <w:rsid w:val="00A04685"/>
    <w:rsid w:val="00A04C57"/>
    <w:rsid w:val="00A06340"/>
    <w:rsid w:val="00A0684F"/>
    <w:rsid w:val="00A06867"/>
    <w:rsid w:val="00A10148"/>
    <w:rsid w:val="00A104FE"/>
    <w:rsid w:val="00A10776"/>
    <w:rsid w:val="00A113FD"/>
    <w:rsid w:val="00A11DDE"/>
    <w:rsid w:val="00A127A7"/>
    <w:rsid w:val="00A129F4"/>
    <w:rsid w:val="00A12B59"/>
    <w:rsid w:val="00A136F4"/>
    <w:rsid w:val="00A150F7"/>
    <w:rsid w:val="00A15EA4"/>
    <w:rsid w:val="00A160D3"/>
    <w:rsid w:val="00A16DC9"/>
    <w:rsid w:val="00A20225"/>
    <w:rsid w:val="00A24269"/>
    <w:rsid w:val="00A243E4"/>
    <w:rsid w:val="00A25ED4"/>
    <w:rsid w:val="00A263DA"/>
    <w:rsid w:val="00A26C5C"/>
    <w:rsid w:val="00A30BDE"/>
    <w:rsid w:val="00A31060"/>
    <w:rsid w:val="00A3131C"/>
    <w:rsid w:val="00A31F14"/>
    <w:rsid w:val="00A324DC"/>
    <w:rsid w:val="00A32B5A"/>
    <w:rsid w:val="00A33CCC"/>
    <w:rsid w:val="00A33ECB"/>
    <w:rsid w:val="00A33F9F"/>
    <w:rsid w:val="00A34DE0"/>
    <w:rsid w:val="00A35728"/>
    <w:rsid w:val="00A36EE3"/>
    <w:rsid w:val="00A37435"/>
    <w:rsid w:val="00A376EC"/>
    <w:rsid w:val="00A40DA9"/>
    <w:rsid w:val="00A4173D"/>
    <w:rsid w:val="00A41A95"/>
    <w:rsid w:val="00A4248B"/>
    <w:rsid w:val="00A4376E"/>
    <w:rsid w:val="00A44BA2"/>
    <w:rsid w:val="00A4572B"/>
    <w:rsid w:val="00A46246"/>
    <w:rsid w:val="00A46349"/>
    <w:rsid w:val="00A46D5E"/>
    <w:rsid w:val="00A50847"/>
    <w:rsid w:val="00A508F6"/>
    <w:rsid w:val="00A512C7"/>
    <w:rsid w:val="00A533F5"/>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344"/>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AF6D92"/>
    <w:rsid w:val="00B03CE2"/>
    <w:rsid w:val="00B051E6"/>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51D"/>
    <w:rsid w:val="00B34688"/>
    <w:rsid w:val="00B34885"/>
    <w:rsid w:val="00B34D68"/>
    <w:rsid w:val="00B35AD1"/>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2F9A"/>
    <w:rsid w:val="00B73492"/>
    <w:rsid w:val="00B7512A"/>
    <w:rsid w:val="00B76548"/>
    <w:rsid w:val="00B76BED"/>
    <w:rsid w:val="00B806E6"/>
    <w:rsid w:val="00B82DC1"/>
    <w:rsid w:val="00B835D5"/>
    <w:rsid w:val="00B84028"/>
    <w:rsid w:val="00B84307"/>
    <w:rsid w:val="00B8430D"/>
    <w:rsid w:val="00B85661"/>
    <w:rsid w:val="00B85C8A"/>
    <w:rsid w:val="00B86CB3"/>
    <w:rsid w:val="00B86FBD"/>
    <w:rsid w:val="00B91B86"/>
    <w:rsid w:val="00B927CA"/>
    <w:rsid w:val="00B928AE"/>
    <w:rsid w:val="00B93CDA"/>
    <w:rsid w:val="00B942E9"/>
    <w:rsid w:val="00B9433A"/>
    <w:rsid w:val="00B948EE"/>
    <w:rsid w:val="00B94A2F"/>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01F7"/>
    <w:rsid w:val="00BC15B1"/>
    <w:rsid w:val="00BC16E9"/>
    <w:rsid w:val="00BC3808"/>
    <w:rsid w:val="00BC3C06"/>
    <w:rsid w:val="00BC4E8B"/>
    <w:rsid w:val="00BC5065"/>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2AB"/>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0"/>
    <w:rsid w:val="00C539FF"/>
    <w:rsid w:val="00C53FC1"/>
    <w:rsid w:val="00C56438"/>
    <w:rsid w:val="00C570B3"/>
    <w:rsid w:val="00C6009F"/>
    <w:rsid w:val="00C60417"/>
    <w:rsid w:val="00C6046F"/>
    <w:rsid w:val="00C638C2"/>
    <w:rsid w:val="00C651D4"/>
    <w:rsid w:val="00C6669E"/>
    <w:rsid w:val="00C672B0"/>
    <w:rsid w:val="00C729C7"/>
    <w:rsid w:val="00C73967"/>
    <w:rsid w:val="00C761FA"/>
    <w:rsid w:val="00C772AB"/>
    <w:rsid w:val="00C777AD"/>
    <w:rsid w:val="00C800D0"/>
    <w:rsid w:val="00C80C53"/>
    <w:rsid w:val="00C81195"/>
    <w:rsid w:val="00C85387"/>
    <w:rsid w:val="00C85E52"/>
    <w:rsid w:val="00C86471"/>
    <w:rsid w:val="00C86591"/>
    <w:rsid w:val="00C8677B"/>
    <w:rsid w:val="00C86F96"/>
    <w:rsid w:val="00C87705"/>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642D"/>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D6FA3"/>
    <w:rsid w:val="00CE08D1"/>
    <w:rsid w:val="00CE157F"/>
    <w:rsid w:val="00CE1966"/>
    <w:rsid w:val="00CE1ED4"/>
    <w:rsid w:val="00CE2216"/>
    <w:rsid w:val="00CE3014"/>
    <w:rsid w:val="00CE30E5"/>
    <w:rsid w:val="00CE6FC6"/>
    <w:rsid w:val="00CF0AC4"/>
    <w:rsid w:val="00CF1912"/>
    <w:rsid w:val="00CF2056"/>
    <w:rsid w:val="00CF4471"/>
    <w:rsid w:val="00CF46B0"/>
    <w:rsid w:val="00CF51C0"/>
    <w:rsid w:val="00CF5B2A"/>
    <w:rsid w:val="00CF5F57"/>
    <w:rsid w:val="00CF62B0"/>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44F8"/>
    <w:rsid w:val="00D366B1"/>
    <w:rsid w:val="00D37AE0"/>
    <w:rsid w:val="00D416A8"/>
    <w:rsid w:val="00D4217D"/>
    <w:rsid w:val="00D4257C"/>
    <w:rsid w:val="00D425AC"/>
    <w:rsid w:val="00D42823"/>
    <w:rsid w:val="00D42D5E"/>
    <w:rsid w:val="00D43F14"/>
    <w:rsid w:val="00D44C18"/>
    <w:rsid w:val="00D4556D"/>
    <w:rsid w:val="00D46ADB"/>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3E31"/>
    <w:rsid w:val="00D871C6"/>
    <w:rsid w:val="00D91010"/>
    <w:rsid w:val="00D9120E"/>
    <w:rsid w:val="00D9340B"/>
    <w:rsid w:val="00D95074"/>
    <w:rsid w:val="00DA0FA7"/>
    <w:rsid w:val="00DA12B0"/>
    <w:rsid w:val="00DA2BA0"/>
    <w:rsid w:val="00DA39AD"/>
    <w:rsid w:val="00DA4A26"/>
    <w:rsid w:val="00DA4D54"/>
    <w:rsid w:val="00DA5B13"/>
    <w:rsid w:val="00DA5D65"/>
    <w:rsid w:val="00DA6917"/>
    <w:rsid w:val="00DA6926"/>
    <w:rsid w:val="00DB0965"/>
    <w:rsid w:val="00DB0E47"/>
    <w:rsid w:val="00DB2BDD"/>
    <w:rsid w:val="00DB4121"/>
    <w:rsid w:val="00DB46C3"/>
    <w:rsid w:val="00DB4B3A"/>
    <w:rsid w:val="00DB5742"/>
    <w:rsid w:val="00DB5EDF"/>
    <w:rsid w:val="00DB6C46"/>
    <w:rsid w:val="00DB72B8"/>
    <w:rsid w:val="00DC16AF"/>
    <w:rsid w:val="00DC2A9A"/>
    <w:rsid w:val="00DC2E2E"/>
    <w:rsid w:val="00DC4D68"/>
    <w:rsid w:val="00DC6463"/>
    <w:rsid w:val="00DC6845"/>
    <w:rsid w:val="00DC7822"/>
    <w:rsid w:val="00DC7AF1"/>
    <w:rsid w:val="00DD2D92"/>
    <w:rsid w:val="00DD3026"/>
    <w:rsid w:val="00DD33DC"/>
    <w:rsid w:val="00DD3BB0"/>
    <w:rsid w:val="00DD61F5"/>
    <w:rsid w:val="00DD79A3"/>
    <w:rsid w:val="00DE3223"/>
    <w:rsid w:val="00DE3EFF"/>
    <w:rsid w:val="00DE64A6"/>
    <w:rsid w:val="00DE66EB"/>
    <w:rsid w:val="00DE7035"/>
    <w:rsid w:val="00DF12E3"/>
    <w:rsid w:val="00DF1CC7"/>
    <w:rsid w:val="00DF3F1D"/>
    <w:rsid w:val="00DF595C"/>
    <w:rsid w:val="00DF7EA7"/>
    <w:rsid w:val="00E04548"/>
    <w:rsid w:val="00E0484E"/>
    <w:rsid w:val="00E0558C"/>
    <w:rsid w:val="00E063F8"/>
    <w:rsid w:val="00E079AF"/>
    <w:rsid w:val="00E114D6"/>
    <w:rsid w:val="00E1166E"/>
    <w:rsid w:val="00E11DBD"/>
    <w:rsid w:val="00E13211"/>
    <w:rsid w:val="00E13AF9"/>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11C8"/>
    <w:rsid w:val="00E63256"/>
    <w:rsid w:val="00E6344A"/>
    <w:rsid w:val="00E64E69"/>
    <w:rsid w:val="00E64FB7"/>
    <w:rsid w:val="00E669A1"/>
    <w:rsid w:val="00E679BA"/>
    <w:rsid w:val="00E67A52"/>
    <w:rsid w:val="00E70243"/>
    <w:rsid w:val="00E72CC6"/>
    <w:rsid w:val="00E73D44"/>
    <w:rsid w:val="00E7494A"/>
    <w:rsid w:val="00E74BE2"/>
    <w:rsid w:val="00E74C66"/>
    <w:rsid w:val="00E74FA2"/>
    <w:rsid w:val="00E75841"/>
    <w:rsid w:val="00E75933"/>
    <w:rsid w:val="00E77A1B"/>
    <w:rsid w:val="00E808BE"/>
    <w:rsid w:val="00E81E36"/>
    <w:rsid w:val="00E81E40"/>
    <w:rsid w:val="00E82ECE"/>
    <w:rsid w:val="00E85EA0"/>
    <w:rsid w:val="00E8713B"/>
    <w:rsid w:val="00E90C61"/>
    <w:rsid w:val="00E92A82"/>
    <w:rsid w:val="00E92AA8"/>
    <w:rsid w:val="00E9344E"/>
    <w:rsid w:val="00E93E39"/>
    <w:rsid w:val="00E94391"/>
    <w:rsid w:val="00E97E2B"/>
    <w:rsid w:val="00EA08CA"/>
    <w:rsid w:val="00EA0C0C"/>
    <w:rsid w:val="00EA2AEA"/>
    <w:rsid w:val="00EA332B"/>
    <w:rsid w:val="00EA3D36"/>
    <w:rsid w:val="00EA4053"/>
    <w:rsid w:val="00EA40AA"/>
    <w:rsid w:val="00EA57E2"/>
    <w:rsid w:val="00EA7186"/>
    <w:rsid w:val="00EB018B"/>
    <w:rsid w:val="00EB1003"/>
    <w:rsid w:val="00EB15BD"/>
    <w:rsid w:val="00EB167E"/>
    <w:rsid w:val="00EB24ED"/>
    <w:rsid w:val="00EB2A00"/>
    <w:rsid w:val="00EB2A3F"/>
    <w:rsid w:val="00EB2B19"/>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2B"/>
    <w:rsid w:val="00EE0598"/>
    <w:rsid w:val="00EE1ACA"/>
    <w:rsid w:val="00EE311C"/>
    <w:rsid w:val="00EE5692"/>
    <w:rsid w:val="00EE56FF"/>
    <w:rsid w:val="00EE5886"/>
    <w:rsid w:val="00EE5FBF"/>
    <w:rsid w:val="00EE6472"/>
    <w:rsid w:val="00EE76F2"/>
    <w:rsid w:val="00EF0769"/>
    <w:rsid w:val="00EF077A"/>
    <w:rsid w:val="00EF0D7C"/>
    <w:rsid w:val="00EF40E2"/>
    <w:rsid w:val="00EF5FB9"/>
    <w:rsid w:val="00EF61C1"/>
    <w:rsid w:val="00EF6E68"/>
    <w:rsid w:val="00EF76DB"/>
    <w:rsid w:val="00F005FD"/>
    <w:rsid w:val="00F01B9D"/>
    <w:rsid w:val="00F024E2"/>
    <w:rsid w:val="00F028BC"/>
    <w:rsid w:val="00F02C04"/>
    <w:rsid w:val="00F036E6"/>
    <w:rsid w:val="00F03AF1"/>
    <w:rsid w:val="00F04BCD"/>
    <w:rsid w:val="00F05A8C"/>
    <w:rsid w:val="00F06211"/>
    <w:rsid w:val="00F10A54"/>
    <w:rsid w:val="00F11578"/>
    <w:rsid w:val="00F123D0"/>
    <w:rsid w:val="00F13200"/>
    <w:rsid w:val="00F13411"/>
    <w:rsid w:val="00F13C55"/>
    <w:rsid w:val="00F143BA"/>
    <w:rsid w:val="00F14D98"/>
    <w:rsid w:val="00F2081B"/>
    <w:rsid w:val="00F20A43"/>
    <w:rsid w:val="00F20C51"/>
    <w:rsid w:val="00F21049"/>
    <w:rsid w:val="00F218AE"/>
    <w:rsid w:val="00F22232"/>
    <w:rsid w:val="00F2228E"/>
    <w:rsid w:val="00F22D3C"/>
    <w:rsid w:val="00F231A5"/>
    <w:rsid w:val="00F23D66"/>
    <w:rsid w:val="00F24E6F"/>
    <w:rsid w:val="00F26069"/>
    <w:rsid w:val="00F26B7E"/>
    <w:rsid w:val="00F27D7D"/>
    <w:rsid w:val="00F3002B"/>
    <w:rsid w:val="00F30BC9"/>
    <w:rsid w:val="00F31E57"/>
    <w:rsid w:val="00F32462"/>
    <w:rsid w:val="00F32FF7"/>
    <w:rsid w:val="00F33EDE"/>
    <w:rsid w:val="00F3568B"/>
    <w:rsid w:val="00F3772E"/>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6F7"/>
    <w:rsid w:val="00F5475B"/>
    <w:rsid w:val="00F551CC"/>
    <w:rsid w:val="00F56556"/>
    <w:rsid w:val="00F574D0"/>
    <w:rsid w:val="00F6031F"/>
    <w:rsid w:val="00F61664"/>
    <w:rsid w:val="00F61930"/>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0A58"/>
    <w:rsid w:val="00F81312"/>
    <w:rsid w:val="00F81B90"/>
    <w:rsid w:val="00F81E6F"/>
    <w:rsid w:val="00F82FF3"/>
    <w:rsid w:val="00F8453C"/>
    <w:rsid w:val="00F84D4C"/>
    <w:rsid w:val="00F8657D"/>
    <w:rsid w:val="00F87179"/>
    <w:rsid w:val="00F8730F"/>
    <w:rsid w:val="00F87DA3"/>
    <w:rsid w:val="00F90004"/>
    <w:rsid w:val="00F90EF4"/>
    <w:rsid w:val="00F917BF"/>
    <w:rsid w:val="00F91A95"/>
    <w:rsid w:val="00F91FFB"/>
    <w:rsid w:val="00F920B4"/>
    <w:rsid w:val="00F9260D"/>
    <w:rsid w:val="00F92727"/>
    <w:rsid w:val="00F93CCF"/>
    <w:rsid w:val="00F94307"/>
    <w:rsid w:val="00F9580B"/>
    <w:rsid w:val="00F95F15"/>
    <w:rsid w:val="00F975CA"/>
    <w:rsid w:val="00FA0B60"/>
    <w:rsid w:val="00FA2528"/>
    <w:rsid w:val="00FA444D"/>
    <w:rsid w:val="00FA5535"/>
    <w:rsid w:val="00FA625B"/>
    <w:rsid w:val="00FA7206"/>
    <w:rsid w:val="00FA7EFB"/>
    <w:rsid w:val="00FB0816"/>
    <w:rsid w:val="00FB08C2"/>
    <w:rsid w:val="00FB1D71"/>
    <w:rsid w:val="00FB3DD1"/>
    <w:rsid w:val="00FB4DB3"/>
    <w:rsid w:val="00FB51FD"/>
    <w:rsid w:val="00FB5667"/>
    <w:rsid w:val="00FB7A97"/>
    <w:rsid w:val="00FC1269"/>
    <w:rsid w:val="00FC1B9B"/>
    <w:rsid w:val="00FC318D"/>
    <w:rsid w:val="00FC3330"/>
    <w:rsid w:val="00FC36CF"/>
    <w:rsid w:val="00FC40BC"/>
    <w:rsid w:val="00FC41FC"/>
    <w:rsid w:val="00FC4B40"/>
    <w:rsid w:val="00FC4F6E"/>
    <w:rsid w:val="00FC506C"/>
    <w:rsid w:val="00FC578C"/>
    <w:rsid w:val="00FC5A37"/>
    <w:rsid w:val="00FC7223"/>
    <w:rsid w:val="00FD0F60"/>
    <w:rsid w:val="00FD13EA"/>
    <w:rsid w:val="00FD5EC4"/>
    <w:rsid w:val="00FD7858"/>
    <w:rsid w:val="00FD7A8D"/>
    <w:rsid w:val="00FE0F77"/>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heinvestmentassociation.org/members-area/member-updates/archive/2017/152-1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eting Document" ma:contentTypeID="0x010100DD70E92362DEE14191597B20A60D97FF020800592C5D9081243349ADC6885B2FE4475D" ma:contentTypeVersion="174" ma:contentTypeDescription="" ma:contentTypeScope="" ma:versionID="9085fe1928a74f12d08256d3816abbf8">
  <xsd:schema xmlns:xsd="http://www.w3.org/2001/XMLSchema" xmlns:xs="http://www.w3.org/2001/XMLSchema" xmlns:p="http://schemas.microsoft.com/office/2006/metadata/properties" xmlns:ns2="35c8e399-07b8-49e4-91bf-01a20105d4df" xmlns:ns3="http://schemas.microsoft.com/sharepoint/v4" targetNamespace="http://schemas.microsoft.com/office/2006/metadata/properties" ma:root="true" ma:fieldsID="232c235ff807cc4956175494b46126ef" ns2:_="" ns3:_="">
    <xsd:import namespace="35c8e399-07b8-49e4-91bf-01a20105d4d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TaxCatchAllLabel" minOccurs="0"/>
                <xsd:element ref="ns2:_dlc_DocIdPersistId"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TaxCatchAll" ma:index="10"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12"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0"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default="90;#Meetings|34a7a30e-94ee-47f6-b2b0-b2153e16a52c"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311d4346-8247-4666-9b3c-1dadaf8271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5c8e399-07b8-49e4-91bf-01a20105d4df">ESMA34-39-795</_dlc_DocId>
    <_dlc_DocIdUrl xmlns="35c8e399-07b8-49e4-91bf-01a20105d4df">
      <Url>https://sherpa.esma.europa.eu/sites/INIIVM/_layouts/15/DocIdRedir.aspx?ID=ESMA34-39-795</Url>
      <Description>ESMA34-39-795</Description>
    </_dlc_DocIdUrl>
    <k9db3a09612944c49e649e0ff38a506b xmlns="35c8e399-07b8-49e4-91bf-01a20105d4df">
      <Terms xmlns="http://schemas.microsoft.com/office/infopath/2007/PartnerControls"/>
    </k9db3a09612944c49e649e0ff38a506b>
    <MeetingDate xmlns="35c8e399-07b8-49e4-91bf-01a20105d4df">2019-01-29T23:00:00+00:00</MeetingDate>
    <TaxCatchAll xmlns="35c8e399-07b8-49e4-91bf-01a20105d4df">
      <Value>90</Value>
      <Value>150</Value>
      <Value>38</Value>
      <Value>15</Value>
    </TaxCatchAll>
    <Year xmlns="35c8e399-07b8-49e4-91bf-01a20105d4df">2019</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34a7a30e-94ee-47f6-b2b0-b2153e16a52c</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6ffc6c9a-7290-4545-ba79-3e594bad9285</TermId>
        </TermInfo>
      </Terms>
    </oa4fe03ffd8943c1880fe290404e8de7>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95A2615F-C07B-4D46-8456-D2E0F396E6FD}">
  <ds:schemaRefs>
    <ds:schemaRef ds:uri="http://schemas.microsoft.com/office/2006/metadata/contentType"/>
    <ds:schemaRef ds:uri="http://schemas.microsoft.com/office/2006/metadata/properties/metaAttributes"/>
    <ds:schemaRef ds:uri="http://www.w3.org/2000/xmlns/"/>
    <ds:schemaRef ds:uri="http://www.w3.org/2001/XMLSchema"/>
    <ds:schemaRef ds:uri="35c8e399-07b8-49e4-91bf-01a20105d4df"/>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 ds:uri="http://www.w3.org/2000/xmlns/"/>
  </ds:schemaRefs>
</ds:datastoreItem>
</file>

<file path=customXml/itemProps4.xml><?xml version="1.0" encoding="utf-8"?>
<ds:datastoreItem xmlns:ds="http://schemas.openxmlformats.org/officeDocument/2006/customXml" ds:itemID="{A1823ED9-4C25-4A0F-AA35-0F2F3F3B90A3}">
  <ds:schemaRefs>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35c8e399-07b8-49e4-91bf-01a20105d4df"/>
    <ds:schemaRef ds:uri="http://schemas.microsoft.com/office/2006/metadata/properties"/>
    <ds:schemaRef ds:uri="http://schemas.openxmlformats.org/package/2006/metadata/core-properties"/>
    <ds:schemaRef ds:uri="http://schemas.microsoft.com/sharepoint/v4"/>
    <ds:schemaRef ds:uri="http://purl.org/dc/elements/1.1/"/>
  </ds:schemaRefs>
</ds:datastoreItem>
</file>

<file path=customXml/itemProps5.xml><?xml version="1.0" encoding="utf-8"?>
<ds:datastoreItem xmlns:ds="http://schemas.openxmlformats.org/officeDocument/2006/customXml" ds:itemID="{F0B35C04-A9A3-4E65-BF1D-40ED1E91E8A8}">
  <ds:schemaRefs>
    <ds:schemaRef ds:uri="http://schemas.openxmlformats.org/officeDocument/2006/bibliography"/>
  </ds:schemaRefs>
</ds:datastoreItem>
</file>

<file path=customXml/itemProps6.xml><?xml version="1.0" encoding="utf-8"?>
<ds:datastoreItem xmlns:ds="http://schemas.openxmlformats.org/officeDocument/2006/customXml" ds:itemID="{3909735F-0BE4-45CD-81C4-4D6FB920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3F5FBE59</Template>
  <TotalTime>2</TotalTime>
  <Pages>15</Pages>
  <Words>5540</Words>
  <Characters>30017</Characters>
  <Application>Microsoft Office Word</Application>
  <DocSecurity>12</DocSecurity>
  <Lines>250</Lines>
  <Paragraphs>70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35487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Rachel Ellison</cp:lastModifiedBy>
  <cp:revision>2</cp:revision>
  <cp:lastPrinted>2019-01-31T13:10:00Z</cp:lastPrinted>
  <dcterms:created xsi:type="dcterms:W3CDTF">2019-03-27T13:35:00Z</dcterms:created>
  <dcterms:modified xsi:type="dcterms:W3CDTF">2019-03-27T13:35:00Z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0x010100DD70E92362DEE14191597B20A60D97FF020800592C5D9081243349ADC6885B2FE4475D</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150;#Template|6ffc6c9a-7290-4545-ba79-3e594bad9285</vt:lpwstr>
  </property>
  <property fmtid="{D5CDD505-2E9C-101B-9397-08002B2CF9AE}" pid="8" name="ConfidentialityLevel">
    <vt:lpwstr>15;#Regular|07f1e362-856b-423d-bea6-a14079762141</vt:lpwstr>
  </property>
  <property fmtid="{D5CDD505-2E9C-101B-9397-08002B2CF9AE}" pid="9" name="_dlc_DocIdItemGuid">
    <vt:lpwstr>8834ea35-cf2c-4449-95d0-32feaa8763ec</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90;#Meetings|34a7a30e-94ee-47f6-b2b0-b2153e16a52c</vt:lpwstr>
  </property>
</Properties>
</file>