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1 February 2019</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A63A75" w14:textId="77777777" w:rsidR="00EC1154" w:rsidRPr="00EC1154" w:rsidRDefault="00EC1154" w:rsidP="00EC1154">
      <w:pPr>
        <w:rPr>
          <w:rStyle w:val="SubtleEmphasis"/>
          <w:b w:val="0"/>
          <w:sz w:val="22"/>
        </w:rPr>
      </w:pPr>
      <w:r w:rsidRPr="00EC1154">
        <w:rPr>
          <w:rStyle w:val="SubtleEmphasis"/>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SubtleEmphasis"/>
          <w:b w:val="0"/>
          <w:sz w:val="22"/>
        </w:rPr>
      </w:pPr>
      <w:r w:rsidRPr="00EC1154">
        <w:rPr>
          <w:rStyle w:val="SubtleEmphasis"/>
          <w:b w:val="0"/>
          <w:sz w:val="22"/>
        </w:rPr>
        <w:t>- respond to the question stated;</w:t>
      </w:r>
    </w:p>
    <w:p w14:paraId="13085C89" w14:textId="77777777" w:rsidR="00EC1154" w:rsidRPr="00EC1154" w:rsidRDefault="00EC1154" w:rsidP="00EC1154">
      <w:pPr>
        <w:ind w:left="709"/>
        <w:rPr>
          <w:rStyle w:val="SubtleEmphasis"/>
          <w:b w:val="0"/>
          <w:sz w:val="22"/>
        </w:rPr>
      </w:pPr>
      <w:r w:rsidRPr="00EC1154">
        <w:rPr>
          <w:rStyle w:val="SubtleEmphasis"/>
          <w:b w:val="0"/>
          <w:sz w:val="22"/>
        </w:rPr>
        <w:t>- indicate the specific question to which the comment relates;</w:t>
      </w:r>
    </w:p>
    <w:p w14:paraId="42D2A752" w14:textId="77777777" w:rsidR="00EC1154" w:rsidRPr="00EC1154" w:rsidRDefault="00EC1154" w:rsidP="00EC1154">
      <w:pPr>
        <w:ind w:left="709"/>
        <w:rPr>
          <w:rStyle w:val="SubtleEmphasis"/>
          <w:b w:val="0"/>
          <w:sz w:val="22"/>
        </w:rPr>
      </w:pPr>
      <w:r w:rsidRPr="00EC1154">
        <w:rPr>
          <w:rStyle w:val="SubtleEmphasis"/>
          <w:b w:val="0"/>
          <w:sz w:val="22"/>
        </w:rPr>
        <w:t>- contain a clear rationale; and</w:t>
      </w:r>
    </w:p>
    <w:p w14:paraId="2669CD6E" w14:textId="77777777" w:rsidR="00EC1154" w:rsidRPr="00EC1154" w:rsidRDefault="00EC1154" w:rsidP="00EC1154">
      <w:pPr>
        <w:ind w:left="709"/>
        <w:rPr>
          <w:rStyle w:val="SubtleEmphasis"/>
          <w:b w:val="0"/>
          <w:sz w:val="22"/>
        </w:rPr>
      </w:pPr>
      <w:r w:rsidRPr="00EC1154">
        <w:rPr>
          <w:rStyle w:val="SubtleEmphasis"/>
          <w:b w:val="0"/>
          <w:sz w:val="22"/>
        </w:rPr>
        <w:t>- describe any alternatives ESMA should consider.</w:t>
      </w:r>
    </w:p>
    <w:p w14:paraId="43FACA3B" w14:textId="77777777" w:rsidR="00EC1154" w:rsidRPr="00EC1154" w:rsidRDefault="00EC1154" w:rsidP="00EC1154">
      <w:pPr>
        <w:rPr>
          <w:rStyle w:val="SubtleEmphasis"/>
          <w:sz w:val="22"/>
        </w:rPr>
      </w:pPr>
    </w:p>
    <w:p w14:paraId="072D080A" w14:textId="7756DBF2" w:rsidR="00EC1154" w:rsidRDefault="00EC1154" w:rsidP="00EC1154">
      <w:pPr>
        <w:rPr>
          <w:rStyle w:val="SubtleEmphasis"/>
          <w:b w:val="0"/>
          <w:sz w:val="22"/>
        </w:rPr>
      </w:pPr>
      <w:r w:rsidRPr="00EC1154">
        <w:rPr>
          <w:rStyle w:val="SubtleEmphasis"/>
          <w:b w:val="0"/>
          <w:sz w:val="22"/>
        </w:rPr>
        <w:t xml:space="preserve">ESMA will consider all comments received by </w:t>
      </w:r>
      <w:r w:rsidR="00F41BDD" w:rsidRPr="00F41BDD">
        <w:rPr>
          <w:rStyle w:val="SubtleEmphasis"/>
          <w:sz w:val="22"/>
        </w:rPr>
        <w:t xml:space="preserve">1 </w:t>
      </w:r>
      <w:r w:rsidR="002E4F86">
        <w:rPr>
          <w:rStyle w:val="SubtleEmphasis"/>
          <w:sz w:val="22"/>
        </w:rPr>
        <w:t>April</w:t>
      </w:r>
      <w:r w:rsidRPr="00F41BDD">
        <w:rPr>
          <w:rStyle w:val="SubtleEmphasis"/>
          <w:sz w:val="22"/>
        </w:rPr>
        <w:t xml:space="preserve"> 2019</w:t>
      </w:r>
      <w:r w:rsidRPr="00F41BDD">
        <w:rPr>
          <w:rStyle w:val="SubtleEmphasis"/>
          <w:b w:val="0"/>
          <w:sz w:val="22"/>
        </w:rPr>
        <w:t>.</w:t>
      </w:r>
      <w:r w:rsidRPr="00EC1154">
        <w:rPr>
          <w:rStyle w:val="SubtleEmphasis"/>
          <w:b w:val="0"/>
          <w:sz w:val="22"/>
        </w:rPr>
        <w:t xml:space="preserve"> </w:t>
      </w:r>
    </w:p>
    <w:p w14:paraId="5A40BE0F" w14:textId="77777777" w:rsidR="002E4F86" w:rsidRPr="002E4F86" w:rsidRDefault="002E4F86" w:rsidP="00EC1154">
      <w:pPr>
        <w:rPr>
          <w:rStyle w:val="SubtleEmphasis"/>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16" w:history="1">
        <w:r w:rsidRPr="002E4F86">
          <w:rPr>
            <w:rStyle w:val="Hyperlink"/>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SubtleEmphasis"/>
          <w:b w:val="0"/>
          <w:sz w:val="22"/>
        </w:rPr>
      </w:pP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6441531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E4F86">
        <w:rPr>
          <w:rStyle w:val="SubtleEmphasis"/>
          <w:b w:val="0"/>
          <w:sz w:val="22"/>
        </w:rPr>
        <w:t>LST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bookmarkStart w:id="1" w:name="_GoBack"/>
      <w:r w:rsidRPr="00E40A5C">
        <w:rPr>
          <w:rStyle w:val="SubtleEmphasis"/>
          <w:b w:val="0"/>
          <w:sz w:val="22"/>
        </w:rPr>
        <w:t>ESMA_</w:t>
      </w:r>
      <w:r w:rsidR="002E4F86">
        <w:rPr>
          <w:rStyle w:val="SubtleEmphasis"/>
          <w:b w:val="0"/>
          <w:sz w:val="22"/>
        </w:rPr>
        <w:t>LST</w:t>
      </w:r>
      <w:r w:rsidRPr="00E40A5C">
        <w:rPr>
          <w:rStyle w:val="SubtleEmphasis"/>
          <w:b w:val="0"/>
          <w:sz w:val="22"/>
        </w:rPr>
        <w:t>_nameofrespondent_RESPONSEFORM</w:t>
      </w:r>
      <w:bookmarkEnd w:id="1"/>
      <w:r w:rsidRPr="00E40A5C">
        <w:rPr>
          <w:rStyle w:val="SubtleEmphasis"/>
          <w:b w:val="0"/>
          <w:sz w:val="22"/>
        </w:rPr>
        <w:t>. For example, for a respondent named ABCD, the response form would be entitled ESMA_</w:t>
      </w:r>
      <w:r w:rsidR="002E4F86">
        <w:rPr>
          <w:rStyle w:val="SubtleEmphasis"/>
          <w:b w:val="0"/>
          <w:sz w:val="22"/>
        </w:rPr>
        <w:t>LST</w:t>
      </w:r>
      <w:r w:rsidRPr="00E40A5C">
        <w:rPr>
          <w:rStyle w:val="SubtleEmphasis"/>
          <w:b w:val="0"/>
          <w:sz w:val="22"/>
        </w:rPr>
        <w:t>_ABCD_RESPONSEFORM.</w:t>
      </w:r>
    </w:p>
    <w:p w14:paraId="6A3CB045" w14:textId="5C9B8FAE"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SubtleEmphasis"/>
          <w:b w:val="0"/>
          <w:sz w:val="22"/>
        </w:rPr>
      </w:pPr>
    </w:p>
    <w:p w14:paraId="6A3CB048"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0"/>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44439309" w:rsidR="00B327E9" w:rsidRPr="00AB6D88" w:rsidRDefault="004C4822" w:rsidP="00F136AD">
                <w:pPr>
                  <w:rPr>
                    <w:rStyle w:val="PlaceholderText"/>
                    <w:rFonts w:cs="Arial"/>
                  </w:rPr>
                </w:pPr>
                <w:r>
                  <w:rPr>
                    <w:rStyle w:val="PlaceholderText"/>
                    <w:rFonts w:cs="Arial"/>
                  </w:rPr>
                  <w:t>Association of Investment Companies</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143F424" w:rsidR="00B327E9" w:rsidRPr="00AB6D88" w:rsidRDefault="00E1031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C4822">
                  <w:rPr>
                    <w:rFonts w:cs="Arial"/>
                  </w:rPr>
                  <w:t>Regulated markets/Exchanges/Trading Systems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6B456ACB" w:rsidR="00B327E9" w:rsidRPr="00AB6D88" w:rsidRDefault="004C4822"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02E8A673" w:rsidR="00B327E9" w:rsidRPr="00AB6D88" w:rsidRDefault="004C4822" w:rsidP="00F136AD">
                <w:pPr>
                  <w:rPr>
                    <w:rFonts w:cs="Arial"/>
                  </w:rPr>
                </w:pPr>
                <w:r>
                  <w:rPr>
                    <w:rFonts w:cs="Arial"/>
                  </w:rPr>
                  <w:t>UK</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0198C662" w14:textId="77777777" w:rsidR="004C4822" w:rsidRDefault="004C4822" w:rsidP="004C4822">
      <w:permStart w:id="411981036" w:edGrp="everyone"/>
      <w:r>
        <w:t xml:space="preserve">The Association of Investment Companies (AIC) is a trade body for the closed-ended investment </w:t>
      </w:r>
      <w:r w:rsidRPr="00BA10F3">
        <w:t>company sector.  We represent 358 investment companies, managing assets of over £168 billion.</w:t>
      </w:r>
      <w:r>
        <w:t xml:space="preserve">  Investment companies are Alternative Investment Funds (AIFs) within scope of the Alternative Investment Fund Managers Directive (AIFMD).</w:t>
      </w:r>
    </w:p>
    <w:p w14:paraId="5CFF4589" w14:textId="77777777" w:rsidR="004C4822" w:rsidRDefault="004C4822" w:rsidP="004C4822"/>
    <w:p w14:paraId="481B91DB" w14:textId="77777777" w:rsidR="004C4822" w:rsidRDefault="004C4822" w:rsidP="004C4822">
      <w:r>
        <w:t>The AIC’s members include investment trusts, Venture Capital Trusts, UK REITs and non-EU companies.  Our non-EU members are primarily domiciled in Guernsey and Jersey.</w:t>
      </w:r>
    </w:p>
    <w:p w14:paraId="64B751E0" w14:textId="77777777" w:rsidR="004C4822" w:rsidRDefault="004C4822" w:rsidP="004C4822"/>
    <w:p w14:paraId="67CCFDFA" w14:textId="77777777" w:rsidR="004C4822" w:rsidRPr="004C4822" w:rsidRDefault="004C4822" w:rsidP="004C4822">
      <w:pPr>
        <w:pStyle w:val="Subtitle"/>
        <w:spacing w:after="0"/>
        <w:rPr>
          <w:rFonts w:ascii="Arial" w:hAnsi="Arial" w:cs="Arial"/>
          <w:sz w:val="24"/>
        </w:rPr>
      </w:pPr>
      <w:r w:rsidRPr="004C4822">
        <w:rPr>
          <w:rFonts w:ascii="Arial" w:hAnsi="Arial" w:cs="Arial"/>
          <w:sz w:val="24"/>
        </w:rPr>
        <w:t>Redemptions</w:t>
      </w:r>
    </w:p>
    <w:p w14:paraId="3E384679" w14:textId="77777777" w:rsidR="004C4822" w:rsidRDefault="004C4822" w:rsidP="004C4822"/>
    <w:p w14:paraId="0FF463F4" w14:textId="77777777" w:rsidR="004C4822" w:rsidRDefault="004C4822" w:rsidP="004C4822">
      <w:r>
        <w:t>I</w:t>
      </w:r>
      <w:r w:rsidRPr="003B2891">
        <w:t>nvestment companies provide exposure to a diversified portfolio of assets managed by a professional fund manager.  Investment companies are ‘closed-ended’ funds, that is, they have a fixed number of shares.  These shares are admitted to trading on a public stock market (customarily the London Stock Exchange).  Unlike ‘open-ended’ funds, investment companies do not offer redemption, where an individual selling their investment receives cash out of the assets of the fund.</w:t>
      </w:r>
    </w:p>
    <w:p w14:paraId="2DAB52DF" w14:textId="77777777" w:rsidR="004C4822" w:rsidRDefault="004C4822" w:rsidP="004C4822"/>
    <w:p w14:paraId="2096F694" w14:textId="77777777" w:rsidR="004C4822" w:rsidRDefault="004C4822" w:rsidP="004C4822">
      <w:r w:rsidRPr="00A0581E">
        <w:t xml:space="preserve">Redemptions in open-ended funds holding illiquid assets must be suspended when they do not have sufficient liquidity to meet high levels of demand.  </w:t>
      </w:r>
      <w:r>
        <w:t xml:space="preserve">This does not happen with investment companies as their shares are traded on a public stock market.  </w:t>
      </w:r>
      <w:r w:rsidRPr="00E772CC">
        <w:t xml:space="preserve">There is no link between the level of trading in the investment company’s shares and </w:t>
      </w:r>
      <w:r>
        <w:t>demand for</w:t>
      </w:r>
      <w:r w:rsidRPr="00E772CC">
        <w:t xml:space="preserve"> liquidity </w:t>
      </w:r>
      <w:r>
        <w:t>in</w:t>
      </w:r>
      <w:r w:rsidRPr="00E772CC">
        <w:t xml:space="preserve"> the portfolio.  </w:t>
      </w:r>
      <w:r>
        <w:t>I</w:t>
      </w:r>
      <w:r w:rsidRPr="00201B2C">
        <w:t xml:space="preserve">nvestors can trade the shares of the company without the manager having to sell </w:t>
      </w:r>
      <w:r>
        <w:t xml:space="preserve">potentially illiquid </w:t>
      </w:r>
      <w:r w:rsidRPr="00201B2C">
        <w:t>underlying assets to fund redemptions</w:t>
      </w:r>
      <w:r>
        <w:t xml:space="preserve">.  </w:t>
      </w:r>
      <w:r w:rsidRPr="00E772CC">
        <w:t>There is no redemption mechanism.</w:t>
      </w:r>
      <w:r>
        <w:t xml:space="preserve">  </w:t>
      </w:r>
      <w:r w:rsidRPr="003B2891">
        <w:t>This characteristic makes investment companies well suited to provide exposure to illiquid assets</w:t>
      </w:r>
      <w:r>
        <w:t xml:space="preserve"> classes</w:t>
      </w:r>
      <w:r w:rsidRPr="003B2891">
        <w:t>.</w:t>
      </w:r>
    </w:p>
    <w:p w14:paraId="5A7E3CC4" w14:textId="77777777" w:rsidR="004C4822" w:rsidRDefault="004C4822" w:rsidP="004C4822"/>
    <w:p w14:paraId="37EE2377" w14:textId="77777777" w:rsidR="004C4822" w:rsidRDefault="004C4822" w:rsidP="004C4822">
      <w:r>
        <w:t>The AIFMD requires the Alternative Investment Fund Manager (AIFM) to put in place appropriate liquidity management systems and procedures.  These must enable the AIFM to monitor the liquidity risk of the AIF and ensure that the liquidity profile of the investments of the AIF complies with its underlying obligations.  Closed-ended AIFs, such as investment companies, must meet these requirements if they are subject to the full scope of the AIFMD.</w:t>
      </w:r>
    </w:p>
    <w:p w14:paraId="45D35429" w14:textId="77777777" w:rsidR="004C4822" w:rsidRDefault="004C4822" w:rsidP="004C4822"/>
    <w:p w14:paraId="5750911E" w14:textId="77777777" w:rsidR="004C4822" w:rsidRDefault="004C4822" w:rsidP="004C4822">
      <w:r>
        <w:t>These requirements are sufficient to ensure liquidity is appropriately managed in closed-ended AIFs which do not have to meet redemption requests.  One of the objectives of the Guidelines proposed by ESMA in its consultation paper is to “</w:t>
      </w:r>
      <w:r w:rsidRPr="00B24504">
        <w:rPr>
          <w:i/>
        </w:rPr>
        <w:t>model the potential effect that the stress could have on the overall liquidity of the fund</w:t>
      </w:r>
      <w:r>
        <w:t>”.  However, because the shares of investment companies are traded on a public stock market, liquidity in the underlying portfolio does not correspond to the liquidity of the investment company’s shares which are subject to market forces of supply and demand.</w:t>
      </w:r>
    </w:p>
    <w:p w14:paraId="48DC1F23" w14:textId="77777777" w:rsidR="004C4822" w:rsidRDefault="004C4822" w:rsidP="004C4822"/>
    <w:p w14:paraId="3FA3697E" w14:textId="77777777" w:rsidR="004C4822" w:rsidRDefault="004C4822" w:rsidP="004C4822">
      <w:r>
        <w:t>P</w:t>
      </w:r>
      <w:r w:rsidRPr="008A4D32">
        <w:t xml:space="preserve">eriods of market stress are unlikely to affect </w:t>
      </w:r>
      <w:r>
        <w:t>whether</w:t>
      </w:r>
      <w:r w:rsidRPr="008A4D32">
        <w:t xml:space="preserve"> investors in investment companies can trade their shares.  </w:t>
      </w:r>
      <w:r>
        <w:t>For example, t</w:t>
      </w:r>
      <w:r w:rsidRPr="008A4D32">
        <w:t xml:space="preserve">he AIC is not aware that any </w:t>
      </w:r>
      <w:r>
        <w:t>investors</w:t>
      </w:r>
      <w:r w:rsidRPr="008A4D32">
        <w:t xml:space="preserve"> of investment company property shares were unable to trade in the period after the Brexit vote</w:t>
      </w:r>
      <w:r>
        <w:t xml:space="preserve"> in 2016 or during the financial crisis of 2008/9</w:t>
      </w:r>
      <w:r w:rsidRPr="008A4D32">
        <w:t xml:space="preserve">.  </w:t>
      </w:r>
      <w:r>
        <w:t>N</w:t>
      </w:r>
      <w:r w:rsidRPr="008A4D32">
        <w:t>o investment company saw trading in their shares suspended, even for a day.</w:t>
      </w:r>
      <w:r>
        <w:t xml:space="preserve"> </w:t>
      </w:r>
      <w:r w:rsidRPr="008A4D32">
        <w:t xml:space="preserve"> Investors could still exit if their circumstances meant that they wished to do so</w:t>
      </w:r>
      <w:r>
        <w:t xml:space="preserve">.  The same could not be said for open-ended funds.  </w:t>
      </w:r>
      <w:r>
        <w:lastRenderedPageBreak/>
        <w:t>A number of open-ended funds with property investments experienced gating after both events and were not able to honour investor redemptions.</w:t>
      </w:r>
    </w:p>
    <w:p w14:paraId="7B12D033" w14:textId="77777777" w:rsidR="004C4822" w:rsidRDefault="004C4822" w:rsidP="004C4822"/>
    <w:p w14:paraId="1BCA3508" w14:textId="77777777" w:rsidR="004C4822" w:rsidRDefault="004C4822" w:rsidP="004C4822">
      <w:r>
        <w:t>The explanatory considerations section 6 states that the objective of LST on the asset side of the balance sheet is to:</w:t>
      </w:r>
    </w:p>
    <w:p w14:paraId="37613B2A" w14:textId="77777777" w:rsidR="004C4822" w:rsidRDefault="004C4822" w:rsidP="004C4822"/>
    <w:p w14:paraId="28278A22" w14:textId="77777777" w:rsidR="004C4822" w:rsidRDefault="004C4822" w:rsidP="004C4822">
      <w:pPr>
        <w:ind w:left="720"/>
      </w:pPr>
      <w:r>
        <w:t>“</w:t>
      </w:r>
      <w:r w:rsidRPr="00F12911">
        <w:rPr>
          <w:i/>
        </w:rPr>
        <w:t>model the potential effect that the stress could have on the overall liquidity of the fund, as asset liquidity can be a significant risk to the overall liquidity of a fund, independent of other factors such as redemptions</w:t>
      </w:r>
      <w:r>
        <w:rPr>
          <w:i/>
        </w:rPr>
        <w:t>.”</w:t>
      </w:r>
    </w:p>
    <w:p w14:paraId="0FEB05F5" w14:textId="77777777" w:rsidR="004C4822" w:rsidRDefault="004C4822" w:rsidP="004C4822"/>
    <w:p w14:paraId="4650460B" w14:textId="77777777" w:rsidR="004C4822" w:rsidRDefault="004C4822" w:rsidP="004C4822">
      <w:r>
        <w:t>The explanatory considerations section 7 states that the LST on the liability side of the balance sheet is to simulate the:</w:t>
      </w:r>
    </w:p>
    <w:p w14:paraId="109BFD20" w14:textId="77777777" w:rsidR="004C4822" w:rsidRDefault="004C4822" w:rsidP="004C4822"/>
    <w:p w14:paraId="4B4A6208" w14:textId="77777777" w:rsidR="004C4822" w:rsidRDefault="004C4822" w:rsidP="004C4822">
      <w:pPr>
        <w:ind w:left="720"/>
      </w:pPr>
      <w:r>
        <w:t>“</w:t>
      </w:r>
      <w:r w:rsidRPr="007E3FC9">
        <w:rPr>
          <w:i/>
        </w:rPr>
        <w:t>deteriorating liquidity in a fund within a given time period emanating from the liabilities side of the balance sheet.  This is usually due to unitholder redemptions, but also potentially due to other liabilities owed.</w:t>
      </w:r>
      <w:r>
        <w:t>”</w:t>
      </w:r>
    </w:p>
    <w:p w14:paraId="7F9FA997" w14:textId="77777777" w:rsidR="004C4822" w:rsidRDefault="004C4822" w:rsidP="004C4822"/>
    <w:p w14:paraId="2B39FA25" w14:textId="65BAD85F" w:rsidR="004C4822" w:rsidRDefault="004C4822" w:rsidP="004C4822">
      <w:r>
        <w:t>These issues are significantly less relevant to closed-ended investment companies than to other funds.  The structure of closed-ended investment companies means that the manager can invest for the long term without the need to consider investor redemptions.</w:t>
      </w:r>
    </w:p>
    <w:p w14:paraId="4C0B9791" w14:textId="7391368F" w:rsidR="004C4822" w:rsidRDefault="004C4822" w:rsidP="004C4822"/>
    <w:p w14:paraId="62CF8409" w14:textId="0BBCD9A2" w:rsidR="004C4822" w:rsidRPr="004C4822" w:rsidRDefault="004C4822" w:rsidP="004C4822">
      <w:pPr>
        <w:pStyle w:val="Subtitle"/>
        <w:spacing w:after="0"/>
        <w:rPr>
          <w:rFonts w:ascii="Arial" w:hAnsi="Arial" w:cs="Arial"/>
          <w:sz w:val="24"/>
        </w:rPr>
      </w:pPr>
      <w:r>
        <w:rPr>
          <w:rFonts w:ascii="Arial" w:hAnsi="Arial" w:cs="Arial"/>
          <w:sz w:val="24"/>
        </w:rPr>
        <w:t>Significant commitments</w:t>
      </w:r>
    </w:p>
    <w:p w14:paraId="4E093CB0" w14:textId="77777777" w:rsidR="004C4822" w:rsidRDefault="004C4822" w:rsidP="004C4822"/>
    <w:p w14:paraId="5A42A8F1" w14:textId="77777777" w:rsidR="004C4822" w:rsidRDefault="004C4822" w:rsidP="004C4822">
      <w:r>
        <w:t xml:space="preserve">Many investment companies have no legal or contractual commitments that will be materially affected by market stress.  Many of these companies will have portfolios consisting of mainly quoted securities which are traded in active markets.  These companies would not be subject to significant liquidity stresses.  The AIC </w:t>
      </w:r>
      <w:r w:rsidRPr="00583CEE">
        <w:rPr>
          <w:b/>
          <w:u w:val="single"/>
        </w:rPr>
        <w:t>recommends</w:t>
      </w:r>
      <w:r>
        <w:t xml:space="preserve"> that these investment companies are not subject to the proposed Guidelines.</w:t>
      </w:r>
    </w:p>
    <w:p w14:paraId="4A5819FD" w14:textId="77777777" w:rsidR="004C4822" w:rsidRDefault="004C4822" w:rsidP="004C4822"/>
    <w:p w14:paraId="30E9E317" w14:textId="77777777" w:rsidR="004C4822" w:rsidRDefault="004C4822" w:rsidP="004C4822">
      <w:r>
        <w:t>Other investment companies invest in less liquid assets, such as real estate, infrastructure or private equity.  These investment companies may have legal or contractual commitments to provide future funding.  In some cases, these commitments could be significantly impacted in times of market stress.</w:t>
      </w:r>
    </w:p>
    <w:p w14:paraId="17B9BD94" w14:textId="77777777" w:rsidR="004C4822" w:rsidRDefault="004C4822" w:rsidP="004C4822"/>
    <w:p w14:paraId="4BAA9089" w14:textId="77777777" w:rsidR="004C4822" w:rsidRDefault="004C4822" w:rsidP="004C4822">
      <w:r>
        <w:t>Investment companies that have financing arrangements in place, such as a bank loan where there is a financial covenant triggered when the value of the investment portfolio falls below a certain level (in relation to the value of the outstanding loan), could also be significantly impacted in times of market stress.</w:t>
      </w:r>
    </w:p>
    <w:p w14:paraId="6977B354" w14:textId="77777777" w:rsidR="004C4822" w:rsidRDefault="004C4822" w:rsidP="004C4822"/>
    <w:p w14:paraId="30279C5F" w14:textId="77777777" w:rsidR="004C4822" w:rsidRDefault="004C4822" w:rsidP="004C4822">
      <w:r>
        <w:t xml:space="preserve">The AIC </w:t>
      </w:r>
      <w:r w:rsidRPr="00583CEE">
        <w:rPr>
          <w:b/>
          <w:u w:val="single"/>
        </w:rPr>
        <w:t>recommends</w:t>
      </w:r>
      <w:r>
        <w:t xml:space="preserve"> that the AIFM assesses commitments or financing arrangements of this nature.  Where these commitments or financing arrangements would be significantly impacted by liquidity in times of market stress, the AIFs should be subject to the proposed Guidelines.</w:t>
      </w:r>
    </w:p>
    <w:p w14:paraId="7AA6AFD7" w14:textId="77777777" w:rsidR="004C4822" w:rsidRDefault="004C4822" w:rsidP="004C4822"/>
    <w:p w14:paraId="67B4C84F" w14:textId="77777777" w:rsidR="004C4822" w:rsidRDefault="004C4822" w:rsidP="004C4822">
      <w:r>
        <w:t>Amending the Guidelines in this way will provide a more proportionate regulatory position.  It will reduce the regulatory costs and burdens placed on investment companies whilst not creating any systemic risk.</w:t>
      </w:r>
    </w:p>
    <w:p w14:paraId="1D756C9F" w14:textId="77777777" w:rsidR="004C4822" w:rsidRDefault="004C4822" w:rsidP="004C4822"/>
    <w:p w14:paraId="3CD4D525" w14:textId="77777777" w:rsidR="004C4822" w:rsidRDefault="004C4822" w:rsidP="004C4822">
      <w:r>
        <w:t>The AIC has made further comments below to tailor the Guidelines in a proportionate manner.</w:t>
      </w:r>
    </w:p>
    <w:p w14:paraId="24E6FBF8" w14:textId="77777777" w:rsidR="004C4822" w:rsidRDefault="004C4822" w:rsidP="004C4822"/>
    <w:permEnd w:id="411981036"/>
    <w:p w14:paraId="6A3CB062" w14:textId="47F65A8C" w:rsidR="00B327E9" w:rsidRPr="00BF28DA" w:rsidRDefault="00B327E9" w:rsidP="00B327E9">
      <w:r w:rsidRPr="00BF28DA">
        <w:t>&lt;ESMA_COMMENT_</w:t>
      </w:r>
      <w:r w:rsidR="00407232">
        <w:rPr>
          <w:rFonts w:cs="Arial"/>
        </w:rPr>
        <w:t>LST</w:t>
      </w:r>
      <w:r w:rsidR="000A58BE">
        <w:t>_</w:t>
      </w:r>
      <w:r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52DE4FC3" w14:textId="77777777" w:rsidR="004C4822" w:rsidRDefault="004C4822" w:rsidP="004C4822">
      <w:permStart w:id="1296003605" w:edGrp="everyone"/>
      <w:r>
        <w:t>The AIC has no comment on this question.</w:t>
      </w:r>
    </w:p>
    <w:permEnd w:id="1296003605"/>
    <w:p w14:paraId="1C1F61DD" w14:textId="77777777" w:rsidR="00407232" w:rsidRDefault="00407232" w:rsidP="00407232">
      <w:pPr>
        <w:rPr>
          <w:rFonts w:cs="Arial"/>
        </w:rPr>
      </w:pPr>
      <w:r>
        <w:rPr>
          <w:rFonts w:cs="Arial"/>
        </w:rPr>
        <w:t>&lt;ESMA_QUESTION_LST_1&gt;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6079FE59" w14:textId="77777777" w:rsidR="004C4822" w:rsidRDefault="004C4822" w:rsidP="004C4822">
      <w:permStart w:id="706622868" w:edGrp="everyone"/>
      <w:r>
        <w:t xml:space="preserve">Please see our comments above.  The AIC </w:t>
      </w:r>
      <w:r w:rsidRPr="00361A80">
        <w:rPr>
          <w:b/>
          <w:u w:val="single"/>
        </w:rPr>
        <w:t>recommends</w:t>
      </w:r>
      <w:r>
        <w:t xml:space="preserve"> the proposed Guidelines do not apply to closed-ended AIFs which do not have to meet redemption requests and do not have significant commitments.</w:t>
      </w:r>
    </w:p>
    <w:p w14:paraId="431F83CF" w14:textId="77777777" w:rsidR="004C4822" w:rsidRDefault="004C4822" w:rsidP="004C4822"/>
    <w:p w14:paraId="2B10701F" w14:textId="77777777" w:rsidR="004C4822" w:rsidRDefault="004C4822" w:rsidP="004C4822">
      <w:r w:rsidRPr="00A62DEF">
        <w:t xml:space="preserve">This </w:t>
      </w:r>
      <w:r>
        <w:t xml:space="preserve">will </w:t>
      </w:r>
      <w:r w:rsidRPr="00A62DEF">
        <w:t>ensure the Guidelines are applied in a proportionate manner and do not impose unnecessary regulatory costs and burdens on companies where liquidity is unlikely to be a</w:t>
      </w:r>
      <w:r>
        <w:t xml:space="preserve"> significant</w:t>
      </w:r>
      <w:r w:rsidRPr="00A62DEF">
        <w:t xml:space="preserve"> issue.</w:t>
      </w:r>
    </w:p>
    <w:permEnd w:id="706622868"/>
    <w:p w14:paraId="255E3FB8" w14:textId="77777777" w:rsidR="00407232" w:rsidRDefault="00407232" w:rsidP="00407232">
      <w:pPr>
        <w:rPr>
          <w:rFonts w:cs="Arial"/>
        </w:rPr>
      </w:pPr>
      <w:r>
        <w:rPr>
          <w:rFonts w:cs="Arial"/>
        </w:rPr>
        <w:t>&lt;ESMA_QUESTION_LST_2&gt;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t xml:space="preserve">: </w:t>
      </w:r>
      <w:r w:rsidRPr="00406901">
        <w:t>Is additional clarity required regarding the scope of these Guidelines? Is additional clarity required regarding the meaning of ‘nature, scale and complexity’ of a fund?</w:t>
      </w:r>
      <w:r>
        <w:t xml:space="preserve"> Are there circumstances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6BE0954C" w14:textId="77777777" w:rsidR="004C4822" w:rsidRDefault="004C4822" w:rsidP="004C4822">
      <w:permStart w:id="86838892" w:edGrp="everyone"/>
      <w:r>
        <w:t xml:space="preserve">Please see our comments above.  The AIC </w:t>
      </w:r>
      <w:r w:rsidRPr="00361A80">
        <w:rPr>
          <w:b/>
          <w:u w:val="single"/>
        </w:rPr>
        <w:t>recommends</w:t>
      </w:r>
      <w:r>
        <w:t xml:space="preserve"> the proposed Guidelines do not apply to closed-ended AIFs which do not have to meet redemption requests and do not have significant commitments.</w:t>
      </w:r>
    </w:p>
    <w:p w14:paraId="21CC86B0" w14:textId="77777777" w:rsidR="004C4822" w:rsidRDefault="004C4822" w:rsidP="004C4822"/>
    <w:p w14:paraId="3E57CE00" w14:textId="77777777" w:rsidR="004C4822" w:rsidRDefault="004C4822" w:rsidP="004C4822">
      <w:r>
        <w:t xml:space="preserve">Where the Guidelines do apply, the AIC </w:t>
      </w:r>
      <w:r w:rsidRPr="00323D63">
        <w:rPr>
          <w:b/>
          <w:u w:val="single"/>
        </w:rPr>
        <w:t>recommends</w:t>
      </w:r>
      <w:r>
        <w:t xml:space="preserve"> they are adapted to the “</w:t>
      </w:r>
      <w:r w:rsidRPr="00F44AB8">
        <w:rPr>
          <w:i/>
        </w:rPr>
        <w:t>nature, scale and complexity of the fund</w:t>
      </w:r>
      <w:r>
        <w:t>”.  This will ensure they are applied in a proportionate manner.</w:t>
      </w:r>
    </w:p>
    <w:p w14:paraId="4986BB74" w14:textId="77777777" w:rsidR="004C4822" w:rsidRDefault="004C4822" w:rsidP="004C4822"/>
    <w:permEnd w:id="86838892"/>
    <w:p w14:paraId="58BC4F2C" w14:textId="77777777" w:rsidR="00407232" w:rsidRDefault="00407232" w:rsidP="00407232">
      <w:pPr>
        <w:rPr>
          <w:rFonts w:cs="Arial"/>
        </w:rPr>
      </w:pPr>
      <w:r>
        <w:rPr>
          <w:rFonts w:cs="Arial"/>
        </w:rPr>
        <w:t>&lt;ESMA_QUESTION_LST_3&gt;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69CBC46B" w14:textId="77777777" w:rsidR="004C4822" w:rsidRDefault="004C4822" w:rsidP="004C4822">
      <w:permStart w:id="758265983" w:edGrp="everyone"/>
      <w:r>
        <w:t xml:space="preserve">The AIC </w:t>
      </w:r>
      <w:r w:rsidRPr="00D83785">
        <w:rPr>
          <w:b/>
          <w:u w:val="single"/>
        </w:rPr>
        <w:t>recommends</w:t>
      </w:r>
      <w:r>
        <w:t xml:space="preserve"> these guidelines apply two years after they are finalised.  This will give managers sufficient time to adapt their systems and controls to meet the new requirements.</w:t>
      </w:r>
    </w:p>
    <w:permEnd w:id="758265983"/>
    <w:p w14:paraId="64B7795B" w14:textId="77777777" w:rsidR="00407232" w:rsidRDefault="00407232" w:rsidP="00407232">
      <w:pPr>
        <w:rPr>
          <w:rFonts w:cs="Arial"/>
        </w:rPr>
      </w:pPr>
      <w:r>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0B4F5645" w14:textId="77777777" w:rsidR="004C4822" w:rsidRDefault="004C4822" w:rsidP="004C4822">
      <w:permStart w:id="948246633" w:edGrp="everyone"/>
      <w:r>
        <w:t xml:space="preserve">Please see our comments above.  The AIC </w:t>
      </w:r>
      <w:r w:rsidRPr="00361A80">
        <w:rPr>
          <w:b/>
          <w:u w:val="single"/>
        </w:rPr>
        <w:t>recommends</w:t>
      </w:r>
      <w:r>
        <w:t xml:space="preserve"> the proposed Guidelines do not apply to closed-ended AIFs which do not have to meet redemption requests and do not have significant commitments.</w:t>
      </w:r>
    </w:p>
    <w:p w14:paraId="7DAD537A" w14:textId="77777777" w:rsidR="004C4822" w:rsidRDefault="004C4822" w:rsidP="004C4822"/>
    <w:p w14:paraId="7D687B48" w14:textId="77777777" w:rsidR="004C4822" w:rsidRDefault="004C4822" w:rsidP="004C4822">
      <w:r>
        <w:t>Where the Guidelines apply, the AIC agrees with the approach of setting out a list of guidelines all fund managers should follow.</w:t>
      </w:r>
    </w:p>
    <w:p w14:paraId="2C4E850D" w14:textId="77777777" w:rsidR="004C4822" w:rsidRDefault="004C4822" w:rsidP="004C4822"/>
    <w:p w14:paraId="5B52FBFE" w14:textId="77777777" w:rsidR="004C4822" w:rsidRDefault="004C4822" w:rsidP="004C4822">
      <w:r>
        <w:t xml:space="preserve">The AIC </w:t>
      </w:r>
      <w:r w:rsidRPr="0012381D">
        <w:rPr>
          <w:b/>
          <w:u w:val="single"/>
        </w:rPr>
        <w:t>recommends</w:t>
      </w:r>
      <w:r>
        <w:t xml:space="preserve"> there is a statement in the introduction section stating that:</w:t>
      </w:r>
    </w:p>
    <w:p w14:paraId="199A28ED" w14:textId="77777777" w:rsidR="004C4822" w:rsidRDefault="004C4822" w:rsidP="004C4822"/>
    <w:p w14:paraId="4A20C3EB" w14:textId="77777777" w:rsidR="004C4822" w:rsidRDefault="004C4822" w:rsidP="004C4822">
      <w:pPr>
        <w:ind w:left="720"/>
      </w:pPr>
      <w:r>
        <w:t>“</w:t>
      </w:r>
      <w:r w:rsidRPr="00B96011">
        <w:rPr>
          <w:i/>
        </w:rPr>
        <w:t>The</w:t>
      </w:r>
      <w:r>
        <w:rPr>
          <w:i/>
        </w:rPr>
        <w:t>se</w:t>
      </w:r>
      <w:r w:rsidRPr="00B96011">
        <w:rPr>
          <w:i/>
        </w:rPr>
        <w:t xml:space="preserve"> </w:t>
      </w:r>
      <w:r>
        <w:rPr>
          <w:i/>
        </w:rPr>
        <w:t>Guidelines</w:t>
      </w:r>
      <w:r w:rsidRPr="00B96011">
        <w:rPr>
          <w:i/>
        </w:rPr>
        <w:t xml:space="preserve"> are to be applied where</w:t>
      </w:r>
      <w:r w:rsidRPr="00954F8E">
        <w:rPr>
          <w:i/>
        </w:rPr>
        <w:t xml:space="preserve"> applicable </w:t>
      </w:r>
      <w:r>
        <w:rPr>
          <w:i/>
        </w:rPr>
        <w:t>to the AIF or UCITS.  They should be</w:t>
      </w:r>
      <w:r w:rsidRPr="00954F8E">
        <w:rPr>
          <w:i/>
        </w:rPr>
        <w:t xml:space="preserve"> adapted to fit the nature, scale and complexity of the f</w:t>
      </w:r>
      <w:r w:rsidRPr="00F44AB8">
        <w:rPr>
          <w:i/>
        </w:rPr>
        <w:t>und</w:t>
      </w:r>
      <w:r>
        <w:rPr>
          <w:i/>
        </w:rPr>
        <w:t xml:space="preserve"> </w:t>
      </w:r>
      <w:r w:rsidRPr="00977902">
        <w:rPr>
          <w:rFonts w:cs="Arial"/>
          <w:bCs/>
          <w:i/>
        </w:rPr>
        <w:t>including the investment strategy, liquidity of assets held, type of investor and redemption policy</w:t>
      </w:r>
      <w:r>
        <w:rPr>
          <w:rFonts w:cs="Arial"/>
          <w:bCs/>
          <w:i/>
        </w:rPr>
        <w:t>.</w:t>
      </w:r>
      <w:r>
        <w:t>”</w:t>
      </w:r>
    </w:p>
    <w:p w14:paraId="6608F492" w14:textId="77777777" w:rsidR="004C4822" w:rsidRDefault="004C4822" w:rsidP="004C4822">
      <w:pPr>
        <w:ind w:left="720"/>
      </w:pPr>
    </w:p>
    <w:p w14:paraId="009B7BF4" w14:textId="77777777" w:rsidR="004C4822" w:rsidRDefault="004C4822" w:rsidP="004C4822">
      <w:r>
        <w:t>This will ensure they are applied in a proportionate manner and in the most appropriate way for the specific type of fund.</w:t>
      </w:r>
    </w:p>
    <w:p w14:paraId="67EEFD3B" w14:textId="77777777" w:rsidR="004C4822" w:rsidRDefault="004C4822" w:rsidP="004C4822"/>
    <w:p w14:paraId="5675A61D" w14:textId="40EDD006" w:rsidR="004C4822" w:rsidRDefault="004C4822" w:rsidP="004C4822">
      <w:r>
        <w:t xml:space="preserve">See our detailed comments on the proposed Guidelines </w:t>
      </w:r>
      <w:r>
        <w:t>below:</w:t>
      </w:r>
    </w:p>
    <w:p w14:paraId="7E524527" w14:textId="0806132B" w:rsidR="004C4822" w:rsidRDefault="004C4822" w:rsidP="004C4822"/>
    <w:p w14:paraId="71D8F6FB" w14:textId="77777777" w:rsidR="004C4822" w:rsidRDefault="004C4822" w:rsidP="004C4822">
      <w:r w:rsidRPr="005D5CBC">
        <w:t xml:space="preserve">The AIC </w:t>
      </w:r>
      <w:r w:rsidRPr="005D5CBC">
        <w:rPr>
          <w:b/>
          <w:u w:val="single"/>
        </w:rPr>
        <w:t>recommends</w:t>
      </w:r>
      <w:r w:rsidRPr="005D5CBC">
        <w:t xml:space="preserve"> the following amendments are made to the guidelines.</w:t>
      </w:r>
      <w:r>
        <w:t xml:space="preserve">  The AIC has also made recommendations about the scope of these Guidelines, this is not included below, instead please see our response to questions 2 and 3.</w:t>
      </w:r>
    </w:p>
    <w:p w14:paraId="2B87E642" w14:textId="77777777" w:rsidR="004C4822" w:rsidRDefault="004C4822" w:rsidP="004C4822"/>
    <w:p w14:paraId="17993B2F" w14:textId="77777777" w:rsidR="004C4822" w:rsidRDefault="004C4822" w:rsidP="004C4822">
      <w:r w:rsidRPr="005D5CBC">
        <w:t>Insertions are shown in bold and underlined, deletions are shown in bold and struck through.</w:t>
      </w:r>
    </w:p>
    <w:p w14:paraId="6C803F4E" w14:textId="77777777" w:rsidR="004C4822" w:rsidRDefault="004C4822" w:rsidP="004C4822"/>
    <w:p w14:paraId="0F098D3F" w14:textId="77777777" w:rsidR="004C4822" w:rsidRPr="005376E5" w:rsidRDefault="004C4822" w:rsidP="004C4822">
      <w:pPr>
        <w:ind w:left="1418" w:hanging="1396"/>
        <w:rPr>
          <w:i/>
        </w:rPr>
      </w:pPr>
      <w:r w:rsidRPr="005376E5">
        <w:rPr>
          <w:b/>
          <w:i/>
        </w:rPr>
        <w:t>Guideline 4</w:t>
      </w:r>
      <w:r w:rsidRPr="005376E5">
        <w:rPr>
          <w:i/>
        </w:rPr>
        <w:tab/>
        <w:t xml:space="preserve">LST should be conducted at least annually and employed at all stages in a fund’s lifecycle, where appropriate.  It is recommended that a more frequent programme of LST be employed, quarterly or even more frequently if required by the characteristics of the fund.  </w:t>
      </w:r>
      <w:r w:rsidRPr="005376E5">
        <w:rPr>
          <w:b/>
          <w:i/>
          <w:strike/>
        </w:rPr>
        <w:t>Flexibility is allowed for on this issue dependent on the nature, scale and complexity of the fund and its liquidity profile.</w:t>
      </w:r>
    </w:p>
    <w:p w14:paraId="7C7C71BD" w14:textId="77777777" w:rsidR="004C4822" w:rsidRDefault="004C4822" w:rsidP="004C4822"/>
    <w:p w14:paraId="4D246748" w14:textId="77777777" w:rsidR="004C4822" w:rsidRDefault="004C4822" w:rsidP="004C4822">
      <w:r>
        <w:t xml:space="preserve">See our response to question 5 which </w:t>
      </w:r>
      <w:r w:rsidRPr="000F7DC3">
        <w:rPr>
          <w:b/>
          <w:u w:val="single"/>
        </w:rPr>
        <w:t>recommends</w:t>
      </w:r>
      <w:r>
        <w:t xml:space="preserve"> that introduction of the Guidelines includes a statement as to the applicability and adaptability of the Guidelines.  If this recommendation is adopted, Guideline 4 should be revised accordingly.</w:t>
      </w:r>
    </w:p>
    <w:p w14:paraId="089B064F" w14:textId="77777777" w:rsidR="004C4822" w:rsidRDefault="004C4822" w:rsidP="004C4822">
      <w:pPr>
        <w:ind w:firstLine="22"/>
      </w:pPr>
    </w:p>
    <w:p w14:paraId="3E4DAD50" w14:textId="77777777" w:rsidR="004C4822" w:rsidRDefault="004C4822" w:rsidP="004C4822">
      <w:pPr>
        <w:ind w:firstLine="22"/>
      </w:pPr>
    </w:p>
    <w:p w14:paraId="44FE9AC6" w14:textId="77777777" w:rsidR="004C4822" w:rsidRPr="00702844" w:rsidRDefault="004C4822" w:rsidP="004C4822">
      <w:pPr>
        <w:spacing w:after="120"/>
        <w:rPr>
          <w:i/>
        </w:rPr>
      </w:pPr>
      <w:r w:rsidRPr="00702844">
        <w:rPr>
          <w:b/>
          <w:i/>
        </w:rPr>
        <w:t>Guideline 5</w:t>
      </w:r>
      <w:r w:rsidRPr="00702844">
        <w:rPr>
          <w:i/>
        </w:rPr>
        <w:tab/>
        <w:t>LST should provide outcomes which can be used</w:t>
      </w:r>
      <w:r w:rsidRPr="00055642">
        <w:rPr>
          <w:b/>
          <w:i/>
          <w:u w:val="single"/>
        </w:rPr>
        <w:t>, as applicable,</w:t>
      </w:r>
      <w:r w:rsidRPr="00702844">
        <w:rPr>
          <w:i/>
        </w:rPr>
        <w:t xml:space="preserve"> to:</w:t>
      </w:r>
    </w:p>
    <w:p w14:paraId="7684670F" w14:textId="77777777" w:rsidR="004C4822" w:rsidRPr="00702844" w:rsidRDefault="004C4822" w:rsidP="004C4822">
      <w:pPr>
        <w:pStyle w:val="ListParagraph"/>
        <w:numPr>
          <w:ilvl w:val="0"/>
          <w:numId w:val="45"/>
        </w:numPr>
        <w:spacing w:after="120"/>
        <w:ind w:left="1985" w:hanging="284"/>
        <w:contextualSpacing w:val="0"/>
        <w:jc w:val="both"/>
        <w:rPr>
          <w:i/>
        </w:rPr>
      </w:pPr>
      <w:r w:rsidRPr="00702844">
        <w:rPr>
          <w:i/>
        </w:rPr>
        <w:t>Help ensure the fund is sufficiently liquid, as required by applicable rules and redemption terms stipulated in fund documentation.</w:t>
      </w:r>
    </w:p>
    <w:p w14:paraId="50728F14" w14:textId="77777777" w:rsidR="004C4822" w:rsidRPr="00702844" w:rsidRDefault="004C4822" w:rsidP="004C4822">
      <w:pPr>
        <w:pStyle w:val="ListParagraph"/>
        <w:numPr>
          <w:ilvl w:val="0"/>
          <w:numId w:val="45"/>
        </w:numPr>
        <w:spacing w:after="120"/>
        <w:ind w:left="1985" w:hanging="284"/>
        <w:contextualSpacing w:val="0"/>
        <w:jc w:val="both"/>
        <w:rPr>
          <w:i/>
        </w:rPr>
      </w:pPr>
      <w:r w:rsidRPr="00702844">
        <w:rPr>
          <w:i/>
        </w:rPr>
        <w:t>Strengthen the ability of managers to manage fund liquidity in the best interests of investors, including in planning for periods of heightened liquidity risk.</w:t>
      </w:r>
    </w:p>
    <w:p w14:paraId="55E7CA01" w14:textId="77777777" w:rsidR="004C4822" w:rsidRDefault="004C4822" w:rsidP="004C4822">
      <w:pPr>
        <w:pStyle w:val="ListParagraph"/>
        <w:numPr>
          <w:ilvl w:val="0"/>
          <w:numId w:val="45"/>
        </w:numPr>
        <w:spacing w:after="120"/>
        <w:ind w:left="1985" w:hanging="284"/>
        <w:contextualSpacing w:val="0"/>
        <w:jc w:val="both"/>
        <w:rPr>
          <w:i/>
        </w:rPr>
      </w:pPr>
      <w:r w:rsidRPr="00702844">
        <w:rPr>
          <w:i/>
        </w:rPr>
        <w:t>Help identify potential weaknesses of an investment strategy, and assist in investment decision making.</w:t>
      </w:r>
    </w:p>
    <w:p w14:paraId="383D7D1A" w14:textId="77777777" w:rsidR="004C4822" w:rsidRPr="00672366" w:rsidRDefault="004C4822" w:rsidP="004C4822">
      <w:pPr>
        <w:pStyle w:val="ListParagraph"/>
        <w:numPr>
          <w:ilvl w:val="0"/>
          <w:numId w:val="45"/>
        </w:numPr>
        <w:spacing w:after="120"/>
        <w:ind w:left="1985" w:hanging="284"/>
        <w:contextualSpacing w:val="0"/>
        <w:jc w:val="both"/>
        <w:rPr>
          <w:i/>
        </w:rPr>
      </w:pPr>
      <w:r w:rsidRPr="00672366">
        <w:rPr>
          <w:i/>
        </w:rPr>
        <w:t>Assist risk management monitoring and decision-making, including setting relevant limits regarding fund liquidity.  This may include ensuring the results of LST can be measured through a comparable metric, such as a key risk indicator.</w:t>
      </w:r>
    </w:p>
    <w:p w14:paraId="29F52823" w14:textId="77777777" w:rsidR="004C4822" w:rsidRDefault="004C4822" w:rsidP="004C4822"/>
    <w:p w14:paraId="3D118A73" w14:textId="77777777" w:rsidR="004C4822" w:rsidRDefault="004C4822" w:rsidP="004C4822">
      <w:r>
        <w:t xml:space="preserve">For funds that do not have to meet redemption requirements, not all these requirements are applicable.  The AIC </w:t>
      </w:r>
      <w:r w:rsidRPr="009E47A6">
        <w:rPr>
          <w:b/>
          <w:u w:val="single"/>
        </w:rPr>
        <w:t>recommends</w:t>
      </w:r>
      <w:r>
        <w:t xml:space="preserve"> this is made clear in the Guideline.</w:t>
      </w:r>
    </w:p>
    <w:p w14:paraId="64F93F68" w14:textId="77777777" w:rsidR="004C4822" w:rsidRDefault="004C4822" w:rsidP="004C4822"/>
    <w:p w14:paraId="49026C9F" w14:textId="77777777" w:rsidR="004C4822" w:rsidRDefault="004C4822" w:rsidP="004C4822"/>
    <w:p w14:paraId="7D0DE28E" w14:textId="77777777" w:rsidR="004C4822" w:rsidRPr="00672366" w:rsidRDefault="004C4822" w:rsidP="004C4822">
      <w:pPr>
        <w:spacing w:after="120"/>
        <w:ind w:left="1418" w:hanging="1418"/>
        <w:rPr>
          <w:i/>
        </w:rPr>
      </w:pPr>
      <w:r w:rsidRPr="002E4D9D">
        <w:rPr>
          <w:b/>
          <w:i/>
        </w:rPr>
        <w:t>Guideline 7</w:t>
      </w:r>
      <w:r w:rsidRPr="002E4D9D">
        <w:rPr>
          <w:i/>
        </w:rPr>
        <w:tab/>
        <w:t xml:space="preserve">LST should be applied to in-scope UCITS and AIFs and adapted appropriately </w:t>
      </w:r>
      <w:r w:rsidRPr="002E4D9D">
        <w:rPr>
          <w:b/>
          <w:i/>
          <w:strike/>
        </w:rPr>
        <w:t xml:space="preserve">to each fund, depending on its nature, scale and complexity, </w:t>
      </w:r>
      <w:r w:rsidRPr="002E4D9D">
        <w:rPr>
          <w:i/>
        </w:rPr>
        <w:t>including by adapting:</w:t>
      </w:r>
    </w:p>
    <w:p w14:paraId="18B956C7" w14:textId="77777777" w:rsidR="004C4822" w:rsidRPr="00672366" w:rsidRDefault="004C4822" w:rsidP="004C4822">
      <w:pPr>
        <w:spacing w:after="120"/>
        <w:ind w:left="1418"/>
        <w:rPr>
          <w:i/>
        </w:rPr>
      </w:pPr>
      <w:r w:rsidRPr="00672366">
        <w:rPr>
          <w:i/>
        </w:rPr>
        <w:t>The frequency of LST (as per Guideline 4).</w:t>
      </w:r>
    </w:p>
    <w:p w14:paraId="1942C711" w14:textId="77777777" w:rsidR="004C4822" w:rsidRPr="00672366" w:rsidRDefault="004C4822" w:rsidP="004C4822">
      <w:pPr>
        <w:pStyle w:val="ListParagraph"/>
        <w:numPr>
          <w:ilvl w:val="0"/>
          <w:numId w:val="46"/>
        </w:numPr>
        <w:spacing w:after="120"/>
        <w:ind w:left="1985" w:hanging="284"/>
        <w:contextualSpacing w:val="0"/>
        <w:jc w:val="both"/>
        <w:rPr>
          <w:i/>
        </w:rPr>
      </w:pPr>
      <w:r w:rsidRPr="00672366">
        <w:rPr>
          <w:i/>
        </w:rPr>
        <w:t>The types of scenarios employed to create stressed conditions, which should always be sufficiently severe, but plausible.</w:t>
      </w:r>
    </w:p>
    <w:p w14:paraId="31DBA88D" w14:textId="77777777" w:rsidR="004C4822" w:rsidRPr="00672366" w:rsidRDefault="004C4822" w:rsidP="004C4822">
      <w:pPr>
        <w:pStyle w:val="ListParagraph"/>
        <w:numPr>
          <w:ilvl w:val="0"/>
          <w:numId w:val="46"/>
        </w:numPr>
        <w:spacing w:after="120"/>
        <w:ind w:left="1985" w:hanging="284"/>
        <w:contextualSpacing w:val="0"/>
        <w:jc w:val="both"/>
        <w:rPr>
          <w:i/>
        </w:rPr>
      </w:pPr>
      <w:r w:rsidRPr="00672366">
        <w:rPr>
          <w:i/>
        </w:rPr>
        <w:t>Assumptions regarding investor behaviour (gross and net redemptions) and asset liquidation.</w:t>
      </w:r>
    </w:p>
    <w:p w14:paraId="52DDE6BD" w14:textId="77777777" w:rsidR="004C4822" w:rsidRPr="00672366" w:rsidRDefault="004C4822" w:rsidP="004C4822">
      <w:pPr>
        <w:pStyle w:val="ListParagraph"/>
        <w:numPr>
          <w:ilvl w:val="0"/>
          <w:numId w:val="46"/>
        </w:numPr>
        <w:ind w:left="1985" w:hanging="284"/>
        <w:jc w:val="both"/>
        <w:rPr>
          <w:i/>
        </w:rPr>
      </w:pPr>
      <w:r w:rsidRPr="00672366">
        <w:rPr>
          <w:i/>
        </w:rPr>
        <w:t>The complexity of the LST model, which should account for the complexity of the fund’s investment strategy.</w:t>
      </w:r>
    </w:p>
    <w:p w14:paraId="25E9BF5F" w14:textId="77777777" w:rsidR="004C4822" w:rsidRPr="00FB6F90" w:rsidRDefault="004C4822" w:rsidP="004C4822"/>
    <w:p w14:paraId="135F69C5" w14:textId="77777777" w:rsidR="004C4822" w:rsidRDefault="004C4822" w:rsidP="004C4822">
      <w:r>
        <w:lastRenderedPageBreak/>
        <w:t xml:space="preserve">See our response to question 5 which </w:t>
      </w:r>
      <w:r w:rsidRPr="000F7DC3">
        <w:rPr>
          <w:b/>
          <w:u w:val="single"/>
        </w:rPr>
        <w:t>recommends</w:t>
      </w:r>
      <w:r>
        <w:t xml:space="preserve"> that introduction of the Guidelines includes a statement as to the applicability and adaptability of the Guidelines.  If this recommendation is adopted, Guideline 7 should be revised accordingly.</w:t>
      </w:r>
    </w:p>
    <w:p w14:paraId="4E695E44" w14:textId="77777777" w:rsidR="004C4822" w:rsidRDefault="004C4822" w:rsidP="004C4822"/>
    <w:p w14:paraId="3B523D48" w14:textId="77777777" w:rsidR="004C4822" w:rsidRDefault="004C4822" w:rsidP="004C4822"/>
    <w:p w14:paraId="5D05C02E" w14:textId="77777777" w:rsidR="004C4822" w:rsidRPr="00F6638D" w:rsidRDefault="004C4822" w:rsidP="004C4822">
      <w:pPr>
        <w:spacing w:after="120"/>
        <w:ind w:left="1418" w:hanging="1418"/>
        <w:rPr>
          <w:i/>
        </w:rPr>
      </w:pPr>
      <w:r w:rsidRPr="00F6638D">
        <w:rPr>
          <w:b/>
          <w:i/>
        </w:rPr>
        <w:t>Guideline 10</w:t>
      </w:r>
      <w:r w:rsidRPr="00F6638D">
        <w:rPr>
          <w:i/>
        </w:rPr>
        <w:tab/>
        <w:t>LST should enable a manager to assess not only the time and/or cost to liquidate assets in a portfolio, but also whether such an activity would be permissible given:</w:t>
      </w:r>
    </w:p>
    <w:p w14:paraId="40AA9A6C" w14:textId="77777777" w:rsidR="004C4822" w:rsidRPr="00F6638D" w:rsidRDefault="004C4822" w:rsidP="004C4822">
      <w:pPr>
        <w:pStyle w:val="ListParagraph"/>
        <w:numPr>
          <w:ilvl w:val="0"/>
          <w:numId w:val="47"/>
        </w:numPr>
        <w:spacing w:after="120"/>
        <w:ind w:left="1985" w:hanging="284"/>
        <w:contextualSpacing w:val="0"/>
        <w:jc w:val="both"/>
        <w:rPr>
          <w:i/>
        </w:rPr>
      </w:pPr>
      <w:r w:rsidRPr="00F6638D">
        <w:rPr>
          <w:i/>
        </w:rPr>
        <w:t>The objectives and investment policy of the fund.</w:t>
      </w:r>
    </w:p>
    <w:p w14:paraId="6BF308C8" w14:textId="77777777" w:rsidR="004C4822" w:rsidRPr="00F6638D" w:rsidRDefault="004C4822" w:rsidP="004C4822">
      <w:pPr>
        <w:pStyle w:val="ListParagraph"/>
        <w:numPr>
          <w:ilvl w:val="0"/>
          <w:numId w:val="47"/>
        </w:numPr>
        <w:spacing w:after="120"/>
        <w:ind w:left="1985" w:hanging="284"/>
        <w:contextualSpacing w:val="0"/>
        <w:jc w:val="both"/>
        <w:rPr>
          <w:i/>
        </w:rPr>
      </w:pPr>
      <w:r w:rsidRPr="00542EC0">
        <w:rPr>
          <w:b/>
          <w:i/>
          <w:strike/>
        </w:rPr>
        <w:t xml:space="preserve">The </w:t>
      </w:r>
      <w:r w:rsidRPr="00542EC0">
        <w:rPr>
          <w:b/>
          <w:i/>
          <w:u w:val="single"/>
        </w:rPr>
        <w:t xml:space="preserve">Any </w:t>
      </w:r>
      <w:r w:rsidRPr="00F6638D">
        <w:rPr>
          <w:i/>
        </w:rPr>
        <w:t>obligation to manage the fund in the interest of</w:t>
      </w:r>
      <w:r>
        <w:rPr>
          <w:i/>
        </w:rPr>
        <w:t xml:space="preserve"> unitholders</w:t>
      </w:r>
      <w:r w:rsidRPr="00F6638D">
        <w:rPr>
          <w:i/>
        </w:rPr>
        <w:t>.</w:t>
      </w:r>
    </w:p>
    <w:p w14:paraId="65A4E1E8" w14:textId="77777777" w:rsidR="004C4822" w:rsidRPr="00F6638D" w:rsidRDefault="004C4822" w:rsidP="004C4822">
      <w:pPr>
        <w:pStyle w:val="ListParagraph"/>
        <w:numPr>
          <w:ilvl w:val="0"/>
          <w:numId w:val="47"/>
        </w:numPr>
        <w:spacing w:after="120"/>
        <w:ind w:left="1985" w:hanging="284"/>
        <w:contextualSpacing w:val="0"/>
        <w:jc w:val="both"/>
        <w:rPr>
          <w:i/>
        </w:rPr>
      </w:pPr>
      <w:r w:rsidRPr="00F6638D">
        <w:rPr>
          <w:i/>
        </w:rPr>
        <w:t>Any applicable obligation to liquidate assets at limited cost.</w:t>
      </w:r>
    </w:p>
    <w:p w14:paraId="017B67DD" w14:textId="77777777" w:rsidR="004C4822" w:rsidRPr="00F6638D" w:rsidRDefault="004C4822" w:rsidP="004C4822">
      <w:pPr>
        <w:pStyle w:val="ListParagraph"/>
        <w:numPr>
          <w:ilvl w:val="0"/>
          <w:numId w:val="47"/>
        </w:numPr>
        <w:ind w:left="1985" w:hanging="284"/>
        <w:jc w:val="both"/>
        <w:rPr>
          <w:i/>
        </w:rPr>
      </w:pPr>
      <w:r w:rsidRPr="00F6638D">
        <w:rPr>
          <w:i/>
        </w:rPr>
        <w:t>Any obligation to maintain the risk profile of the fund following liquidation of a portion of its assets.</w:t>
      </w:r>
    </w:p>
    <w:p w14:paraId="764C2FF2" w14:textId="77777777" w:rsidR="004C4822" w:rsidRDefault="004C4822" w:rsidP="004C4822"/>
    <w:p w14:paraId="63D84CA0" w14:textId="77777777" w:rsidR="004C4822" w:rsidRDefault="004C4822" w:rsidP="004C4822">
      <w:r>
        <w:t xml:space="preserve">Closed-ended investment companies have shareholders not unitholders.  They are managed by a board of directors which employ an AIFM to manage the day-to-day operations of the investment portfolio.  The AIFM must operate in accordance with the investment policy and strategy set by the board of directors.  The AIFM does not have any direct obligation to manage the fund in the interest of the shareholders of the investment company.  The AIC </w:t>
      </w:r>
      <w:r w:rsidRPr="00B25300">
        <w:rPr>
          <w:b/>
          <w:u w:val="single"/>
        </w:rPr>
        <w:t>recommends</w:t>
      </w:r>
      <w:r>
        <w:t xml:space="preserve"> this Guideline is clarified accordingly.</w:t>
      </w:r>
    </w:p>
    <w:p w14:paraId="6C1A207A" w14:textId="77777777" w:rsidR="004C4822" w:rsidRDefault="004C4822" w:rsidP="004C4822"/>
    <w:permEnd w:id="948246633"/>
    <w:p w14:paraId="1C8B8DAC" w14:textId="77777777" w:rsidR="00407232" w:rsidRDefault="00407232" w:rsidP="00407232">
      <w:pPr>
        <w:rPr>
          <w:rFonts w:cs="Arial"/>
        </w:rPr>
      </w:pPr>
      <w:r>
        <w:rPr>
          <w:rFonts w:cs="Arial"/>
        </w:rPr>
        <w:t>&lt;ESMA_QUESTION_LST_5&gt;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130A472D" w14:textId="78007615" w:rsidR="004C4822" w:rsidRDefault="004C4822" w:rsidP="004C4822">
      <w:permStart w:id="899314546" w:edGrp="everyone"/>
      <w:r w:rsidRPr="005D5CBC">
        <w:t>The AIC</w:t>
      </w:r>
      <w:r>
        <w:t xml:space="preserve"> has a number of specific</w:t>
      </w:r>
      <w:r w:rsidRPr="005D5CBC">
        <w:t xml:space="preserve"> </w:t>
      </w:r>
      <w:r w:rsidRPr="005D5CBC">
        <w:rPr>
          <w:b/>
          <w:u w:val="single"/>
        </w:rPr>
        <w:t>recommend</w:t>
      </w:r>
      <w:r>
        <w:rPr>
          <w:b/>
          <w:u w:val="single"/>
        </w:rPr>
        <w:t>ations</w:t>
      </w:r>
      <w:r w:rsidRPr="005D5CBC">
        <w:t xml:space="preserve"> </w:t>
      </w:r>
      <w:r>
        <w:t xml:space="preserve">to in relation to the proposed Guidelines.  These are set out </w:t>
      </w:r>
      <w:r>
        <w:t>in question 5 above</w:t>
      </w:r>
      <w:r w:rsidRPr="005D5CBC">
        <w:t>.</w:t>
      </w:r>
    </w:p>
    <w:permEnd w:id="899314546"/>
    <w:p w14:paraId="1B56AC93" w14:textId="77777777" w:rsidR="00407232" w:rsidRDefault="00407232" w:rsidP="00407232">
      <w:pPr>
        <w:rPr>
          <w:rFonts w:cs="Arial"/>
        </w:rPr>
      </w:pPr>
      <w:r>
        <w:rPr>
          <w:rFonts w:cs="Arial"/>
        </w:rPr>
        <w:t>&lt;ESMA_QUESTION_LST_6&gt;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2F213463" w14:textId="77777777" w:rsidR="004C4822" w:rsidRDefault="004C4822" w:rsidP="004C4822">
      <w:permStart w:id="84614278" w:edGrp="everyone"/>
      <w:r>
        <w:t xml:space="preserve">Please see our comments above.  The AIC </w:t>
      </w:r>
      <w:r w:rsidRPr="00361A80">
        <w:rPr>
          <w:b/>
          <w:u w:val="single"/>
        </w:rPr>
        <w:t>recommends</w:t>
      </w:r>
      <w:r>
        <w:t xml:space="preserve"> the proposed Guidelines do not apply to closed-ended AIFs which do not have to meet redemption requests and do not have significant commitments.</w:t>
      </w:r>
    </w:p>
    <w:p w14:paraId="27E38857" w14:textId="77777777" w:rsidR="004C4822" w:rsidRDefault="004C4822" w:rsidP="004C4822"/>
    <w:p w14:paraId="5EF24B4B" w14:textId="77777777" w:rsidR="004C4822" w:rsidRDefault="004C4822" w:rsidP="004C4822">
      <w:r>
        <w:t xml:space="preserve">Where the Guidelines apply, the AIC </w:t>
      </w:r>
      <w:r w:rsidRPr="0012381D">
        <w:rPr>
          <w:b/>
          <w:u w:val="single"/>
        </w:rPr>
        <w:t>recommends</w:t>
      </w:r>
      <w:r>
        <w:t xml:space="preserve"> there is a statement in the explanatory notes section stating that:</w:t>
      </w:r>
    </w:p>
    <w:p w14:paraId="103F6659" w14:textId="77777777" w:rsidR="004C4822" w:rsidRDefault="004C4822" w:rsidP="004C4822"/>
    <w:p w14:paraId="6B461F99" w14:textId="77777777" w:rsidR="004C4822" w:rsidRDefault="004C4822" w:rsidP="004C4822">
      <w:pPr>
        <w:ind w:left="720"/>
      </w:pPr>
      <w:r>
        <w:t>“</w:t>
      </w:r>
      <w:r w:rsidRPr="00B96011">
        <w:rPr>
          <w:i/>
        </w:rPr>
        <w:t>The</w:t>
      </w:r>
      <w:r>
        <w:rPr>
          <w:i/>
        </w:rPr>
        <w:t>se</w:t>
      </w:r>
      <w:r w:rsidRPr="00B96011">
        <w:rPr>
          <w:i/>
        </w:rPr>
        <w:t xml:space="preserve"> explanatory considerations are to be applied where</w:t>
      </w:r>
      <w:r w:rsidRPr="00954F8E">
        <w:rPr>
          <w:i/>
        </w:rPr>
        <w:t xml:space="preserve"> applicable </w:t>
      </w:r>
      <w:r>
        <w:rPr>
          <w:i/>
        </w:rPr>
        <w:t>to the AIF or UCITS.  They should be</w:t>
      </w:r>
      <w:r w:rsidRPr="00954F8E">
        <w:rPr>
          <w:i/>
        </w:rPr>
        <w:t xml:space="preserve"> adapted to fit the nature, scale and complexity of the f</w:t>
      </w:r>
      <w:r w:rsidRPr="00F44AB8">
        <w:rPr>
          <w:i/>
        </w:rPr>
        <w:t>und</w:t>
      </w:r>
      <w:r>
        <w:rPr>
          <w:i/>
        </w:rPr>
        <w:t xml:space="preserve"> </w:t>
      </w:r>
      <w:r w:rsidRPr="00977902">
        <w:rPr>
          <w:rFonts w:cs="Arial"/>
          <w:bCs/>
          <w:i/>
        </w:rPr>
        <w:t xml:space="preserve">including the investment strategy, liquidity of assets held, type of investor and redemption policy </w:t>
      </w:r>
      <w:r>
        <w:rPr>
          <w:rFonts w:cs="Arial"/>
          <w:bCs/>
          <w:i/>
        </w:rPr>
        <w:t>when applying LST on the assets sides of the balance sheet.</w:t>
      </w:r>
      <w:r>
        <w:t>”</w:t>
      </w:r>
    </w:p>
    <w:p w14:paraId="7C37246B" w14:textId="77777777" w:rsidR="004C4822" w:rsidRDefault="004C4822" w:rsidP="004C4822"/>
    <w:p w14:paraId="6A7D162E" w14:textId="77777777" w:rsidR="004C4822" w:rsidRDefault="004C4822" w:rsidP="004C4822">
      <w:r>
        <w:t>This will ensure they are applied in a proportionate manner and in the most appropriate way for the specific type of fund.</w:t>
      </w:r>
    </w:p>
    <w:p w14:paraId="5BC8BF8C" w14:textId="77777777" w:rsidR="004C4822" w:rsidRDefault="004C4822" w:rsidP="004C4822"/>
    <w:p w14:paraId="3F6939B9" w14:textId="41D467E3" w:rsidR="004C4822" w:rsidRDefault="004C4822" w:rsidP="004C4822">
      <w:r w:rsidRPr="005D5CBC">
        <w:t>The AIC</w:t>
      </w:r>
      <w:r>
        <w:t xml:space="preserve"> has a number of specific</w:t>
      </w:r>
      <w:r w:rsidRPr="005D5CBC">
        <w:t xml:space="preserve"> </w:t>
      </w:r>
      <w:r w:rsidRPr="005D5CBC">
        <w:rPr>
          <w:b/>
          <w:u w:val="single"/>
        </w:rPr>
        <w:t>recommend</w:t>
      </w:r>
      <w:r>
        <w:rPr>
          <w:b/>
          <w:u w:val="single"/>
        </w:rPr>
        <w:t>ations</w:t>
      </w:r>
      <w:r w:rsidRPr="005D5CBC">
        <w:t xml:space="preserve"> </w:t>
      </w:r>
      <w:r>
        <w:t>to in relation to the explanatory considerations</w:t>
      </w:r>
      <w:r w:rsidR="00E10319">
        <w:t xml:space="preserve"> in relation to assets</w:t>
      </w:r>
      <w:r>
        <w:t xml:space="preserve">.  These are set out </w:t>
      </w:r>
      <w:r w:rsidR="00E10319">
        <w:t>below</w:t>
      </w:r>
      <w:r>
        <w:t>.</w:t>
      </w:r>
    </w:p>
    <w:p w14:paraId="076F255D" w14:textId="08564449" w:rsidR="00E10319" w:rsidRDefault="00E10319" w:rsidP="004C4822"/>
    <w:p w14:paraId="074B3BB8" w14:textId="77777777" w:rsidR="00E10319" w:rsidRDefault="00E10319" w:rsidP="00E10319">
      <w:r w:rsidRPr="005D5CBC">
        <w:t xml:space="preserve">The AIC </w:t>
      </w:r>
      <w:r w:rsidRPr="005D5CBC">
        <w:rPr>
          <w:b/>
          <w:u w:val="single"/>
        </w:rPr>
        <w:t>recommends</w:t>
      </w:r>
      <w:r w:rsidRPr="005D5CBC">
        <w:t xml:space="preserve"> the following amendments are made to the </w:t>
      </w:r>
      <w:r>
        <w:t>explanatory considerations</w:t>
      </w:r>
      <w:r w:rsidRPr="005D5CBC">
        <w:t>.</w:t>
      </w:r>
    </w:p>
    <w:p w14:paraId="6C3EA488" w14:textId="77777777" w:rsidR="00E10319" w:rsidRDefault="00E10319" w:rsidP="00E10319"/>
    <w:p w14:paraId="3A3AF96E" w14:textId="77777777" w:rsidR="00E10319" w:rsidRDefault="00E10319" w:rsidP="00E10319">
      <w:r>
        <w:lastRenderedPageBreak/>
        <w:t>The AIC has also made recommendations about the introduction sections of the explanatory considerations, this text is not included below, instead please see our response to questions 5, 7 (in relation to assets), 14, 18, 21 and 27.</w:t>
      </w:r>
    </w:p>
    <w:p w14:paraId="037FCCE7" w14:textId="77777777" w:rsidR="00E10319" w:rsidRDefault="00E10319" w:rsidP="00E10319"/>
    <w:p w14:paraId="58E46886" w14:textId="77777777" w:rsidR="00E10319" w:rsidRDefault="00E10319" w:rsidP="00E10319">
      <w:r w:rsidRPr="005D5CBC">
        <w:t>Insertions are shown in bold and underlined, deletions are shown in bold and struck through.</w:t>
      </w:r>
    </w:p>
    <w:p w14:paraId="4D8AB5C5" w14:textId="77777777" w:rsidR="00E10319" w:rsidRDefault="00E10319" w:rsidP="00E10319"/>
    <w:p w14:paraId="5D6C1F48" w14:textId="77777777" w:rsidR="00E10319" w:rsidRDefault="00E10319" w:rsidP="00E10319">
      <w:pPr>
        <w:pStyle w:val="ListParagraph"/>
        <w:numPr>
          <w:ilvl w:val="0"/>
          <w:numId w:val="49"/>
        </w:numPr>
        <w:ind w:left="284" w:hanging="284"/>
        <w:jc w:val="both"/>
      </w:pPr>
      <w:r>
        <w:t>Paragraph 23 on page 31:</w:t>
      </w:r>
    </w:p>
    <w:p w14:paraId="17F8E965" w14:textId="77777777" w:rsidR="00E10319" w:rsidRDefault="00E10319" w:rsidP="00E10319"/>
    <w:p w14:paraId="431E922C" w14:textId="77777777" w:rsidR="00E10319" w:rsidRPr="008F0FFD" w:rsidRDefault="00E10319" w:rsidP="00E10319">
      <w:pPr>
        <w:spacing w:after="120"/>
        <w:ind w:left="709" w:firstLine="11"/>
        <w:rPr>
          <w:i/>
        </w:rPr>
      </w:pPr>
      <w:r w:rsidRPr="008F0FFD">
        <w:rPr>
          <w:i/>
        </w:rPr>
        <w:t>“An important outcome of this exercise is to provide managers with indications and examples which will help them to proactively assess where</w:t>
      </w:r>
      <w:r>
        <w:rPr>
          <w:i/>
        </w:rPr>
        <w:t xml:space="preserve">, </w:t>
      </w:r>
      <w:r w:rsidRPr="00AB7F12">
        <w:rPr>
          <w:b/>
          <w:i/>
          <w:u w:val="single"/>
        </w:rPr>
        <w:t>for example</w:t>
      </w:r>
      <w:r w:rsidRPr="008F0FFD">
        <w:rPr>
          <w:i/>
        </w:rPr>
        <w:t>:</w:t>
      </w:r>
    </w:p>
    <w:p w14:paraId="06DA6A98" w14:textId="77777777" w:rsidR="00E10319" w:rsidRPr="008F0FFD" w:rsidRDefault="00E10319" w:rsidP="00E10319">
      <w:pPr>
        <w:pStyle w:val="ListParagraph"/>
        <w:numPr>
          <w:ilvl w:val="0"/>
          <w:numId w:val="48"/>
        </w:numPr>
        <w:spacing w:after="120"/>
        <w:ind w:left="993" w:hanging="273"/>
        <w:contextualSpacing w:val="0"/>
        <w:jc w:val="both"/>
        <w:rPr>
          <w:i/>
        </w:rPr>
      </w:pPr>
      <w:r w:rsidRPr="008F0FFD">
        <w:rPr>
          <w:i/>
        </w:rPr>
        <w:t>It would no longer be possible to sell some assets and remain in compliance with the fund objectives and investment policy.  In this case, particular regard should be paid to the appropriate asset liquidation method.</w:t>
      </w:r>
    </w:p>
    <w:p w14:paraId="0437FD13" w14:textId="77777777" w:rsidR="00E10319" w:rsidRPr="008F0FFD" w:rsidRDefault="00E10319" w:rsidP="00E10319">
      <w:pPr>
        <w:pStyle w:val="ListParagraph"/>
        <w:numPr>
          <w:ilvl w:val="0"/>
          <w:numId w:val="48"/>
        </w:numPr>
        <w:spacing w:after="120"/>
        <w:ind w:left="993" w:hanging="273"/>
        <w:contextualSpacing w:val="0"/>
        <w:jc w:val="both"/>
        <w:rPr>
          <w:i/>
        </w:rPr>
      </w:pPr>
      <w:r w:rsidRPr="008F0FFD">
        <w:rPr>
          <w:i/>
        </w:rPr>
        <w:t>It would be impossible to sell some assets, except at such a discount so as to no longer be in the interests of unitholders.  A distinction should be made between selling assets at market value into a depressed market (which may be reasonable), and selling assets at a fire-sale price solely to provide liquidity to the fund, which may not be in the interests of unitholders.</w:t>
      </w:r>
    </w:p>
    <w:p w14:paraId="72F469B0" w14:textId="77777777" w:rsidR="00E10319" w:rsidRPr="008F0FFD" w:rsidRDefault="00E10319" w:rsidP="00E10319">
      <w:pPr>
        <w:pStyle w:val="ListParagraph"/>
        <w:numPr>
          <w:ilvl w:val="0"/>
          <w:numId w:val="48"/>
        </w:numPr>
        <w:autoSpaceDE w:val="0"/>
        <w:autoSpaceDN w:val="0"/>
        <w:adjustRightInd w:val="0"/>
        <w:ind w:left="993" w:hanging="273"/>
        <w:jc w:val="both"/>
        <w:rPr>
          <w:i/>
        </w:rPr>
      </w:pPr>
      <w:r w:rsidRPr="008F0FFD">
        <w:rPr>
          <w:rFonts w:cs="Arial"/>
          <w:i/>
        </w:rPr>
        <w:t>Assets could no longer be valued reliably and it would no longer be reasonable to continue to deal in fund units.”</w:t>
      </w:r>
    </w:p>
    <w:p w14:paraId="25877016" w14:textId="77777777" w:rsidR="00E10319" w:rsidRDefault="00E10319" w:rsidP="00E10319">
      <w:pPr>
        <w:ind w:left="284"/>
      </w:pPr>
    </w:p>
    <w:p w14:paraId="57E3CC3D" w14:textId="77777777" w:rsidR="00E10319" w:rsidRDefault="00E10319" w:rsidP="00E10319">
      <w:pPr>
        <w:ind w:left="284"/>
      </w:pPr>
      <w:r>
        <w:t xml:space="preserve">The AIC </w:t>
      </w:r>
      <w:r w:rsidRPr="0012381D">
        <w:rPr>
          <w:b/>
          <w:u w:val="single"/>
        </w:rPr>
        <w:t>recommends</w:t>
      </w:r>
      <w:r>
        <w:t xml:space="preserve"> it is made clear that these are examples as to what managers can gain from this exercise.  These outcomes will not be applicable for all funds.</w:t>
      </w:r>
    </w:p>
    <w:p w14:paraId="591F2E9A" w14:textId="77777777" w:rsidR="00E10319" w:rsidRDefault="00E10319" w:rsidP="00E10319">
      <w:pPr>
        <w:ind w:left="284"/>
      </w:pPr>
    </w:p>
    <w:p w14:paraId="1C4BC01C" w14:textId="77777777" w:rsidR="00E10319" w:rsidRDefault="00E10319" w:rsidP="00E10319">
      <w:pPr>
        <w:ind w:left="284"/>
      </w:pPr>
    </w:p>
    <w:p w14:paraId="2115B6CF" w14:textId="77777777" w:rsidR="00E10319" w:rsidRDefault="00E10319" w:rsidP="00E10319">
      <w:pPr>
        <w:pStyle w:val="ListParagraph"/>
        <w:numPr>
          <w:ilvl w:val="0"/>
          <w:numId w:val="49"/>
        </w:numPr>
        <w:ind w:left="284" w:hanging="284"/>
        <w:jc w:val="both"/>
      </w:pPr>
      <w:r>
        <w:t>Paragraph 28 on page 32:</w:t>
      </w:r>
    </w:p>
    <w:p w14:paraId="5912E55C" w14:textId="77777777" w:rsidR="00E10319" w:rsidRDefault="00E10319" w:rsidP="00E10319"/>
    <w:p w14:paraId="44F5E32C" w14:textId="77777777" w:rsidR="00E10319" w:rsidRDefault="00E10319" w:rsidP="00E10319">
      <w:pPr>
        <w:autoSpaceDE w:val="0"/>
        <w:autoSpaceDN w:val="0"/>
        <w:adjustRightInd w:val="0"/>
        <w:ind w:left="720"/>
        <w:rPr>
          <w:rFonts w:cs="Arial"/>
        </w:rPr>
      </w:pPr>
      <w:r w:rsidRPr="009821CC">
        <w:rPr>
          <w:rFonts w:cs="Arial"/>
          <w:bCs/>
        </w:rPr>
        <w:t>“</w:t>
      </w:r>
      <w:r>
        <w:rPr>
          <w:rFonts w:cs="Arial"/>
          <w:b/>
          <w:bCs/>
        </w:rPr>
        <w:t>Scenarios</w:t>
      </w:r>
      <w:r>
        <w:rPr>
          <w:rFonts w:cs="Arial"/>
        </w:rPr>
        <w:t>. Managers should employ historical, hypothetical scenarios as well as reverse stress testing</w:t>
      </w:r>
      <w:r>
        <w:rPr>
          <w:rFonts w:cs="Arial"/>
          <w:b/>
          <w:u w:val="single"/>
        </w:rPr>
        <w:t>, where appropriate.  (Reverse stress testing is not required for funds which do not have to meet redemption requests).</w:t>
      </w:r>
      <w:r w:rsidRPr="009821CC">
        <w:rPr>
          <w:rFonts w:cs="Arial"/>
          <w:u w:val="single"/>
        </w:rPr>
        <w:t>”</w:t>
      </w:r>
    </w:p>
    <w:p w14:paraId="2818E647" w14:textId="77777777" w:rsidR="00E10319" w:rsidRDefault="00E10319" w:rsidP="00E10319">
      <w:pPr>
        <w:autoSpaceDE w:val="0"/>
        <w:autoSpaceDN w:val="0"/>
        <w:adjustRightInd w:val="0"/>
        <w:ind w:left="284"/>
      </w:pPr>
    </w:p>
    <w:p w14:paraId="5E46FCB8" w14:textId="77777777" w:rsidR="00E10319" w:rsidRDefault="00E10319" w:rsidP="00E10319">
      <w:pPr>
        <w:autoSpaceDE w:val="0"/>
        <w:autoSpaceDN w:val="0"/>
        <w:adjustRightInd w:val="0"/>
        <w:ind w:left="284"/>
      </w:pPr>
      <w:r>
        <w:t xml:space="preserve">The AIC </w:t>
      </w:r>
      <w:r w:rsidRPr="00727321">
        <w:rPr>
          <w:b/>
          <w:u w:val="single"/>
        </w:rPr>
        <w:t>recommends</w:t>
      </w:r>
      <w:r>
        <w:t xml:space="preserve"> that reverse stress testing is not required in these situations as it will not add any value to shareholders.</w:t>
      </w:r>
    </w:p>
    <w:p w14:paraId="645A1142" w14:textId="77777777" w:rsidR="00E10319" w:rsidRDefault="00E10319" w:rsidP="00E10319">
      <w:pPr>
        <w:autoSpaceDE w:val="0"/>
        <w:autoSpaceDN w:val="0"/>
        <w:adjustRightInd w:val="0"/>
        <w:ind w:left="284"/>
      </w:pPr>
    </w:p>
    <w:p w14:paraId="6E54F8D3" w14:textId="77777777" w:rsidR="00E10319" w:rsidRDefault="00E10319" w:rsidP="00E10319">
      <w:pPr>
        <w:autoSpaceDE w:val="0"/>
        <w:autoSpaceDN w:val="0"/>
        <w:adjustRightInd w:val="0"/>
        <w:ind w:left="284"/>
      </w:pPr>
    </w:p>
    <w:p w14:paraId="4CDAAD6A" w14:textId="77777777" w:rsidR="00E10319" w:rsidRDefault="00E10319" w:rsidP="00E10319">
      <w:pPr>
        <w:pStyle w:val="ListParagraph"/>
        <w:numPr>
          <w:ilvl w:val="0"/>
          <w:numId w:val="49"/>
        </w:numPr>
        <w:autoSpaceDE w:val="0"/>
        <w:autoSpaceDN w:val="0"/>
        <w:adjustRightInd w:val="0"/>
        <w:ind w:left="284" w:hanging="284"/>
        <w:jc w:val="both"/>
      </w:pPr>
      <w:r>
        <w:t>Paragraph 32 on page 34:</w:t>
      </w:r>
    </w:p>
    <w:p w14:paraId="7C3B9199" w14:textId="77777777" w:rsidR="00E10319" w:rsidRDefault="00E10319" w:rsidP="00E10319">
      <w:pPr>
        <w:autoSpaceDE w:val="0"/>
        <w:autoSpaceDN w:val="0"/>
        <w:adjustRightInd w:val="0"/>
      </w:pPr>
    </w:p>
    <w:p w14:paraId="144D8F79" w14:textId="77777777" w:rsidR="00E10319" w:rsidRDefault="00E10319" w:rsidP="00E10319">
      <w:pPr>
        <w:autoSpaceDE w:val="0"/>
        <w:autoSpaceDN w:val="0"/>
        <w:adjustRightInd w:val="0"/>
        <w:ind w:left="720"/>
        <w:rPr>
          <w:rFonts w:cs="Arial"/>
        </w:rPr>
      </w:pPr>
      <w:r>
        <w:t>“</w:t>
      </w:r>
      <w:r>
        <w:rPr>
          <w:b/>
          <w:u w:val="single"/>
        </w:rPr>
        <w:t xml:space="preserve">Where applicable, </w:t>
      </w:r>
      <w:proofErr w:type="spellStart"/>
      <w:r>
        <w:rPr>
          <w:b/>
          <w:u w:val="single"/>
        </w:rPr>
        <w:t>t</w:t>
      </w:r>
      <w:r w:rsidRPr="00D123A7">
        <w:rPr>
          <w:rFonts w:cs="Arial"/>
          <w:b/>
          <w:strike/>
        </w:rPr>
        <w:t>T</w:t>
      </w:r>
      <w:r>
        <w:rPr>
          <w:rFonts w:cs="Arial"/>
        </w:rPr>
        <w:t>he</w:t>
      </w:r>
      <w:proofErr w:type="spellEnd"/>
      <w:r>
        <w:rPr>
          <w:rFonts w:cs="Arial"/>
        </w:rPr>
        <w:t xml:space="preserve"> method of liquidating assets in a LST should </w:t>
      </w:r>
      <w:r w:rsidRPr="00D123A7">
        <w:rPr>
          <w:rFonts w:cs="Arial"/>
          <w:b/>
          <w:strike/>
        </w:rPr>
        <w:t>always</w:t>
      </w:r>
      <w:r>
        <w:rPr>
          <w:rFonts w:cs="Arial"/>
        </w:rPr>
        <w:t>:..”</w:t>
      </w:r>
    </w:p>
    <w:p w14:paraId="7E85D637" w14:textId="77777777" w:rsidR="00E10319" w:rsidRDefault="00E10319" w:rsidP="00E10319">
      <w:pPr>
        <w:autoSpaceDE w:val="0"/>
        <w:autoSpaceDN w:val="0"/>
        <w:adjustRightInd w:val="0"/>
        <w:ind w:left="284"/>
      </w:pPr>
    </w:p>
    <w:p w14:paraId="6F780433" w14:textId="77777777" w:rsidR="00E10319" w:rsidRDefault="00E10319" w:rsidP="00E10319">
      <w:pPr>
        <w:autoSpaceDE w:val="0"/>
        <w:autoSpaceDN w:val="0"/>
        <w:adjustRightInd w:val="0"/>
        <w:ind w:left="284"/>
      </w:pPr>
      <w:r>
        <w:t xml:space="preserve">The AIC </w:t>
      </w:r>
      <w:r w:rsidRPr="00654636">
        <w:rPr>
          <w:b/>
          <w:u w:val="single"/>
        </w:rPr>
        <w:t>recommends</w:t>
      </w:r>
      <w:r>
        <w:t xml:space="preserve"> this sentence is revised as the bullet point in relation to “</w:t>
      </w:r>
      <w:r w:rsidRPr="00A60CD0">
        <w:rPr>
          <w:i/>
        </w:rPr>
        <w:t>reflecting the funds being managed in the interests of all investors, both those redeeming and remaining</w:t>
      </w:r>
      <w:r>
        <w:t>” is not applicable for closed-ended investment companies.</w:t>
      </w:r>
    </w:p>
    <w:p w14:paraId="70866135" w14:textId="77777777" w:rsidR="00E10319" w:rsidRDefault="00E10319" w:rsidP="004C4822"/>
    <w:permEnd w:id="84614278"/>
    <w:p w14:paraId="604935F5" w14:textId="77777777" w:rsidR="00407232" w:rsidRDefault="00407232" w:rsidP="00407232">
      <w:pPr>
        <w:rPr>
          <w:rFonts w:cs="Arial"/>
        </w:rPr>
      </w:pPr>
      <w:r>
        <w:rPr>
          <w:rFonts w:cs="Arial"/>
        </w:rPr>
        <w:t>&lt;ESMA_QUESTION_LST_7&gt;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t>&lt;ESMA_QUESTION_LST_8&gt;</w:t>
      </w:r>
    </w:p>
    <w:p w14:paraId="4821E824" w14:textId="2BD7727C" w:rsidR="004C4822" w:rsidRDefault="004C4822" w:rsidP="004C4822">
      <w:permStart w:id="158734123" w:edGrp="everyone"/>
      <w:r>
        <w:t>According to the definition in the consultation paper, reverse stress testing is designed to identify issues that would impact the fund’s ability to honour redemption requests.  This is not relevant for closed-ended investment companies.  If this was required, it would impose significant cost and regulatory burdens without any benefit to shareholders.</w:t>
      </w:r>
    </w:p>
    <w:p w14:paraId="15FDE28F" w14:textId="77777777" w:rsidR="004C4822" w:rsidRDefault="004C4822" w:rsidP="004C4822"/>
    <w:p w14:paraId="47E93C53" w14:textId="77777777" w:rsidR="004C4822" w:rsidRDefault="004C4822" w:rsidP="004C4822">
      <w:r>
        <w:lastRenderedPageBreak/>
        <w:t xml:space="preserve">The AIC </w:t>
      </w:r>
      <w:r w:rsidRPr="00A71644">
        <w:rPr>
          <w:b/>
          <w:u w:val="single"/>
        </w:rPr>
        <w:t>recommends</w:t>
      </w:r>
      <w:r>
        <w:t xml:space="preserve"> the Guidelines specify that the requirement to perform reverse stress testing does not apply to closed-ended AIFs which do not have to meet redemption requests.</w:t>
      </w:r>
    </w:p>
    <w:permEnd w:id="158734123"/>
    <w:p w14:paraId="765CA4A8" w14:textId="77777777" w:rsidR="00407232" w:rsidRDefault="00407232" w:rsidP="00407232">
      <w:pPr>
        <w:rPr>
          <w:rFonts w:cs="Arial"/>
        </w:rPr>
      </w:pPr>
      <w:r>
        <w:rPr>
          <w:rFonts w:cs="Arial"/>
        </w:rPr>
        <w:t>&lt;ESMA_QUESTION_LST_8&gt;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5850C61D" w14:textId="77777777" w:rsidR="004C4822" w:rsidRDefault="004C4822" w:rsidP="004C4822">
      <w:permStart w:id="1525233582" w:edGrp="everyone"/>
      <w:r>
        <w:t>No.  The requirements are sufficient.</w:t>
      </w:r>
    </w:p>
    <w:permEnd w:id="1525233582"/>
    <w:p w14:paraId="39FFC478" w14:textId="77777777" w:rsidR="00407232" w:rsidRDefault="00407232" w:rsidP="00407232">
      <w:pPr>
        <w:rPr>
          <w:rFonts w:cs="Arial"/>
        </w:rPr>
      </w:pPr>
      <w:r>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t xml:space="preserve">: </w:t>
      </w:r>
      <w:r w:rsidRPr="00044459">
        <w:t>Do you agree with ESMA’s wording regarding the asset liquidation method used in the LST model?  How would you describe the asset liquidation method used by you or the</w:t>
      </w:r>
      <w:r>
        <w:t xml:space="preserve"> manager</w:t>
      </w:r>
      <w:r w:rsidRPr="00044459">
        <w:t>s you represent?</w:t>
      </w:r>
    </w:p>
    <w:p w14:paraId="0C350788" w14:textId="77777777" w:rsidR="00407232" w:rsidRDefault="00407232" w:rsidP="00407232">
      <w:pPr>
        <w:rPr>
          <w:rFonts w:cs="Arial"/>
        </w:rPr>
      </w:pPr>
      <w:r>
        <w:rPr>
          <w:rFonts w:cs="Arial"/>
        </w:rPr>
        <w:t>&lt;ESMA_QUESTION_LST_10&gt;</w:t>
      </w:r>
    </w:p>
    <w:p w14:paraId="721CE18C" w14:textId="77777777" w:rsidR="004C4822" w:rsidRDefault="004C4822" w:rsidP="004C4822">
      <w:permStart w:id="1920426643" w:edGrp="everyone"/>
      <w:r>
        <w:t>The AIC has no comment on this question.</w:t>
      </w:r>
    </w:p>
    <w:permEnd w:id="1920426643"/>
    <w:p w14:paraId="55F81BC1" w14:textId="77777777" w:rsidR="00407232" w:rsidRDefault="00407232" w:rsidP="00407232">
      <w:pPr>
        <w:rPr>
          <w:rFonts w:cs="Arial"/>
        </w:rPr>
      </w:pPr>
      <w:r>
        <w:rPr>
          <w:rFonts w:cs="Arial"/>
        </w:rPr>
        <w:t>&lt;ESMA_QUESTION_LST_10&gt;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3A1540A7" w14:textId="77777777" w:rsidR="004C4822" w:rsidRDefault="004C4822" w:rsidP="004C4822">
      <w:permStart w:id="1254426529" w:edGrp="everyone"/>
      <w:r>
        <w:t>The AIC has no comment on this question.</w:t>
      </w:r>
    </w:p>
    <w:permEnd w:id="1254426529"/>
    <w:p w14:paraId="1662C0C2" w14:textId="77777777" w:rsidR="00407232" w:rsidRDefault="00407232" w:rsidP="00407232">
      <w:pPr>
        <w:rPr>
          <w:rFonts w:cs="Arial"/>
        </w:rPr>
      </w:pPr>
      <w:r>
        <w:rPr>
          <w:rFonts w:cs="Arial"/>
        </w:rPr>
        <w:t>&lt;ESMA_QUESTION_LST_11&gt;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4DE1E55B" w14:textId="77777777" w:rsidR="004C4822" w:rsidRDefault="004C4822" w:rsidP="004C4822">
      <w:permStart w:id="210646563" w:edGrp="everyone"/>
      <w:r>
        <w:t>The AIC has no comment on this question.</w:t>
      </w:r>
    </w:p>
    <w:permEnd w:id="210646563"/>
    <w:p w14:paraId="1505A2A1" w14:textId="77777777" w:rsidR="00407232" w:rsidRDefault="00407232" w:rsidP="00407232">
      <w:pPr>
        <w:rPr>
          <w:rFonts w:cs="Arial"/>
        </w:rPr>
      </w:pPr>
      <w:r>
        <w:rPr>
          <w:rFonts w:cs="Arial"/>
        </w:rPr>
        <w:t>&lt;ESMA_QUESTION_LST_12&gt;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assets?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t>&lt;ESMA_QUESTION_LST_13&gt;</w:t>
      </w:r>
    </w:p>
    <w:p w14:paraId="15A05CF5" w14:textId="77777777" w:rsidR="004C4822" w:rsidRPr="006B2531" w:rsidRDefault="004C4822" w:rsidP="004C4822">
      <w:permStart w:id="166614932" w:edGrp="everyone"/>
      <w:r w:rsidRPr="006B2531">
        <w:t xml:space="preserve">The AIC </w:t>
      </w:r>
      <w:r w:rsidRPr="006B2531">
        <w:rPr>
          <w:b/>
          <w:u w:val="single"/>
        </w:rPr>
        <w:t>recommends</w:t>
      </w:r>
      <w:r w:rsidRPr="006B2531">
        <w:t xml:space="preserve"> that these additional considerations are only applied where applicable to the AIF or UCITS and adapted to fit the nature, scale and complexity of the fund.</w:t>
      </w:r>
    </w:p>
    <w:permEnd w:id="166614932"/>
    <w:p w14:paraId="319944FD" w14:textId="77777777" w:rsidR="00407232" w:rsidRDefault="00407232" w:rsidP="00407232">
      <w:pPr>
        <w:rPr>
          <w:rFonts w:cs="Arial"/>
        </w:rPr>
      </w:pPr>
      <w:r>
        <w:rPr>
          <w:rFonts w:cs="Arial"/>
        </w:rPr>
        <w:t>&lt;ESMA_QUESTION_LST_13&gt;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t>&lt;ESMA_QUESTION_LST_14&gt;</w:t>
      </w:r>
    </w:p>
    <w:p w14:paraId="2FF9A0AC" w14:textId="77777777" w:rsidR="004C4822" w:rsidRDefault="004C4822" w:rsidP="004C4822">
      <w:permStart w:id="397612480" w:edGrp="everyone"/>
      <w:r>
        <w:t xml:space="preserve">Please see our comments above.  The AIC </w:t>
      </w:r>
      <w:r w:rsidRPr="00361A80">
        <w:rPr>
          <w:b/>
          <w:u w:val="single"/>
        </w:rPr>
        <w:t>recommends</w:t>
      </w:r>
      <w:r>
        <w:t xml:space="preserve"> the proposed Guidelines do not apply to closed-ended AIFs which do not have to meet redemption requests and do not have significant commitments.</w:t>
      </w:r>
    </w:p>
    <w:p w14:paraId="1695A38E" w14:textId="77777777" w:rsidR="004C4822" w:rsidRDefault="004C4822" w:rsidP="004C4822"/>
    <w:p w14:paraId="05B0337D" w14:textId="77777777" w:rsidR="004C4822" w:rsidRDefault="004C4822" w:rsidP="004C4822">
      <w:r>
        <w:lastRenderedPageBreak/>
        <w:t xml:space="preserve">Where the Guidelines apply, the AIC </w:t>
      </w:r>
      <w:r w:rsidRPr="0012381D">
        <w:rPr>
          <w:b/>
          <w:u w:val="single"/>
        </w:rPr>
        <w:t>recommends</w:t>
      </w:r>
      <w:r>
        <w:t xml:space="preserve"> there is a statement in the explanatory notes section stating that:</w:t>
      </w:r>
    </w:p>
    <w:p w14:paraId="53B3FF07" w14:textId="77777777" w:rsidR="004C4822" w:rsidRDefault="004C4822" w:rsidP="004C4822"/>
    <w:p w14:paraId="3B4B875C" w14:textId="77777777" w:rsidR="004C4822" w:rsidRDefault="004C4822" w:rsidP="004C4822">
      <w:pPr>
        <w:ind w:left="720"/>
      </w:pPr>
      <w:r>
        <w:t>“</w:t>
      </w:r>
      <w:r w:rsidRPr="00B96011">
        <w:rPr>
          <w:i/>
        </w:rPr>
        <w:t>The</w:t>
      </w:r>
      <w:r>
        <w:rPr>
          <w:i/>
        </w:rPr>
        <w:t>se</w:t>
      </w:r>
      <w:r w:rsidRPr="00B96011">
        <w:rPr>
          <w:i/>
        </w:rPr>
        <w:t xml:space="preserve"> explanatory considerations are to be applied where</w:t>
      </w:r>
      <w:r w:rsidRPr="00954F8E">
        <w:rPr>
          <w:i/>
        </w:rPr>
        <w:t xml:space="preserve"> applicable </w:t>
      </w:r>
      <w:r>
        <w:rPr>
          <w:i/>
        </w:rPr>
        <w:t>to the AIF or UCITS.  They should be</w:t>
      </w:r>
      <w:r w:rsidRPr="00954F8E">
        <w:rPr>
          <w:i/>
        </w:rPr>
        <w:t xml:space="preserve"> adapted to fit the nature, scale and complexity of the f</w:t>
      </w:r>
      <w:r w:rsidRPr="00F44AB8">
        <w:rPr>
          <w:i/>
        </w:rPr>
        <w:t>und</w:t>
      </w:r>
      <w:r>
        <w:rPr>
          <w:i/>
        </w:rPr>
        <w:t xml:space="preserve"> </w:t>
      </w:r>
      <w:r w:rsidRPr="00977902">
        <w:rPr>
          <w:rFonts w:cs="Arial"/>
          <w:bCs/>
          <w:i/>
        </w:rPr>
        <w:t xml:space="preserve">including the investment strategy, liquidity of assets held, type of investor and redemption policy </w:t>
      </w:r>
      <w:r>
        <w:rPr>
          <w:rFonts w:cs="Arial"/>
          <w:bCs/>
          <w:i/>
        </w:rPr>
        <w:t>when applying LST on the liabilities sides of the balance sheet.</w:t>
      </w:r>
      <w:r>
        <w:t>”</w:t>
      </w:r>
    </w:p>
    <w:p w14:paraId="5B94A9C4" w14:textId="77777777" w:rsidR="004C4822" w:rsidRDefault="004C4822" w:rsidP="004C4822"/>
    <w:p w14:paraId="714199C5" w14:textId="77777777" w:rsidR="004C4822" w:rsidRDefault="004C4822" w:rsidP="004C4822">
      <w:r>
        <w:t>This will ensure they are applied in a proportionate manner and in the most appropriate way for the specific type of fund.</w:t>
      </w:r>
    </w:p>
    <w:permEnd w:id="397612480"/>
    <w:p w14:paraId="5C9F9FF7" w14:textId="77777777"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redemptions but not other sources of liquidity drain? </w:t>
      </w:r>
    </w:p>
    <w:p w14:paraId="7B2C4A13" w14:textId="77777777" w:rsidR="00407232" w:rsidRDefault="00407232" w:rsidP="00407232">
      <w:pPr>
        <w:rPr>
          <w:rFonts w:cs="Arial"/>
        </w:rPr>
      </w:pPr>
      <w:r>
        <w:rPr>
          <w:rFonts w:cs="Arial"/>
        </w:rPr>
        <w:t>&lt;ESMA_QUESTION_LST_15&gt;</w:t>
      </w:r>
    </w:p>
    <w:p w14:paraId="40D61868" w14:textId="77777777" w:rsidR="004C4822" w:rsidRDefault="004C4822" w:rsidP="004C4822">
      <w:permStart w:id="1059675830" w:edGrp="everyone"/>
      <w:r>
        <w:t>The AIC has no comment on this question.</w:t>
      </w:r>
    </w:p>
    <w:permEnd w:id="1059675830"/>
    <w:p w14:paraId="69C11D59" w14:textId="77777777" w:rsidR="00407232" w:rsidRDefault="00407232" w:rsidP="00407232">
      <w:pPr>
        <w:rPr>
          <w:rFonts w:cs="Arial"/>
        </w:rPr>
      </w:pPr>
      <w:r>
        <w:rPr>
          <w:rFonts w:cs="Arial"/>
        </w:rPr>
        <w:t>&lt;ESMA_QUESTION_LST_15&gt;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234D09AC" w14:textId="77777777" w:rsidR="004C4822" w:rsidRDefault="004C4822" w:rsidP="004C4822">
      <w:permStart w:id="1783317944" w:edGrp="everyone"/>
      <w:r>
        <w:t xml:space="preserve">Please see our response to question 8 above.  The AIC </w:t>
      </w:r>
      <w:r w:rsidRPr="00A71644">
        <w:rPr>
          <w:b/>
          <w:u w:val="single"/>
        </w:rPr>
        <w:t>recommends</w:t>
      </w:r>
      <w:r>
        <w:t xml:space="preserve"> the Guidelines specify that the requirement to perform reverse stress testing does not apply to closed-ended AIFs which do not have to meet redemption requests.</w:t>
      </w:r>
    </w:p>
    <w:permEnd w:id="1783317944"/>
    <w:p w14:paraId="0C60E754" w14:textId="77777777" w:rsidR="00407232" w:rsidRDefault="00407232" w:rsidP="00407232">
      <w:pPr>
        <w:rPr>
          <w:rFonts w:cs="Arial"/>
        </w:rPr>
      </w:pPr>
      <w:r>
        <w:rPr>
          <w:rFonts w:cs="Arial"/>
        </w:rPr>
        <w:t>&lt;ESMA_QUESTION_LST_16&gt;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appropriate, and should these be detailed in these Guidelines?</w:t>
      </w:r>
    </w:p>
    <w:p w14:paraId="2718D97B" w14:textId="77777777" w:rsidR="00407232" w:rsidRDefault="00407232" w:rsidP="00407232">
      <w:pPr>
        <w:rPr>
          <w:rFonts w:cs="Arial"/>
        </w:rPr>
      </w:pPr>
      <w:r>
        <w:rPr>
          <w:rFonts w:cs="Arial"/>
        </w:rPr>
        <w:t>&lt;ESMA_QUESTION_LST_17&gt;</w:t>
      </w:r>
    </w:p>
    <w:p w14:paraId="68CF0E2F" w14:textId="77777777" w:rsidR="004C4822" w:rsidRDefault="004C4822" w:rsidP="004C4822">
      <w:pPr>
        <w:autoSpaceDE w:val="0"/>
        <w:autoSpaceDN w:val="0"/>
        <w:adjustRightInd w:val="0"/>
        <w:rPr>
          <w:rFonts w:cs="Arial"/>
          <w:bCs/>
        </w:rPr>
      </w:pPr>
      <w:permStart w:id="2029944753" w:edGrp="everyone"/>
      <w:r>
        <w:t xml:space="preserve">The AIC </w:t>
      </w:r>
      <w:r w:rsidRPr="00A71644">
        <w:rPr>
          <w:b/>
          <w:u w:val="single"/>
        </w:rPr>
        <w:t>recommends</w:t>
      </w:r>
      <w:r>
        <w:t xml:space="preserve"> the Guidelines specify that the requirement to consider investor behavioural models does not apply to closed-ended AIFs which do not have to meet redemption requests.</w:t>
      </w:r>
    </w:p>
    <w:permEnd w:id="2029944753"/>
    <w:p w14:paraId="0BDCCFBE" w14:textId="77777777" w:rsidR="00407232" w:rsidRDefault="00407232" w:rsidP="00407232">
      <w:pPr>
        <w:rPr>
          <w:rFonts w:cs="Arial"/>
        </w:rPr>
      </w:pPr>
      <w:r>
        <w:rPr>
          <w:rFonts w:cs="Arial"/>
        </w:rPr>
        <w:t>&lt;ESMA_QUESTION_LST_17&gt;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t>&lt;ESMA_QUESTION_LST_18&gt;</w:t>
      </w:r>
    </w:p>
    <w:p w14:paraId="67D76E91" w14:textId="77777777" w:rsidR="004C4822" w:rsidRDefault="004C4822" w:rsidP="004C4822">
      <w:permStart w:id="876048399" w:edGrp="everyone"/>
      <w:r>
        <w:t xml:space="preserve">Please see our comments above.  The AIC </w:t>
      </w:r>
      <w:r w:rsidRPr="00361A80">
        <w:rPr>
          <w:b/>
          <w:u w:val="single"/>
        </w:rPr>
        <w:t>recommends</w:t>
      </w:r>
      <w:r>
        <w:t xml:space="preserve"> the proposed Guidelines do not apply to closed-ended AIFs which do not have to meet redemption requests and do not have significant commitments.</w:t>
      </w:r>
    </w:p>
    <w:p w14:paraId="4EB98E8F" w14:textId="77777777" w:rsidR="004C4822" w:rsidRDefault="004C4822" w:rsidP="004C4822"/>
    <w:p w14:paraId="3F9EF4A4" w14:textId="77777777" w:rsidR="004C4822" w:rsidRDefault="004C4822" w:rsidP="004C4822">
      <w:r>
        <w:t xml:space="preserve">Where the Guidelines apply, the AIC </w:t>
      </w:r>
      <w:r w:rsidRPr="0012381D">
        <w:rPr>
          <w:b/>
          <w:u w:val="single"/>
        </w:rPr>
        <w:t>recommends</w:t>
      </w:r>
      <w:r>
        <w:t xml:space="preserve"> there is a statement in the explanatory notes section stating that:</w:t>
      </w:r>
    </w:p>
    <w:p w14:paraId="501C189C" w14:textId="77777777" w:rsidR="004C4822" w:rsidRDefault="004C4822" w:rsidP="004C4822"/>
    <w:p w14:paraId="60E8FB20" w14:textId="77777777" w:rsidR="004C4822" w:rsidRDefault="004C4822" w:rsidP="004C4822">
      <w:pPr>
        <w:ind w:left="720"/>
      </w:pPr>
      <w:r>
        <w:t>“</w:t>
      </w:r>
      <w:r w:rsidRPr="00B96011">
        <w:rPr>
          <w:i/>
        </w:rPr>
        <w:t>The</w:t>
      </w:r>
      <w:r>
        <w:rPr>
          <w:i/>
        </w:rPr>
        <w:t>se</w:t>
      </w:r>
      <w:r w:rsidRPr="00B96011">
        <w:rPr>
          <w:i/>
        </w:rPr>
        <w:t xml:space="preserve"> explanatory considerations are to be applied where</w:t>
      </w:r>
      <w:r w:rsidRPr="00954F8E">
        <w:rPr>
          <w:i/>
        </w:rPr>
        <w:t xml:space="preserve"> applicable </w:t>
      </w:r>
      <w:r>
        <w:rPr>
          <w:i/>
        </w:rPr>
        <w:t>to the AIF or UCITS.  They should be</w:t>
      </w:r>
      <w:r w:rsidRPr="00954F8E">
        <w:rPr>
          <w:i/>
        </w:rPr>
        <w:t xml:space="preserve"> adapted to fit the nature, scale and complexity of the f</w:t>
      </w:r>
      <w:r w:rsidRPr="00F44AB8">
        <w:rPr>
          <w:i/>
        </w:rPr>
        <w:t>und</w:t>
      </w:r>
      <w:r>
        <w:rPr>
          <w:i/>
        </w:rPr>
        <w:t xml:space="preserve"> </w:t>
      </w:r>
      <w:r w:rsidRPr="00977902">
        <w:rPr>
          <w:rFonts w:cs="Arial"/>
          <w:bCs/>
          <w:i/>
        </w:rPr>
        <w:t xml:space="preserve">including the investment strategy, liquidity of assets held, type of investor and redemption policy </w:t>
      </w:r>
      <w:r>
        <w:rPr>
          <w:rFonts w:cs="Arial"/>
          <w:bCs/>
          <w:i/>
        </w:rPr>
        <w:t>when combining LST on the assets and liabilities sides of the balance sheet.</w:t>
      </w:r>
      <w:r>
        <w:t>”</w:t>
      </w:r>
    </w:p>
    <w:p w14:paraId="64F6EE63" w14:textId="77777777" w:rsidR="004C4822" w:rsidRDefault="004C4822" w:rsidP="004C4822"/>
    <w:p w14:paraId="70243E27" w14:textId="77777777" w:rsidR="004C4822" w:rsidRDefault="004C4822" w:rsidP="004C4822">
      <w:r>
        <w:lastRenderedPageBreak/>
        <w:t>This will ensure they are applied in a proportionate manner and in the most appropriate way for the specific type of fund.</w:t>
      </w:r>
    </w:p>
    <w:permEnd w:id="876048399"/>
    <w:p w14:paraId="27CF613D" w14:textId="77777777" w:rsidR="00407232" w:rsidRDefault="00407232" w:rsidP="00407232">
      <w:pPr>
        <w:rPr>
          <w:rFonts w:cs="Arial"/>
        </w:rPr>
      </w:pPr>
      <w:r>
        <w:rPr>
          <w:rFonts w:cs="Arial"/>
        </w:rPr>
        <w:t>&lt;ESMA_QUESTION_LST_18&gt;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0244E2B2" w14:textId="77777777" w:rsidR="004C4822" w:rsidRDefault="004C4822" w:rsidP="004C4822">
      <w:permStart w:id="316303533" w:edGrp="everyone"/>
      <w:r>
        <w:t>The AIC has no comment on this question.</w:t>
      </w:r>
    </w:p>
    <w:permEnd w:id="316303533"/>
    <w:p w14:paraId="7492C23D" w14:textId="77777777" w:rsidR="00407232" w:rsidRDefault="00407232" w:rsidP="00407232">
      <w:pPr>
        <w:rPr>
          <w:rFonts w:cs="Arial"/>
        </w:rPr>
      </w:pPr>
      <w:r>
        <w:rPr>
          <w:rFonts w:cs="Arial"/>
        </w:rPr>
        <w:t>&lt;ESMA_QUESTION_LST_19&gt;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2CDEBB39" w14:textId="77777777" w:rsidR="004C4822" w:rsidRDefault="004C4822" w:rsidP="004C4822">
      <w:permStart w:id="904553863" w:edGrp="everyone"/>
      <w:r>
        <w:t>The AIC has no comment on this question.</w:t>
      </w:r>
    </w:p>
    <w:permEnd w:id="904553863"/>
    <w:p w14:paraId="47FDEDE1" w14:textId="77777777" w:rsidR="00407232" w:rsidRDefault="00407232" w:rsidP="00407232">
      <w:pPr>
        <w:rPr>
          <w:rFonts w:cs="Arial"/>
        </w:rPr>
      </w:pPr>
      <w:r>
        <w:rPr>
          <w:rFonts w:cs="Arial"/>
        </w:rPr>
        <w:t>&lt;ESMA_QUESTION_LST_20&gt;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0A0CE7F5" w14:textId="77777777" w:rsidR="004C4822" w:rsidRDefault="004C4822" w:rsidP="004C4822">
      <w:permStart w:id="503251337" w:edGrp="everyone"/>
      <w:r>
        <w:t xml:space="preserve">Please see our comments above.  The AIC </w:t>
      </w:r>
      <w:r w:rsidRPr="00361A80">
        <w:rPr>
          <w:b/>
          <w:u w:val="single"/>
        </w:rPr>
        <w:t>recommends</w:t>
      </w:r>
      <w:r>
        <w:t xml:space="preserve"> the proposed Guidelines do not apply to closed-ended AIFs which do not have to meet redemption requests and do not have significant commitments.</w:t>
      </w:r>
    </w:p>
    <w:p w14:paraId="2C2B4A8B" w14:textId="77777777" w:rsidR="004C4822" w:rsidRDefault="004C4822" w:rsidP="004C4822"/>
    <w:p w14:paraId="13D77FBE" w14:textId="77777777" w:rsidR="004C4822" w:rsidRDefault="004C4822" w:rsidP="004C4822">
      <w:r w:rsidRPr="009E7E53">
        <w:t xml:space="preserve">The AIC </w:t>
      </w:r>
      <w:r w:rsidRPr="009E7E53">
        <w:rPr>
          <w:b/>
          <w:u w:val="single"/>
        </w:rPr>
        <w:t>recommends</w:t>
      </w:r>
      <w:r w:rsidRPr="009E7E53">
        <w:t xml:space="preserve"> there is a statement in the explanatory notes section stating that:</w:t>
      </w:r>
    </w:p>
    <w:p w14:paraId="4D4C518F" w14:textId="77777777" w:rsidR="004C4822" w:rsidRDefault="004C4822" w:rsidP="004C4822"/>
    <w:p w14:paraId="03E1BF9F" w14:textId="77777777" w:rsidR="004C4822" w:rsidRDefault="004C4822" w:rsidP="004C4822">
      <w:pPr>
        <w:ind w:left="720"/>
      </w:pPr>
      <w:r>
        <w:t>“</w:t>
      </w:r>
      <w:r w:rsidRPr="00B96011">
        <w:rPr>
          <w:i/>
        </w:rPr>
        <w:t>The</w:t>
      </w:r>
      <w:r>
        <w:rPr>
          <w:i/>
        </w:rPr>
        <w:t>se</w:t>
      </w:r>
      <w:r w:rsidRPr="00B96011">
        <w:rPr>
          <w:i/>
        </w:rPr>
        <w:t xml:space="preserve"> explanatory considerations are to be applied where</w:t>
      </w:r>
      <w:r w:rsidRPr="00954F8E">
        <w:rPr>
          <w:i/>
        </w:rPr>
        <w:t xml:space="preserve"> applicable </w:t>
      </w:r>
      <w:r>
        <w:rPr>
          <w:i/>
        </w:rPr>
        <w:t>to the AIF or UCITS.  They should be</w:t>
      </w:r>
      <w:r w:rsidRPr="00954F8E">
        <w:rPr>
          <w:i/>
        </w:rPr>
        <w:t xml:space="preserve"> adapted to fit the nature, scale and complexity of the f</w:t>
      </w:r>
      <w:r w:rsidRPr="00F44AB8">
        <w:rPr>
          <w:i/>
        </w:rPr>
        <w:t>und</w:t>
      </w:r>
      <w:r>
        <w:rPr>
          <w:i/>
        </w:rPr>
        <w:t xml:space="preserve"> </w:t>
      </w:r>
      <w:r w:rsidRPr="00977902">
        <w:rPr>
          <w:rFonts w:cs="Arial"/>
          <w:bCs/>
          <w:i/>
        </w:rPr>
        <w:t xml:space="preserve">including the investment strategy, liquidity of assets held, type of investor and redemption policy in determining the appropriate </w:t>
      </w:r>
      <w:r>
        <w:rPr>
          <w:rFonts w:cs="Arial"/>
          <w:bCs/>
          <w:i/>
        </w:rPr>
        <w:t>use of LST during a fund’s lifecycle.</w:t>
      </w:r>
      <w:r>
        <w:t>”</w:t>
      </w:r>
    </w:p>
    <w:p w14:paraId="0680D855" w14:textId="77777777" w:rsidR="004C4822" w:rsidRDefault="004C4822" w:rsidP="004C4822"/>
    <w:p w14:paraId="17F7F6BE" w14:textId="77777777" w:rsidR="004C4822" w:rsidRDefault="004C4822" w:rsidP="004C4822">
      <w:r>
        <w:t>This will ensure they are applied in a proportionate manner and in the most appropriate way for the specific type of fund.</w:t>
      </w:r>
    </w:p>
    <w:permEnd w:id="503251337"/>
    <w:p w14:paraId="78881DED" w14:textId="77777777" w:rsidR="00407232" w:rsidRDefault="00407232" w:rsidP="00407232">
      <w:pPr>
        <w:rPr>
          <w:rFonts w:cs="Arial"/>
        </w:rPr>
      </w:pPr>
      <w:r>
        <w:rPr>
          <w:rFonts w:cs="Arial"/>
        </w:rPr>
        <w:t>&lt;ESMA_QUESTION_LST_21&gt;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t>&lt;ESMA_QUESTION_LST_22&gt;</w:t>
      </w:r>
    </w:p>
    <w:p w14:paraId="50955105" w14:textId="77777777" w:rsidR="004C4822" w:rsidRDefault="004C4822" w:rsidP="00407232">
      <w:permStart w:id="576811323" w:edGrp="everyone"/>
      <w:r>
        <w:t>The AIC has no comment on this question.</w:t>
      </w:r>
    </w:p>
    <w:permEnd w:id="576811323"/>
    <w:p w14:paraId="18A506EE" w14:textId="4B81E0AE" w:rsidR="00407232" w:rsidRDefault="00407232" w:rsidP="00407232">
      <w:pPr>
        <w:rPr>
          <w:rFonts w:cs="Arial"/>
        </w:rPr>
      </w:pPr>
      <w:r>
        <w:rPr>
          <w:rFonts w:cs="Arial"/>
        </w:rPr>
        <w:t>&lt;ESMA_QUESTION_LST_22&gt;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5F689DFD" w14:textId="77777777" w:rsidR="004C4822" w:rsidRDefault="004C4822" w:rsidP="00407232">
      <w:permStart w:id="1935288628" w:edGrp="everyone"/>
      <w:r>
        <w:t>The AIC has no comment on this question.</w:t>
      </w:r>
    </w:p>
    <w:permEnd w:id="1935288628"/>
    <w:p w14:paraId="30CF4A81" w14:textId="5DFD746F" w:rsidR="00407232" w:rsidRDefault="00407232" w:rsidP="00407232">
      <w:pPr>
        <w:rPr>
          <w:rFonts w:cs="Arial"/>
        </w:rPr>
      </w:pPr>
      <w:r>
        <w:rPr>
          <w:rFonts w:cs="Arial"/>
        </w:rPr>
        <w:t>&lt;ESMA_QUESTION_LST_23&gt;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annually, but that it is recommended to undertake it at least quarterly, unless a different frequency can be justified? What is the range of frequency of LST applied on funds managed by stakeholder(s) you represent?</w:t>
      </w:r>
    </w:p>
    <w:p w14:paraId="585FC3C9" w14:textId="77777777" w:rsidR="00407232" w:rsidRDefault="00407232" w:rsidP="00407232">
      <w:pPr>
        <w:rPr>
          <w:rFonts w:cs="Arial"/>
        </w:rPr>
      </w:pPr>
      <w:r>
        <w:rPr>
          <w:rFonts w:cs="Arial"/>
        </w:rPr>
        <w:lastRenderedPageBreak/>
        <w:t>&lt;ESMA_QUESTION_LST_24&gt;</w:t>
      </w:r>
    </w:p>
    <w:p w14:paraId="2EB54F66" w14:textId="77777777" w:rsidR="004C4822" w:rsidRDefault="004C4822" w:rsidP="004C4822">
      <w:pPr>
        <w:autoSpaceDE w:val="0"/>
        <w:autoSpaceDN w:val="0"/>
        <w:adjustRightInd w:val="0"/>
        <w:rPr>
          <w:rFonts w:cs="Arial"/>
          <w:bCs/>
        </w:rPr>
      </w:pPr>
      <w:permStart w:id="1996162431" w:edGrp="everyone"/>
      <w:r>
        <w:rPr>
          <w:rFonts w:cs="Arial"/>
          <w:bCs/>
        </w:rPr>
        <w:t>The AIC supports paragraph 66 on page 49 which states that:</w:t>
      </w:r>
    </w:p>
    <w:p w14:paraId="7CB3C4E2" w14:textId="77777777" w:rsidR="004C4822" w:rsidRDefault="004C4822" w:rsidP="004C4822">
      <w:pPr>
        <w:autoSpaceDE w:val="0"/>
        <w:autoSpaceDN w:val="0"/>
        <w:adjustRightInd w:val="0"/>
        <w:rPr>
          <w:rFonts w:cs="Arial"/>
          <w:bCs/>
        </w:rPr>
      </w:pPr>
    </w:p>
    <w:p w14:paraId="17950139" w14:textId="77777777" w:rsidR="004C4822" w:rsidRDefault="004C4822" w:rsidP="004C4822">
      <w:pPr>
        <w:autoSpaceDE w:val="0"/>
        <w:autoSpaceDN w:val="0"/>
        <w:adjustRightInd w:val="0"/>
        <w:ind w:left="720"/>
        <w:rPr>
          <w:rFonts w:cs="Arial"/>
          <w:bCs/>
        </w:rPr>
      </w:pPr>
      <w:r>
        <w:rPr>
          <w:rFonts w:cs="Arial"/>
          <w:bCs/>
        </w:rPr>
        <w:t>“</w:t>
      </w:r>
      <w:r w:rsidRPr="00977902">
        <w:rPr>
          <w:rFonts w:cs="Arial"/>
          <w:bCs/>
          <w:i/>
        </w:rPr>
        <w:t>The manager should assess the nature, scale and complexity of the fund, including the investment strategy, liquidity of assets held, type of investor and redemption policy in determining the appropriate frequency of LST.</w:t>
      </w:r>
      <w:r>
        <w:rPr>
          <w:rFonts w:cs="Arial"/>
          <w:bCs/>
        </w:rPr>
        <w:t>”</w:t>
      </w:r>
    </w:p>
    <w:p w14:paraId="4A5CA992" w14:textId="77777777" w:rsidR="004C4822" w:rsidRDefault="004C4822" w:rsidP="004C4822">
      <w:pPr>
        <w:autoSpaceDE w:val="0"/>
        <w:autoSpaceDN w:val="0"/>
        <w:adjustRightInd w:val="0"/>
      </w:pPr>
    </w:p>
    <w:p w14:paraId="5FE212EA" w14:textId="77777777" w:rsidR="004C4822" w:rsidRDefault="004C4822" w:rsidP="004C4822">
      <w:pPr>
        <w:autoSpaceDE w:val="0"/>
        <w:autoSpaceDN w:val="0"/>
        <w:adjustRightInd w:val="0"/>
        <w:rPr>
          <w:rFonts w:cs="Arial"/>
          <w:bCs/>
        </w:rPr>
      </w:pPr>
      <w:r>
        <w:rPr>
          <w:rFonts w:cs="Arial"/>
          <w:bCs/>
        </w:rPr>
        <w:t xml:space="preserve">The AIC has </w:t>
      </w:r>
      <w:r w:rsidRPr="001F6328">
        <w:rPr>
          <w:rFonts w:cs="Arial"/>
          <w:b/>
          <w:bCs/>
          <w:u w:val="single"/>
        </w:rPr>
        <w:t>recommended</w:t>
      </w:r>
      <w:r>
        <w:rPr>
          <w:rFonts w:cs="Arial"/>
          <w:bCs/>
        </w:rPr>
        <w:t xml:space="preserve"> that similar paragraphs are inserted at the beginning of each section of the Guidelines.  Please see our responses to questions 5, 7, 14, 18, 21 and 27.</w:t>
      </w:r>
    </w:p>
    <w:permEnd w:id="1996162431"/>
    <w:p w14:paraId="701F814E" w14:textId="77777777" w:rsidR="00407232" w:rsidRDefault="00407232" w:rsidP="00407232">
      <w:pPr>
        <w:rPr>
          <w:rFonts w:cs="Arial"/>
        </w:rPr>
      </w:pPr>
      <w:r>
        <w:rPr>
          <w:rFonts w:cs="Arial"/>
        </w:rPr>
        <w:t>&lt;ESMA_QUESTION_LST_24&gt;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71B3DA50" w14:textId="77777777" w:rsidR="004C4822" w:rsidRDefault="004C4822" w:rsidP="004C4822">
      <w:pPr>
        <w:autoSpaceDE w:val="0"/>
        <w:autoSpaceDN w:val="0"/>
        <w:adjustRightInd w:val="0"/>
        <w:rPr>
          <w:rFonts w:cs="Arial"/>
          <w:bCs/>
        </w:rPr>
      </w:pPr>
      <w:permStart w:id="779766412" w:edGrp="everyone"/>
      <w:r>
        <w:rPr>
          <w:rFonts w:cs="Arial"/>
          <w:bCs/>
        </w:rPr>
        <w:t xml:space="preserve">The AIC </w:t>
      </w:r>
      <w:r w:rsidRPr="001C37AA">
        <w:rPr>
          <w:rFonts w:cs="Arial"/>
          <w:b/>
          <w:bCs/>
          <w:u w:val="single"/>
        </w:rPr>
        <w:t>recommends</w:t>
      </w:r>
      <w:r>
        <w:rPr>
          <w:rFonts w:cs="Arial"/>
          <w:bCs/>
        </w:rPr>
        <w:t xml:space="preserve"> the Guidelines specify that the recommended frequency of LSTs is annually, unless a higher frequency is justified by the characteristics of the fund, for example the requirement to meet redemption requests.</w:t>
      </w:r>
    </w:p>
    <w:p w14:paraId="1BCB11D2" w14:textId="77777777" w:rsidR="004C4822" w:rsidRDefault="004C4822" w:rsidP="004C4822">
      <w:pPr>
        <w:autoSpaceDE w:val="0"/>
        <w:autoSpaceDN w:val="0"/>
        <w:adjustRightInd w:val="0"/>
        <w:rPr>
          <w:rFonts w:cs="Arial"/>
          <w:bCs/>
        </w:rPr>
      </w:pPr>
    </w:p>
    <w:p w14:paraId="58776859" w14:textId="77777777" w:rsidR="004C4822" w:rsidRDefault="004C4822" w:rsidP="004C4822">
      <w:pPr>
        <w:autoSpaceDE w:val="0"/>
        <w:autoSpaceDN w:val="0"/>
        <w:adjustRightInd w:val="0"/>
        <w:rPr>
          <w:rFonts w:cs="Arial"/>
          <w:bCs/>
        </w:rPr>
      </w:pPr>
      <w:r>
        <w:rPr>
          <w:rFonts w:cs="Arial"/>
          <w:bCs/>
        </w:rPr>
        <w:t>This will ensure that the Guidelines are adopted in a proportionate manner, and funds, such as closed-ended investment companies, will not be required to justify a lower frequency than that set out in the Guidelines as a result of their characteristics.</w:t>
      </w:r>
    </w:p>
    <w:permEnd w:id="779766412"/>
    <w:p w14:paraId="20939CE5" w14:textId="77777777" w:rsidR="00407232" w:rsidRDefault="00407232" w:rsidP="00407232">
      <w:pPr>
        <w:rPr>
          <w:rFonts w:cs="Arial"/>
        </w:rPr>
      </w:pPr>
      <w:r>
        <w:rPr>
          <w:rFonts w:cs="Arial"/>
        </w:rPr>
        <w:t>&lt;ESMA_QUESTION_LST_25&gt;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1BAC7F56" w14:textId="77777777" w:rsidR="004C4822" w:rsidRDefault="004C4822" w:rsidP="004C4822">
      <w:permStart w:id="51653807" w:edGrp="everyone"/>
      <w:r>
        <w:t>The AIC has no comment on this question.</w:t>
      </w:r>
    </w:p>
    <w:permEnd w:id="51653807"/>
    <w:p w14:paraId="74579919" w14:textId="77777777" w:rsidR="00407232" w:rsidRDefault="00407232" w:rsidP="00407232">
      <w:pPr>
        <w:rPr>
          <w:rFonts w:cs="Arial"/>
        </w:rPr>
      </w:pPr>
      <w:r>
        <w:rPr>
          <w:rFonts w:cs="Arial"/>
        </w:rPr>
        <w:t>&lt;ESMA_QUESTION_LST_26&gt;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738796F3" w14:textId="77777777" w:rsidR="004C4822" w:rsidRPr="003A016D" w:rsidRDefault="004C4822" w:rsidP="004C4822">
      <w:permStart w:id="1189693986" w:edGrp="everyone"/>
      <w:r w:rsidRPr="003A016D">
        <w:t xml:space="preserve">The AIC </w:t>
      </w:r>
      <w:r w:rsidRPr="003A016D">
        <w:rPr>
          <w:b/>
          <w:u w:val="single"/>
        </w:rPr>
        <w:t>recommends</w:t>
      </w:r>
      <w:r w:rsidRPr="003A016D">
        <w:t xml:space="preserve"> the first bullet point in paragraph 68 on page 51 is deleted.  This states that the LST policy should include a “</w:t>
      </w:r>
      <w:r w:rsidRPr="003A016D">
        <w:rPr>
          <w:i/>
        </w:rPr>
        <w:t>Clear definition of the role of senior management in the process, including the governing board (Board of Directors/Trustees).</w:t>
      </w:r>
      <w:r w:rsidRPr="003A016D">
        <w:t>”</w:t>
      </w:r>
    </w:p>
    <w:p w14:paraId="33B6E93B" w14:textId="77777777" w:rsidR="004C4822" w:rsidRPr="003A016D" w:rsidRDefault="004C4822" w:rsidP="004C4822"/>
    <w:p w14:paraId="0B1E4724" w14:textId="77777777" w:rsidR="004C4822" w:rsidRDefault="004C4822" w:rsidP="004C4822">
      <w:r w:rsidRPr="003A016D">
        <w:t>This goes beyond the requirements of the AIFMD which apply to the AIFM, rather than to the</w:t>
      </w:r>
      <w:r>
        <w:t xml:space="preserve"> governing board of the AIF.  The bullet point addressing the circumstances requiring escalation, such as when liquidity/limit thresholds are breached is more applicable.  This requires issues to be escalated where if they arise.</w:t>
      </w:r>
    </w:p>
    <w:p w14:paraId="239BE73A" w14:textId="77777777" w:rsidR="004C4822" w:rsidRDefault="004C4822" w:rsidP="004C4822"/>
    <w:p w14:paraId="2F0269EC" w14:textId="77777777" w:rsidR="004C4822" w:rsidRDefault="004C4822" w:rsidP="004C4822">
      <w:r w:rsidRPr="009E7E53">
        <w:t xml:space="preserve">The AIC </w:t>
      </w:r>
      <w:r w:rsidRPr="009E7E53">
        <w:rPr>
          <w:b/>
          <w:u w:val="single"/>
        </w:rPr>
        <w:t>recommends</w:t>
      </w:r>
      <w:r w:rsidRPr="009E7E53">
        <w:t xml:space="preserve"> there is a statement in the explanatory notes section stating that:</w:t>
      </w:r>
    </w:p>
    <w:p w14:paraId="0AA65203" w14:textId="77777777" w:rsidR="004C4822" w:rsidRDefault="004C4822" w:rsidP="004C4822"/>
    <w:p w14:paraId="29A4F750" w14:textId="77777777" w:rsidR="004C4822" w:rsidRDefault="004C4822" w:rsidP="004C4822">
      <w:pPr>
        <w:ind w:left="720"/>
      </w:pPr>
      <w:r>
        <w:t>“</w:t>
      </w:r>
      <w:r w:rsidRPr="00B96011">
        <w:rPr>
          <w:i/>
        </w:rPr>
        <w:t>The</w:t>
      </w:r>
      <w:r>
        <w:rPr>
          <w:i/>
        </w:rPr>
        <w:t>se</w:t>
      </w:r>
      <w:r w:rsidRPr="00B96011">
        <w:rPr>
          <w:i/>
        </w:rPr>
        <w:t xml:space="preserve"> explanatory considerations are to be applied where</w:t>
      </w:r>
      <w:r w:rsidRPr="00954F8E">
        <w:rPr>
          <w:i/>
        </w:rPr>
        <w:t xml:space="preserve"> applicable </w:t>
      </w:r>
      <w:r>
        <w:rPr>
          <w:i/>
        </w:rPr>
        <w:t>to the AIF or UCITS.  They should be</w:t>
      </w:r>
      <w:r w:rsidRPr="00954F8E">
        <w:rPr>
          <w:i/>
        </w:rPr>
        <w:t xml:space="preserve"> adapted to fit the nature, scale and complexity of the f</w:t>
      </w:r>
      <w:r w:rsidRPr="00F44AB8">
        <w:rPr>
          <w:i/>
        </w:rPr>
        <w:t>und</w:t>
      </w:r>
      <w:r>
        <w:rPr>
          <w:i/>
        </w:rPr>
        <w:t xml:space="preserve"> </w:t>
      </w:r>
      <w:r w:rsidRPr="00977902">
        <w:rPr>
          <w:rFonts w:cs="Arial"/>
          <w:bCs/>
          <w:i/>
        </w:rPr>
        <w:t xml:space="preserve">including the investment strategy, liquidity of assets held, type of investor and redemption policy in determining the appropriate </w:t>
      </w:r>
      <w:r>
        <w:rPr>
          <w:rFonts w:cs="Arial"/>
          <w:bCs/>
          <w:i/>
        </w:rPr>
        <w:t>governance of LSTs.</w:t>
      </w:r>
      <w:r>
        <w:t>”</w:t>
      </w:r>
    </w:p>
    <w:p w14:paraId="38B070B6" w14:textId="77777777" w:rsidR="004C4822" w:rsidRDefault="004C4822" w:rsidP="004C4822"/>
    <w:p w14:paraId="63E0B5E1" w14:textId="77777777" w:rsidR="004C4822" w:rsidRDefault="004C4822" w:rsidP="004C4822">
      <w:r>
        <w:t>This will ensure they are applied in a proportionate manner and in the most appropriate way for the specific type of fund.</w:t>
      </w:r>
    </w:p>
    <w:permEnd w:id="1189693986"/>
    <w:p w14:paraId="49617FA9" w14:textId="77777777" w:rsidR="00407232" w:rsidRDefault="00407232" w:rsidP="00407232">
      <w:pPr>
        <w:rPr>
          <w:rFonts w:cs="Arial"/>
        </w:rPr>
      </w:pPr>
      <w:r>
        <w:rPr>
          <w:rFonts w:cs="Arial"/>
        </w:rPr>
        <w:t>&lt;ESMA_QUESTION_LST_27&gt;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lastRenderedPageBreak/>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0D04E44F" w14:textId="77777777" w:rsidR="004C4822" w:rsidRDefault="004C4822" w:rsidP="004C4822">
      <w:pPr>
        <w:autoSpaceDE w:val="0"/>
        <w:autoSpaceDN w:val="0"/>
        <w:adjustRightInd w:val="0"/>
        <w:rPr>
          <w:rFonts w:cs="Arial"/>
          <w:bCs/>
        </w:rPr>
      </w:pPr>
      <w:permStart w:id="1403792818" w:edGrp="everyone"/>
      <w:r w:rsidRPr="007974FE">
        <w:rPr>
          <w:rFonts w:cs="Arial"/>
          <w:bCs/>
        </w:rPr>
        <w:t>No.  The information set out in paragraph 69 on page 51 is sufficient and appropriate.</w:t>
      </w:r>
    </w:p>
    <w:permEnd w:id="1403792818"/>
    <w:p w14:paraId="39F5288F" w14:textId="77777777" w:rsidR="00407232" w:rsidRDefault="00407232" w:rsidP="00407232">
      <w:pPr>
        <w:rPr>
          <w:rFonts w:cs="Arial"/>
        </w:rPr>
      </w:pPr>
      <w:r>
        <w:rPr>
          <w:rFonts w:cs="Arial"/>
        </w:rPr>
        <w:t>&lt;ESMA_QUESTION_LST_28&gt;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46C8E3DD" w14:textId="77777777" w:rsidR="004C4822" w:rsidRDefault="004C4822" w:rsidP="004C4822">
      <w:permStart w:id="1124483521" w:edGrp="everyone"/>
      <w:r>
        <w:t>The AIC has no comment on this question.</w:t>
      </w:r>
    </w:p>
    <w:permEnd w:id="1124483521"/>
    <w:p w14:paraId="18B1CA32" w14:textId="77777777" w:rsidR="00407232" w:rsidRDefault="00407232" w:rsidP="00407232">
      <w:pPr>
        <w:rPr>
          <w:rFonts w:cs="Arial"/>
        </w:rPr>
      </w:pPr>
      <w:r>
        <w:rPr>
          <w:rFonts w:cs="Arial"/>
        </w:rPr>
        <w:t>&lt;ESMA_QUESTION_LST_29&gt;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duties regarding LST?</w:t>
      </w:r>
    </w:p>
    <w:p w14:paraId="431662DC" w14:textId="77777777" w:rsidR="00407232" w:rsidRDefault="00407232" w:rsidP="00407232">
      <w:pPr>
        <w:rPr>
          <w:rFonts w:cs="Arial"/>
        </w:rPr>
      </w:pPr>
      <w:r>
        <w:rPr>
          <w:rFonts w:cs="Arial"/>
        </w:rPr>
        <w:t>&lt;ESMA_QUESTION_LST_30&gt;</w:t>
      </w:r>
    </w:p>
    <w:p w14:paraId="0A91365B" w14:textId="77777777" w:rsidR="004C4822" w:rsidRDefault="004C4822" w:rsidP="004C4822">
      <w:permStart w:id="985795538" w:edGrp="everyone"/>
      <w:r>
        <w:t>The AIC has no comment on this question.</w:t>
      </w:r>
    </w:p>
    <w:permEnd w:id="985795538"/>
    <w:p w14:paraId="16D09FE3" w14:textId="77777777" w:rsidR="00407232" w:rsidRDefault="00407232" w:rsidP="00407232">
      <w:pPr>
        <w:rPr>
          <w:rFonts w:cs="Arial"/>
        </w:rPr>
      </w:pPr>
      <w:r>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p>
    <w:p w14:paraId="4F01330F" w14:textId="77777777" w:rsidR="00407232" w:rsidRDefault="00407232" w:rsidP="00407232">
      <w:pPr>
        <w:rPr>
          <w:rFonts w:cs="Arial"/>
        </w:rPr>
      </w:pPr>
      <w:r>
        <w:rPr>
          <w:rFonts w:cs="Arial"/>
        </w:rPr>
        <w:t>&lt;ESMA_QUESTION_LST_31&gt;</w:t>
      </w:r>
    </w:p>
    <w:p w14:paraId="113C1358" w14:textId="77777777" w:rsidR="004C4822" w:rsidRDefault="004C4822" w:rsidP="004C4822">
      <w:permStart w:id="819552036" w:edGrp="everyone"/>
      <w:r>
        <w:t>The AIC has no comment on this question.</w:t>
      </w:r>
    </w:p>
    <w:permEnd w:id="819552036"/>
    <w:p w14:paraId="281DE350" w14:textId="77777777" w:rsidR="00407232" w:rsidRDefault="00407232" w:rsidP="00407232">
      <w:pPr>
        <w:rPr>
          <w:rFonts w:cs="Arial"/>
        </w:rPr>
      </w:pPr>
      <w:r>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78AB65BC" w14:textId="77777777" w:rsidR="004C4822" w:rsidRDefault="004C4822" w:rsidP="004C4822">
      <w:permStart w:id="244857125" w:edGrp="everyone"/>
      <w:r>
        <w:t>The AIC has no comment on this question.</w:t>
      </w:r>
    </w:p>
    <w:permEnd w:id="244857125"/>
    <w:p w14:paraId="0EBAAAB2" w14:textId="77777777" w:rsidR="00407232" w:rsidRDefault="00407232" w:rsidP="00407232">
      <w:pPr>
        <w:rPr>
          <w:rFonts w:cs="Arial"/>
        </w:rPr>
      </w:pPr>
      <w:r>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011C" w14:textId="77777777" w:rsidR="00156A87" w:rsidRDefault="00156A87">
      <w:r>
        <w:separator/>
      </w:r>
    </w:p>
    <w:p w14:paraId="6097778C" w14:textId="77777777" w:rsidR="00156A87" w:rsidRDefault="00156A87"/>
  </w:endnote>
  <w:endnote w:type="continuationSeparator" w:id="0">
    <w:p w14:paraId="6ED67604" w14:textId="77777777" w:rsidR="00156A87" w:rsidRDefault="00156A87">
      <w:r>
        <w:continuationSeparator/>
      </w:r>
    </w:p>
    <w:p w14:paraId="347A67FF" w14:textId="77777777" w:rsidR="00156A87" w:rsidRDefault="00156A87"/>
  </w:endnote>
  <w:endnote w:type="continuationNotice" w:id="1">
    <w:p w14:paraId="7B34D45F" w14:textId="77777777" w:rsidR="00156A87" w:rsidRDefault="001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63C06F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0472F">
            <w:rPr>
              <w:rFonts w:cs="Arial"/>
              <w:noProof/>
              <w:sz w:val="22"/>
              <w:szCs w:val="22"/>
            </w:rPr>
            <w:t>9</w:t>
          </w:r>
          <w:r w:rsidRPr="00616B9B">
            <w:rPr>
              <w:rFonts w:cs="Arial"/>
              <w:noProof/>
              <w:sz w:val="22"/>
              <w:szCs w:val="22"/>
            </w:rPr>
            <w:fldChar w:fldCharType="end"/>
          </w:r>
        </w:p>
      </w:tc>
    </w:tr>
  </w:tbl>
  <w:p w14:paraId="6A3CB0F0"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1614" w14:textId="77777777" w:rsidR="00156A87" w:rsidRDefault="00156A87">
      <w:r>
        <w:separator/>
      </w:r>
    </w:p>
    <w:p w14:paraId="7818AC8B" w14:textId="77777777" w:rsidR="00156A87" w:rsidRDefault="00156A87"/>
  </w:footnote>
  <w:footnote w:type="continuationSeparator" w:id="0">
    <w:p w14:paraId="500E6E53" w14:textId="77777777" w:rsidR="00156A87" w:rsidRDefault="00156A87">
      <w:r>
        <w:continuationSeparator/>
      </w:r>
    </w:p>
    <w:p w14:paraId="54AB53B2" w14:textId="77777777" w:rsidR="00156A87" w:rsidRDefault="00156A87"/>
  </w:footnote>
  <w:footnote w:type="continuationNotice" w:id="1">
    <w:p w14:paraId="3D611A8C" w14:textId="77777777" w:rsidR="00156A87" w:rsidRDefault="00156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77777777" w:rsidR="00811EDA" w:rsidRDefault="00DE66EB">
    <w:pPr>
      <w:pStyle w:val="Header"/>
    </w:pPr>
    <w:r>
      <w:rPr>
        <w:noProof/>
        <w:lang w:eastAsia="en-GB"/>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D93360"/>
    <w:multiLevelType w:val="hybridMultilevel"/>
    <w:tmpl w:val="55B4641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FC95E24"/>
    <w:multiLevelType w:val="hybridMultilevel"/>
    <w:tmpl w:val="EB8877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B4D6B"/>
    <w:multiLevelType w:val="hybridMultilevel"/>
    <w:tmpl w:val="A39E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B42B4"/>
    <w:multiLevelType w:val="hybridMultilevel"/>
    <w:tmpl w:val="870088D8"/>
    <w:lvl w:ilvl="0" w:tplc="08090019">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15:restartNumberingAfterBreak="0">
    <w:nsid w:val="65775417"/>
    <w:multiLevelType w:val="hybridMultilevel"/>
    <w:tmpl w:val="8DD6B55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3"/>
  </w:num>
  <w:num w:numId="3">
    <w:abstractNumId w:val="14"/>
  </w:num>
  <w:num w:numId="4">
    <w:abstractNumId w:val="30"/>
  </w:num>
  <w:num w:numId="5">
    <w:abstractNumId w:val="33"/>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7"/>
  </w:num>
  <w:num w:numId="15">
    <w:abstractNumId w:val="9"/>
  </w:num>
  <w:num w:numId="16">
    <w:abstractNumId w:val="1"/>
  </w:num>
  <w:num w:numId="17">
    <w:abstractNumId w:val="17"/>
  </w:num>
  <w:num w:numId="18">
    <w:abstractNumId w:val="18"/>
  </w:num>
  <w:num w:numId="19">
    <w:abstractNumId w:val="20"/>
  </w:num>
  <w:num w:numId="20">
    <w:abstractNumId w:val="34"/>
  </w:num>
  <w:num w:numId="21">
    <w:abstractNumId w:val="45"/>
  </w:num>
  <w:num w:numId="22">
    <w:abstractNumId w:val="32"/>
  </w:num>
  <w:num w:numId="23">
    <w:abstractNumId w:val="8"/>
  </w:num>
  <w:num w:numId="24">
    <w:abstractNumId w:val="37"/>
  </w:num>
  <w:num w:numId="25">
    <w:abstractNumId w:val="36"/>
  </w:num>
  <w:num w:numId="26">
    <w:abstractNumId w:val="24"/>
  </w:num>
  <w:num w:numId="27">
    <w:abstractNumId w:val="42"/>
  </w:num>
  <w:num w:numId="28">
    <w:abstractNumId w:val="47"/>
  </w:num>
  <w:num w:numId="29">
    <w:abstractNumId w:val="6"/>
  </w:num>
  <w:num w:numId="30">
    <w:abstractNumId w:val="2"/>
  </w:num>
  <w:num w:numId="31">
    <w:abstractNumId w:val="26"/>
  </w:num>
  <w:num w:numId="32">
    <w:abstractNumId w:val="25"/>
  </w:num>
  <w:num w:numId="33">
    <w:abstractNumId w:val="44"/>
  </w:num>
  <w:num w:numId="34">
    <w:abstractNumId w:val="43"/>
  </w:num>
  <w:num w:numId="35">
    <w:abstractNumId w:val="1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40"/>
  </w:num>
  <w:num w:numId="46">
    <w:abstractNumId w:val="5"/>
  </w:num>
  <w:num w:numId="47">
    <w:abstractNumId w:val="29"/>
  </w:num>
  <w:num w:numId="48">
    <w:abstractNumId w:val="22"/>
  </w:num>
  <w:num w:numId="49">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8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4822"/>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0319"/>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aliases w:val="Document 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aliases w:val="Document 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purl.org/dc/elements/1.1/"/>
    <ds:schemaRef ds:uri="http://schemas.microsoft.com/sharepoint/v4"/>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35c8e399-07b8-49e4-91bf-01a20105d4df"/>
    <ds:schemaRef ds:uri="http://www.w3.org/XML/1998/namespace"/>
    <ds:schemaRef ds:uri="http://purl.org/dc/dcmityp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246028-377A-4212-ACB9-6AB65F2C79A4}">
  <ds:schemaRefs>
    <ds:schemaRef ds:uri="http://schemas.openxmlformats.org/officeDocument/2006/bibliography"/>
  </ds:schemaRefs>
</ds:datastoreItem>
</file>

<file path=customXml/itemProps6.xml><?xml version="1.0" encoding="utf-8"?>
<ds:datastoreItem xmlns:ds="http://schemas.openxmlformats.org/officeDocument/2006/customXml" ds:itemID="{34388AF1-7C2E-45BC-A60A-46558FE6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4653</Words>
  <Characters>25765</Characters>
  <Application>Microsoft Office Word</Application>
  <DocSecurity>8</DocSecurity>
  <Lines>214</Lines>
  <Paragraphs>60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30358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Lisa Easton</cp:lastModifiedBy>
  <cp:revision>2</cp:revision>
  <cp:lastPrinted>2019-01-31T13:10:00Z</cp:lastPrinted>
  <dcterms:created xsi:type="dcterms:W3CDTF">2019-03-29T12:08:00Z</dcterms:created>
  <dcterms:modified xsi:type="dcterms:W3CDTF">2019-03-29T12:08:00Z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ies>
</file>