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F2EF7" w:rsidRPr="00B8572C" w14:paraId="76D253F5" w14:textId="77777777" w:rsidTr="00D13661">
            <w:trPr>
              <w:trHeight w:hRule="exact" w:val="747"/>
            </w:trPr>
            <w:tc>
              <w:tcPr>
                <w:tcW w:w="10490" w:type="dxa"/>
                <w:tcMar>
                  <w:top w:w="142" w:type="dxa"/>
                </w:tcMar>
              </w:tcPr>
              <w:p w14:paraId="750C0CCA" w14:textId="77777777" w:rsidR="00AF2EF7" w:rsidRPr="00B8572C" w:rsidRDefault="00AF2EF7" w:rsidP="00D13661">
                <w:pPr>
                  <w:pStyle w:val="Subtitle"/>
                  <w:spacing w:line="276" w:lineRule="auto"/>
                  <w:rPr>
                    <w:rFonts w:asciiTheme="minorHAnsi" w:hAnsiTheme="minorHAnsi" w:cstheme="minorHAnsi"/>
                    <w:sz w:val="32"/>
                    <w:szCs w:val="32"/>
                  </w:rPr>
                </w:pPr>
                <w:r w:rsidRPr="00B8572C">
                  <w:rPr>
                    <w:rFonts w:asciiTheme="minorHAnsi" w:hAnsiTheme="minorHAnsi" w:cstheme="minorHAnsi"/>
                    <w:sz w:val="32"/>
                    <w:szCs w:val="32"/>
                  </w:rPr>
                  <w:t>Guidelines on Settlement Fails Reporting under Article 7(1) of CSDR</w:t>
                </w:r>
              </w:p>
              <w:p w14:paraId="6A53AAE0" w14:textId="77777777" w:rsidR="00AF2EF7" w:rsidRPr="00B8572C" w:rsidRDefault="00AF2EF7" w:rsidP="00D13661">
                <w:pPr>
                  <w:spacing w:line="276" w:lineRule="auto"/>
                </w:pPr>
              </w:p>
              <w:p w14:paraId="26CF3934" w14:textId="77777777" w:rsidR="00AF2EF7" w:rsidRPr="00B8572C" w:rsidRDefault="00AF2EF7" w:rsidP="00D13661">
                <w:pPr>
                  <w:spacing w:line="276" w:lineRule="auto"/>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7AE8F56C"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sz w:val="22"/>
              <w:szCs w:val="20"/>
              <w:lang w:eastAsia="en-US"/>
            </w:rPr>
            <w:t>ESMA invites comments on all matters in this paper and in particular on the specific questions summarised in Annex IV. Comments are most helpful if they:</w:t>
          </w:r>
        </w:p>
        <w:p w14:paraId="561C172F" w14:textId="77777777" w:rsidR="00AF2EF7" w:rsidRPr="00B8572C" w:rsidRDefault="00AF2EF7" w:rsidP="00AF2EF7">
          <w:pPr>
            <w:numPr>
              <w:ilvl w:val="0"/>
              <w:numId w:val="11"/>
            </w:num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sz w:val="22"/>
              <w:szCs w:val="20"/>
              <w:lang w:eastAsia="en-US"/>
            </w:rPr>
            <w:t>respond to the question stated;</w:t>
          </w:r>
        </w:p>
        <w:p w14:paraId="0EB25618" w14:textId="77777777" w:rsidR="00AF2EF7" w:rsidRPr="00B8572C" w:rsidRDefault="00AF2EF7" w:rsidP="00AF2EF7">
          <w:pPr>
            <w:numPr>
              <w:ilvl w:val="0"/>
              <w:numId w:val="11"/>
            </w:num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sz w:val="22"/>
              <w:szCs w:val="20"/>
              <w:lang w:eastAsia="en-US"/>
            </w:rPr>
            <w:t>indicate the specific question to which the comment relates;</w:t>
          </w:r>
        </w:p>
        <w:p w14:paraId="6A9D9F66" w14:textId="77777777" w:rsidR="00AF2EF7" w:rsidRPr="00B8572C" w:rsidRDefault="00AF2EF7" w:rsidP="00AF2EF7">
          <w:pPr>
            <w:numPr>
              <w:ilvl w:val="0"/>
              <w:numId w:val="11"/>
            </w:num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sz w:val="22"/>
              <w:szCs w:val="20"/>
              <w:lang w:eastAsia="en-US"/>
            </w:rPr>
            <w:t>contain a clear rationale; and</w:t>
          </w:r>
        </w:p>
        <w:p w14:paraId="3BF8ED3D" w14:textId="77777777" w:rsidR="00AF2EF7" w:rsidRPr="00B8572C" w:rsidRDefault="00AF2EF7" w:rsidP="00AF2EF7">
          <w:pPr>
            <w:numPr>
              <w:ilvl w:val="0"/>
              <w:numId w:val="11"/>
            </w:num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sz w:val="22"/>
              <w:szCs w:val="20"/>
              <w:lang w:eastAsia="en-US"/>
            </w:rPr>
            <w:t>describe any alternatives ESMA should consider.</w:t>
          </w:r>
        </w:p>
        <w:p w14:paraId="57B20730" w14:textId="6591D36D"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sz w:val="22"/>
              <w:szCs w:val="20"/>
              <w:lang w:eastAsia="en-US"/>
            </w:rPr>
            <w:t xml:space="preserve">ESMA will consider all comments received by </w:t>
          </w:r>
          <w:r>
            <w:rPr>
              <w:rFonts w:asciiTheme="minorHAnsi" w:eastAsiaTheme="minorEastAsia" w:hAnsiTheme="minorHAnsi" w:cstheme="minorBidi"/>
              <w:b/>
              <w:sz w:val="22"/>
              <w:szCs w:val="20"/>
              <w:lang w:eastAsia="en-US"/>
            </w:rPr>
            <w:t xml:space="preserve">20 </w:t>
          </w:r>
          <w:r w:rsidR="008B2AF1">
            <w:rPr>
              <w:rFonts w:asciiTheme="minorHAnsi" w:eastAsiaTheme="minorEastAsia" w:hAnsiTheme="minorHAnsi" w:cstheme="minorBidi"/>
              <w:b/>
              <w:sz w:val="22"/>
              <w:szCs w:val="20"/>
              <w:lang w:eastAsia="en-US"/>
            </w:rPr>
            <w:t>February 2019</w:t>
          </w:r>
          <w:r w:rsidRPr="00B8572C">
            <w:rPr>
              <w:rFonts w:asciiTheme="minorHAnsi" w:eastAsiaTheme="minorEastAsia" w:hAnsiTheme="minorHAnsi" w:cstheme="minorBidi"/>
              <w:b/>
              <w:sz w:val="22"/>
              <w:szCs w:val="20"/>
              <w:lang w:eastAsia="en-US"/>
            </w:rPr>
            <w:t xml:space="preserve">. </w:t>
          </w:r>
        </w:p>
        <w:p w14:paraId="709A54F1" w14:textId="0115E72D" w:rsidR="00AF2EF7"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sz w:val="22"/>
              <w:szCs w:val="20"/>
              <w:lang w:eastAsia="en-US"/>
            </w:rPr>
            <w:t xml:space="preserve">All contributions should be submitted online at </w:t>
          </w:r>
          <w:hyperlink r:id="rId16" w:history="1">
            <w:r w:rsidRPr="00B8572C">
              <w:rPr>
                <w:rFonts w:asciiTheme="minorHAnsi" w:eastAsiaTheme="minorEastAsia" w:hAnsiTheme="minorHAnsi" w:cstheme="minorBidi"/>
                <w:color w:val="0563C1" w:themeColor="hyperlink"/>
                <w:sz w:val="22"/>
                <w:szCs w:val="20"/>
                <w:u w:val="single"/>
                <w:lang w:eastAsia="en-US"/>
              </w:rPr>
              <w:t>www.esma.europa.eu</w:t>
            </w:r>
          </w:hyperlink>
          <w:r w:rsidRPr="00B8572C">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6A06EC93"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&lt;ESMA_QUESTION_SFR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3ED06DF8"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Pr="00C85C8B">
            <w:rPr>
              <w:rFonts w:eastAsiaTheme="minorEastAsia" w:cstheme="minorBidi"/>
              <w:szCs w:val="20"/>
              <w:lang w:eastAsia="en-US"/>
            </w:rPr>
            <w:t>S</w:t>
          </w:r>
          <w:r>
            <w:rPr>
              <w:rFonts w:eastAsiaTheme="minorEastAsia" w:cstheme="minorBidi"/>
              <w:szCs w:val="20"/>
              <w:lang w:eastAsia="en-US"/>
            </w:rPr>
            <w:t>F</w:t>
          </w:r>
          <w:r w:rsidRPr="00C85C8B">
            <w:rPr>
              <w:rFonts w:eastAsiaTheme="minorEastAsia" w:cstheme="minorBidi"/>
              <w:szCs w:val="20"/>
              <w:lang w:eastAsia="en-US"/>
            </w:rPr>
            <w:t>R_nameofrespondent_RESPONSEFORM. For example, for a respondent named ABCD, the response</w:t>
          </w:r>
          <w:r>
            <w:rPr>
              <w:rFonts w:eastAsiaTheme="minorEastAsia" w:cstheme="minorBidi"/>
              <w:szCs w:val="20"/>
              <w:lang w:eastAsia="en-US"/>
            </w:rPr>
            <w:t xml:space="preserve"> form would be entitled ESMA_SF</w:t>
          </w:r>
          <w:r w:rsidRPr="00C85C8B">
            <w:rPr>
              <w:rFonts w:eastAsiaTheme="minorEastAsia" w:cstheme="minorBidi"/>
              <w:szCs w:val="20"/>
              <w:lang w:eastAsia="en-US"/>
            </w:rPr>
            <w:t>R_ABCD_RESPONSEFORM.</w:t>
          </w:r>
        </w:p>
        <w:p w14:paraId="1A9C59D6"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Securitisation Repositories Application Requirements”).</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496892EA"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E16306A" w14:textId="5A8317CF" w:rsidR="00AF2EF7" w:rsidRPr="00C1698A"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sz w:val="22"/>
              <w:szCs w:val="20"/>
              <w:lang w:eastAsia="en-US"/>
            </w:rPr>
            <w:t>The collection of confidential responses is without prejudice to the scope of Regulation (EC) No 1049/2001</w:t>
          </w:r>
          <w:r w:rsidRPr="00B8572C">
            <w:rPr>
              <w:rFonts w:asciiTheme="minorHAnsi" w:eastAsiaTheme="minorEastAsia" w:hAnsiTheme="minorHAnsi" w:cstheme="minorBidi"/>
              <w:sz w:val="22"/>
              <w:szCs w:val="20"/>
              <w:vertAlign w:val="superscript"/>
              <w:lang w:eastAsia="en-US"/>
            </w:rPr>
            <w:footnoteReference w:id="2"/>
          </w:r>
          <w:r w:rsidRPr="00B8572C">
            <w:rPr>
              <w:rFonts w:asciiTheme="minorHAnsi" w:eastAsiaTheme="minorEastAsia" w:hAnsiTheme="minorHAnsi" w:cstheme="minorBidi"/>
              <w:sz w:val="22"/>
              <w:szCs w:val="20"/>
              <w:lang w:eastAsia="en-US"/>
            </w:rPr>
            <w:t>. Possible requests for access to documents will be dealt in compliance with the requirements and obligations laid down in Regulation (EC) No 1049/2001.</w:t>
          </w:r>
        </w:p>
        <w:p w14:paraId="144C43BA"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7CAC6099" w14:textId="4514B642" w:rsidR="00AF2EF7" w:rsidRPr="00C1698A"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sz w:val="22"/>
              <w:szCs w:val="20"/>
              <w:lang w:eastAsia="en-US"/>
            </w:rPr>
            <w:t xml:space="preserve">Information on data protection can be found at </w:t>
          </w:r>
          <w:hyperlink r:id="rId18" w:history="1">
            <w:r w:rsidRPr="00B8572C">
              <w:rPr>
                <w:rFonts w:asciiTheme="minorHAnsi" w:eastAsiaTheme="minorEastAsia" w:hAnsiTheme="minorHAnsi" w:cstheme="minorBidi"/>
                <w:color w:val="0563C1" w:themeColor="hyperlink"/>
                <w:sz w:val="22"/>
                <w:szCs w:val="20"/>
                <w:u w:val="single"/>
                <w:lang w:eastAsia="en-US"/>
              </w:rPr>
              <w:t>www.esma.europa.eu</w:t>
            </w:r>
          </w:hyperlink>
          <w:r w:rsidRPr="00B8572C">
            <w:rPr>
              <w:rFonts w:asciiTheme="minorHAnsi" w:eastAsiaTheme="minorEastAsia" w:hAnsiTheme="minorHAnsi" w:cstheme="minorBidi"/>
              <w:sz w:val="22"/>
              <w:szCs w:val="20"/>
              <w:lang w:eastAsia="en-US"/>
            </w:rPr>
            <w:t xml:space="preserve"> under the heading Legal Notice</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02D5BD14" w14:textId="5D2F8678"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sz w:val="22"/>
              <w:szCs w:val="20"/>
              <w:lang w:eastAsia="en-US"/>
            </w:rPr>
            <w:t>All interested stakeholders are invited to respond to this consultation. In particular, this paper may be specifically of interest to central securities depositories (CSDs) as defined in point (1) of Article 2(1) of Regulation (EU) No 909/2014</w:t>
          </w:r>
          <w:r w:rsidRPr="00B8572C">
            <w:rPr>
              <w:rFonts w:asciiTheme="minorHAnsi" w:eastAsiaTheme="minorEastAsia" w:hAnsiTheme="minorHAnsi" w:cstheme="minorBidi"/>
              <w:sz w:val="22"/>
              <w:szCs w:val="20"/>
              <w:vertAlign w:val="superscript"/>
              <w:lang w:eastAsia="en-US"/>
            </w:rPr>
            <w:footnoteReference w:id="3"/>
          </w:r>
          <w:r w:rsidRPr="00B8572C">
            <w:rPr>
              <w:rFonts w:asciiTheme="minorHAnsi" w:eastAsiaTheme="minorEastAsia" w:hAnsiTheme="minorHAnsi" w:cstheme="minorBidi"/>
              <w:sz w:val="22"/>
              <w:szCs w:val="20"/>
              <w:lang w:eastAsia="en-US"/>
            </w:rPr>
            <w:t xml:space="preserve"> (CSDR).</w:t>
          </w:r>
        </w:p>
        <w:p w14:paraId="14912E5E" w14:textId="1CE85474" w:rsidR="00AF2EF7" w:rsidRPr="00B8572C" w:rsidRDefault="003C0BBE" w:rsidP="00AF2EF7">
          <w:pPr>
            <w:spacing w:after="120" w:line="276" w:lineRule="auto"/>
            <w:rPr>
              <w:rFonts w:asciiTheme="minorHAnsi" w:hAnsiTheme="minorHAnsi" w:cstheme="minorHAnsi"/>
            </w:rPr>
          </w:pP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Candara" w:eastAsia="Candara" w:hAnsi="Candara"/>
              <w:color w:val="002060"/>
            </w:rPr>
            <w:id w:val="-1905066999"/>
            <w:text/>
          </w:sdtPr>
          <w:sdtEndPr/>
          <w:sdtContent>
            <w:tc>
              <w:tcPr>
                <w:tcW w:w="5595" w:type="dxa"/>
                <w:shd w:val="clear" w:color="auto" w:fill="auto"/>
              </w:tcPr>
              <w:p w14:paraId="1B67440D" w14:textId="6D86EE9F" w:rsidR="00C85C8B" w:rsidRPr="00C85C8B" w:rsidRDefault="00B429A1" w:rsidP="00C85C8B">
                <w:pPr>
                  <w:rPr>
                    <w:rFonts w:ascii="Arial" w:hAnsi="Arial" w:cs="Arial"/>
                    <w:color w:val="808080"/>
                    <w:sz w:val="20"/>
                    <w:lang w:eastAsia="de-DE"/>
                  </w:rPr>
                </w:pPr>
                <w:r w:rsidRPr="00B429A1">
                  <w:rPr>
                    <w:rFonts w:ascii="Candara" w:eastAsia="Candara" w:hAnsi="Candara"/>
                    <w:color w:val="002060"/>
                  </w:rPr>
                  <w:t>European Central Securities Depository Association (ECSDA)</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79D44941" w:rsidR="00C85C8B" w:rsidRPr="00C85C8B" w:rsidRDefault="003C0BBE" w:rsidP="00C85C8B">
            <w:pPr>
              <w:rPr>
                <w:rFonts w:ascii="Arial" w:hAnsi="Arial" w:cs="Arial"/>
                <w:sz w:val="20"/>
                <w:lang w:eastAsia="de-DE"/>
              </w:rPr>
            </w:pPr>
            <w:sdt>
              <w:sdtPr>
                <w:rPr>
                  <w:rFonts w:ascii="Arial" w:eastAsia="Arial" w:hAnsi="Arial"/>
                  <w:color w:val="002060"/>
                  <w:sz w:val="20"/>
                  <w:szCs w:val="20"/>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429A1" w:rsidRPr="00B429A1">
                  <w:rPr>
                    <w:rFonts w:ascii="Arial" w:eastAsia="Arial" w:hAnsi="Arial"/>
                    <w:color w:val="002060"/>
                    <w:sz w:val="20"/>
                    <w:szCs w:val="20"/>
                  </w:rPr>
                  <w:t>Financial Market Infrastructures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eastAsia="Arial" w:hAnsi="Arial"/>
              <w:color w:val="002060"/>
              <w:sz w:val="20"/>
              <w:szCs w:val="20"/>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11BE8428" w:rsidR="00C85C8B" w:rsidRPr="00C85C8B" w:rsidRDefault="00B429A1" w:rsidP="00C85C8B">
                <w:pPr>
                  <w:rPr>
                    <w:rFonts w:ascii="Arial" w:hAnsi="Arial" w:cs="Arial"/>
                    <w:sz w:val="20"/>
                    <w:lang w:eastAsia="de-DE"/>
                  </w:rPr>
                </w:pPr>
                <w:r w:rsidRPr="00B429A1">
                  <w:rPr>
                    <w:rFonts w:ascii="Arial" w:eastAsia="Arial" w:hAnsi="Arial"/>
                    <w:color w:val="002060"/>
                    <w:sz w:val="20"/>
                    <w:szCs w:val="20"/>
                  </w:rPr>
                  <w:t>EEA and broader 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797F566D"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Pr>
          <w:rFonts w:asciiTheme="minorHAnsi" w:eastAsiaTheme="minorEastAsia" w:hAnsiTheme="minorHAnsi" w:cstheme="minorBidi"/>
          <w:sz w:val="22"/>
          <w:szCs w:val="20"/>
          <w:lang w:eastAsia="en-US"/>
        </w:rPr>
        <w:t>SFR</w:t>
      </w:r>
      <w:r w:rsidRPr="00C85C8B">
        <w:rPr>
          <w:rFonts w:asciiTheme="minorHAnsi" w:eastAsiaTheme="minorEastAsia" w:hAnsiTheme="minorHAnsi" w:cstheme="minorBidi"/>
          <w:sz w:val="22"/>
          <w:szCs w:val="20"/>
          <w:lang w:eastAsia="en-US"/>
        </w:rPr>
        <w:t>_1&gt;</w:t>
      </w:r>
    </w:p>
    <w:p w14:paraId="64A37C09" w14:textId="0384E9C4" w:rsidR="00B429A1" w:rsidRDefault="00B429A1" w:rsidP="00B429A1">
      <w:pPr>
        <w:spacing w:line="276" w:lineRule="auto"/>
        <w:jc w:val="both"/>
        <w:rPr>
          <w:rFonts w:ascii="Candara" w:eastAsia="Candara" w:hAnsi="Candara"/>
          <w:color w:val="002060"/>
          <w:sz w:val="22"/>
          <w:szCs w:val="22"/>
        </w:rPr>
      </w:pPr>
      <w:permStart w:id="885457707" w:edGrp="everyone"/>
      <w:r>
        <w:rPr>
          <w:rFonts w:ascii="Candara" w:eastAsia="Candara" w:hAnsi="Candara"/>
          <w:color w:val="002060"/>
          <w:sz w:val="22"/>
          <w:szCs w:val="22"/>
        </w:rPr>
        <w:t xml:space="preserve">The European Central Securities Depository Association (ECSDA) welcomes the issuance of this Consultation Paper on the guidelines of Fails reporting under Article 7(1).  </w:t>
      </w:r>
    </w:p>
    <w:p w14:paraId="6EDA5C54" w14:textId="77777777" w:rsidR="00B429A1" w:rsidRDefault="00B429A1" w:rsidP="00B429A1">
      <w:pPr>
        <w:spacing w:line="276" w:lineRule="auto"/>
        <w:jc w:val="both"/>
        <w:rPr>
          <w:rFonts w:ascii="Candara" w:eastAsia="Candara" w:hAnsi="Candara"/>
          <w:color w:val="002060"/>
          <w:sz w:val="22"/>
          <w:szCs w:val="22"/>
        </w:rPr>
      </w:pPr>
    </w:p>
    <w:p w14:paraId="4A14F468" w14:textId="77777777" w:rsidR="00B429A1" w:rsidRDefault="00B429A1" w:rsidP="00B429A1">
      <w:pPr>
        <w:spacing w:line="276" w:lineRule="auto"/>
        <w:jc w:val="both"/>
        <w:rPr>
          <w:rFonts w:ascii="Candara" w:eastAsia="Candara" w:hAnsi="Candara"/>
          <w:color w:val="002060"/>
          <w:sz w:val="22"/>
          <w:szCs w:val="22"/>
        </w:rPr>
      </w:pPr>
      <w:r>
        <w:rPr>
          <w:rFonts w:ascii="Candara" w:eastAsia="Candara" w:hAnsi="Candara"/>
          <w:color w:val="002060"/>
          <w:sz w:val="22"/>
          <w:szCs w:val="22"/>
        </w:rPr>
        <w:t>As we share the need of addressing some discrepancies and pitfalls in the fails reporting, we thank ESMA for having taken this initiative of harmonising the fails reporting requirements. Beyond the mere purposes of the settlement fails reporting, the proposed guidelines also influence certain provisions related to settlement discipline measures.</w:t>
      </w:r>
    </w:p>
    <w:p w14:paraId="20F11738" w14:textId="77777777" w:rsidR="00B429A1" w:rsidRDefault="00B429A1" w:rsidP="00B429A1">
      <w:pPr>
        <w:spacing w:line="276" w:lineRule="auto"/>
        <w:jc w:val="both"/>
        <w:rPr>
          <w:rFonts w:ascii="Candara" w:eastAsia="Candara" w:hAnsi="Candara"/>
          <w:color w:val="002060"/>
          <w:sz w:val="22"/>
          <w:szCs w:val="22"/>
        </w:rPr>
      </w:pPr>
    </w:p>
    <w:p w14:paraId="5C148639" w14:textId="77777777" w:rsidR="00B429A1" w:rsidRDefault="00B429A1" w:rsidP="00B429A1">
      <w:pPr>
        <w:spacing w:line="276" w:lineRule="auto"/>
        <w:jc w:val="both"/>
        <w:rPr>
          <w:rFonts w:ascii="Candara" w:eastAsia="Candara" w:hAnsi="Candara"/>
          <w:color w:val="002060"/>
          <w:sz w:val="22"/>
          <w:szCs w:val="22"/>
        </w:rPr>
      </w:pPr>
      <w:r>
        <w:rPr>
          <w:rFonts w:ascii="Candara" w:eastAsia="Candara" w:hAnsi="Candara"/>
          <w:color w:val="002060"/>
          <w:sz w:val="22"/>
          <w:szCs w:val="22"/>
        </w:rPr>
        <w:t>We would like to use the opportunity of the consultation:</w:t>
      </w:r>
    </w:p>
    <w:p w14:paraId="1A6E3278" w14:textId="77777777" w:rsidR="00B429A1" w:rsidRDefault="00B429A1" w:rsidP="00B429A1">
      <w:pPr>
        <w:pStyle w:val="ListParagraph"/>
        <w:numPr>
          <w:ilvl w:val="0"/>
          <w:numId w:val="14"/>
        </w:numPr>
        <w:adjustRightInd/>
        <w:spacing w:line="276" w:lineRule="auto"/>
        <w:rPr>
          <w:rFonts w:ascii="Candara" w:eastAsia="Candara" w:hAnsi="Candara"/>
          <w:color w:val="002060"/>
        </w:rPr>
      </w:pPr>
      <w:r>
        <w:rPr>
          <w:rFonts w:ascii="Candara" w:eastAsia="Candara" w:hAnsi="Candara"/>
          <w:color w:val="002060"/>
        </w:rPr>
        <w:t xml:space="preserve">to provide feedback on the most important aspects of the regulatory reporting, as well as  </w:t>
      </w:r>
    </w:p>
    <w:p w14:paraId="1092DF71" w14:textId="77777777" w:rsidR="00B429A1" w:rsidRDefault="00B429A1" w:rsidP="00B429A1">
      <w:pPr>
        <w:pStyle w:val="ListParagraph"/>
        <w:numPr>
          <w:ilvl w:val="0"/>
          <w:numId w:val="14"/>
        </w:numPr>
        <w:adjustRightInd/>
        <w:spacing w:line="276" w:lineRule="auto"/>
        <w:rPr>
          <w:rFonts w:ascii="Candara" w:eastAsia="Candara" w:hAnsi="Candara"/>
          <w:color w:val="002060"/>
        </w:rPr>
      </w:pPr>
      <w:r>
        <w:rPr>
          <w:rFonts w:ascii="Candara" w:eastAsia="Candara" w:hAnsi="Candara"/>
          <w:color w:val="002060"/>
        </w:rPr>
        <w:t xml:space="preserve">to stress the relevance of some issues, which are not tackled in the consultation paper. </w:t>
      </w:r>
    </w:p>
    <w:p w14:paraId="6D92AE37" w14:textId="77777777" w:rsidR="00B429A1" w:rsidRDefault="00B429A1" w:rsidP="00B429A1">
      <w:pPr>
        <w:spacing w:line="276" w:lineRule="auto"/>
        <w:jc w:val="both"/>
        <w:rPr>
          <w:rFonts w:ascii="Candara" w:eastAsia="Candara" w:hAnsi="Candara"/>
          <w:color w:val="002060"/>
          <w:sz w:val="22"/>
          <w:szCs w:val="22"/>
        </w:rPr>
      </w:pPr>
    </w:p>
    <w:p w14:paraId="2F326EB7" w14:textId="77777777" w:rsidR="00B429A1" w:rsidRDefault="00B429A1" w:rsidP="00B429A1">
      <w:pPr>
        <w:spacing w:line="276" w:lineRule="auto"/>
        <w:jc w:val="both"/>
        <w:rPr>
          <w:rFonts w:ascii="Candara" w:eastAsia="Candara" w:hAnsi="Candara"/>
          <w:b/>
          <w:color w:val="002060"/>
          <w:sz w:val="22"/>
          <w:szCs w:val="22"/>
        </w:rPr>
      </w:pPr>
      <w:r>
        <w:rPr>
          <w:rFonts w:ascii="Candara" w:eastAsia="Candara" w:hAnsi="Candara"/>
          <w:b/>
          <w:color w:val="002060"/>
          <w:sz w:val="22"/>
          <w:szCs w:val="22"/>
        </w:rPr>
        <w:t>Main points on the regulatory reporting</w:t>
      </w:r>
    </w:p>
    <w:p w14:paraId="3CCE2A56" w14:textId="77777777" w:rsidR="00B429A1" w:rsidRDefault="00B429A1" w:rsidP="00B429A1">
      <w:pPr>
        <w:spacing w:line="276" w:lineRule="auto"/>
        <w:jc w:val="both"/>
        <w:rPr>
          <w:rFonts w:ascii="Candara" w:eastAsia="Candara" w:hAnsi="Candara"/>
          <w:color w:val="002060"/>
          <w:sz w:val="22"/>
          <w:szCs w:val="22"/>
        </w:rPr>
      </w:pPr>
    </w:p>
    <w:p w14:paraId="4C3B0680" w14:textId="77777777" w:rsidR="00B429A1" w:rsidRPr="00BF393F" w:rsidRDefault="00B429A1" w:rsidP="00B429A1">
      <w:pPr>
        <w:pStyle w:val="ListParagraph"/>
        <w:numPr>
          <w:ilvl w:val="0"/>
          <w:numId w:val="19"/>
        </w:numPr>
        <w:adjustRightInd/>
        <w:spacing w:line="276" w:lineRule="auto"/>
        <w:ind w:left="567" w:hanging="207"/>
        <w:rPr>
          <w:rFonts w:ascii="Candara" w:eastAsia="Arial" w:hAnsi="Arial"/>
          <w:color w:val="002060"/>
        </w:rPr>
      </w:pPr>
      <w:r>
        <w:rPr>
          <w:rFonts w:ascii="Candara" w:eastAsia="Candara" w:hAnsi="Candara"/>
          <w:color w:val="002060"/>
        </w:rPr>
        <w:t xml:space="preserve">We would generally advise to carefully </w:t>
      </w:r>
      <w:r w:rsidRPr="00BF393F">
        <w:rPr>
          <w:rFonts w:ascii="Candara" w:eastAsia="Candara" w:hAnsi="Candara"/>
          <w:b/>
          <w:color w:val="002060"/>
        </w:rPr>
        <w:t>balance costs vs. benefits of the reporting and limit the</w:t>
      </w:r>
      <w:r w:rsidRPr="00BF393F">
        <w:rPr>
          <w:rFonts w:ascii="Candara" w:eastAsia="Arial" w:hAnsi="Arial"/>
          <w:b/>
          <w:color w:val="002060"/>
        </w:rPr>
        <w:t xml:space="preserve"> granularity of the information</w:t>
      </w:r>
      <w:r w:rsidRPr="00BF393F">
        <w:rPr>
          <w:rFonts w:ascii="Candara" w:eastAsia="Arial" w:hAnsi="Arial"/>
          <w:color w:val="002060"/>
        </w:rPr>
        <w:t xml:space="preserve"> to what is fundamentally necessary for further actions of competent authorities.</w:t>
      </w:r>
    </w:p>
    <w:p w14:paraId="0F752D80" w14:textId="77777777" w:rsidR="00B429A1" w:rsidRDefault="00B429A1" w:rsidP="00B429A1">
      <w:pPr>
        <w:spacing w:line="276" w:lineRule="auto"/>
        <w:ind w:left="567" w:hanging="207"/>
        <w:jc w:val="both"/>
        <w:rPr>
          <w:rFonts w:ascii="Candara" w:eastAsia="Candara" w:hAnsi="Candara"/>
          <w:color w:val="002060"/>
          <w:sz w:val="22"/>
          <w:szCs w:val="22"/>
        </w:rPr>
      </w:pPr>
    </w:p>
    <w:p w14:paraId="1D5F488A" w14:textId="77777777" w:rsidR="00B429A1" w:rsidRDefault="00B429A1" w:rsidP="00B429A1">
      <w:pPr>
        <w:pStyle w:val="ListParagraph"/>
        <w:numPr>
          <w:ilvl w:val="0"/>
          <w:numId w:val="19"/>
        </w:numPr>
        <w:adjustRightInd/>
        <w:spacing w:line="276" w:lineRule="auto"/>
        <w:ind w:left="567" w:hanging="207"/>
        <w:rPr>
          <w:rFonts w:ascii="Candara" w:eastAsia="Candara" w:hAnsi="Candara"/>
          <w:color w:val="002060"/>
        </w:rPr>
      </w:pPr>
      <w:r>
        <w:rPr>
          <w:rFonts w:ascii="Candara" w:eastAsia="Candara" w:hAnsi="Candara"/>
          <w:color w:val="002060"/>
        </w:rPr>
        <w:t xml:space="preserve"> We stress the </w:t>
      </w:r>
      <w:r w:rsidRPr="00BF393F">
        <w:rPr>
          <w:rFonts w:ascii="Candara" w:eastAsia="Candara" w:hAnsi="Candara"/>
          <w:b/>
          <w:color w:val="002060"/>
        </w:rPr>
        <w:t>fundamental importance of having more clarity on the instrument and instruction scope of the fails reporting</w:t>
      </w:r>
      <w:r>
        <w:rPr>
          <w:rFonts w:ascii="Candara" w:eastAsia="Candara" w:hAnsi="Candara"/>
          <w:color w:val="002060"/>
        </w:rPr>
        <w:t>, as well as the scope of other settlement discipline measures.</w:t>
      </w:r>
    </w:p>
    <w:p w14:paraId="6B6EA315" w14:textId="77777777" w:rsidR="00B429A1" w:rsidRDefault="00B429A1" w:rsidP="00B429A1">
      <w:pPr>
        <w:pStyle w:val="ListParagraph"/>
        <w:numPr>
          <w:ilvl w:val="0"/>
          <w:numId w:val="0"/>
        </w:numPr>
        <w:spacing w:line="276" w:lineRule="auto"/>
        <w:ind w:left="567" w:hanging="207"/>
        <w:rPr>
          <w:rFonts w:ascii="Candara" w:eastAsia="Candara" w:hAnsi="Candara"/>
          <w:color w:val="002060"/>
        </w:rPr>
      </w:pPr>
    </w:p>
    <w:p w14:paraId="0E734B60" w14:textId="77777777" w:rsidR="00B429A1" w:rsidRDefault="00B429A1" w:rsidP="00B429A1">
      <w:pPr>
        <w:pStyle w:val="ListParagraph"/>
        <w:numPr>
          <w:ilvl w:val="0"/>
          <w:numId w:val="19"/>
        </w:numPr>
        <w:adjustRightInd/>
        <w:spacing w:line="276" w:lineRule="auto"/>
        <w:ind w:left="567" w:hanging="207"/>
        <w:rPr>
          <w:rFonts w:ascii="Candara" w:eastAsia="Candara" w:hAnsi="Candara"/>
          <w:color w:val="002060"/>
        </w:rPr>
      </w:pPr>
      <w:r>
        <w:rPr>
          <w:rFonts w:ascii="Candara" w:hAnsi="Candara"/>
          <w:bCs/>
          <w:color w:val="002060"/>
        </w:rPr>
        <w:lastRenderedPageBreak/>
        <w:t xml:space="preserve">We believe that the </w:t>
      </w:r>
      <w:r w:rsidRPr="00BF393F">
        <w:rPr>
          <w:rFonts w:ascii="Candara" w:hAnsi="Candara"/>
          <w:b/>
          <w:bCs/>
          <w:color w:val="002060"/>
        </w:rPr>
        <w:t xml:space="preserve">scope of the requirements </w:t>
      </w:r>
      <w:r w:rsidRPr="009F4FBB">
        <w:rPr>
          <w:rFonts w:ascii="Candara" w:hAnsi="Candara"/>
          <w:b/>
          <w:bCs/>
          <w:color w:val="002060"/>
        </w:rPr>
        <w:t>should be limited to transactions</w:t>
      </w:r>
      <w:r w:rsidRPr="00BF393F">
        <w:rPr>
          <w:rFonts w:ascii="Candara" w:hAnsi="Candara"/>
          <w:b/>
          <w:bCs/>
          <w:color w:val="002060"/>
        </w:rPr>
        <w:t xml:space="preserve"> in financial instruments which the parties settle in an EU CSD.</w:t>
      </w:r>
      <w:r>
        <w:rPr>
          <w:rFonts w:ascii="Candara" w:hAnsi="Candara"/>
          <w:bCs/>
          <w:color w:val="002060"/>
        </w:rPr>
        <w:t xml:space="preserve"> Hence, t</w:t>
      </w:r>
      <w:r>
        <w:rPr>
          <w:rFonts w:ascii="Candara" w:eastAsia="Candara" w:hAnsi="Candara"/>
          <w:color w:val="002060"/>
        </w:rPr>
        <w:t>ransactions where the actual place of settlement is outside of an EU CSD should be considered as out of scope of the reporting by EU (Investor-)CSDs.</w:t>
      </w:r>
    </w:p>
    <w:p w14:paraId="781F6755" w14:textId="77777777" w:rsidR="00B429A1" w:rsidRDefault="00B429A1" w:rsidP="00B429A1">
      <w:pPr>
        <w:pStyle w:val="ListParagraph"/>
        <w:numPr>
          <w:ilvl w:val="0"/>
          <w:numId w:val="0"/>
        </w:numPr>
        <w:spacing w:line="276" w:lineRule="auto"/>
        <w:ind w:left="720"/>
        <w:rPr>
          <w:rFonts w:ascii="Candara" w:eastAsia="Candara" w:hAnsi="Candara"/>
          <w:color w:val="002060"/>
        </w:rPr>
      </w:pPr>
    </w:p>
    <w:p w14:paraId="67CC1054" w14:textId="77777777" w:rsidR="00B429A1" w:rsidRDefault="00B429A1" w:rsidP="00B429A1">
      <w:pPr>
        <w:pStyle w:val="ListParagraph"/>
        <w:numPr>
          <w:ilvl w:val="0"/>
          <w:numId w:val="19"/>
        </w:numPr>
        <w:adjustRightInd/>
        <w:spacing w:line="276" w:lineRule="auto"/>
        <w:ind w:left="567" w:hanging="207"/>
        <w:rPr>
          <w:rFonts w:ascii="Candara" w:eastAsia="Candara" w:hAnsi="Candara"/>
          <w:color w:val="002060"/>
        </w:rPr>
      </w:pPr>
      <w:r w:rsidRPr="00BF393F">
        <w:rPr>
          <w:rFonts w:ascii="Candara" w:eastAsia="Candara" w:hAnsi="Candara"/>
          <w:b/>
          <w:color w:val="002060"/>
        </w:rPr>
        <w:t>We would kindly ask for providing the definition of the ISO 20022 or XML message</w:t>
      </w:r>
      <w:r>
        <w:rPr>
          <w:rFonts w:ascii="Candara" w:eastAsia="Candara" w:hAnsi="Candara"/>
          <w:color w:val="002060"/>
        </w:rPr>
        <w:t xml:space="preserve"> (draft) format to be used for reporting, as soon as possible and ahead of the issuance of the final version of these guidelines. Else, we fear that the timely compliance with the guidelines would be at risk.</w:t>
      </w:r>
    </w:p>
    <w:p w14:paraId="1A9B4873" w14:textId="77777777" w:rsidR="00B429A1" w:rsidRDefault="00B429A1" w:rsidP="00B429A1">
      <w:pPr>
        <w:spacing w:line="276" w:lineRule="auto"/>
        <w:jc w:val="both"/>
        <w:rPr>
          <w:rFonts w:ascii="Candara" w:eastAsia="Candara" w:hAnsi="Candara"/>
          <w:b/>
          <w:color w:val="002060"/>
          <w:sz w:val="22"/>
          <w:szCs w:val="22"/>
        </w:rPr>
      </w:pPr>
    </w:p>
    <w:p w14:paraId="523726C3" w14:textId="77777777" w:rsidR="00B429A1" w:rsidRDefault="00B429A1" w:rsidP="00B429A1">
      <w:pPr>
        <w:spacing w:line="276" w:lineRule="auto"/>
        <w:jc w:val="both"/>
        <w:rPr>
          <w:rFonts w:ascii="Candara" w:eastAsia="Candara" w:hAnsi="Candara"/>
          <w:b/>
          <w:color w:val="002060"/>
          <w:sz w:val="22"/>
          <w:szCs w:val="22"/>
        </w:rPr>
      </w:pPr>
      <w:r>
        <w:rPr>
          <w:rFonts w:ascii="Candara" w:eastAsia="Candara" w:hAnsi="Candara"/>
          <w:b/>
          <w:color w:val="002060"/>
          <w:sz w:val="22"/>
          <w:szCs w:val="22"/>
        </w:rPr>
        <w:t>Complementary reflections to issues covered in the consultation</w:t>
      </w:r>
    </w:p>
    <w:p w14:paraId="28D6EF84" w14:textId="77777777" w:rsidR="00B429A1" w:rsidRDefault="00B429A1" w:rsidP="00B429A1">
      <w:pPr>
        <w:spacing w:line="276" w:lineRule="auto"/>
        <w:jc w:val="both"/>
        <w:rPr>
          <w:rFonts w:ascii="Candara" w:eastAsia="Candara" w:hAnsi="Candara"/>
          <w:color w:val="002060"/>
          <w:sz w:val="22"/>
          <w:szCs w:val="22"/>
        </w:rPr>
      </w:pPr>
    </w:p>
    <w:p w14:paraId="58AF6B46" w14:textId="77777777" w:rsidR="00B429A1" w:rsidRDefault="00B429A1" w:rsidP="00B429A1">
      <w:pPr>
        <w:pStyle w:val="ListParagraph"/>
        <w:numPr>
          <w:ilvl w:val="0"/>
          <w:numId w:val="16"/>
        </w:numPr>
        <w:tabs>
          <w:tab w:val="clear" w:pos="0"/>
        </w:tabs>
        <w:adjustRightInd/>
        <w:spacing w:line="276" w:lineRule="auto"/>
        <w:ind w:left="567" w:firstLine="0"/>
        <w:rPr>
          <w:rFonts w:ascii="Candara" w:eastAsia="Candara" w:hAnsi="Candara"/>
          <w:color w:val="002060"/>
        </w:rPr>
      </w:pPr>
      <w:r>
        <w:rPr>
          <w:rFonts w:ascii="Candara" w:eastAsia="Candara" w:hAnsi="Candara"/>
          <w:color w:val="002060"/>
        </w:rPr>
        <w:t xml:space="preserve">Under CSDR, CSDs are required to report Settlement Fails to competent authorities on a monthly and annual basis. At the same time, Article 14 of Regulation 2018/1229 specifies that CSDs shall report more frequently, if requested by competent authority. The delegated regulation, therefore, allows requests for additional information. </w:t>
      </w:r>
    </w:p>
    <w:p w14:paraId="5CB351D7" w14:textId="77777777" w:rsidR="00B429A1" w:rsidRDefault="00B429A1" w:rsidP="00B429A1">
      <w:pPr>
        <w:spacing w:line="276" w:lineRule="auto"/>
        <w:ind w:left="567"/>
        <w:jc w:val="both"/>
        <w:rPr>
          <w:rFonts w:ascii="Candara" w:eastAsia="Candara" w:hAnsi="Candara"/>
          <w:color w:val="002060"/>
          <w:sz w:val="22"/>
          <w:szCs w:val="22"/>
        </w:rPr>
      </w:pPr>
    </w:p>
    <w:p w14:paraId="66579725" w14:textId="77777777" w:rsidR="00B429A1" w:rsidRDefault="00B429A1" w:rsidP="00B429A1">
      <w:pPr>
        <w:spacing w:line="276" w:lineRule="auto"/>
        <w:ind w:left="567"/>
        <w:jc w:val="both"/>
        <w:rPr>
          <w:rFonts w:ascii="Candara" w:eastAsia="Candara" w:hAnsi="Candara"/>
          <w:color w:val="002060"/>
          <w:sz w:val="22"/>
          <w:szCs w:val="22"/>
        </w:rPr>
      </w:pPr>
      <w:r w:rsidRPr="00BF393F">
        <w:rPr>
          <w:rFonts w:ascii="Candara" w:eastAsia="Candara" w:hAnsi="Candara"/>
          <w:b/>
          <w:color w:val="002060"/>
          <w:sz w:val="22"/>
          <w:szCs w:val="22"/>
        </w:rPr>
        <w:t>We would, hence, appreciate more clarity on the process for such ad-hoc requests</w:t>
      </w:r>
      <w:r>
        <w:rPr>
          <w:rFonts w:ascii="Candara" w:eastAsia="Candara" w:hAnsi="Candara"/>
          <w:color w:val="002060"/>
          <w:sz w:val="22"/>
          <w:szCs w:val="22"/>
        </w:rPr>
        <w:t>. For example:</w:t>
      </w:r>
    </w:p>
    <w:p w14:paraId="494E51D0" w14:textId="77777777" w:rsidR="00B429A1" w:rsidRDefault="00B429A1" w:rsidP="00B429A1">
      <w:pPr>
        <w:pStyle w:val="ListParagraph"/>
        <w:numPr>
          <w:ilvl w:val="0"/>
          <w:numId w:val="17"/>
        </w:numPr>
        <w:tabs>
          <w:tab w:val="clear" w:pos="0"/>
          <w:tab w:val="clear" w:pos="567"/>
          <w:tab w:val="clear" w:pos="720"/>
          <w:tab w:val="left" w:pos="851"/>
        </w:tabs>
        <w:adjustRightInd/>
        <w:spacing w:line="276" w:lineRule="auto"/>
        <w:ind w:left="567" w:firstLine="0"/>
        <w:rPr>
          <w:rFonts w:ascii="Candara" w:eastAsia="Candara" w:hAnsi="Candara"/>
          <w:color w:val="002060"/>
        </w:rPr>
      </w:pPr>
      <w:r>
        <w:rPr>
          <w:rFonts w:ascii="Candara" w:eastAsia="Candara" w:hAnsi="Candara"/>
          <w:color w:val="002060"/>
        </w:rPr>
        <w:t>if these requests would be made on a regular basis, or if they can rather be made on a case-by-case basis or both; and</w:t>
      </w:r>
    </w:p>
    <w:p w14:paraId="5CA57D90" w14:textId="77777777" w:rsidR="00B429A1" w:rsidRDefault="00B429A1" w:rsidP="00B429A1">
      <w:pPr>
        <w:pStyle w:val="ListParagraph"/>
        <w:numPr>
          <w:ilvl w:val="0"/>
          <w:numId w:val="17"/>
        </w:numPr>
        <w:tabs>
          <w:tab w:val="clear" w:pos="0"/>
          <w:tab w:val="clear" w:pos="567"/>
          <w:tab w:val="clear" w:pos="720"/>
          <w:tab w:val="left" w:pos="851"/>
        </w:tabs>
        <w:adjustRightInd/>
        <w:spacing w:line="276" w:lineRule="auto"/>
        <w:ind w:left="567" w:firstLine="0"/>
        <w:rPr>
          <w:rFonts w:ascii="Candara" w:eastAsia="Candara" w:hAnsi="Candara"/>
          <w:color w:val="002060"/>
        </w:rPr>
      </w:pPr>
      <w:r>
        <w:rPr>
          <w:rFonts w:ascii="Candara" w:eastAsia="Candara" w:hAnsi="Candara"/>
          <w:color w:val="002060"/>
        </w:rPr>
        <w:t>if, based on Recital 14 of Regulation 2018/1229</w:t>
      </w:r>
      <w:r>
        <w:rPr>
          <w:rStyle w:val="FootnoteReference"/>
          <w:rFonts w:ascii="Candara" w:eastAsia="Candara" w:hAnsi="Candara"/>
          <w:color w:val="002060"/>
          <w:sz w:val="22"/>
        </w:rPr>
        <w:footnoteReference w:id="4"/>
      </w:r>
      <w:r>
        <w:rPr>
          <w:rFonts w:ascii="Candara" w:eastAsia="Candara" w:hAnsi="Candara"/>
          <w:color w:val="002060"/>
        </w:rPr>
        <w:t xml:space="preserve">, CSDs would be given explanations on the reasons of the ad-hoc requests.  </w:t>
      </w:r>
    </w:p>
    <w:p w14:paraId="53CEF7D2" w14:textId="77777777" w:rsidR="00B429A1" w:rsidRDefault="00B429A1" w:rsidP="00B429A1">
      <w:pPr>
        <w:spacing w:line="276" w:lineRule="auto"/>
        <w:ind w:left="567"/>
        <w:jc w:val="both"/>
        <w:rPr>
          <w:rFonts w:ascii="Candara" w:eastAsia="Candara" w:hAnsi="Candara"/>
          <w:color w:val="002060"/>
          <w:sz w:val="22"/>
          <w:szCs w:val="22"/>
        </w:rPr>
      </w:pPr>
    </w:p>
    <w:p w14:paraId="46060C74" w14:textId="77777777" w:rsidR="00B429A1" w:rsidRDefault="00B429A1" w:rsidP="00B429A1">
      <w:pPr>
        <w:pStyle w:val="ListParagraph"/>
        <w:numPr>
          <w:ilvl w:val="0"/>
          <w:numId w:val="16"/>
        </w:numPr>
        <w:tabs>
          <w:tab w:val="clear" w:pos="0"/>
        </w:tabs>
        <w:adjustRightInd/>
        <w:spacing w:line="276" w:lineRule="auto"/>
        <w:ind w:left="567" w:firstLine="0"/>
        <w:rPr>
          <w:rFonts w:ascii="Candara" w:eastAsia="Candara" w:hAnsi="Candara"/>
          <w:color w:val="002060"/>
        </w:rPr>
      </w:pPr>
      <w:r>
        <w:rPr>
          <w:rFonts w:ascii="Candara" w:eastAsia="Candara" w:hAnsi="Candara"/>
          <w:color w:val="002060"/>
        </w:rPr>
        <w:t xml:space="preserve">Under the draft Guidelines, additional information could be compared to provisions on ad-hoc requests in article 14 of Regulation 2018/1229. For example, this is relevant in relation to “Guideline 2”, where CSDs are requested </w:t>
      </w:r>
      <w:r w:rsidRPr="00BF393F">
        <w:rPr>
          <w:rFonts w:ascii="Candara" w:eastAsia="Candara" w:hAnsi="Candara"/>
          <w:b/>
          <w:color w:val="002060"/>
        </w:rPr>
        <w:t xml:space="preserve">to report settlement fails data, broken down according to the liquidity of the financial instruments and whether the settlement instructions and settlement fails relate to transactions executed on an SME growth market. This level of specification goes beyond the regulation and, therefore, represent additional requirements. </w:t>
      </w:r>
      <w:r>
        <w:rPr>
          <w:rFonts w:ascii="Candara" w:eastAsia="Candara" w:hAnsi="Candara"/>
          <w:color w:val="002060"/>
        </w:rPr>
        <w:t>We see that this additional information comes on top of requirements already present in Level I and II rules, and hence</w:t>
      </w:r>
      <w:r w:rsidRPr="009F4FBB">
        <w:rPr>
          <w:rFonts w:ascii="Candara" w:eastAsia="Candara" w:hAnsi="Candara"/>
          <w:color w:val="002060"/>
        </w:rPr>
        <w:t xml:space="preserve"> </w:t>
      </w:r>
      <w:r>
        <w:rPr>
          <w:rFonts w:ascii="Candara" w:eastAsia="Candara" w:hAnsi="Candara"/>
          <w:color w:val="002060"/>
        </w:rPr>
        <w:t xml:space="preserve">would much appreciate the authorities to consider if this information is fundamentally needed in this context and if </w:t>
      </w:r>
      <w:proofErr w:type="gramStart"/>
      <w:r>
        <w:rPr>
          <w:rFonts w:ascii="Candara" w:eastAsia="Candara" w:hAnsi="Candara"/>
          <w:color w:val="002060"/>
        </w:rPr>
        <w:t>so</w:t>
      </w:r>
      <w:proofErr w:type="gramEnd"/>
      <w:r>
        <w:rPr>
          <w:rFonts w:ascii="Candara" w:eastAsia="Candara" w:hAnsi="Candara"/>
          <w:color w:val="002060"/>
        </w:rPr>
        <w:t xml:space="preserve"> could they provide an explanation with regard to the reasons for this request.</w:t>
      </w:r>
    </w:p>
    <w:p w14:paraId="71189DD2" w14:textId="77777777" w:rsidR="00B429A1" w:rsidRDefault="00B429A1" w:rsidP="00B429A1">
      <w:pPr>
        <w:tabs>
          <w:tab w:val="left" w:pos="284"/>
        </w:tabs>
        <w:spacing w:line="276" w:lineRule="auto"/>
        <w:ind w:left="567"/>
        <w:jc w:val="both"/>
        <w:rPr>
          <w:rFonts w:ascii="Candara" w:eastAsia="Candara" w:hAnsi="Candara"/>
          <w:color w:val="002060"/>
          <w:sz w:val="22"/>
          <w:szCs w:val="22"/>
          <w:highlight w:val="yellow"/>
        </w:rPr>
      </w:pPr>
    </w:p>
    <w:p w14:paraId="586B7FC4" w14:textId="77777777" w:rsidR="00B429A1" w:rsidRDefault="00B429A1" w:rsidP="00B429A1">
      <w:pPr>
        <w:pStyle w:val="ListParagraph"/>
        <w:numPr>
          <w:ilvl w:val="0"/>
          <w:numId w:val="16"/>
        </w:numPr>
        <w:tabs>
          <w:tab w:val="clear" w:pos="0"/>
        </w:tabs>
        <w:adjustRightInd/>
        <w:spacing w:line="276" w:lineRule="auto"/>
        <w:ind w:left="567" w:firstLine="0"/>
        <w:rPr>
          <w:rFonts w:ascii="Candara" w:eastAsia="Candara" w:hAnsi="Candara"/>
          <w:color w:val="002060"/>
        </w:rPr>
      </w:pPr>
      <w:r>
        <w:rPr>
          <w:rFonts w:ascii="Candara" w:eastAsia="Candara" w:hAnsi="Candara"/>
          <w:color w:val="002060"/>
        </w:rPr>
        <w:t xml:space="preserve">We would kindly ask ESMA to confirm </w:t>
      </w:r>
      <w:r w:rsidRPr="00BF393F">
        <w:rPr>
          <w:rFonts w:ascii="Candara" w:eastAsia="Candara" w:hAnsi="Candara"/>
          <w:b/>
          <w:color w:val="002060"/>
        </w:rPr>
        <w:t xml:space="preserve">if the Guidelines on settlement fails reporting are intended to </w:t>
      </w:r>
      <w:proofErr w:type="gramStart"/>
      <w:r w:rsidRPr="00BF393F">
        <w:rPr>
          <w:rFonts w:ascii="Candara" w:eastAsia="Candara" w:hAnsi="Candara"/>
          <w:b/>
          <w:color w:val="002060"/>
        </w:rPr>
        <w:t>be  aligned</w:t>
      </w:r>
      <w:proofErr w:type="gramEnd"/>
      <w:r w:rsidRPr="00BF393F">
        <w:rPr>
          <w:rFonts w:ascii="Candara" w:eastAsia="Candara" w:hAnsi="Candara"/>
          <w:b/>
          <w:color w:val="002060"/>
        </w:rPr>
        <w:t xml:space="preserve"> with all key aspects of the Settlement Discipline Regime</w:t>
      </w:r>
      <w:r>
        <w:rPr>
          <w:rFonts w:ascii="Candara" w:eastAsia="Candara" w:hAnsi="Candara"/>
          <w:color w:val="002060"/>
        </w:rPr>
        <w:t xml:space="preserve">, being: </w:t>
      </w:r>
    </w:p>
    <w:p w14:paraId="2F11736C" w14:textId="77777777" w:rsidR="00B429A1" w:rsidRDefault="00B429A1" w:rsidP="00B429A1">
      <w:pPr>
        <w:pStyle w:val="ListParagraph"/>
        <w:numPr>
          <w:ilvl w:val="0"/>
          <w:numId w:val="15"/>
        </w:numPr>
        <w:tabs>
          <w:tab w:val="clear" w:pos="0"/>
          <w:tab w:val="clear" w:pos="567"/>
          <w:tab w:val="left" w:pos="851"/>
        </w:tabs>
        <w:adjustRightInd/>
        <w:spacing w:line="276" w:lineRule="auto"/>
        <w:ind w:left="567" w:firstLine="0"/>
        <w:rPr>
          <w:rFonts w:ascii="Candara" w:eastAsia="Candara" w:hAnsi="Candara"/>
          <w:color w:val="002060"/>
        </w:rPr>
      </w:pPr>
      <w:r>
        <w:rPr>
          <w:rFonts w:ascii="Candara" w:eastAsia="Candara" w:hAnsi="Candara"/>
          <w:color w:val="002060"/>
        </w:rPr>
        <w:t>Settlement fails monitoring and reporting,</w:t>
      </w:r>
    </w:p>
    <w:p w14:paraId="4B85BB51" w14:textId="77777777" w:rsidR="00B429A1" w:rsidRDefault="00B429A1" w:rsidP="00B429A1">
      <w:pPr>
        <w:pStyle w:val="ListParagraph"/>
        <w:numPr>
          <w:ilvl w:val="0"/>
          <w:numId w:val="15"/>
        </w:numPr>
        <w:tabs>
          <w:tab w:val="clear" w:pos="0"/>
          <w:tab w:val="clear" w:pos="567"/>
          <w:tab w:val="left" w:pos="851"/>
        </w:tabs>
        <w:adjustRightInd/>
        <w:spacing w:line="276" w:lineRule="auto"/>
        <w:ind w:left="567" w:firstLine="0"/>
        <w:rPr>
          <w:rFonts w:ascii="Candara" w:eastAsia="Candara" w:hAnsi="Candara"/>
          <w:color w:val="002060"/>
        </w:rPr>
      </w:pPr>
      <w:r>
        <w:rPr>
          <w:rFonts w:ascii="Candara" w:eastAsia="Candara" w:hAnsi="Candara"/>
          <w:color w:val="002060"/>
        </w:rPr>
        <w:t>Settlement penalties and</w:t>
      </w:r>
    </w:p>
    <w:p w14:paraId="646FFE65" w14:textId="77777777" w:rsidR="00B429A1" w:rsidRDefault="00B429A1" w:rsidP="00B429A1">
      <w:pPr>
        <w:pStyle w:val="ListParagraph"/>
        <w:numPr>
          <w:ilvl w:val="0"/>
          <w:numId w:val="15"/>
        </w:numPr>
        <w:tabs>
          <w:tab w:val="clear" w:pos="0"/>
          <w:tab w:val="clear" w:pos="567"/>
          <w:tab w:val="left" w:pos="851"/>
        </w:tabs>
        <w:adjustRightInd/>
        <w:spacing w:line="276" w:lineRule="auto"/>
        <w:ind w:left="567" w:firstLine="0"/>
        <w:rPr>
          <w:rFonts w:ascii="Candara" w:eastAsia="Candara" w:hAnsi="Candara"/>
          <w:color w:val="002060"/>
        </w:rPr>
      </w:pPr>
      <w:r>
        <w:rPr>
          <w:rFonts w:ascii="Candara" w:eastAsia="Candara" w:hAnsi="Candara"/>
          <w:color w:val="002060"/>
        </w:rPr>
        <w:t>Buy-ins.</w:t>
      </w:r>
    </w:p>
    <w:p w14:paraId="377F5F14" w14:textId="77777777" w:rsidR="00B429A1" w:rsidRDefault="00B429A1" w:rsidP="00B429A1">
      <w:pPr>
        <w:spacing w:line="276" w:lineRule="auto"/>
        <w:ind w:left="567"/>
        <w:rPr>
          <w:rFonts w:ascii="Candara" w:eastAsia="Candara" w:hAnsi="Candara"/>
          <w:color w:val="002060"/>
          <w:sz w:val="22"/>
          <w:szCs w:val="22"/>
        </w:rPr>
      </w:pPr>
      <w:r>
        <w:rPr>
          <w:rFonts w:ascii="Candara" w:eastAsia="Candara" w:hAnsi="Candara"/>
          <w:color w:val="002060"/>
          <w:sz w:val="22"/>
          <w:szCs w:val="22"/>
        </w:rPr>
        <w:lastRenderedPageBreak/>
        <w:t>This specifically refers to the scope of financial instruments (covering only ISINs relevant under MIFID II/ R or all ISINs that are eligible for settlement in the reporting CSD(?)) to be considered in the reports.</w:t>
      </w:r>
    </w:p>
    <w:p w14:paraId="2C6F5BCE" w14:textId="77777777" w:rsidR="00B429A1" w:rsidRDefault="00B429A1" w:rsidP="00B429A1">
      <w:pPr>
        <w:spacing w:line="276" w:lineRule="auto"/>
        <w:ind w:left="567"/>
        <w:rPr>
          <w:rFonts w:ascii="Candara" w:eastAsia="Candara" w:hAnsi="Candara"/>
          <w:color w:val="002060"/>
          <w:sz w:val="22"/>
          <w:szCs w:val="22"/>
        </w:rPr>
      </w:pPr>
    </w:p>
    <w:p w14:paraId="4721C9FF" w14:textId="77777777" w:rsidR="00B429A1" w:rsidRDefault="00B429A1" w:rsidP="00B429A1">
      <w:pPr>
        <w:spacing w:line="276" w:lineRule="auto"/>
        <w:ind w:left="567"/>
        <w:rPr>
          <w:rFonts w:ascii="Candara" w:eastAsia="Candara" w:hAnsi="Candara"/>
          <w:color w:val="002060"/>
          <w:sz w:val="22"/>
          <w:szCs w:val="22"/>
        </w:rPr>
      </w:pPr>
      <w:r>
        <w:rPr>
          <w:rFonts w:ascii="Candara" w:eastAsia="Candara" w:hAnsi="Candara"/>
          <w:color w:val="002060"/>
          <w:sz w:val="22"/>
          <w:szCs w:val="22"/>
        </w:rPr>
        <w:t xml:space="preserve">In order to reach consistency among the various aspects of the Settlement Discipline Regime, we would advise to bring </w:t>
      </w:r>
      <w:r w:rsidRPr="00BF393F">
        <w:rPr>
          <w:rFonts w:ascii="Candara" w:eastAsia="Candara" w:hAnsi="Candara"/>
          <w:b/>
          <w:color w:val="002060"/>
          <w:sz w:val="22"/>
          <w:szCs w:val="22"/>
        </w:rPr>
        <w:t>the timings of reporting closer for all aspects</w:t>
      </w:r>
      <w:r>
        <w:rPr>
          <w:rFonts w:ascii="Candara" w:eastAsia="Candara" w:hAnsi="Candara"/>
          <w:color w:val="002060"/>
          <w:sz w:val="22"/>
          <w:szCs w:val="22"/>
        </w:rPr>
        <w:t xml:space="preserve">. </w:t>
      </w:r>
    </w:p>
    <w:p w14:paraId="764F2582" w14:textId="77777777" w:rsidR="00B429A1" w:rsidRPr="009F4FBB" w:rsidRDefault="00B429A1" w:rsidP="00B429A1">
      <w:pPr>
        <w:pStyle w:val="ListParagraph"/>
        <w:numPr>
          <w:ilvl w:val="0"/>
          <w:numId w:val="20"/>
        </w:numPr>
        <w:adjustRightInd/>
        <w:spacing w:line="276" w:lineRule="auto"/>
        <w:rPr>
          <w:rFonts w:ascii="Candara" w:eastAsia="Candara" w:hAnsi="Candara"/>
          <w:color w:val="002060"/>
        </w:rPr>
      </w:pPr>
      <w:r w:rsidRPr="00BF393F">
        <w:rPr>
          <w:rFonts w:ascii="Candara" w:eastAsia="Candara" w:hAnsi="Candara"/>
          <w:color w:val="002060"/>
        </w:rPr>
        <w:t xml:space="preserve">One example of this lack of consistency is the </w:t>
      </w:r>
      <w:r w:rsidRPr="00BF393F">
        <w:rPr>
          <w:rFonts w:ascii="Candara" w:eastAsia="Candara" w:hAnsi="Candara"/>
          <w:color w:val="002060"/>
          <w:u w:val="single"/>
        </w:rPr>
        <w:t>timing of monthly reporting</w:t>
      </w:r>
      <w:r w:rsidRPr="00BF393F">
        <w:rPr>
          <w:rFonts w:ascii="Candara" w:eastAsia="Candara" w:hAnsi="Candara"/>
          <w:color w:val="002060"/>
        </w:rPr>
        <w:t>: the reporting on Settlement fails is expected to be sent on the 5</w:t>
      </w:r>
      <w:r w:rsidRPr="00BF393F">
        <w:rPr>
          <w:rFonts w:ascii="Candara" w:eastAsia="Candara" w:hAnsi="Candara"/>
          <w:color w:val="002060"/>
          <w:vertAlign w:val="superscript"/>
        </w:rPr>
        <w:t>th</w:t>
      </w:r>
      <w:r w:rsidRPr="00BF393F">
        <w:rPr>
          <w:rFonts w:ascii="Candara" w:eastAsia="Candara" w:hAnsi="Candara"/>
          <w:color w:val="002060"/>
        </w:rPr>
        <w:t xml:space="preserve"> business day of the following month, with two fields indicating the number and value of the penalties. On the other hand, the reporting on the penalties amounts collected and redistributed by CSDs will only be available on the 14</w:t>
      </w:r>
      <w:r w:rsidRPr="00BF393F">
        <w:rPr>
          <w:rFonts w:ascii="Candara" w:eastAsia="Candara" w:hAnsi="Candara"/>
          <w:color w:val="002060"/>
          <w:vertAlign w:val="superscript"/>
        </w:rPr>
        <w:t>th</w:t>
      </w:r>
      <w:r w:rsidRPr="00BF393F">
        <w:rPr>
          <w:rFonts w:ascii="Candara" w:eastAsia="Candara" w:hAnsi="Candara"/>
          <w:color w:val="002060"/>
        </w:rPr>
        <w:t xml:space="preserve"> business day of the following month. Hence, the final penalties amounts will not be available on the 5</w:t>
      </w:r>
      <w:r w:rsidRPr="00BF393F">
        <w:rPr>
          <w:rFonts w:ascii="Candara" w:eastAsia="Candara" w:hAnsi="Candara"/>
          <w:color w:val="002060"/>
          <w:vertAlign w:val="superscript"/>
        </w:rPr>
        <w:t>th</w:t>
      </w:r>
      <w:r w:rsidRPr="00BF393F">
        <w:rPr>
          <w:rFonts w:ascii="Candara" w:eastAsia="Candara" w:hAnsi="Candara"/>
          <w:color w:val="002060"/>
        </w:rPr>
        <w:t xml:space="preserve"> business day. Having a gap between both reports might lead to deviations. </w:t>
      </w:r>
    </w:p>
    <w:p w14:paraId="555EDF51" w14:textId="77777777" w:rsidR="00B429A1" w:rsidRPr="00BF393F" w:rsidRDefault="00B429A1" w:rsidP="00B429A1">
      <w:pPr>
        <w:pStyle w:val="ListParagraph"/>
        <w:numPr>
          <w:ilvl w:val="0"/>
          <w:numId w:val="20"/>
        </w:numPr>
        <w:adjustRightInd/>
        <w:spacing w:line="276" w:lineRule="auto"/>
        <w:rPr>
          <w:rFonts w:ascii="Candara" w:hAnsi="Candara"/>
          <w:color w:val="002060"/>
        </w:rPr>
      </w:pPr>
      <w:r w:rsidRPr="00BF393F">
        <w:rPr>
          <w:rFonts w:ascii="Candara" w:eastAsia="Candara" w:hAnsi="Candara"/>
          <w:color w:val="002060"/>
        </w:rPr>
        <w:t xml:space="preserve">This is also valid for the yearly reporting, and the reporting to be made public on the CSDs website.  </w:t>
      </w:r>
      <w:r w:rsidRPr="00BF393F">
        <w:rPr>
          <w:rFonts w:ascii="Candara" w:hAnsi="Candara"/>
          <w:color w:val="002060"/>
        </w:rPr>
        <w:t>It shall also be clarified whether these guidelines apply as well to the CSDs´ reporting to be made public on the CSDs website.</w:t>
      </w:r>
    </w:p>
    <w:p w14:paraId="33AA0044" w14:textId="77777777" w:rsidR="00B429A1" w:rsidRDefault="00B429A1" w:rsidP="00B429A1">
      <w:pPr>
        <w:pStyle w:val="ListParagraph"/>
        <w:numPr>
          <w:ilvl w:val="0"/>
          <w:numId w:val="0"/>
        </w:numPr>
        <w:spacing w:line="276" w:lineRule="auto"/>
        <w:ind w:left="720"/>
      </w:pPr>
    </w:p>
    <w:p w14:paraId="1BD90261" w14:textId="77777777" w:rsidR="00B429A1" w:rsidRPr="00BF393F" w:rsidRDefault="00B429A1" w:rsidP="00B429A1">
      <w:pPr>
        <w:pStyle w:val="ListParagraph"/>
        <w:numPr>
          <w:ilvl w:val="0"/>
          <w:numId w:val="16"/>
        </w:numPr>
        <w:tabs>
          <w:tab w:val="clear" w:pos="0"/>
        </w:tabs>
        <w:adjustRightInd/>
        <w:spacing w:line="276" w:lineRule="auto"/>
        <w:ind w:left="567" w:firstLine="0"/>
        <w:rPr>
          <w:rFonts w:ascii="Candara" w:hAnsi="Candara"/>
          <w:color w:val="002060"/>
        </w:rPr>
      </w:pPr>
      <w:r>
        <w:rPr>
          <w:rFonts w:ascii="Candara" w:eastAsia="Candara" w:hAnsi="Candara"/>
          <w:color w:val="002060"/>
        </w:rPr>
        <w:t xml:space="preserve"> </w:t>
      </w:r>
      <w:r w:rsidRPr="00BF393F">
        <w:rPr>
          <w:rFonts w:ascii="Candara" w:eastAsia="Candara" w:hAnsi="Candara"/>
          <w:color w:val="002060"/>
        </w:rPr>
        <w:t xml:space="preserve">Finally, we kindly request ESMA to clarify </w:t>
      </w:r>
      <w:r w:rsidRPr="00BF393F">
        <w:rPr>
          <w:rFonts w:ascii="Candara" w:eastAsia="Candara" w:hAnsi="Candara"/>
          <w:b/>
          <w:color w:val="002060"/>
        </w:rPr>
        <w:t>whether instructions that are failing as they are put “on hold” are to be considered in the reporting and under which fail reason</w:t>
      </w:r>
      <w:r w:rsidRPr="00BF393F">
        <w:rPr>
          <w:rFonts w:ascii="Candara" w:eastAsia="Candara" w:hAnsi="Candara"/>
          <w:color w:val="002060"/>
        </w:rPr>
        <w:t xml:space="preserve"> (proposal: “lack of cash” when the receiving instruction is on hold, “lack of securities” when the delivering instruction is on hold).</w:t>
      </w:r>
    </w:p>
    <w:permEnd w:id="885457707"/>
    <w:p w14:paraId="15D00E65" w14:textId="3BD4446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Pr>
          <w:rFonts w:asciiTheme="minorHAnsi" w:eastAsiaTheme="minorEastAsia" w:hAnsiTheme="minorHAnsi" w:cs="Arial"/>
          <w:sz w:val="22"/>
          <w:szCs w:val="20"/>
          <w:lang w:eastAsia="en-US"/>
        </w:rPr>
        <w:t>SFR</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63E32BA1" w:rsidR="00C1698A" w:rsidRP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103F3C64" w14:textId="77777777" w:rsidR="00C85C8B" w:rsidRPr="00B0053A" w:rsidRDefault="00C85C8B" w:rsidP="00C85C8B">
      <w:pPr>
        <w:pStyle w:val="Questionstyle"/>
        <w:numPr>
          <w:ilvl w:val="0"/>
          <w:numId w:val="13"/>
        </w:numPr>
        <w:spacing w:after="250" w:line="276" w:lineRule="auto"/>
        <w:ind w:left="360"/>
      </w:pPr>
      <w:r w:rsidRPr="00B0053A">
        <w:t>: Do you have any comments or suggestions regarding the financial instruments which should be covered by the reports on settlement fails? Please provide arguments supporting your comments and suggestions.</w:t>
      </w:r>
    </w:p>
    <w:p w14:paraId="64FC8026" w14:textId="77777777" w:rsidR="00C85C8B" w:rsidRDefault="00C85C8B" w:rsidP="00C85C8B">
      <w:pPr>
        <w:rPr>
          <w:rFonts w:ascii="Arial" w:hAnsi="Arial" w:cs="Arial"/>
        </w:rPr>
      </w:pPr>
      <w:r>
        <w:rPr>
          <w:rFonts w:ascii="Arial" w:hAnsi="Arial" w:cs="Arial"/>
        </w:rPr>
        <w:t>&lt;ESMA_QUESTION_SFR_1&gt;</w:t>
      </w:r>
    </w:p>
    <w:p w14:paraId="1E61DE67" w14:textId="77777777" w:rsidR="000E39C8" w:rsidRDefault="000E39C8" w:rsidP="000E39C8">
      <w:pPr>
        <w:spacing w:line="276" w:lineRule="auto"/>
        <w:jc w:val="both"/>
        <w:rPr>
          <w:rFonts w:ascii="Candara" w:eastAsia="Candara" w:hAnsi="Candara"/>
          <w:color w:val="002060"/>
          <w:sz w:val="22"/>
          <w:szCs w:val="22"/>
        </w:rPr>
      </w:pPr>
      <w:permStart w:id="360518477" w:edGrp="everyone"/>
      <w:r>
        <w:rPr>
          <w:rFonts w:ascii="Candara" w:eastAsia="Candara" w:hAnsi="Candara"/>
          <w:color w:val="002060"/>
          <w:sz w:val="22"/>
          <w:szCs w:val="22"/>
        </w:rPr>
        <w:t xml:space="preserve">We would much appreciate to understand if the scope of instruments is intentionally broader than the one of other settlement discipline measures (i.e. penalties and buy-ins). </w:t>
      </w:r>
    </w:p>
    <w:p w14:paraId="2B9DC7FF" w14:textId="77777777" w:rsidR="000E39C8" w:rsidRDefault="000E39C8" w:rsidP="000E39C8">
      <w:pPr>
        <w:spacing w:line="276" w:lineRule="auto"/>
        <w:jc w:val="both"/>
        <w:rPr>
          <w:rFonts w:ascii="Candara" w:eastAsia="Candara" w:hAnsi="Candara"/>
          <w:color w:val="002060"/>
          <w:sz w:val="22"/>
          <w:szCs w:val="22"/>
        </w:rPr>
      </w:pPr>
    </w:p>
    <w:p w14:paraId="5F0E4C6A" w14:textId="77777777" w:rsidR="000E39C8" w:rsidRDefault="000E39C8" w:rsidP="000E39C8">
      <w:pPr>
        <w:spacing w:line="276" w:lineRule="auto"/>
        <w:jc w:val="both"/>
        <w:rPr>
          <w:rFonts w:ascii="Candara" w:eastAsia="Candara" w:hAnsi="Candara"/>
          <w:color w:val="002060"/>
          <w:sz w:val="22"/>
          <w:szCs w:val="22"/>
        </w:rPr>
      </w:pPr>
      <w:r>
        <w:rPr>
          <w:rFonts w:ascii="Candara" w:eastAsia="Candara" w:hAnsi="Candara"/>
          <w:color w:val="002060"/>
          <w:sz w:val="22"/>
          <w:szCs w:val="22"/>
        </w:rPr>
        <w:t xml:space="preserve">In addition, beyond the fails reporting aspects, we would kindly ask ESMA to confirm the scope of instruments for penalties and buy-ins: </w:t>
      </w:r>
      <w:r w:rsidRPr="00BF393F">
        <w:rPr>
          <w:rFonts w:ascii="Candara" w:eastAsia="Candara" w:hAnsi="Candara"/>
          <w:color w:val="002060"/>
          <w:sz w:val="22"/>
          <w:szCs w:val="22"/>
        </w:rPr>
        <w:t xml:space="preserve">we understood that the scope of financial instruments for those purposes should be based on the CSD-eligible instruments listed in the FIRDS database, with the exclusion of those </w:t>
      </w:r>
      <w:r>
        <w:rPr>
          <w:rFonts w:ascii="Candara" w:eastAsia="Candara" w:hAnsi="Candara"/>
          <w:color w:val="002060"/>
          <w:sz w:val="22"/>
          <w:szCs w:val="22"/>
        </w:rPr>
        <w:t xml:space="preserve">that are mentioned </w:t>
      </w:r>
      <w:r w:rsidRPr="00BF393F">
        <w:rPr>
          <w:rFonts w:ascii="Candara" w:eastAsia="Candara" w:hAnsi="Candara"/>
          <w:color w:val="002060"/>
          <w:sz w:val="22"/>
          <w:szCs w:val="22"/>
        </w:rPr>
        <w:t>in the Short Selling Regulation (SSR) exemptions list. Nevertheless, we still sense the lack of clarity on the concrete list of financial instruments (ISINs) in scope of CSDR Article 7(10) as described in our response to Q4.</w:t>
      </w:r>
    </w:p>
    <w:p w14:paraId="429662FD" w14:textId="77777777" w:rsidR="000E39C8" w:rsidRPr="00BF393F" w:rsidRDefault="000E39C8" w:rsidP="000E39C8">
      <w:pPr>
        <w:spacing w:line="276" w:lineRule="auto"/>
        <w:jc w:val="both"/>
        <w:rPr>
          <w:rFonts w:ascii="Candara" w:eastAsia="Candara" w:hAnsi="Candara"/>
          <w:color w:val="002060"/>
          <w:sz w:val="22"/>
          <w:szCs w:val="22"/>
        </w:rPr>
      </w:pPr>
    </w:p>
    <w:p w14:paraId="1E604DA4" w14:textId="77777777" w:rsidR="000E39C8" w:rsidRDefault="000E39C8" w:rsidP="000E39C8">
      <w:pPr>
        <w:spacing w:line="276" w:lineRule="auto"/>
        <w:jc w:val="both"/>
        <w:rPr>
          <w:rFonts w:ascii="Candara" w:eastAsia="Candara" w:hAnsi="Candara"/>
          <w:color w:val="002060"/>
          <w:sz w:val="22"/>
          <w:szCs w:val="22"/>
        </w:rPr>
      </w:pPr>
      <w:r w:rsidRPr="00BF393F">
        <w:rPr>
          <w:rFonts w:ascii="Candara" w:eastAsia="Candara" w:hAnsi="Candara"/>
          <w:color w:val="002060"/>
          <w:sz w:val="22"/>
          <w:szCs w:val="22"/>
        </w:rPr>
        <w:t>Indeed</w:t>
      </w:r>
      <w:r>
        <w:rPr>
          <w:rFonts w:ascii="Candara" w:eastAsia="Candara" w:hAnsi="Candara"/>
          <w:color w:val="002060"/>
          <w:sz w:val="22"/>
          <w:szCs w:val="22"/>
        </w:rPr>
        <w:t>,</w:t>
      </w:r>
      <w:r w:rsidRPr="00BF393F">
        <w:rPr>
          <w:rFonts w:ascii="Candara" w:eastAsia="Candara" w:hAnsi="Candara"/>
          <w:color w:val="002060"/>
          <w:sz w:val="22"/>
          <w:szCs w:val="22"/>
        </w:rPr>
        <w:t xml:space="preserve"> the scope of reporting obligations is the result of the joint application of article 7(1) of CSDR and article 7(13)</w:t>
      </w:r>
      <w:r>
        <w:rPr>
          <w:rFonts w:ascii="Candara" w:eastAsia="Candara" w:hAnsi="Candara"/>
          <w:color w:val="002060"/>
          <w:sz w:val="22"/>
          <w:szCs w:val="22"/>
        </w:rPr>
        <w:t xml:space="preserve">, </w:t>
      </w:r>
      <w:r w:rsidRPr="00BF393F">
        <w:rPr>
          <w:rFonts w:ascii="Candara" w:eastAsia="Candara" w:hAnsi="Candara"/>
          <w:color w:val="002060"/>
          <w:sz w:val="22"/>
          <w:szCs w:val="22"/>
        </w:rPr>
        <w:t xml:space="preserve">which in our view excludes only transactions in shares for which the principal </w:t>
      </w:r>
      <w:r>
        <w:rPr>
          <w:rFonts w:ascii="Candara" w:eastAsia="Candara" w:hAnsi="Candara"/>
          <w:color w:val="002060"/>
          <w:sz w:val="22"/>
          <w:szCs w:val="22"/>
        </w:rPr>
        <w:t xml:space="preserve">shares trading </w:t>
      </w:r>
      <w:r w:rsidRPr="00BF393F">
        <w:rPr>
          <w:rFonts w:ascii="Candara" w:eastAsia="Candara" w:hAnsi="Candara"/>
          <w:color w:val="002060"/>
          <w:sz w:val="22"/>
          <w:szCs w:val="22"/>
        </w:rPr>
        <w:t xml:space="preserve">venue </w:t>
      </w:r>
      <w:proofErr w:type="gramStart"/>
      <w:r w:rsidRPr="00BF393F">
        <w:rPr>
          <w:rFonts w:ascii="Candara" w:eastAsia="Candara" w:hAnsi="Candara"/>
          <w:color w:val="002060"/>
          <w:sz w:val="22"/>
          <w:szCs w:val="22"/>
        </w:rPr>
        <w:t>is located in</w:t>
      </w:r>
      <w:proofErr w:type="gramEnd"/>
      <w:r w:rsidRPr="00BF393F">
        <w:rPr>
          <w:rFonts w:ascii="Candara" w:eastAsia="Candara" w:hAnsi="Candara"/>
          <w:color w:val="002060"/>
          <w:sz w:val="22"/>
          <w:szCs w:val="22"/>
        </w:rPr>
        <w:t xml:space="preserve"> a third country. Therefore, according to our understanding, all failed transactions settled within a securities settlement system shall be included in the report regardless of where a financial instrument is issued. Applying reporting obligations on any transaction in any CSD-eligible instruments is less cumbersome to manage from an operational standpoint than the limiting the scope of financial instruments subject to cash penalties. Therefore, we kindly ask ESMA to confirm the instrument scope.</w:t>
      </w:r>
    </w:p>
    <w:permEnd w:id="360518477"/>
    <w:p w14:paraId="681ED546" w14:textId="77777777" w:rsidR="00C85C8B" w:rsidRDefault="00C85C8B" w:rsidP="00C85C8B">
      <w:pPr>
        <w:rPr>
          <w:rFonts w:ascii="Arial" w:hAnsi="Arial" w:cs="Arial"/>
        </w:rPr>
      </w:pPr>
      <w:r>
        <w:rPr>
          <w:rFonts w:ascii="Arial" w:hAnsi="Arial" w:cs="Arial"/>
        </w:rPr>
        <w:t>&lt;ESMA_QUESTION_SFR_1&gt;</w:t>
      </w:r>
    </w:p>
    <w:p w14:paraId="01E8C263" w14:textId="77777777" w:rsidR="00C85C8B" w:rsidRDefault="00C85C8B" w:rsidP="00C85C8B">
      <w:pPr>
        <w:rPr>
          <w:rFonts w:ascii="Arial" w:hAnsi="Arial" w:cs="Arial"/>
        </w:rPr>
      </w:pPr>
    </w:p>
    <w:p w14:paraId="59760F47" w14:textId="77777777" w:rsidR="00C85C8B" w:rsidRPr="00B0053A" w:rsidRDefault="00C85C8B" w:rsidP="00C85C8B">
      <w:pPr>
        <w:pStyle w:val="Questionstyle"/>
        <w:numPr>
          <w:ilvl w:val="0"/>
          <w:numId w:val="13"/>
        </w:numPr>
        <w:spacing w:after="250" w:line="276" w:lineRule="auto"/>
        <w:ind w:left="360"/>
      </w:pPr>
      <w:r w:rsidRPr="00B0053A">
        <w:t>: Do you believe it would be useful for CSDs to provide data by taking into account the liquidity of the financial instruments and whether the settlement instructions and settlement fails relate to transactions executed on an SME growth market, thus reflecting the types of penalty rates specified in the Commission Delegated Regulation (EU) 2017/389? Would this add operational complexities to the reporting? Please provide arguments supporting your comments and suggestions.</w:t>
      </w:r>
    </w:p>
    <w:p w14:paraId="2135034B" w14:textId="77777777" w:rsidR="00C85C8B" w:rsidRDefault="00C85C8B" w:rsidP="00C85C8B">
      <w:pPr>
        <w:rPr>
          <w:rFonts w:ascii="Arial" w:hAnsi="Arial" w:cs="Arial"/>
        </w:rPr>
      </w:pPr>
      <w:r>
        <w:rPr>
          <w:rFonts w:ascii="Arial" w:hAnsi="Arial" w:cs="Arial"/>
        </w:rPr>
        <w:t>&lt;ESMA_QUESTION_SFR_2&gt;</w:t>
      </w:r>
    </w:p>
    <w:p w14:paraId="12E1DA42" w14:textId="77777777" w:rsidR="000E39C8" w:rsidRDefault="000E39C8" w:rsidP="000E39C8">
      <w:pPr>
        <w:spacing w:line="276" w:lineRule="auto"/>
        <w:jc w:val="both"/>
        <w:rPr>
          <w:rFonts w:ascii="Candara" w:eastAsia="Arial" w:hAnsi="Arial"/>
          <w:color w:val="002060"/>
          <w:sz w:val="22"/>
          <w:szCs w:val="22"/>
        </w:rPr>
      </w:pPr>
      <w:permStart w:id="919411981" w:edGrp="everyone"/>
      <w:r>
        <w:rPr>
          <w:rFonts w:ascii="Candara" w:eastAsia="Arial" w:hAnsi="Arial"/>
          <w:color w:val="002060"/>
          <w:sz w:val="22"/>
          <w:szCs w:val="22"/>
        </w:rPr>
        <w:t xml:space="preserve">Before going into further considerations, we would like to highlight that increasing </w:t>
      </w:r>
      <w:r>
        <w:rPr>
          <w:rFonts w:ascii="Candara" w:eastAsia="Candara" w:hAnsi="Candara"/>
          <w:color w:val="002060"/>
          <w:sz w:val="22"/>
          <w:szCs w:val="22"/>
        </w:rPr>
        <w:t>the number of parameters and conditions used for the reporting, will not be commensurate with the reduction of settlement fails. Being conscious of this fact and aiming at limiting the costs for the market in line with the European Commission’s initiative to review the costs of supervisory reporting</w:t>
      </w:r>
      <w:r>
        <w:rPr>
          <w:rStyle w:val="FootnoteReference"/>
          <w:rFonts w:ascii="Candara" w:eastAsia="Candara" w:hAnsi="Candara"/>
          <w:color w:val="002060"/>
          <w:sz w:val="22"/>
          <w:szCs w:val="22"/>
        </w:rPr>
        <w:footnoteReference w:id="5"/>
      </w:r>
      <w:r>
        <w:rPr>
          <w:rFonts w:ascii="Candara" w:eastAsia="Candara" w:hAnsi="Candara"/>
          <w:color w:val="002060"/>
          <w:sz w:val="22"/>
          <w:szCs w:val="22"/>
        </w:rPr>
        <w:t>, we would generally advise to carefully balance the costs vs. benefits of the reporting and limit the</w:t>
      </w:r>
      <w:r>
        <w:rPr>
          <w:rFonts w:ascii="Candara" w:eastAsia="Arial" w:hAnsi="Arial"/>
          <w:color w:val="002060"/>
          <w:sz w:val="22"/>
          <w:szCs w:val="22"/>
        </w:rPr>
        <w:t xml:space="preserve"> granularity of the information to what is fundamentally necessary for further analysis/actions of competent authorities.</w:t>
      </w:r>
    </w:p>
    <w:p w14:paraId="7D7EC328" w14:textId="77777777" w:rsidR="000E39C8" w:rsidRDefault="000E39C8" w:rsidP="000E39C8">
      <w:pPr>
        <w:spacing w:line="276" w:lineRule="auto"/>
        <w:jc w:val="both"/>
        <w:rPr>
          <w:rFonts w:ascii="Candara" w:eastAsia="Arial" w:hAnsi="Arial"/>
          <w:color w:val="002060"/>
          <w:sz w:val="22"/>
          <w:szCs w:val="22"/>
        </w:rPr>
      </w:pPr>
    </w:p>
    <w:p w14:paraId="0311C3AE" w14:textId="77777777" w:rsidR="000E39C8" w:rsidRDefault="000E39C8" w:rsidP="000E39C8">
      <w:pPr>
        <w:spacing w:line="276" w:lineRule="auto"/>
        <w:jc w:val="both"/>
        <w:rPr>
          <w:rFonts w:ascii="Candara" w:eastAsia="Arial" w:hAnsi="Arial"/>
          <w:color w:val="002060"/>
          <w:sz w:val="22"/>
          <w:szCs w:val="22"/>
        </w:rPr>
      </w:pPr>
      <w:r>
        <w:rPr>
          <w:rFonts w:ascii="Candara" w:eastAsia="Arial" w:hAnsi="Arial"/>
          <w:color w:val="002060"/>
          <w:sz w:val="22"/>
          <w:szCs w:val="22"/>
        </w:rPr>
        <w:t>Our more detailed comments are provided below:</w:t>
      </w:r>
    </w:p>
    <w:p w14:paraId="5B8C9E49" w14:textId="77777777" w:rsidR="000E39C8" w:rsidRDefault="000E39C8" w:rsidP="000E39C8">
      <w:pPr>
        <w:spacing w:line="276" w:lineRule="auto"/>
        <w:jc w:val="both"/>
        <w:rPr>
          <w:rFonts w:ascii="Candara" w:eastAsia="Arial" w:hAnsi="Arial"/>
          <w:color w:val="002060"/>
          <w:sz w:val="22"/>
          <w:szCs w:val="22"/>
        </w:rPr>
      </w:pPr>
    </w:p>
    <w:p w14:paraId="3CA13994" w14:textId="77777777" w:rsidR="000E39C8" w:rsidRDefault="000E39C8" w:rsidP="000E39C8">
      <w:pPr>
        <w:pStyle w:val="Default"/>
        <w:numPr>
          <w:ilvl w:val="0"/>
          <w:numId w:val="21"/>
        </w:numPr>
        <w:spacing w:line="276" w:lineRule="auto"/>
        <w:ind w:left="567" w:firstLine="0"/>
        <w:rPr>
          <w:rFonts w:ascii="Candara" w:eastAsia="Candara" w:hAnsi="Candara"/>
          <w:color w:val="002060"/>
          <w:sz w:val="22"/>
          <w:szCs w:val="22"/>
        </w:rPr>
      </w:pPr>
      <w:r>
        <w:rPr>
          <w:rFonts w:ascii="Candara" w:eastAsia="Candara" w:hAnsi="Candara"/>
          <w:color w:val="002060"/>
          <w:sz w:val="22"/>
          <w:szCs w:val="22"/>
        </w:rPr>
        <w:t xml:space="preserve">Independently from the categorisation of the instrument to liquid, non-liquid or SME, the system functionalities and settlement efficiency measures are the same. From that perspective, the segregation based on this parameter would be of limited relevance. </w:t>
      </w:r>
    </w:p>
    <w:p w14:paraId="102AB231" w14:textId="77777777" w:rsidR="000E39C8" w:rsidRDefault="000E39C8" w:rsidP="000E39C8">
      <w:pPr>
        <w:pStyle w:val="Default"/>
        <w:spacing w:line="276" w:lineRule="auto"/>
        <w:ind w:left="567"/>
        <w:jc w:val="both"/>
        <w:rPr>
          <w:rFonts w:ascii="Candara" w:eastAsia="Candara" w:hAnsi="Candara"/>
          <w:color w:val="002060"/>
          <w:sz w:val="22"/>
          <w:szCs w:val="22"/>
        </w:rPr>
      </w:pPr>
    </w:p>
    <w:p w14:paraId="5102C9F5" w14:textId="77777777" w:rsidR="000E39C8" w:rsidRDefault="000E39C8" w:rsidP="000E39C8">
      <w:pPr>
        <w:pStyle w:val="Default"/>
        <w:numPr>
          <w:ilvl w:val="0"/>
          <w:numId w:val="21"/>
        </w:numPr>
        <w:spacing w:line="276" w:lineRule="auto"/>
        <w:ind w:left="567" w:firstLine="0"/>
        <w:rPr>
          <w:rFonts w:ascii="Candara" w:eastAsia="Candara" w:hAnsi="Candara"/>
          <w:color w:val="002060"/>
          <w:sz w:val="22"/>
          <w:szCs w:val="22"/>
        </w:rPr>
      </w:pPr>
      <w:r>
        <w:rPr>
          <w:rFonts w:ascii="Candara" w:eastAsia="Candara" w:hAnsi="Candara"/>
          <w:color w:val="002060"/>
          <w:sz w:val="22"/>
          <w:szCs w:val="22"/>
        </w:rPr>
        <w:t>For Financial instruments not admitted to trading within the EU (if they are considered in scope of the reporting of settlement fails), the liquidity indicator will not be available in the FIRDS/FITRS lists, which could create misleading figures from the liquidity point of view would these instruments by flagged as being “illiquid” in the absence of data.</w:t>
      </w:r>
    </w:p>
    <w:p w14:paraId="730A92C5" w14:textId="77777777" w:rsidR="000E39C8" w:rsidRDefault="000E39C8" w:rsidP="000E39C8">
      <w:pPr>
        <w:pStyle w:val="Default"/>
        <w:spacing w:line="276" w:lineRule="auto"/>
        <w:ind w:left="567"/>
        <w:jc w:val="both"/>
        <w:rPr>
          <w:rFonts w:ascii="Candara" w:eastAsia="Candara" w:hAnsi="Candara"/>
          <w:color w:val="002060"/>
          <w:sz w:val="22"/>
          <w:szCs w:val="22"/>
        </w:rPr>
      </w:pPr>
    </w:p>
    <w:p w14:paraId="77AD7671" w14:textId="77777777" w:rsidR="000E39C8" w:rsidRDefault="000E39C8" w:rsidP="000E39C8">
      <w:pPr>
        <w:pStyle w:val="Default"/>
        <w:spacing w:line="276" w:lineRule="auto"/>
        <w:ind w:left="567"/>
        <w:jc w:val="both"/>
        <w:rPr>
          <w:rFonts w:ascii="Candara" w:eastAsia="Candara" w:hAnsi="Candara"/>
          <w:color w:val="002060"/>
          <w:sz w:val="22"/>
          <w:szCs w:val="22"/>
        </w:rPr>
      </w:pPr>
      <w:r>
        <w:rPr>
          <w:rFonts w:ascii="Candara" w:eastAsia="Candara" w:hAnsi="Candara"/>
          <w:color w:val="002060"/>
          <w:sz w:val="22"/>
          <w:szCs w:val="22"/>
        </w:rPr>
        <w:t>ESMA is also asked to clarify that the MIFID II/ MIFIR liquidity indicator should only be reported for shares while it may be available for debt instruments as well.</w:t>
      </w:r>
    </w:p>
    <w:p w14:paraId="54A5B606" w14:textId="77777777" w:rsidR="000E39C8" w:rsidRDefault="000E39C8" w:rsidP="000E39C8">
      <w:pPr>
        <w:pStyle w:val="Default"/>
        <w:spacing w:line="276" w:lineRule="auto"/>
        <w:ind w:left="567"/>
        <w:jc w:val="both"/>
        <w:rPr>
          <w:rFonts w:ascii="Candara" w:eastAsia="Candara" w:hAnsi="Candara"/>
          <w:color w:val="002060"/>
          <w:sz w:val="22"/>
          <w:szCs w:val="22"/>
        </w:rPr>
      </w:pPr>
    </w:p>
    <w:p w14:paraId="7444F073" w14:textId="77777777" w:rsidR="000E39C8" w:rsidRPr="00EE02CB" w:rsidRDefault="000E39C8" w:rsidP="000E39C8">
      <w:pPr>
        <w:pStyle w:val="Default"/>
        <w:numPr>
          <w:ilvl w:val="0"/>
          <w:numId w:val="21"/>
        </w:numPr>
        <w:spacing w:line="276" w:lineRule="auto"/>
        <w:ind w:left="567" w:firstLine="0"/>
        <w:rPr>
          <w:rFonts w:ascii="Candara" w:eastAsia="Candara" w:hAnsi="Candara"/>
          <w:color w:val="002060"/>
          <w:sz w:val="22"/>
          <w:szCs w:val="22"/>
        </w:rPr>
      </w:pPr>
      <w:r>
        <w:rPr>
          <w:rFonts w:ascii="Candara" w:eastAsia="Candara" w:hAnsi="Candara"/>
          <w:color w:val="002060"/>
          <w:sz w:val="22"/>
          <w:szCs w:val="22"/>
        </w:rPr>
        <w:t xml:space="preserve">As the SME matching information is available to the reporting CSD only for a limited number of settlement scenarios (i.e. when both legs settle at the CSD, see Annex I; point 5. of the guidelines should therefore be rephrased and linked to the applicable scenarios) and the number of transactions subject to this category is expected to be very low compared to the overall volumes, this additional granularity of information does not justify its integration in </w:t>
      </w:r>
      <w:r w:rsidRPr="00A73B01">
        <w:rPr>
          <w:rFonts w:ascii="Candara" w:eastAsia="Candara" w:hAnsi="Candara"/>
          <w:color w:val="002060"/>
          <w:sz w:val="22"/>
          <w:szCs w:val="22"/>
        </w:rPr>
        <w:t xml:space="preserve">the reporting. </w:t>
      </w:r>
    </w:p>
    <w:p w14:paraId="13C957AD" w14:textId="77777777" w:rsidR="000E39C8" w:rsidRDefault="000E39C8" w:rsidP="000E39C8">
      <w:pPr>
        <w:pStyle w:val="Default"/>
        <w:spacing w:line="276" w:lineRule="auto"/>
        <w:ind w:left="567"/>
        <w:jc w:val="both"/>
        <w:rPr>
          <w:rFonts w:ascii="Candara" w:eastAsia="Candara" w:hAnsi="Candara"/>
          <w:color w:val="002060"/>
          <w:sz w:val="22"/>
          <w:szCs w:val="22"/>
        </w:rPr>
      </w:pPr>
    </w:p>
    <w:p w14:paraId="2E3550E7" w14:textId="77777777" w:rsidR="000E39C8" w:rsidRPr="00A73B01" w:rsidRDefault="000E39C8" w:rsidP="000E39C8">
      <w:pPr>
        <w:pStyle w:val="Default"/>
        <w:spacing w:line="276" w:lineRule="auto"/>
        <w:ind w:left="567"/>
        <w:jc w:val="both"/>
        <w:rPr>
          <w:rFonts w:ascii="Candara" w:eastAsia="Candara" w:hAnsi="Candara"/>
          <w:color w:val="002060"/>
          <w:sz w:val="22"/>
          <w:szCs w:val="22"/>
        </w:rPr>
      </w:pPr>
      <w:r w:rsidRPr="00844AE9">
        <w:rPr>
          <w:rFonts w:ascii="Candara" w:eastAsia="Candara" w:hAnsi="Candara"/>
          <w:color w:val="002060"/>
          <w:sz w:val="22"/>
          <w:szCs w:val="22"/>
        </w:rPr>
        <w:t>As regards the check to determine whether a transaction has been executed on an SME growth market trading venue, if the scope of financial instruments subject to settlement fails reporting is for any reason different than the scope of financial instruments subject to cash penalties (see also answer to question 1), the information will not be provided to T2S CSDs through the T2S penalty mechanism reporting and will have to be catered through a new functionality inside or outside T2S.</w:t>
      </w:r>
    </w:p>
    <w:p w14:paraId="4E6D8B94" w14:textId="77777777" w:rsidR="000E39C8" w:rsidRPr="00203C18" w:rsidRDefault="000E39C8" w:rsidP="000E39C8">
      <w:pPr>
        <w:pStyle w:val="Default"/>
        <w:spacing w:line="276" w:lineRule="auto"/>
        <w:ind w:left="567"/>
        <w:jc w:val="both"/>
        <w:rPr>
          <w:rFonts w:ascii="Candara" w:eastAsia="Candara" w:hAnsi="Candara"/>
          <w:color w:val="002060"/>
          <w:sz w:val="22"/>
          <w:szCs w:val="22"/>
        </w:rPr>
      </w:pPr>
    </w:p>
    <w:p w14:paraId="5B90888D" w14:textId="77777777" w:rsidR="000E39C8" w:rsidRPr="00203C18" w:rsidRDefault="000E39C8" w:rsidP="000E39C8">
      <w:pPr>
        <w:pStyle w:val="Default"/>
        <w:numPr>
          <w:ilvl w:val="0"/>
          <w:numId w:val="22"/>
        </w:numPr>
        <w:spacing w:line="276" w:lineRule="auto"/>
        <w:ind w:left="567" w:firstLine="0"/>
        <w:rPr>
          <w:rFonts w:ascii="Candara" w:eastAsia="Candara" w:hAnsi="Candara"/>
          <w:color w:val="002060"/>
          <w:sz w:val="22"/>
          <w:szCs w:val="22"/>
        </w:rPr>
      </w:pPr>
      <w:r w:rsidRPr="00203C18">
        <w:rPr>
          <w:rFonts w:ascii="Candara" w:eastAsia="Candara" w:hAnsi="Candara"/>
          <w:color w:val="002060"/>
          <w:sz w:val="22"/>
          <w:szCs w:val="22"/>
        </w:rPr>
        <w:t xml:space="preserve">Finally, note that point 4. of the guidelines refers to “FIRTS” information while it should read “FITRS” </w:t>
      </w:r>
      <w:r w:rsidRPr="00203C18">
        <w:rPr>
          <w:rFonts w:ascii="Candara" w:eastAsia="Candara" w:hAnsi="Candara"/>
          <w:color w:val="002060"/>
          <w:sz w:val="22"/>
          <w:szCs w:val="22"/>
          <w:shd w:val="clear" w:color="000000" w:fill="FFFFFF"/>
        </w:rPr>
        <w:t>Financial Instruments Transparency System</w:t>
      </w:r>
      <w:r w:rsidRPr="00203C18">
        <w:rPr>
          <w:rFonts w:ascii="Candara" w:eastAsia="Candara" w:hAnsi="Candara"/>
          <w:color w:val="002060"/>
          <w:sz w:val="22"/>
          <w:szCs w:val="22"/>
        </w:rPr>
        <w:t>.</w:t>
      </w:r>
    </w:p>
    <w:permEnd w:id="919411981"/>
    <w:p w14:paraId="76DA8D23" w14:textId="77777777" w:rsidR="00C85C8B" w:rsidRDefault="00C85C8B" w:rsidP="00C85C8B">
      <w:pPr>
        <w:rPr>
          <w:rFonts w:ascii="Arial" w:hAnsi="Arial" w:cs="Arial"/>
        </w:rPr>
      </w:pPr>
      <w:r>
        <w:rPr>
          <w:rFonts w:ascii="Arial" w:hAnsi="Arial" w:cs="Arial"/>
        </w:rPr>
        <w:t>&lt;ESMA_QUESTION_SFR_2&gt;</w:t>
      </w:r>
    </w:p>
    <w:p w14:paraId="39657DB0" w14:textId="77777777" w:rsidR="00C85C8B" w:rsidRDefault="00C85C8B" w:rsidP="00C85C8B">
      <w:pPr>
        <w:rPr>
          <w:rFonts w:ascii="Arial" w:hAnsi="Arial" w:cs="Arial"/>
        </w:rPr>
      </w:pPr>
    </w:p>
    <w:p w14:paraId="05939A17" w14:textId="77777777" w:rsidR="00C85C8B" w:rsidRPr="00B0053A" w:rsidRDefault="00C85C8B" w:rsidP="00C85C8B">
      <w:pPr>
        <w:pStyle w:val="Questionstyle"/>
        <w:numPr>
          <w:ilvl w:val="0"/>
          <w:numId w:val="13"/>
        </w:numPr>
        <w:spacing w:after="250" w:line="276" w:lineRule="auto"/>
        <w:ind w:left="360"/>
      </w:pPr>
      <w:r w:rsidRPr="00B0053A">
        <w:t>: Do you have any comments or suggestions regarding the fact that a CSD should only take into account matched instructions where matching is required? Please provide arguments supporting your comments and suggestions.</w:t>
      </w:r>
    </w:p>
    <w:p w14:paraId="0A8B0CF8" w14:textId="77777777" w:rsidR="00C85C8B" w:rsidRDefault="00C85C8B" w:rsidP="00C85C8B">
      <w:pPr>
        <w:rPr>
          <w:rFonts w:ascii="Arial" w:hAnsi="Arial" w:cs="Arial"/>
        </w:rPr>
      </w:pPr>
      <w:r>
        <w:rPr>
          <w:rFonts w:ascii="Arial" w:hAnsi="Arial" w:cs="Arial"/>
        </w:rPr>
        <w:t>&lt;ESMA_QUESTION_SFR_3&gt;</w:t>
      </w:r>
    </w:p>
    <w:p w14:paraId="541E65B3" w14:textId="77777777" w:rsidR="000E39C8" w:rsidRDefault="000E39C8" w:rsidP="000E39C8">
      <w:pPr>
        <w:spacing w:line="276" w:lineRule="auto"/>
        <w:jc w:val="both"/>
        <w:rPr>
          <w:rFonts w:ascii="Candara" w:eastAsia="Candara" w:hAnsi="Candara"/>
          <w:color w:val="002060"/>
          <w:sz w:val="22"/>
          <w:szCs w:val="22"/>
        </w:rPr>
      </w:pPr>
      <w:permStart w:id="1156515427" w:edGrp="everyone"/>
      <w:r>
        <w:rPr>
          <w:rFonts w:ascii="Candara" w:eastAsia="Candara" w:hAnsi="Candara"/>
          <w:color w:val="002060"/>
          <w:sz w:val="22"/>
          <w:szCs w:val="22"/>
        </w:rPr>
        <w:t xml:space="preserve">For the sake of consistency with SDR RTS and to ease the data collection process, we propose to consider only actually matched failed settlement instructions to be mentioned in the report. The same logic is applied to the settlement fails penalties management. </w:t>
      </w:r>
    </w:p>
    <w:permEnd w:id="1156515427"/>
    <w:p w14:paraId="48AB89F7" w14:textId="77777777" w:rsidR="00C85C8B" w:rsidRDefault="00C85C8B" w:rsidP="00C85C8B">
      <w:pPr>
        <w:rPr>
          <w:rFonts w:ascii="Arial" w:hAnsi="Arial" w:cs="Arial"/>
        </w:rPr>
      </w:pPr>
      <w:r>
        <w:rPr>
          <w:rFonts w:ascii="Arial" w:hAnsi="Arial" w:cs="Arial"/>
        </w:rPr>
        <w:t>&lt;ESMA_QUESTION_SFR_3&gt;</w:t>
      </w:r>
    </w:p>
    <w:p w14:paraId="77D8AD5B" w14:textId="77777777" w:rsidR="00C85C8B" w:rsidRDefault="00C85C8B" w:rsidP="00C85C8B">
      <w:pPr>
        <w:rPr>
          <w:rFonts w:ascii="Arial" w:hAnsi="Arial" w:cs="Arial"/>
        </w:rPr>
      </w:pPr>
    </w:p>
    <w:p w14:paraId="4E7F7A16" w14:textId="77777777" w:rsidR="00C85C8B" w:rsidRDefault="00C85C8B" w:rsidP="00C85C8B">
      <w:pPr>
        <w:pStyle w:val="Questionstyle"/>
        <w:numPr>
          <w:ilvl w:val="0"/>
          <w:numId w:val="13"/>
        </w:numPr>
        <w:spacing w:after="250" w:line="276" w:lineRule="auto"/>
        <w:ind w:left="360"/>
      </w:pPr>
      <w:r w:rsidRPr="00B0053A">
        <w:t>: Do you have any comments or suggestions regarding the scope of the data that should be included in the reports on settlement fails? Please provide arguments supporting your comments and suggestions.</w:t>
      </w:r>
    </w:p>
    <w:p w14:paraId="0B7B8BEA" w14:textId="77777777" w:rsidR="00C85C8B" w:rsidRDefault="00C85C8B" w:rsidP="00C85C8B">
      <w:pPr>
        <w:rPr>
          <w:rFonts w:ascii="Arial" w:hAnsi="Arial" w:cs="Arial"/>
        </w:rPr>
      </w:pPr>
      <w:r>
        <w:rPr>
          <w:rFonts w:ascii="Arial" w:hAnsi="Arial" w:cs="Arial"/>
        </w:rPr>
        <w:lastRenderedPageBreak/>
        <w:t>&lt;ESMA_QUESTION_SFR_4&gt;</w:t>
      </w:r>
    </w:p>
    <w:p w14:paraId="2687CA33" w14:textId="77777777" w:rsidR="000E39C8" w:rsidRPr="00DC1DD7" w:rsidRDefault="000E39C8" w:rsidP="000E39C8">
      <w:pPr>
        <w:pStyle w:val="ListParagraph"/>
        <w:numPr>
          <w:ilvl w:val="0"/>
          <w:numId w:val="23"/>
        </w:numPr>
        <w:adjustRightInd/>
        <w:spacing w:line="276" w:lineRule="auto"/>
        <w:rPr>
          <w:rFonts w:ascii="Candara" w:eastAsia="Candara" w:hAnsi="Candara"/>
          <w:color w:val="1F4D78" w:themeColor="accent1" w:themeShade="7F"/>
        </w:rPr>
      </w:pPr>
      <w:permStart w:id="993606731" w:edGrp="everyone"/>
      <w:r w:rsidRPr="00A73B01">
        <w:rPr>
          <w:rFonts w:ascii="Candara" w:eastAsia="Candara" w:hAnsi="Candara"/>
          <w:color w:val="1F4D78" w:themeColor="accent1" w:themeShade="7F"/>
        </w:rPr>
        <w:t>ECSDA appreciates the intended clarification of scope, aiming to illustrate that transactions</w:t>
      </w:r>
      <w:r>
        <w:rPr>
          <w:rFonts w:ascii="Candara" w:eastAsia="Candara" w:hAnsi="Candara"/>
          <w:color w:val="1F4D78" w:themeColor="accent1" w:themeShade="7F"/>
        </w:rPr>
        <w:t xml:space="preserve">, for </w:t>
      </w:r>
      <w:r w:rsidRPr="00A73B01">
        <w:rPr>
          <w:rFonts w:ascii="Candara" w:eastAsia="Candara" w:hAnsi="Candara"/>
          <w:color w:val="1F4D78" w:themeColor="accent1" w:themeShade="7F"/>
        </w:rPr>
        <w:t xml:space="preserve">which </w:t>
      </w:r>
      <w:r>
        <w:rPr>
          <w:rFonts w:ascii="Candara" w:eastAsia="Candara" w:hAnsi="Candara"/>
          <w:color w:val="1F4D78" w:themeColor="accent1" w:themeShade="7F"/>
        </w:rPr>
        <w:t xml:space="preserve">monitoring </w:t>
      </w:r>
      <w:r w:rsidRPr="00A73B01">
        <w:rPr>
          <w:rFonts w:ascii="Candara" w:eastAsia="Candara" w:hAnsi="Candara"/>
          <w:color w:val="1F4D78" w:themeColor="accent1" w:themeShade="7F"/>
        </w:rPr>
        <w:t>do</w:t>
      </w:r>
      <w:r>
        <w:rPr>
          <w:rFonts w:ascii="Candara" w:eastAsia="Candara" w:hAnsi="Candara"/>
          <w:color w:val="1F4D78" w:themeColor="accent1" w:themeShade="7F"/>
        </w:rPr>
        <w:t>es</w:t>
      </w:r>
      <w:r w:rsidRPr="00A73B01">
        <w:rPr>
          <w:rFonts w:ascii="Candara" w:eastAsia="Candara" w:hAnsi="Candara"/>
          <w:color w:val="1F4D78" w:themeColor="accent1" w:themeShade="7F"/>
        </w:rPr>
        <w:t xml:space="preserve"> not </w:t>
      </w:r>
      <w:proofErr w:type="spellStart"/>
      <w:r w:rsidRPr="00A73B01">
        <w:rPr>
          <w:rFonts w:ascii="Candara" w:eastAsia="Candara" w:hAnsi="Candara"/>
          <w:color w:val="1F4D78" w:themeColor="accent1" w:themeShade="7F"/>
        </w:rPr>
        <w:t>fulfil</w:t>
      </w:r>
      <w:r>
        <w:rPr>
          <w:rFonts w:ascii="Candara" w:eastAsia="Candara" w:hAnsi="Candara"/>
          <w:color w:val="1F4D78" w:themeColor="accent1" w:themeShade="7F"/>
        </w:rPr>
        <w:t>l</w:t>
      </w:r>
      <w:proofErr w:type="spellEnd"/>
      <w:r w:rsidRPr="00A73B01">
        <w:rPr>
          <w:rFonts w:ascii="Candara" w:eastAsia="Candara" w:hAnsi="Candara"/>
          <w:color w:val="1F4D78" w:themeColor="accent1" w:themeShade="7F"/>
        </w:rPr>
        <w:t xml:space="preserve"> the objective of the settlement discipline regime</w:t>
      </w:r>
      <w:r>
        <w:rPr>
          <w:rFonts w:ascii="Candara" w:eastAsia="Candara" w:hAnsi="Candara"/>
          <w:color w:val="1F4D78" w:themeColor="accent1" w:themeShade="7F"/>
        </w:rPr>
        <w:t>,</w:t>
      </w:r>
      <w:r w:rsidRPr="00A73B01">
        <w:rPr>
          <w:rFonts w:ascii="Candara" w:eastAsia="Candara" w:hAnsi="Candara"/>
          <w:color w:val="1F4D78" w:themeColor="accent1" w:themeShade="7F"/>
        </w:rPr>
        <w:t xml:space="preserve"> </w:t>
      </w:r>
      <w:proofErr w:type="gramStart"/>
      <w:r w:rsidRPr="00A73B01">
        <w:rPr>
          <w:rFonts w:ascii="Candara" w:eastAsia="Candara" w:hAnsi="Candara"/>
          <w:color w:val="1F4D78" w:themeColor="accent1" w:themeShade="7F"/>
        </w:rPr>
        <w:t>are  out</w:t>
      </w:r>
      <w:proofErr w:type="gramEnd"/>
      <w:r w:rsidRPr="00A73B01">
        <w:rPr>
          <w:rFonts w:ascii="Candara" w:eastAsia="Candara" w:hAnsi="Candara"/>
          <w:color w:val="1F4D78" w:themeColor="accent1" w:themeShade="7F"/>
        </w:rPr>
        <w:t xml:space="preserve"> of scope </w:t>
      </w:r>
      <w:r w:rsidRPr="00DC1DD7">
        <w:rPr>
          <w:rFonts w:ascii="Candara" w:eastAsia="Candara" w:hAnsi="Candara"/>
          <w:color w:val="1F4D78" w:themeColor="accent1" w:themeShade="7F"/>
        </w:rPr>
        <w:t>of settlement fails reporting.</w:t>
      </w:r>
    </w:p>
    <w:p w14:paraId="4264C1DF" w14:textId="77777777" w:rsidR="000E39C8" w:rsidRPr="00A73B01" w:rsidRDefault="000E39C8" w:rsidP="000E39C8">
      <w:pPr>
        <w:pStyle w:val="ListParagraph"/>
        <w:numPr>
          <w:ilvl w:val="0"/>
          <w:numId w:val="0"/>
        </w:numPr>
        <w:spacing w:line="276" w:lineRule="auto"/>
        <w:ind w:left="720"/>
        <w:rPr>
          <w:rFonts w:ascii="Candara" w:eastAsia="Candara" w:hAnsi="Candara"/>
          <w:color w:val="1F4D78" w:themeColor="accent1" w:themeShade="7F"/>
        </w:rPr>
      </w:pPr>
      <w:r w:rsidRPr="00DC1DD7">
        <w:rPr>
          <w:rFonts w:ascii="Candara" w:eastAsia="Candara" w:hAnsi="Candara"/>
          <w:color w:val="1F4D78" w:themeColor="accent1" w:themeShade="7F"/>
        </w:rPr>
        <w:t>We agree that (a) corporate actions on stock, (2) primary market operations (including creation and redemption of fund units) and (3) realignment operations are out of scope of settlement fails reporting, as such transactions are deemed outside of the participant's control and thus not relevant in terms of fails reporting. This is in line with Articles 5 and 7 of CSDR, which convey the policy intention of monitoring failed transactions which settle in a securities settlement s</w:t>
      </w:r>
      <w:r w:rsidRPr="00A73B01">
        <w:rPr>
          <w:rFonts w:ascii="Candara" w:eastAsia="Candara" w:hAnsi="Candara"/>
          <w:color w:val="1F4D78" w:themeColor="accent1" w:themeShade="7F"/>
        </w:rPr>
        <w:t>ystem operated by a CSD and that do not settle on the Intended Settlement Date.</w:t>
      </w:r>
    </w:p>
    <w:p w14:paraId="2E6E5C75" w14:textId="77777777" w:rsidR="000E39C8" w:rsidRDefault="000E39C8" w:rsidP="000E39C8">
      <w:pPr>
        <w:pStyle w:val="ListParagraph"/>
        <w:numPr>
          <w:ilvl w:val="0"/>
          <w:numId w:val="0"/>
        </w:numPr>
        <w:spacing w:line="276" w:lineRule="auto"/>
        <w:ind w:left="720"/>
        <w:rPr>
          <w:rFonts w:ascii="Candara" w:eastAsia="Candara" w:hAnsi="Candara"/>
          <w:color w:val="1F4D78" w:themeColor="accent1" w:themeShade="7F"/>
        </w:rPr>
      </w:pPr>
      <w:r w:rsidRPr="00EE02CB">
        <w:rPr>
          <w:rFonts w:ascii="Candara" w:eastAsia="Candara" w:hAnsi="Candara"/>
          <w:color w:val="1F4D78" w:themeColor="accent1" w:themeShade="7F"/>
        </w:rPr>
        <w:t xml:space="preserve">Whilst the clarification of scope is helpful, ECSDA believes that the proposed wording enters into a level of detail which is not required to achieve the policy </w:t>
      </w:r>
      <w:proofErr w:type="gramStart"/>
      <w:r w:rsidRPr="00EE02CB">
        <w:rPr>
          <w:rFonts w:ascii="Candara" w:eastAsia="Candara" w:hAnsi="Candara"/>
          <w:color w:val="1F4D78" w:themeColor="accent1" w:themeShade="7F"/>
        </w:rPr>
        <w:t>objective</w:t>
      </w:r>
      <w:proofErr w:type="gramEnd"/>
      <w:r w:rsidRPr="00EE02CB">
        <w:rPr>
          <w:rFonts w:ascii="Candara" w:eastAsia="Candara" w:hAnsi="Candara"/>
          <w:color w:val="1F4D78" w:themeColor="accent1" w:themeShade="7F"/>
        </w:rPr>
        <w:t xml:space="preserve"> and which could ultimately raise more questions than bring clarity. We, hence, recommend not to include such level of detail into this guidance on settlement fails reporting.</w:t>
      </w:r>
    </w:p>
    <w:p w14:paraId="5ADDC32D" w14:textId="77777777" w:rsidR="000E39C8" w:rsidRPr="001A171F" w:rsidRDefault="000E39C8" w:rsidP="000E39C8">
      <w:pPr>
        <w:pStyle w:val="ListParagraph"/>
        <w:numPr>
          <w:ilvl w:val="0"/>
          <w:numId w:val="23"/>
        </w:numPr>
        <w:adjustRightInd/>
        <w:spacing w:line="276" w:lineRule="auto"/>
        <w:ind w:left="567" w:hanging="207"/>
        <w:rPr>
          <w:rFonts w:ascii="Candara" w:eastAsia="Candara" w:hAnsi="Candara"/>
          <w:color w:val="1F4D78" w:themeColor="accent1" w:themeShade="7F"/>
        </w:rPr>
      </w:pPr>
      <w:r>
        <w:rPr>
          <w:rFonts w:ascii="Candara" w:eastAsia="Candara" w:hAnsi="Candara"/>
          <w:color w:val="1F4D78" w:themeColor="accent1" w:themeShade="7F"/>
        </w:rPr>
        <w:t xml:space="preserve">However, we would appreciate more clarity on the alignments transfers between beneficial owner accounts (which are usual transfers in a direct holding market). While in an indirect holding market, these transactions are not processed at CSD level, they are managed by the CSD in a direct holding market. We would like to ask ESMA to consider a way of ensuring same treatment of instructions in direct and indirect holding markets in Europe (i.e. the inter-participant trades should be in scope of the reports on settlement fails in all markets irrespective of the account types and/or holding model maintained in the CSD). On the opposite, transactions or movements that are executed intra-participant and do not relate to trades, collateral management operations, securities lending and securities borrowing or </w:t>
      </w:r>
      <w:r w:rsidRPr="00A73B01">
        <w:rPr>
          <w:rFonts w:ascii="Candara" w:eastAsia="Candara" w:hAnsi="Candara"/>
          <w:color w:val="1F4D78" w:themeColor="accent1" w:themeShade="7F"/>
        </w:rPr>
        <w:t>repurchase transactions should not be subject to settlement discipline (i.e. s</w:t>
      </w:r>
      <w:r w:rsidRPr="00DC1DD7">
        <w:rPr>
          <w:rFonts w:ascii="Candara" w:eastAsia="Candara" w:hAnsi="Candara"/>
          <w:color w:val="1F4D78" w:themeColor="accent1" w:themeShade="7F"/>
        </w:rPr>
        <w:t xml:space="preserve">ettlement fails, </w:t>
      </w:r>
      <w:r w:rsidRPr="001A171F">
        <w:rPr>
          <w:rFonts w:ascii="Candara" w:eastAsia="Candara" w:hAnsi="Candara"/>
          <w:color w:val="1F4D78" w:themeColor="accent1" w:themeShade="7F"/>
        </w:rPr>
        <w:t>penalties &amp; buy-in) as being irrelevant for settlement efficiency.</w:t>
      </w:r>
    </w:p>
    <w:permEnd w:id="993606731"/>
    <w:p w14:paraId="03DFBED0" w14:textId="77777777" w:rsidR="00C85C8B" w:rsidRDefault="00C85C8B" w:rsidP="00C85C8B">
      <w:pPr>
        <w:rPr>
          <w:rFonts w:ascii="Arial" w:hAnsi="Arial" w:cs="Arial"/>
        </w:rPr>
      </w:pPr>
      <w:r>
        <w:rPr>
          <w:rFonts w:ascii="Arial" w:hAnsi="Arial" w:cs="Arial"/>
        </w:rPr>
        <w:t>&lt;ESMA_QUESTION_SFR_4&gt;</w:t>
      </w:r>
    </w:p>
    <w:p w14:paraId="39A7F11A" w14:textId="77777777" w:rsidR="00C85C8B" w:rsidRDefault="00C85C8B" w:rsidP="00C85C8B">
      <w:pPr>
        <w:rPr>
          <w:rFonts w:ascii="Arial" w:hAnsi="Arial" w:cs="Arial"/>
        </w:rPr>
      </w:pPr>
    </w:p>
    <w:p w14:paraId="7AD94D7B" w14:textId="77777777" w:rsidR="00C85C8B" w:rsidRPr="00B0053A" w:rsidRDefault="00C85C8B" w:rsidP="00C85C8B">
      <w:pPr>
        <w:pStyle w:val="Questionstyle"/>
        <w:numPr>
          <w:ilvl w:val="0"/>
          <w:numId w:val="13"/>
        </w:numPr>
        <w:spacing w:after="250" w:line="276" w:lineRule="auto"/>
        <w:ind w:left="360"/>
      </w:pPr>
      <w:r w:rsidRPr="00B0053A">
        <w:t>:  Are there other types of realignment operations than those used in T2S? What are the characteristics of those realignment operations? Could those realignment operations fail? How can realignment operations be identified by CSDs? Please provide details and examples.</w:t>
      </w:r>
    </w:p>
    <w:p w14:paraId="7D7E5C1E" w14:textId="77777777" w:rsidR="00C85C8B" w:rsidRDefault="00C85C8B" w:rsidP="00C85C8B">
      <w:pPr>
        <w:rPr>
          <w:rFonts w:ascii="Arial" w:hAnsi="Arial" w:cs="Arial"/>
        </w:rPr>
      </w:pPr>
      <w:r>
        <w:rPr>
          <w:rFonts w:ascii="Arial" w:hAnsi="Arial" w:cs="Arial"/>
        </w:rPr>
        <w:t>&lt;ESMA_QUESTION_SFR_5&gt;</w:t>
      </w:r>
    </w:p>
    <w:p w14:paraId="26939818" w14:textId="77777777" w:rsidR="00AB2011" w:rsidRDefault="00AB2011" w:rsidP="00AB2011">
      <w:pPr>
        <w:spacing w:line="276" w:lineRule="auto"/>
        <w:jc w:val="both"/>
        <w:rPr>
          <w:rFonts w:ascii="Candara" w:eastAsia="Candara" w:hAnsi="Candara"/>
          <w:color w:val="002060"/>
          <w:sz w:val="22"/>
          <w:szCs w:val="22"/>
        </w:rPr>
      </w:pPr>
      <w:permStart w:id="535772821" w:edGrp="everyone"/>
      <w:r>
        <w:rPr>
          <w:rFonts w:ascii="Candara" w:eastAsia="Candara" w:hAnsi="Candara"/>
          <w:color w:val="002060"/>
          <w:sz w:val="22"/>
          <w:szCs w:val="22"/>
        </w:rPr>
        <w:t xml:space="preserve">In general, CSDs have at least the following types of transactions that are excluded from the participants' control, and hence sanctioning these transactions would not fulfil the objective of the settlement discipline regime. We believe that they are to be considered as out of scope of the settlement fails reporting, the penalties and the buy-in management. </w:t>
      </w:r>
    </w:p>
    <w:p w14:paraId="073E91B0" w14:textId="77777777" w:rsidR="00AB2011" w:rsidRDefault="00AB2011" w:rsidP="00AB2011">
      <w:pPr>
        <w:spacing w:line="276" w:lineRule="auto"/>
        <w:jc w:val="both"/>
        <w:rPr>
          <w:rFonts w:ascii="Candara" w:eastAsia="Candara" w:hAnsi="Candara"/>
          <w:color w:val="002060"/>
          <w:sz w:val="22"/>
          <w:szCs w:val="22"/>
        </w:rPr>
      </w:pPr>
    </w:p>
    <w:p w14:paraId="0667C390" w14:textId="77777777" w:rsidR="00AB2011" w:rsidRDefault="00AB2011" w:rsidP="00AB2011">
      <w:pPr>
        <w:spacing w:line="276" w:lineRule="auto"/>
        <w:jc w:val="both"/>
        <w:rPr>
          <w:rFonts w:ascii="Candara" w:eastAsia="Candara" w:hAnsi="Candara"/>
          <w:color w:val="002060"/>
          <w:sz w:val="22"/>
          <w:szCs w:val="22"/>
        </w:rPr>
      </w:pPr>
      <w:r>
        <w:rPr>
          <w:rFonts w:ascii="Candara" w:eastAsia="Candara" w:hAnsi="Candara"/>
          <w:color w:val="002060"/>
          <w:sz w:val="22"/>
          <w:szCs w:val="22"/>
        </w:rPr>
        <w:t>These transactions are:</w:t>
      </w:r>
    </w:p>
    <w:p w14:paraId="55C62EBF" w14:textId="77777777" w:rsidR="00AB2011" w:rsidRDefault="00AB2011" w:rsidP="00AB2011">
      <w:pPr>
        <w:pStyle w:val="ListParagraph"/>
        <w:numPr>
          <w:ilvl w:val="0"/>
          <w:numId w:val="24"/>
        </w:numPr>
        <w:adjustRightInd/>
        <w:spacing w:line="276" w:lineRule="auto"/>
        <w:ind w:left="567" w:hanging="207"/>
        <w:rPr>
          <w:rFonts w:ascii="Candara" w:eastAsia="Candara" w:hAnsi="Candara"/>
          <w:color w:val="002060"/>
        </w:rPr>
      </w:pPr>
      <w:r>
        <w:rPr>
          <w:rFonts w:ascii="Candara" w:eastAsia="Candara" w:hAnsi="Candara"/>
          <w:color w:val="002060"/>
        </w:rPr>
        <w:t xml:space="preserve">Transactions auto-generated by the CSD: collateral management related transactions (main reasoning: those instructions are generated by the CSD, hence, out of the participants´ control; in addition, such fails are already being penalized by Central Banks, i.e. additional settlement fails penalties would result in a sort of duplication of penalties); </w:t>
      </w:r>
    </w:p>
    <w:p w14:paraId="2EFC4182" w14:textId="77777777" w:rsidR="00AB2011" w:rsidRDefault="00AB2011" w:rsidP="00AB2011">
      <w:pPr>
        <w:pStyle w:val="ListParagraph"/>
        <w:numPr>
          <w:ilvl w:val="0"/>
          <w:numId w:val="24"/>
        </w:numPr>
        <w:adjustRightInd/>
        <w:spacing w:line="276" w:lineRule="auto"/>
        <w:ind w:left="567" w:hanging="207"/>
        <w:rPr>
          <w:rFonts w:ascii="Candara" w:eastAsia="Candara" w:hAnsi="Candara"/>
          <w:color w:val="002060"/>
        </w:rPr>
      </w:pPr>
      <w:r>
        <w:rPr>
          <w:rFonts w:ascii="Candara" w:eastAsia="Candara" w:hAnsi="Candara"/>
          <w:color w:val="002060"/>
        </w:rPr>
        <w:t>CSD auto-generated net realignments to move position between different depositories;</w:t>
      </w:r>
    </w:p>
    <w:p w14:paraId="1E69F630" w14:textId="77777777" w:rsidR="00AB2011" w:rsidRDefault="00AB2011" w:rsidP="00AB2011">
      <w:pPr>
        <w:pStyle w:val="ListParagraph"/>
        <w:numPr>
          <w:ilvl w:val="0"/>
          <w:numId w:val="24"/>
        </w:numPr>
        <w:adjustRightInd/>
        <w:spacing w:line="276" w:lineRule="auto"/>
        <w:ind w:left="567" w:hanging="207"/>
        <w:rPr>
          <w:rFonts w:ascii="Candara" w:eastAsia="Candara" w:hAnsi="Candara"/>
          <w:color w:val="002060"/>
        </w:rPr>
      </w:pPr>
      <w:r>
        <w:rPr>
          <w:rFonts w:ascii="Candara" w:eastAsia="Candara" w:hAnsi="Candara"/>
          <w:color w:val="002060"/>
        </w:rPr>
        <w:lastRenderedPageBreak/>
        <w:t xml:space="preserve">CSD auto-generated gross realignments supporting transactions between different CSDs; </w:t>
      </w:r>
    </w:p>
    <w:p w14:paraId="621660BC" w14:textId="77777777" w:rsidR="00AB2011" w:rsidRDefault="00AB2011" w:rsidP="00AB2011">
      <w:pPr>
        <w:pStyle w:val="Default"/>
        <w:numPr>
          <w:ilvl w:val="0"/>
          <w:numId w:val="24"/>
        </w:numPr>
        <w:spacing w:line="276" w:lineRule="auto"/>
        <w:ind w:left="567" w:hanging="207"/>
        <w:jc w:val="left"/>
        <w:rPr>
          <w:rFonts w:ascii="Candara" w:eastAsia="Candara" w:hAnsi="Candara"/>
          <w:color w:val="002060"/>
          <w:sz w:val="22"/>
          <w:szCs w:val="22"/>
        </w:rPr>
      </w:pPr>
      <w:r>
        <w:rPr>
          <w:rFonts w:ascii="Candara" w:eastAsia="Candara" w:hAnsi="Candara"/>
          <w:color w:val="002060"/>
          <w:sz w:val="22"/>
          <w:szCs w:val="22"/>
        </w:rPr>
        <w:t>CSD auto-generated gross realignments supporting specific transactions;</w:t>
      </w:r>
    </w:p>
    <w:p w14:paraId="0F89E936" w14:textId="77777777" w:rsidR="00AB2011" w:rsidRDefault="00AB2011" w:rsidP="00AB2011">
      <w:pPr>
        <w:pStyle w:val="ListParagraph"/>
        <w:numPr>
          <w:ilvl w:val="0"/>
          <w:numId w:val="24"/>
        </w:numPr>
        <w:adjustRightInd/>
        <w:spacing w:line="276" w:lineRule="auto"/>
        <w:ind w:left="567" w:hanging="207"/>
        <w:rPr>
          <w:rFonts w:ascii="Candara" w:eastAsia="Candara" w:hAnsi="Candara"/>
          <w:color w:val="002060"/>
        </w:rPr>
      </w:pPr>
      <w:r>
        <w:rPr>
          <w:rFonts w:ascii="Candara" w:eastAsia="Candara" w:hAnsi="Candara"/>
          <w:color w:val="002060"/>
        </w:rPr>
        <w:t xml:space="preserve">Bridge realignments (see settlement scenario </w:t>
      </w:r>
      <w:proofErr w:type="gramStart"/>
      <w:r>
        <w:rPr>
          <w:rFonts w:ascii="Candara" w:eastAsia="Candara" w:hAnsi="Candara"/>
          <w:color w:val="002060"/>
        </w:rPr>
        <w:t>11;  such</w:t>
      </w:r>
      <w:proofErr w:type="gramEnd"/>
      <w:r>
        <w:rPr>
          <w:rFonts w:ascii="Candara" w:eastAsia="Candara" w:hAnsi="Candara"/>
          <w:color w:val="002060"/>
        </w:rPr>
        <w:t xml:space="preserve"> transactions can be identified by the qualifier “REAL” used). </w:t>
      </w:r>
    </w:p>
    <w:p w14:paraId="38C47916" w14:textId="77777777" w:rsidR="00AB2011" w:rsidRDefault="00AB2011" w:rsidP="00AB2011">
      <w:pPr>
        <w:spacing w:line="276" w:lineRule="auto"/>
        <w:rPr>
          <w:rFonts w:ascii="Candara" w:eastAsia="Candara" w:hAnsi="Candara"/>
          <w:color w:val="002060"/>
          <w:sz w:val="22"/>
          <w:szCs w:val="22"/>
        </w:rPr>
      </w:pPr>
    </w:p>
    <w:p w14:paraId="64660ADF" w14:textId="77777777" w:rsidR="00AB2011" w:rsidRDefault="00AB2011" w:rsidP="00AB2011">
      <w:pPr>
        <w:spacing w:line="276" w:lineRule="auto"/>
        <w:jc w:val="both"/>
        <w:rPr>
          <w:rFonts w:ascii="Candara" w:eastAsia="Candara" w:hAnsi="Candara"/>
          <w:color w:val="002060"/>
          <w:sz w:val="22"/>
          <w:szCs w:val="22"/>
        </w:rPr>
      </w:pPr>
      <w:r>
        <w:rPr>
          <w:rFonts w:ascii="Candara" w:eastAsia="Candara" w:hAnsi="Candara"/>
          <w:color w:val="002060"/>
          <w:sz w:val="22"/>
          <w:szCs w:val="22"/>
        </w:rPr>
        <w:t xml:space="preserve">While </w:t>
      </w:r>
      <w:proofErr w:type="gramStart"/>
      <w:r>
        <w:rPr>
          <w:rFonts w:ascii="Candara" w:eastAsia="Candara" w:hAnsi="Candara"/>
          <w:color w:val="002060"/>
          <w:sz w:val="22"/>
          <w:szCs w:val="22"/>
        </w:rPr>
        <w:t>all of</w:t>
      </w:r>
      <w:proofErr w:type="gramEnd"/>
      <w:r>
        <w:rPr>
          <w:rFonts w:ascii="Candara" w:eastAsia="Candara" w:hAnsi="Candara"/>
          <w:color w:val="002060"/>
          <w:sz w:val="22"/>
          <w:szCs w:val="22"/>
        </w:rPr>
        <w:t xml:space="preserve"> the above types of transactions can result in a settlement fail, they remain outside of the CSD participants' control. </w:t>
      </w:r>
    </w:p>
    <w:p w14:paraId="39BBEA99" w14:textId="77777777" w:rsidR="00AB2011" w:rsidRDefault="00AB2011" w:rsidP="00AB2011">
      <w:pPr>
        <w:spacing w:line="276" w:lineRule="auto"/>
        <w:jc w:val="both"/>
        <w:rPr>
          <w:rFonts w:ascii="Candara" w:eastAsia="Candara" w:hAnsi="Candara"/>
          <w:color w:val="002060"/>
          <w:sz w:val="22"/>
          <w:szCs w:val="22"/>
        </w:rPr>
      </w:pPr>
    </w:p>
    <w:p w14:paraId="7923C466" w14:textId="77777777" w:rsidR="00AB2011" w:rsidRDefault="00AB2011" w:rsidP="00AB2011">
      <w:pPr>
        <w:spacing w:line="276" w:lineRule="auto"/>
        <w:jc w:val="both"/>
        <w:rPr>
          <w:rFonts w:ascii="Candara" w:eastAsia="Candara" w:hAnsi="Candara"/>
          <w:color w:val="002060"/>
          <w:sz w:val="22"/>
          <w:szCs w:val="22"/>
        </w:rPr>
      </w:pPr>
      <w:r>
        <w:rPr>
          <w:rFonts w:ascii="Candara" w:eastAsia="Candara" w:hAnsi="Candara"/>
          <w:color w:val="002060"/>
          <w:sz w:val="22"/>
          <w:szCs w:val="22"/>
        </w:rPr>
        <w:t xml:space="preserve">In addition to these specific types of transactions, there are also specific restrictions (or events), that are falling outside the CSD participants' control, and </w:t>
      </w:r>
      <w:proofErr w:type="gramStart"/>
      <w:r>
        <w:rPr>
          <w:rFonts w:ascii="Candara" w:eastAsia="Candara" w:hAnsi="Candara"/>
          <w:color w:val="002060"/>
          <w:sz w:val="22"/>
          <w:szCs w:val="22"/>
        </w:rPr>
        <w:t>have to</w:t>
      </w:r>
      <w:proofErr w:type="gramEnd"/>
      <w:r>
        <w:rPr>
          <w:rFonts w:ascii="Candara" w:eastAsia="Candara" w:hAnsi="Candara"/>
          <w:color w:val="002060"/>
          <w:sz w:val="22"/>
          <w:szCs w:val="22"/>
        </w:rPr>
        <w:t xml:space="preserve"> be out of scope of the Settlement Discipline Regime. These includes, for instance: </w:t>
      </w:r>
    </w:p>
    <w:p w14:paraId="6C326E92" w14:textId="77777777" w:rsidR="00AB2011" w:rsidRDefault="00AB2011" w:rsidP="00AB2011">
      <w:pPr>
        <w:pStyle w:val="ListParagraph"/>
        <w:numPr>
          <w:ilvl w:val="0"/>
          <w:numId w:val="25"/>
        </w:numPr>
        <w:adjustRightInd/>
        <w:spacing w:line="276" w:lineRule="auto"/>
        <w:rPr>
          <w:rFonts w:ascii="Candara" w:eastAsia="Candara" w:hAnsi="Candara"/>
          <w:color w:val="002060"/>
        </w:rPr>
      </w:pPr>
      <w:r>
        <w:rPr>
          <w:rFonts w:ascii="Candara" w:eastAsia="Candara" w:hAnsi="Candara"/>
          <w:color w:val="002060"/>
        </w:rPr>
        <w:t xml:space="preserve">Sanctions, </w:t>
      </w:r>
    </w:p>
    <w:p w14:paraId="65C8B812" w14:textId="77777777" w:rsidR="00AB2011" w:rsidRDefault="00AB2011" w:rsidP="00AB2011">
      <w:pPr>
        <w:pStyle w:val="ListParagraph"/>
        <w:numPr>
          <w:ilvl w:val="0"/>
          <w:numId w:val="25"/>
        </w:numPr>
        <w:adjustRightInd/>
        <w:spacing w:line="276" w:lineRule="auto"/>
        <w:rPr>
          <w:rFonts w:ascii="Candara" w:eastAsia="Candara" w:hAnsi="Candara"/>
          <w:color w:val="002060"/>
        </w:rPr>
      </w:pPr>
      <w:r>
        <w:rPr>
          <w:rFonts w:ascii="Candara" w:eastAsia="Candara" w:hAnsi="Candara"/>
          <w:color w:val="002060"/>
        </w:rPr>
        <w:t>Anti-money laundering proceedings,</w:t>
      </w:r>
    </w:p>
    <w:p w14:paraId="604A6D11" w14:textId="77777777" w:rsidR="00AB2011" w:rsidRDefault="00AB2011" w:rsidP="00AB2011">
      <w:pPr>
        <w:pStyle w:val="ListParagraph"/>
        <w:numPr>
          <w:ilvl w:val="0"/>
          <w:numId w:val="25"/>
        </w:numPr>
        <w:adjustRightInd/>
        <w:spacing w:line="276" w:lineRule="auto"/>
        <w:rPr>
          <w:rFonts w:ascii="Candara" w:eastAsia="Candara" w:hAnsi="Candara"/>
          <w:color w:val="002060"/>
        </w:rPr>
      </w:pPr>
      <w:r>
        <w:rPr>
          <w:rFonts w:ascii="Candara" w:eastAsia="Candara" w:hAnsi="Candara"/>
          <w:color w:val="002060"/>
        </w:rPr>
        <w:t>Court order enforcing,</w:t>
      </w:r>
    </w:p>
    <w:p w14:paraId="22471FE9" w14:textId="77777777" w:rsidR="00AB2011" w:rsidRDefault="00AB2011" w:rsidP="00AB2011">
      <w:pPr>
        <w:pStyle w:val="ListParagraph"/>
        <w:numPr>
          <w:ilvl w:val="0"/>
          <w:numId w:val="25"/>
        </w:numPr>
        <w:adjustRightInd/>
        <w:spacing w:line="276" w:lineRule="auto"/>
        <w:rPr>
          <w:rFonts w:ascii="Candara" w:eastAsia="Candara" w:hAnsi="Candara"/>
          <w:color w:val="002060"/>
        </w:rPr>
      </w:pPr>
      <w:r>
        <w:rPr>
          <w:rFonts w:ascii="Candara" w:eastAsia="Candara" w:hAnsi="Candara"/>
          <w:color w:val="002060"/>
        </w:rPr>
        <w:t>Risk management checks and procedures,</w:t>
      </w:r>
    </w:p>
    <w:p w14:paraId="1D9FF55A" w14:textId="77777777" w:rsidR="00AB2011" w:rsidRDefault="00AB2011" w:rsidP="00AB2011">
      <w:pPr>
        <w:pStyle w:val="ListParagraph"/>
        <w:numPr>
          <w:ilvl w:val="0"/>
          <w:numId w:val="25"/>
        </w:numPr>
        <w:adjustRightInd/>
        <w:spacing w:line="276" w:lineRule="auto"/>
        <w:rPr>
          <w:rFonts w:ascii="Candara" w:eastAsia="Candara" w:hAnsi="Candara"/>
          <w:color w:val="002060"/>
        </w:rPr>
      </w:pPr>
      <w:r>
        <w:rPr>
          <w:rFonts w:ascii="Candara" w:eastAsia="Candara" w:hAnsi="Candara"/>
          <w:color w:val="002060"/>
        </w:rPr>
        <w:t>Monitoring by Compliance, and similar.</w:t>
      </w:r>
    </w:p>
    <w:p w14:paraId="1C945105" w14:textId="77777777" w:rsidR="00AB2011" w:rsidRDefault="00AB2011" w:rsidP="00AB2011">
      <w:pPr>
        <w:spacing w:line="276" w:lineRule="auto"/>
        <w:jc w:val="both"/>
        <w:rPr>
          <w:rFonts w:ascii="Candara" w:eastAsia="Candara" w:hAnsi="Candara"/>
          <w:color w:val="002060"/>
          <w:sz w:val="22"/>
          <w:szCs w:val="22"/>
        </w:rPr>
      </w:pPr>
    </w:p>
    <w:p w14:paraId="00F4DFB2" w14:textId="77777777" w:rsidR="00AB2011" w:rsidRDefault="00AB2011" w:rsidP="00AB2011">
      <w:pPr>
        <w:spacing w:line="276" w:lineRule="auto"/>
        <w:jc w:val="both"/>
        <w:rPr>
          <w:rFonts w:ascii="Candara" w:eastAsia="Candara" w:hAnsi="Candara"/>
          <w:color w:val="002060"/>
          <w:sz w:val="22"/>
          <w:szCs w:val="22"/>
        </w:rPr>
      </w:pPr>
      <w:r>
        <w:rPr>
          <w:rFonts w:ascii="Candara" w:eastAsia="Candara" w:hAnsi="Candara"/>
          <w:color w:val="002060"/>
          <w:sz w:val="22"/>
          <w:szCs w:val="22"/>
        </w:rPr>
        <w:t>These events can happen in any CSD, so should be out of scope by all CSDs for harmonisation purposes.</w:t>
      </w:r>
    </w:p>
    <w:permEnd w:id="535772821"/>
    <w:p w14:paraId="00FA8417" w14:textId="77777777" w:rsidR="00C85C8B" w:rsidRDefault="00C85C8B" w:rsidP="00C85C8B">
      <w:pPr>
        <w:rPr>
          <w:rFonts w:ascii="Arial" w:hAnsi="Arial" w:cs="Arial"/>
        </w:rPr>
      </w:pPr>
      <w:r>
        <w:rPr>
          <w:rFonts w:ascii="Arial" w:hAnsi="Arial" w:cs="Arial"/>
        </w:rPr>
        <w:t>&lt;ESMA_QUESTION_SFR_5&gt;</w:t>
      </w:r>
    </w:p>
    <w:p w14:paraId="25AA1EEE" w14:textId="77777777" w:rsidR="00C85C8B" w:rsidRDefault="00C85C8B" w:rsidP="00C85C8B">
      <w:pPr>
        <w:rPr>
          <w:rFonts w:ascii="Arial" w:hAnsi="Arial" w:cs="Arial"/>
        </w:rPr>
      </w:pPr>
    </w:p>
    <w:p w14:paraId="0A714943" w14:textId="77777777" w:rsidR="00C85C8B" w:rsidRDefault="00C85C8B" w:rsidP="00C85C8B">
      <w:pPr>
        <w:pStyle w:val="Questionstyle"/>
        <w:numPr>
          <w:ilvl w:val="0"/>
          <w:numId w:val="13"/>
        </w:numPr>
        <w:spacing w:after="250" w:line="276" w:lineRule="auto"/>
        <w:ind w:left="360"/>
      </w:pPr>
      <w:r w:rsidRPr="00B0053A">
        <w:t>: Do you have comments or suggestions regarding the settlement scenarios included in Annex I to the Guidelines? Do you think there are additional scenarios which would be relevant? Please provide arguments supporting your comments and suggestions.</w:t>
      </w:r>
    </w:p>
    <w:p w14:paraId="3714422E" w14:textId="77777777" w:rsidR="00C85C8B" w:rsidRDefault="00C85C8B" w:rsidP="00C85C8B">
      <w:pPr>
        <w:rPr>
          <w:rFonts w:ascii="Arial" w:hAnsi="Arial" w:cs="Arial"/>
        </w:rPr>
      </w:pPr>
      <w:r>
        <w:rPr>
          <w:rFonts w:ascii="Arial" w:hAnsi="Arial" w:cs="Arial"/>
        </w:rPr>
        <w:t>&lt;ESMA_QUESTION_SFR_6&gt;</w:t>
      </w:r>
    </w:p>
    <w:p w14:paraId="379E150C" w14:textId="77777777" w:rsidR="00CD7FBD" w:rsidRDefault="00CD7FBD" w:rsidP="00CD7FBD">
      <w:pPr>
        <w:pStyle w:val="ListParagraph"/>
        <w:numPr>
          <w:ilvl w:val="0"/>
          <w:numId w:val="26"/>
        </w:numPr>
        <w:adjustRightInd/>
        <w:spacing w:line="276" w:lineRule="auto"/>
        <w:ind w:left="567"/>
        <w:rPr>
          <w:rFonts w:ascii="Candara" w:eastAsia="Candara" w:hAnsi="Candara"/>
          <w:color w:val="002060"/>
        </w:rPr>
      </w:pPr>
      <w:permStart w:id="726743968" w:edGrp="everyone"/>
      <w:r>
        <w:rPr>
          <w:rFonts w:ascii="Candara" w:eastAsia="Candara" w:hAnsi="Candara"/>
          <w:color w:val="002060"/>
        </w:rPr>
        <w:t>We agree with the scenarios in context of settlement in EU CSDs.</w:t>
      </w:r>
    </w:p>
    <w:p w14:paraId="469A2CAC" w14:textId="77777777" w:rsidR="00CD7FBD" w:rsidRDefault="00CD7FBD" w:rsidP="00CD7FBD">
      <w:pPr>
        <w:pStyle w:val="ListParagraph"/>
        <w:numPr>
          <w:ilvl w:val="0"/>
          <w:numId w:val="0"/>
        </w:numPr>
        <w:spacing w:line="276" w:lineRule="auto"/>
        <w:ind w:left="567"/>
        <w:rPr>
          <w:rFonts w:ascii="Candara" w:eastAsia="Candara" w:hAnsi="Candara"/>
          <w:color w:val="002060"/>
        </w:rPr>
      </w:pPr>
    </w:p>
    <w:p w14:paraId="23B0AEFC" w14:textId="77777777" w:rsidR="00CD7FBD" w:rsidRDefault="00CD7FBD" w:rsidP="00CD7FBD">
      <w:pPr>
        <w:pStyle w:val="ListParagraph"/>
        <w:numPr>
          <w:ilvl w:val="0"/>
          <w:numId w:val="26"/>
        </w:numPr>
        <w:adjustRightInd/>
        <w:spacing w:line="276" w:lineRule="auto"/>
        <w:ind w:left="567"/>
        <w:rPr>
          <w:rFonts w:ascii="Candara" w:eastAsia="Candara" w:hAnsi="Candara"/>
          <w:color w:val="002060"/>
        </w:rPr>
      </w:pPr>
      <w:r>
        <w:rPr>
          <w:rFonts w:ascii="Candara" w:eastAsia="Candara" w:hAnsi="Candara"/>
          <w:color w:val="002060"/>
        </w:rPr>
        <w:t xml:space="preserve">However, transactions where the place of settlement is outside of a CSD in the EU, should be considered as out of EU CSDs´ reporting scope (following the same logic as for penalties and buy-in management). We refer to the Consultation Paper on standardised procedures and messaging protocols, which clearly defines the scope to be applied: </w:t>
      </w:r>
      <w:r>
        <w:rPr>
          <w:rFonts w:ascii="Candara" w:eastAsia="Candara" w:hAnsi="Candara"/>
          <w:i/>
          <w:color w:val="002060"/>
        </w:rPr>
        <w:t xml:space="preserve">“There is however a condition as to their place of settlement which should occur in a securities settlement system governed by the law of a Member State (Articles 2(1)(10) and 5(1) of Regulation (EU) No 909/2014), therefore, the scope of this requirement </w:t>
      </w:r>
      <w:r>
        <w:rPr>
          <w:rFonts w:ascii="Candara" w:eastAsia="Candara" w:hAnsi="Candara"/>
          <w:b/>
          <w:i/>
          <w:color w:val="002060"/>
        </w:rPr>
        <w:t>should be limited to transactions</w:t>
      </w:r>
      <w:r>
        <w:rPr>
          <w:rFonts w:ascii="Candara" w:eastAsia="Candara" w:hAnsi="Candara"/>
          <w:i/>
          <w:color w:val="002060"/>
        </w:rPr>
        <w:t xml:space="preserve"> in financial instruments which the parties intend to settle in an EU CSD.”</w:t>
      </w:r>
    </w:p>
    <w:p w14:paraId="4C35AD9F" w14:textId="77777777" w:rsidR="00CD7FBD" w:rsidRDefault="00CD7FBD" w:rsidP="00CD7FBD">
      <w:pPr>
        <w:pStyle w:val="ListParagraph"/>
        <w:numPr>
          <w:ilvl w:val="0"/>
          <w:numId w:val="0"/>
        </w:numPr>
        <w:spacing w:line="276" w:lineRule="auto"/>
        <w:ind w:left="567"/>
        <w:rPr>
          <w:rFonts w:ascii="Candara" w:eastAsia="Candara" w:hAnsi="Candara"/>
          <w:color w:val="002060"/>
        </w:rPr>
      </w:pPr>
    </w:p>
    <w:p w14:paraId="42528FD1" w14:textId="77777777" w:rsidR="00CD7FBD" w:rsidRDefault="00CD7FBD" w:rsidP="00CD7FBD">
      <w:pPr>
        <w:pStyle w:val="ListParagraph"/>
        <w:numPr>
          <w:ilvl w:val="0"/>
          <w:numId w:val="26"/>
        </w:numPr>
        <w:adjustRightInd/>
        <w:spacing w:line="276" w:lineRule="auto"/>
        <w:ind w:left="567"/>
        <w:rPr>
          <w:rFonts w:ascii="Candara" w:eastAsia="Candara" w:hAnsi="Candara"/>
          <w:color w:val="002060"/>
        </w:rPr>
      </w:pPr>
      <w:proofErr w:type="gramStart"/>
      <w:r>
        <w:rPr>
          <w:rFonts w:ascii="Candara" w:eastAsia="Candara" w:hAnsi="Candara"/>
          <w:color w:val="002060"/>
        </w:rPr>
        <w:t>Additionally,  more</w:t>
      </w:r>
      <w:proofErr w:type="gramEnd"/>
      <w:r>
        <w:rPr>
          <w:rFonts w:ascii="Candara" w:eastAsia="Candara" w:hAnsi="Candara"/>
          <w:color w:val="002060"/>
        </w:rPr>
        <w:t xml:space="preserve"> scenarios </w:t>
      </w:r>
      <w:r>
        <w:rPr>
          <w:rFonts w:ascii="Candara" w:eastAsia="Candara" w:hAnsi="Candara"/>
          <w:b/>
          <w:color w:val="002060"/>
        </w:rPr>
        <w:t xml:space="preserve">with regard to third countries </w:t>
      </w:r>
      <w:r w:rsidRPr="00EE02CB">
        <w:rPr>
          <w:rFonts w:ascii="Candara" w:eastAsia="Candara" w:hAnsi="Candara"/>
          <w:color w:val="002060"/>
        </w:rPr>
        <w:t>may be relevant</w:t>
      </w:r>
      <w:r w:rsidRPr="005F4B4C">
        <w:rPr>
          <w:rFonts w:ascii="Candara" w:eastAsia="Candara" w:hAnsi="Candara"/>
          <w:color w:val="002060"/>
        </w:rPr>
        <w:t>.</w:t>
      </w:r>
      <w:r>
        <w:rPr>
          <w:rFonts w:ascii="Candara" w:eastAsia="Candara" w:hAnsi="Candara"/>
          <w:color w:val="002060"/>
        </w:rPr>
        <w:t xml:space="preserve"> For instance, scenario 9 could be complemented with at least three additional scenarios being:</w:t>
      </w:r>
    </w:p>
    <w:p w14:paraId="746423B5" w14:textId="77777777" w:rsidR="00CD7FBD" w:rsidRDefault="00CD7FBD" w:rsidP="00CD7FBD">
      <w:pPr>
        <w:spacing w:line="276" w:lineRule="auto"/>
        <w:ind w:left="567"/>
        <w:jc w:val="both"/>
        <w:rPr>
          <w:rFonts w:ascii="Candara" w:eastAsia="Candara" w:hAnsi="Candara"/>
          <w:color w:val="002060"/>
          <w:sz w:val="22"/>
          <w:szCs w:val="22"/>
        </w:rPr>
      </w:pPr>
      <w:r>
        <w:rPr>
          <w:rFonts w:ascii="Candara" w:eastAsia="Candara" w:hAnsi="Candara"/>
          <w:color w:val="002060"/>
          <w:sz w:val="22"/>
          <w:szCs w:val="22"/>
        </w:rPr>
        <w:t>A) Replace Investor CSD 2 with a non-CSD participant (a more common scenario than scenario 9)</w:t>
      </w:r>
    </w:p>
    <w:p w14:paraId="40BACE57" w14:textId="77777777" w:rsidR="00CD7FBD" w:rsidRDefault="00CD7FBD" w:rsidP="00CD7FBD">
      <w:pPr>
        <w:spacing w:line="276" w:lineRule="auto"/>
        <w:ind w:left="567"/>
        <w:jc w:val="both"/>
        <w:rPr>
          <w:rFonts w:ascii="Candara" w:eastAsia="Candara" w:hAnsi="Candara"/>
          <w:color w:val="002060"/>
          <w:sz w:val="22"/>
          <w:szCs w:val="22"/>
        </w:rPr>
      </w:pPr>
      <w:r>
        <w:rPr>
          <w:rFonts w:ascii="Candara" w:eastAsia="Candara" w:hAnsi="Candara"/>
          <w:color w:val="002060"/>
          <w:sz w:val="22"/>
          <w:szCs w:val="22"/>
        </w:rPr>
        <w:t>B) Indirect link where Investor CSD 1 participant is an Investor CSD too (3).</w:t>
      </w:r>
    </w:p>
    <w:p w14:paraId="598AB58C" w14:textId="77777777" w:rsidR="00CD7FBD" w:rsidRDefault="00CD7FBD" w:rsidP="00CD7FBD">
      <w:pPr>
        <w:spacing w:line="276" w:lineRule="auto"/>
        <w:ind w:left="567"/>
        <w:jc w:val="both"/>
        <w:rPr>
          <w:rFonts w:ascii="Candara" w:eastAsia="Candara" w:hAnsi="Candara"/>
          <w:color w:val="002060"/>
          <w:sz w:val="22"/>
          <w:szCs w:val="22"/>
        </w:rPr>
      </w:pPr>
      <w:r>
        <w:rPr>
          <w:rFonts w:ascii="Candara" w:eastAsia="Candara" w:hAnsi="Candara"/>
          <w:color w:val="002060"/>
          <w:sz w:val="22"/>
          <w:szCs w:val="22"/>
        </w:rPr>
        <w:t>C) Indirect link where Investor CSD 3 uses a participant which is not a CSD to link up to the issuer CSD market (also a common scenario).</w:t>
      </w:r>
    </w:p>
    <w:p w14:paraId="3963A2D0" w14:textId="77777777" w:rsidR="00CD7FBD" w:rsidRDefault="00CD7FBD" w:rsidP="00CD7FBD">
      <w:pPr>
        <w:spacing w:line="276" w:lineRule="auto"/>
        <w:ind w:left="567"/>
        <w:jc w:val="both"/>
        <w:rPr>
          <w:rFonts w:ascii="Candara" w:eastAsia="Candara" w:hAnsi="Candara"/>
          <w:color w:val="002060"/>
          <w:sz w:val="22"/>
          <w:szCs w:val="22"/>
        </w:rPr>
      </w:pPr>
    </w:p>
    <w:p w14:paraId="3E69CF11" w14:textId="77777777" w:rsidR="00CD7FBD" w:rsidRDefault="00CD7FBD" w:rsidP="00CD7FBD">
      <w:pPr>
        <w:spacing w:line="276" w:lineRule="auto"/>
        <w:ind w:left="567"/>
        <w:jc w:val="both"/>
        <w:rPr>
          <w:rFonts w:ascii="Candara" w:eastAsia="Candara" w:hAnsi="Candara"/>
          <w:color w:val="002060"/>
          <w:sz w:val="22"/>
          <w:szCs w:val="22"/>
        </w:rPr>
      </w:pPr>
      <w:r>
        <w:rPr>
          <w:rFonts w:ascii="Candara" w:eastAsia="Candara" w:hAnsi="Candara"/>
          <w:color w:val="002060"/>
          <w:sz w:val="22"/>
          <w:szCs w:val="22"/>
        </w:rPr>
        <w:lastRenderedPageBreak/>
        <w:t>Please also refer to our response on Q7.</w:t>
      </w:r>
    </w:p>
    <w:permEnd w:id="726743968"/>
    <w:p w14:paraId="4FA9CBDD" w14:textId="77777777" w:rsidR="00C85C8B" w:rsidRDefault="00C85C8B" w:rsidP="00C85C8B">
      <w:pPr>
        <w:rPr>
          <w:rFonts w:ascii="Arial" w:hAnsi="Arial" w:cs="Arial"/>
        </w:rPr>
      </w:pPr>
      <w:r>
        <w:rPr>
          <w:rFonts w:ascii="Arial" w:hAnsi="Arial" w:cs="Arial"/>
        </w:rPr>
        <w:t>&lt;ESMA_QUESTION_SFR_6&gt;</w:t>
      </w:r>
    </w:p>
    <w:p w14:paraId="3FFEB806" w14:textId="77777777" w:rsidR="00C85C8B" w:rsidRDefault="00C85C8B" w:rsidP="00C85C8B">
      <w:pPr>
        <w:rPr>
          <w:rFonts w:ascii="Arial" w:hAnsi="Arial" w:cs="Arial"/>
        </w:rPr>
      </w:pPr>
    </w:p>
    <w:p w14:paraId="29E696BF" w14:textId="77777777" w:rsidR="00C85C8B" w:rsidRDefault="00C85C8B" w:rsidP="00C85C8B">
      <w:pPr>
        <w:pStyle w:val="Questionstyle"/>
        <w:numPr>
          <w:ilvl w:val="0"/>
          <w:numId w:val="13"/>
        </w:numPr>
        <w:spacing w:after="250" w:line="276" w:lineRule="auto"/>
        <w:ind w:left="360"/>
      </w:pPr>
      <w:r w:rsidRPr="00B0053A">
        <w:t xml:space="preserve">: Do you see any operational burdens related to reporting by an Investor CSD even when it receives only one settlement instruction which it sends to another CSD (e.g. Issuer CSD) through a CSD link? What about in the case where the Issuer CSD is a third-country CSD? Please provide arguments supporting your comments and suggestions. </w:t>
      </w:r>
    </w:p>
    <w:p w14:paraId="0E31EBB1" w14:textId="77777777" w:rsidR="00C85C8B" w:rsidRDefault="00C85C8B" w:rsidP="00C85C8B">
      <w:pPr>
        <w:rPr>
          <w:rFonts w:ascii="Arial" w:hAnsi="Arial" w:cs="Arial"/>
        </w:rPr>
      </w:pPr>
      <w:r>
        <w:rPr>
          <w:rFonts w:ascii="Arial" w:hAnsi="Arial" w:cs="Arial"/>
        </w:rPr>
        <w:t>&lt;ESMA_QUESTION_SFR_7&gt;</w:t>
      </w:r>
    </w:p>
    <w:p w14:paraId="2BA2DBCC" w14:textId="77777777" w:rsidR="00CD7FBD" w:rsidRDefault="00CD7FBD" w:rsidP="00CD7FBD">
      <w:pPr>
        <w:pStyle w:val="ListParagraph"/>
        <w:numPr>
          <w:ilvl w:val="0"/>
          <w:numId w:val="27"/>
        </w:numPr>
        <w:adjustRightInd/>
        <w:spacing w:line="276" w:lineRule="auto"/>
        <w:ind w:left="567" w:hanging="207"/>
        <w:rPr>
          <w:rFonts w:ascii="Candara" w:eastAsia="Candara" w:hAnsi="Candara"/>
          <w:color w:val="1F4D78" w:themeColor="accent1" w:themeShade="7F"/>
        </w:rPr>
      </w:pPr>
      <w:permStart w:id="1614642493" w:edGrp="everyone"/>
      <w:r>
        <w:rPr>
          <w:rFonts w:ascii="Candara" w:eastAsia="Candara" w:hAnsi="Candara"/>
          <w:color w:val="1F4D78" w:themeColor="accent1" w:themeShade="7F"/>
        </w:rPr>
        <w:t xml:space="preserve">Finality will be reached in the CSD acting as place of settlement (PSET) CSD (in most cases also being the Issuer CSD). Thus, the Issuer CSD will report intra-CSD settlement where they act as PSET, this will include settlement made by the Investor CSD, as a participant (thus being cross CSD in their view). The Issuer CSD would report both legs of the instruction, where they act as a PSET CSD, and the Investor CSD would report the individual leg, instructed by the participant of the Investor CSD, which are routed to the Issuer CSD for settlement and already matched there. </w:t>
      </w:r>
    </w:p>
    <w:p w14:paraId="21D6F794" w14:textId="77777777" w:rsidR="00CD7FBD" w:rsidRPr="00210CB9" w:rsidRDefault="00CD7FBD" w:rsidP="00CD7FBD">
      <w:pPr>
        <w:pStyle w:val="ListParagraph"/>
        <w:numPr>
          <w:ilvl w:val="0"/>
          <w:numId w:val="27"/>
        </w:numPr>
        <w:adjustRightInd/>
        <w:spacing w:line="276" w:lineRule="auto"/>
        <w:ind w:left="567" w:hanging="207"/>
        <w:rPr>
          <w:rFonts w:ascii="Candara" w:hAnsi="Candara"/>
          <w:color w:val="002060"/>
          <w:lang w:val="en-US" w:eastAsia="en-US"/>
        </w:rPr>
      </w:pPr>
      <w:r>
        <w:rPr>
          <w:rFonts w:ascii="Candara" w:eastAsia="Candara" w:hAnsi="Candara"/>
          <w:color w:val="1F4D78" w:themeColor="accent1" w:themeShade="7F"/>
        </w:rPr>
        <w:t xml:space="preserve">For third-country CSDs, such reporting would not be consistent with other data requirements since finality would not occur within EU (see answer to Q6). If the investor CSD is to report these transactions, it would not be consistent with the penalties management where those transactions are clearly excluded. If ESMA intention is to stick for harmonisation across all Settlement Discipline topics, then we recommend </w:t>
      </w:r>
      <w:proofErr w:type="gramStart"/>
      <w:r>
        <w:rPr>
          <w:rFonts w:ascii="Candara" w:eastAsia="Candara" w:hAnsi="Candara"/>
          <w:color w:val="1F4D78" w:themeColor="accent1" w:themeShade="7F"/>
        </w:rPr>
        <w:t>to exclude</w:t>
      </w:r>
      <w:proofErr w:type="gramEnd"/>
      <w:r>
        <w:rPr>
          <w:rFonts w:ascii="Candara" w:eastAsia="Candara" w:hAnsi="Candara"/>
          <w:color w:val="1F4D78" w:themeColor="accent1" w:themeShade="7F"/>
        </w:rPr>
        <w:t xml:space="preserve"> these transactions from the reporting on settlement fails. </w:t>
      </w:r>
      <w:r w:rsidRPr="00210CB9">
        <w:rPr>
          <w:rFonts w:ascii="Candara" w:hAnsi="Candara" w:cs="Arial"/>
          <w:color w:val="002060"/>
          <w:lang w:val="en-US" w:eastAsia="en-US"/>
        </w:rPr>
        <w:t xml:space="preserve">Regarding T2S, no operational burden has been identified for scenarios involving T2S, as a settlement fail will always materialise on T2S on the basis of matched settlement instructions, even in scenarios where the Issuer CSD is external to </w:t>
      </w:r>
      <w:proofErr w:type="gramStart"/>
      <w:r w:rsidRPr="00210CB9">
        <w:rPr>
          <w:rFonts w:ascii="Candara" w:hAnsi="Candara" w:cs="Arial"/>
          <w:color w:val="002060"/>
          <w:lang w:val="en-US" w:eastAsia="en-US"/>
        </w:rPr>
        <w:t>T2S, and</w:t>
      </w:r>
      <w:proofErr w:type="gramEnd"/>
      <w:r w:rsidRPr="00210CB9">
        <w:rPr>
          <w:rFonts w:ascii="Candara" w:hAnsi="Candara" w:cs="Arial"/>
          <w:color w:val="002060"/>
          <w:lang w:val="en-US" w:eastAsia="en-US"/>
        </w:rPr>
        <w:t xml:space="preserve"> be reported to the relevant T2S CSD(s). </w:t>
      </w:r>
      <w:r w:rsidRPr="00210CB9">
        <w:rPr>
          <w:rFonts w:ascii="Candara" w:hAnsi="Candara" w:cs="Arial"/>
          <w:bCs/>
          <w:color w:val="002060"/>
          <w:lang w:val="en-US" w:eastAsia="en-US"/>
        </w:rPr>
        <w:t>However,</w:t>
      </w:r>
      <w:r w:rsidRPr="00210CB9">
        <w:rPr>
          <w:rFonts w:ascii="Candara" w:hAnsi="Candara" w:cs="Arial"/>
          <w:color w:val="002060"/>
          <w:lang w:val="en-US" w:eastAsia="en-US"/>
        </w:rPr>
        <w:t xml:space="preserve"> in the case where the Issuer CSD is a third-country CSD and the security is considered in scope of the settlement fails reporting, T2S CSDs </w:t>
      </w:r>
      <w:r w:rsidRPr="00210CB9">
        <w:rPr>
          <w:rFonts w:ascii="Candara" w:hAnsi="Candara" w:cs="Arial"/>
          <w:bCs/>
          <w:color w:val="002060"/>
          <w:lang w:val="en-US" w:eastAsia="en-US"/>
        </w:rPr>
        <w:t>may</w:t>
      </w:r>
      <w:r w:rsidRPr="00210CB9">
        <w:rPr>
          <w:rFonts w:ascii="Candara" w:hAnsi="Candara" w:cs="Arial"/>
          <w:color w:val="002060"/>
          <w:lang w:val="en-US" w:eastAsia="en-US"/>
        </w:rPr>
        <w:t xml:space="preserve"> have to exclude the settlement instruction from the reporting </w:t>
      </w:r>
      <w:r w:rsidRPr="00210CB9">
        <w:rPr>
          <w:rFonts w:ascii="Candara" w:hAnsi="Candara" w:cs="Arial"/>
          <w:bCs/>
          <w:color w:val="002060"/>
          <w:lang w:val="en-US" w:eastAsia="en-US"/>
        </w:rPr>
        <w:t>should the fails reporting scope be the same as the one for penalties purposes.</w:t>
      </w:r>
      <w:r w:rsidRPr="00210CB9">
        <w:rPr>
          <w:rFonts w:ascii="Candara" w:hAnsi="Candara" w:cs="Arial"/>
          <w:color w:val="002060"/>
          <w:lang w:val="en-US" w:eastAsia="en-US"/>
        </w:rPr>
        <w:t xml:space="preserve"> </w:t>
      </w:r>
    </w:p>
    <w:permEnd w:id="1614642493"/>
    <w:p w14:paraId="1E7FC841" w14:textId="77777777" w:rsidR="00C85C8B" w:rsidRDefault="00C85C8B" w:rsidP="00C85C8B">
      <w:pPr>
        <w:rPr>
          <w:rFonts w:ascii="Arial" w:hAnsi="Arial" w:cs="Arial"/>
        </w:rPr>
      </w:pPr>
      <w:r>
        <w:rPr>
          <w:rFonts w:ascii="Arial" w:hAnsi="Arial" w:cs="Arial"/>
        </w:rPr>
        <w:t>&lt;ESMA_QUESTION_SFR_7&gt;</w:t>
      </w:r>
    </w:p>
    <w:p w14:paraId="27322082" w14:textId="77777777" w:rsidR="00C85C8B" w:rsidRDefault="00C85C8B" w:rsidP="00C85C8B">
      <w:pPr>
        <w:rPr>
          <w:rFonts w:ascii="Arial" w:hAnsi="Arial" w:cs="Arial"/>
        </w:rPr>
      </w:pPr>
    </w:p>
    <w:p w14:paraId="4915EC39" w14:textId="77777777" w:rsidR="00C85C8B" w:rsidRDefault="00C85C8B" w:rsidP="00C85C8B">
      <w:pPr>
        <w:pStyle w:val="Questionstyle"/>
        <w:numPr>
          <w:ilvl w:val="0"/>
          <w:numId w:val="13"/>
        </w:numPr>
        <w:spacing w:after="250" w:line="276" w:lineRule="auto"/>
        <w:ind w:left="360"/>
      </w:pPr>
      <w:r w:rsidRPr="00B0053A">
        <w:t>: Can such settlement instructions as mentioned in Q7 be subject to settlement fails? If the answer is no, please explain why.  If the answer is yes, please specify the cases/reasons that may lead to settlement fails.</w:t>
      </w:r>
    </w:p>
    <w:p w14:paraId="69142E1B" w14:textId="77777777" w:rsidR="00C85C8B" w:rsidRDefault="00C85C8B" w:rsidP="00C85C8B">
      <w:pPr>
        <w:rPr>
          <w:rFonts w:ascii="Arial" w:hAnsi="Arial" w:cs="Arial"/>
        </w:rPr>
      </w:pPr>
      <w:r>
        <w:rPr>
          <w:rFonts w:ascii="Arial" w:hAnsi="Arial" w:cs="Arial"/>
        </w:rPr>
        <w:t>&lt;ESMA_QUESTION_SFR_8&gt;</w:t>
      </w:r>
    </w:p>
    <w:p w14:paraId="6D3F8620" w14:textId="77777777" w:rsidR="00F03738" w:rsidRDefault="00F03738" w:rsidP="00F03738">
      <w:pPr>
        <w:spacing w:line="276" w:lineRule="auto"/>
        <w:jc w:val="both"/>
        <w:rPr>
          <w:rFonts w:ascii="Candara" w:eastAsia="Candara" w:hAnsi="Candara"/>
          <w:color w:val="002060"/>
          <w:sz w:val="22"/>
          <w:szCs w:val="22"/>
        </w:rPr>
      </w:pPr>
      <w:permStart w:id="1937200353" w:edGrp="everyone"/>
      <w:r>
        <w:rPr>
          <w:rFonts w:ascii="Candara" w:eastAsia="Candara" w:hAnsi="Candara"/>
          <w:color w:val="002060"/>
          <w:sz w:val="22"/>
          <w:szCs w:val="22"/>
        </w:rPr>
        <w:t xml:space="preserve">The one-legged cross CSD instruction can fail at the investor CSD level, when cash or securities provisioning checks are performed as well as at issuer CSD level, e.g. due to lack of securities or cash of one or both participants. </w:t>
      </w:r>
    </w:p>
    <w:permEnd w:id="1937200353"/>
    <w:p w14:paraId="2EE65502" w14:textId="77777777" w:rsidR="00C85C8B" w:rsidRDefault="00C85C8B" w:rsidP="00C85C8B">
      <w:pPr>
        <w:rPr>
          <w:rFonts w:ascii="Arial" w:hAnsi="Arial" w:cs="Arial"/>
        </w:rPr>
      </w:pPr>
      <w:r>
        <w:rPr>
          <w:rFonts w:ascii="Arial" w:hAnsi="Arial" w:cs="Arial"/>
        </w:rPr>
        <w:t>&lt;ESMA_QUESTION_SFR_8&gt;</w:t>
      </w:r>
    </w:p>
    <w:p w14:paraId="5557F309" w14:textId="77777777" w:rsidR="00C85C8B" w:rsidRDefault="00C85C8B" w:rsidP="00C85C8B">
      <w:pPr>
        <w:rPr>
          <w:rFonts w:ascii="Arial" w:hAnsi="Arial" w:cs="Arial"/>
        </w:rPr>
      </w:pPr>
    </w:p>
    <w:p w14:paraId="2A137AC9" w14:textId="77777777" w:rsidR="00C85C8B" w:rsidRDefault="00C85C8B" w:rsidP="00C85C8B">
      <w:pPr>
        <w:pStyle w:val="Questionstyle"/>
        <w:numPr>
          <w:ilvl w:val="0"/>
          <w:numId w:val="13"/>
        </w:numPr>
        <w:spacing w:after="250" w:line="276" w:lineRule="auto"/>
        <w:ind w:left="360"/>
      </w:pPr>
      <w:r w:rsidRPr="00B0053A">
        <w:t>: Do you think it would be useful for CSDs to report also ‘settled instructions’, in addition to ‘settlement fails’ and ‘total instructions’? Would this add operational complexities to the reporting? Please provide arguments supporting your comments and suggestions.</w:t>
      </w:r>
    </w:p>
    <w:p w14:paraId="485A34AE" w14:textId="77777777" w:rsidR="00C85C8B" w:rsidRDefault="00C85C8B" w:rsidP="00C85C8B">
      <w:pPr>
        <w:rPr>
          <w:rFonts w:ascii="Arial" w:hAnsi="Arial" w:cs="Arial"/>
        </w:rPr>
      </w:pPr>
      <w:r>
        <w:rPr>
          <w:rFonts w:ascii="Arial" w:hAnsi="Arial" w:cs="Arial"/>
        </w:rPr>
        <w:t>&lt;ESMA_QUESTION_SFR_9&gt;</w:t>
      </w:r>
    </w:p>
    <w:p w14:paraId="3309D1D9" w14:textId="77777777" w:rsidR="00F03738" w:rsidRDefault="00F03738" w:rsidP="00F03738">
      <w:pPr>
        <w:spacing w:line="276" w:lineRule="auto"/>
        <w:jc w:val="both"/>
        <w:rPr>
          <w:rFonts w:ascii="Candara" w:eastAsia="Candara" w:hAnsi="Candara"/>
          <w:color w:val="002060"/>
          <w:sz w:val="22"/>
          <w:szCs w:val="22"/>
        </w:rPr>
      </w:pPr>
      <w:permStart w:id="467304223" w:edGrp="everyone"/>
      <w:r>
        <w:rPr>
          <w:rFonts w:ascii="Candara" w:eastAsia="Candara" w:hAnsi="Candara"/>
          <w:color w:val="1F4D78" w:themeColor="accent1" w:themeShade="7F"/>
        </w:rPr>
        <w:lastRenderedPageBreak/>
        <w:t>I</w:t>
      </w:r>
      <w:r>
        <w:rPr>
          <w:rFonts w:ascii="Candara" w:eastAsia="Arial" w:hAnsi="Arial"/>
          <w:color w:val="002060"/>
          <w:sz w:val="22"/>
          <w:szCs w:val="22"/>
        </w:rPr>
        <w:t xml:space="preserve">ncreasing </w:t>
      </w:r>
      <w:r>
        <w:rPr>
          <w:rFonts w:ascii="Candara" w:eastAsia="Candara" w:hAnsi="Candara"/>
          <w:color w:val="002060"/>
          <w:sz w:val="22"/>
          <w:szCs w:val="22"/>
        </w:rPr>
        <w:t xml:space="preserve">the number of parameters and conditions used for the reporting will not be commensurate with the reduction of settlement fails, although will increase related costs. </w:t>
      </w:r>
    </w:p>
    <w:p w14:paraId="1AC44F92" w14:textId="77777777" w:rsidR="00F03738" w:rsidRDefault="00F03738" w:rsidP="00F03738">
      <w:pPr>
        <w:spacing w:line="276" w:lineRule="auto"/>
        <w:jc w:val="both"/>
        <w:rPr>
          <w:rFonts w:ascii="Candara" w:eastAsia="Candara" w:hAnsi="Candara"/>
          <w:color w:val="002060"/>
          <w:sz w:val="22"/>
          <w:szCs w:val="22"/>
        </w:rPr>
      </w:pPr>
    </w:p>
    <w:p w14:paraId="782D506E" w14:textId="77777777" w:rsidR="00F03738" w:rsidRDefault="00F03738" w:rsidP="00F03738">
      <w:pPr>
        <w:spacing w:line="276" w:lineRule="auto"/>
        <w:jc w:val="both"/>
        <w:rPr>
          <w:rFonts w:ascii="Candara" w:eastAsia="Candara" w:hAnsi="Candara"/>
          <w:color w:val="1F4D78" w:themeColor="accent1" w:themeShade="7F"/>
        </w:rPr>
      </w:pPr>
      <w:r>
        <w:rPr>
          <w:rFonts w:ascii="Candara" w:eastAsia="Candara" w:hAnsi="Candara"/>
          <w:color w:val="1F4D78" w:themeColor="accent1" w:themeShade="7F"/>
        </w:rPr>
        <w:t>The data would be available in the CSD systems.</w:t>
      </w:r>
    </w:p>
    <w:permEnd w:id="467304223"/>
    <w:p w14:paraId="72B74FF8" w14:textId="77777777" w:rsidR="00C85C8B" w:rsidRDefault="00C85C8B" w:rsidP="00C85C8B">
      <w:pPr>
        <w:rPr>
          <w:rFonts w:ascii="Arial" w:hAnsi="Arial" w:cs="Arial"/>
        </w:rPr>
      </w:pPr>
      <w:r>
        <w:rPr>
          <w:rFonts w:ascii="Arial" w:hAnsi="Arial" w:cs="Arial"/>
        </w:rPr>
        <w:t>&lt;ESMA_QUESTION_SFR_9&gt;</w:t>
      </w:r>
    </w:p>
    <w:p w14:paraId="7D83D5E0" w14:textId="77777777" w:rsidR="00C85C8B" w:rsidRDefault="00C85C8B" w:rsidP="00C85C8B">
      <w:pPr>
        <w:rPr>
          <w:rFonts w:ascii="Arial" w:hAnsi="Arial" w:cs="Arial"/>
        </w:rPr>
      </w:pPr>
    </w:p>
    <w:p w14:paraId="45B0EB16" w14:textId="77777777" w:rsidR="00C85C8B" w:rsidRDefault="00C85C8B" w:rsidP="00C85C8B">
      <w:pPr>
        <w:pStyle w:val="Questionstyle"/>
        <w:numPr>
          <w:ilvl w:val="0"/>
          <w:numId w:val="13"/>
        </w:numPr>
        <w:spacing w:after="250" w:line="276" w:lineRule="auto"/>
        <w:ind w:left="360"/>
      </w:pPr>
      <w:r w:rsidRPr="00B0053A">
        <w:t>: Do you have any comments or suggestions regarding the proposed approach for calculating the rate of settlement fails by taking into account recurring settlement fails? Please provide arguments supporting your comments and suggestions.</w:t>
      </w:r>
    </w:p>
    <w:p w14:paraId="2F377672" w14:textId="77777777" w:rsidR="00C85C8B" w:rsidRDefault="00C85C8B" w:rsidP="00C85C8B">
      <w:pPr>
        <w:rPr>
          <w:rFonts w:ascii="Arial" w:hAnsi="Arial" w:cs="Arial"/>
        </w:rPr>
      </w:pPr>
      <w:r>
        <w:rPr>
          <w:rFonts w:ascii="Arial" w:hAnsi="Arial" w:cs="Arial"/>
        </w:rPr>
        <w:t>&lt;ESMA_QUESTION_SFR_10&gt;</w:t>
      </w:r>
    </w:p>
    <w:p w14:paraId="24389C51" w14:textId="77777777" w:rsidR="00465A9A" w:rsidRPr="006B6F46" w:rsidRDefault="00465A9A" w:rsidP="00465A9A">
      <w:pPr>
        <w:spacing w:line="276" w:lineRule="auto"/>
        <w:jc w:val="both"/>
        <w:rPr>
          <w:rFonts w:ascii="Candara" w:eastAsia="Candara" w:hAnsi="Candara"/>
          <w:color w:val="002060"/>
          <w:sz w:val="22"/>
          <w:szCs w:val="22"/>
        </w:rPr>
      </w:pPr>
      <w:permStart w:id="1775123742" w:edGrp="everyone"/>
      <w:r w:rsidRPr="006B6F46">
        <w:rPr>
          <w:rFonts w:ascii="Candara" w:eastAsia="Candara" w:hAnsi="Candara"/>
          <w:color w:val="002060"/>
          <w:sz w:val="22"/>
          <w:szCs w:val="22"/>
        </w:rPr>
        <w:t>We agree with the approach. However, the consideration of failed instructions that are ultimately cancelled in the monthly report is unclear. We would appreciate clarification on whether these are e.g. to be considered as “settled” in the absence of a reporting category “cancelled”.</w:t>
      </w:r>
    </w:p>
    <w:p w14:paraId="2AD1885F" w14:textId="77777777" w:rsidR="00465A9A" w:rsidRPr="006B6F46" w:rsidRDefault="00465A9A" w:rsidP="00465A9A">
      <w:pPr>
        <w:spacing w:line="276" w:lineRule="auto"/>
        <w:jc w:val="both"/>
        <w:rPr>
          <w:rFonts w:ascii="Candara" w:eastAsia="Candara" w:hAnsi="Candara"/>
          <w:color w:val="002060"/>
          <w:sz w:val="22"/>
          <w:szCs w:val="22"/>
        </w:rPr>
      </w:pPr>
    </w:p>
    <w:p w14:paraId="43698026" w14:textId="77777777" w:rsidR="00465A9A" w:rsidRPr="006B6F46" w:rsidRDefault="00465A9A" w:rsidP="00465A9A">
      <w:pPr>
        <w:spacing w:line="276" w:lineRule="auto"/>
        <w:jc w:val="both"/>
        <w:rPr>
          <w:rFonts w:ascii="Candara" w:eastAsia="Candara" w:hAnsi="Candara"/>
          <w:color w:val="002060"/>
          <w:sz w:val="22"/>
          <w:szCs w:val="22"/>
        </w:rPr>
      </w:pPr>
      <w:r w:rsidRPr="006B6F46">
        <w:rPr>
          <w:rFonts w:ascii="Candara" w:eastAsia="Candara" w:hAnsi="Candara"/>
          <w:color w:val="002060"/>
          <w:sz w:val="22"/>
          <w:szCs w:val="22"/>
        </w:rPr>
        <w:t>In this context, paragraph 14 reads “</w:t>
      </w:r>
      <w:r w:rsidRPr="00210CB9">
        <w:rPr>
          <w:rFonts w:ascii="Candara" w:eastAsia="Candara" w:hAnsi="Candara"/>
          <w:i/>
          <w:color w:val="002060"/>
          <w:sz w:val="22"/>
          <w:szCs w:val="22"/>
        </w:rPr>
        <w:t xml:space="preserve">If, during a period covered by a report, a settlement instruction fails to settle for several business days after the ISD, including in the case where the settlement instruction is cancelled, then it should be reported as “failed” by </w:t>
      </w:r>
      <w:proofErr w:type="gramStart"/>
      <w:r w:rsidRPr="00210CB9">
        <w:rPr>
          <w:rFonts w:ascii="Candara" w:eastAsia="Candara" w:hAnsi="Candara"/>
          <w:i/>
          <w:color w:val="002060"/>
          <w:sz w:val="22"/>
          <w:szCs w:val="22"/>
        </w:rPr>
        <w:t>taking into account</w:t>
      </w:r>
      <w:proofErr w:type="gramEnd"/>
      <w:r w:rsidRPr="00210CB9">
        <w:rPr>
          <w:rFonts w:ascii="Candara" w:eastAsia="Candara" w:hAnsi="Candara"/>
          <w:i/>
          <w:color w:val="002060"/>
          <w:sz w:val="22"/>
          <w:szCs w:val="22"/>
        </w:rPr>
        <w:t xml:space="preserve"> each business day when it fails to settle. It should be reported as “settled” if it is settled during the period covered by the report</w:t>
      </w:r>
      <w:r w:rsidRPr="006B6F46">
        <w:rPr>
          <w:rFonts w:ascii="Candara" w:eastAsia="Candara" w:hAnsi="Candara"/>
          <w:color w:val="002060"/>
          <w:sz w:val="22"/>
          <w:szCs w:val="22"/>
        </w:rPr>
        <w:t>.”</w:t>
      </w:r>
      <w:r>
        <w:rPr>
          <w:rFonts w:ascii="Candara" w:eastAsia="Candara" w:hAnsi="Candara"/>
          <w:color w:val="002060"/>
          <w:sz w:val="22"/>
          <w:szCs w:val="22"/>
        </w:rPr>
        <w:t xml:space="preserve"> </w:t>
      </w:r>
      <w:r w:rsidRPr="006B6F46">
        <w:rPr>
          <w:rFonts w:ascii="Candara" w:eastAsia="Candara" w:hAnsi="Candara"/>
          <w:color w:val="002060"/>
          <w:sz w:val="22"/>
          <w:szCs w:val="22"/>
        </w:rPr>
        <w:t xml:space="preserve">We would appreciate the confirmation on the case </w:t>
      </w:r>
      <w:r>
        <w:rPr>
          <w:rFonts w:ascii="Candara" w:eastAsia="Candara" w:hAnsi="Candara"/>
          <w:color w:val="002060"/>
          <w:sz w:val="22"/>
          <w:szCs w:val="22"/>
        </w:rPr>
        <w:t>when</w:t>
      </w:r>
      <w:r w:rsidRPr="006B6F46">
        <w:rPr>
          <w:rFonts w:ascii="Candara" w:eastAsia="Candara" w:hAnsi="Candara"/>
          <w:color w:val="002060"/>
          <w:sz w:val="22"/>
          <w:szCs w:val="22"/>
        </w:rPr>
        <w:t xml:space="preserve"> an instruction is cancelled after its ISD</w:t>
      </w:r>
      <w:r>
        <w:rPr>
          <w:rFonts w:ascii="Candara" w:eastAsia="Candara" w:hAnsi="Candara"/>
          <w:color w:val="002060"/>
          <w:sz w:val="22"/>
          <w:szCs w:val="22"/>
        </w:rPr>
        <w:t>:</w:t>
      </w:r>
      <w:r w:rsidRPr="006B6F46">
        <w:rPr>
          <w:rFonts w:ascii="Candara" w:eastAsia="Candara" w:hAnsi="Candara"/>
          <w:color w:val="002060"/>
          <w:sz w:val="22"/>
          <w:szCs w:val="22"/>
        </w:rPr>
        <w:t xml:space="preserve"> Our assumption is that CSDs </w:t>
      </w:r>
      <w:proofErr w:type="gramStart"/>
      <w:r w:rsidRPr="006B6F46">
        <w:rPr>
          <w:rFonts w:ascii="Candara" w:eastAsia="Candara" w:hAnsi="Candara"/>
          <w:color w:val="002060"/>
          <w:sz w:val="22"/>
          <w:szCs w:val="22"/>
        </w:rPr>
        <w:t>have to</w:t>
      </w:r>
      <w:proofErr w:type="gramEnd"/>
      <w:r w:rsidRPr="006B6F46">
        <w:rPr>
          <w:rFonts w:ascii="Candara" w:eastAsia="Candara" w:hAnsi="Candara"/>
          <w:color w:val="002060"/>
          <w:sz w:val="22"/>
          <w:szCs w:val="22"/>
        </w:rPr>
        <w:t xml:space="preserve"> take into account such instruction during the days where the instruction failed, but not the day when the instruction is cancelled (neither in total and failed amounts).</w:t>
      </w:r>
    </w:p>
    <w:permEnd w:id="1775123742"/>
    <w:p w14:paraId="7498AE1A" w14:textId="77777777" w:rsidR="00C85C8B" w:rsidRDefault="00C85C8B" w:rsidP="00C85C8B">
      <w:pPr>
        <w:rPr>
          <w:rFonts w:ascii="Arial" w:hAnsi="Arial" w:cs="Arial"/>
        </w:rPr>
      </w:pPr>
      <w:r>
        <w:rPr>
          <w:rFonts w:ascii="Arial" w:hAnsi="Arial" w:cs="Arial"/>
        </w:rPr>
        <w:t>&lt;ESMA_QUESTION_SFR_10&gt;</w:t>
      </w:r>
    </w:p>
    <w:p w14:paraId="205C14E8" w14:textId="77777777" w:rsidR="00C85C8B" w:rsidRDefault="00C85C8B" w:rsidP="00C85C8B">
      <w:pPr>
        <w:rPr>
          <w:rFonts w:ascii="Arial" w:hAnsi="Arial" w:cs="Arial"/>
        </w:rPr>
      </w:pPr>
    </w:p>
    <w:p w14:paraId="079ACCB2" w14:textId="77777777" w:rsidR="00C85C8B" w:rsidRDefault="00C85C8B" w:rsidP="00C85C8B">
      <w:pPr>
        <w:pStyle w:val="Questionstyle"/>
        <w:numPr>
          <w:ilvl w:val="0"/>
          <w:numId w:val="13"/>
        </w:numPr>
        <w:spacing w:after="250" w:line="276" w:lineRule="auto"/>
        <w:ind w:left="360"/>
      </w:pPr>
      <w:r w:rsidRPr="00B0053A">
        <w:t>: How could the information on the duration of settlement fails be captured in the reporting template (to be potentially included in Table 2 of Annex I of the Commission Delegated Regulation (EU) 2018/1229)? Would it be useful to split the daily data depending on the number of days for which settlement instructions have been failing (fully or partially)? Would this add operational complexities to the reporting? Please provide arguments supporting your comments and suggestions.</w:t>
      </w:r>
    </w:p>
    <w:p w14:paraId="58AB75EB" w14:textId="77777777" w:rsidR="00C85C8B" w:rsidRDefault="00C85C8B" w:rsidP="00C85C8B">
      <w:pPr>
        <w:rPr>
          <w:rFonts w:ascii="Arial" w:hAnsi="Arial" w:cs="Arial"/>
        </w:rPr>
      </w:pPr>
      <w:r>
        <w:rPr>
          <w:rFonts w:ascii="Arial" w:hAnsi="Arial" w:cs="Arial"/>
        </w:rPr>
        <w:t>&lt;ESMA_QUESTION_SFR_11&gt;</w:t>
      </w:r>
    </w:p>
    <w:p w14:paraId="100D86F2" w14:textId="77777777" w:rsidR="00465A9A" w:rsidRDefault="00465A9A" w:rsidP="00465A9A">
      <w:pPr>
        <w:pStyle w:val="ListParagraph"/>
        <w:numPr>
          <w:ilvl w:val="0"/>
          <w:numId w:val="28"/>
        </w:numPr>
        <w:adjustRightInd/>
        <w:spacing w:line="276" w:lineRule="auto"/>
        <w:rPr>
          <w:rFonts w:ascii="Candara" w:eastAsia="Candara" w:hAnsi="Candara"/>
          <w:color w:val="002060"/>
        </w:rPr>
      </w:pPr>
      <w:permStart w:id="2133087190" w:edGrp="everyone"/>
      <w:r>
        <w:rPr>
          <w:rFonts w:ascii="Candara" w:eastAsia="Arial" w:hAnsi="Arial"/>
          <w:color w:val="002060"/>
        </w:rPr>
        <w:t xml:space="preserve">We would like to highlight that increasing </w:t>
      </w:r>
      <w:r>
        <w:rPr>
          <w:rFonts w:ascii="Candara" w:eastAsia="Candara" w:hAnsi="Candara"/>
          <w:color w:val="002060"/>
        </w:rPr>
        <w:t>the number of parameters and conditions used for the reporting, will not be commensurate with the reduction of settlement fails.</w:t>
      </w:r>
      <w:r w:rsidRPr="006B6F46">
        <w:rPr>
          <w:rFonts w:ascii="Candara" w:eastAsia="Arial" w:hAnsi="Arial"/>
          <w:color w:val="002060"/>
        </w:rPr>
        <w:t xml:space="preserve"> </w:t>
      </w:r>
    </w:p>
    <w:p w14:paraId="71FEB62C" w14:textId="77777777" w:rsidR="00465A9A" w:rsidRDefault="00465A9A" w:rsidP="00465A9A">
      <w:pPr>
        <w:pStyle w:val="ListParagraph"/>
        <w:numPr>
          <w:ilvl w:val="0"/>
          <w:numId w:val="28"/>
        </w:numPr>
        <w:adjustRightInd/>
        <w:spacing w:line="276" w:lineRule="auto"/>
        <w:rPr>
          <w:rFonts w:ascii="Candara" w:eastAsia="Candara" w:hAnsi="Candara"/>
          <w:color w:val="002060"/>
        </w:rPr>
      </w:pPr>
      <w:r>
        <w:rPr>
          <w:rFonts w:ascii="Candara" w:eastAsia="Arial" w:hAnsi="Arial"/>
          <w:color w:val="002060"/>
        </w:rPr>
        <w:t xml:space="preserve">If the report </w:t>
      </w:r>
      <w:proofErr w:type="gramStart"/>
      <w:r>
        <w:rPr>
          <w:rFonts w:ascii="Candara" w:eastAsia="Arial" w:hAnsi="Arial"/>
          <w:color w:val="002060"/>
        </w:rPr>
        <w:t>has to</w:t>
      </w:r>
      <w:proofErr w:type="gramEnd"/>
      <w:r>
        <w:rPr>
          <w:rFonts w:ascii="Candara" w:eastAsia="Arial" w:hAnsi="Arial"/>
          <w:color w:val="002060"/>
        </w:rPr>
        <w:t xml:space="preserve"> be calculated considering each day for which settlement instructions have been failing, it would increase the processing time to obtain the report without adding value to the initial objective for transparency and to reduce settlement fails. In such case, all the CSDs would have to calculate, for each day and transaction type, </w:t>
      </w:r>
      <w:r>
        <w:rPr>
          <w:rFonts w:ascii="Candara" w:eastAsia="Arial" w:hAnsi="Arial"/>
          <w:color w:val="002060"/>
        </w:rPr>
        <w:t>‘</w:t>
      </w:r>
      <w:r>
        <w:rPr>
          <w:rFonts w:ascii="Candara" w:eastAsia="Arial" w:hAnsi="Arial"/>
          <w:color w:val="002060"/>
        </w:rPr>
        <w:t>n</w:t>
      </w:r>
      <w:r>
        <w:rPr>
          <w:rFonts w:ascii="Candara" w:eastAsia="Arial" w:hAnsi="Arial"/>
          <w:color w:val="002060"/>
        </w:rPr>
        <w:t>’</w:t>
      </w:r>
      <w:r>
        <w:rPr>
          <w:rFonts w:ascii="Candara" w:eastAsia="Arial" w:hAnsi="Arial"/>
          <w:color w:val="002060"/>
        </w:rPr>
        <w:t xml:space="preserve"> math operations considering </w:t>
      </w:r>
      <w:r>
        <w:rPr>
          <w:rFonts w:ascii="Candara" w:eastAsia="Arial" w:hAnsi="Arial"/>
          <w:color w:val="002060"/>
        </w:rPr>
        <w:t>‘</w:t>
      </w:r>
      <w:r>
        <w:rPr>
          <w:rFonts w:ascii="Candara" w:eastAsia="Arial" w:hAnsi="Arial"/>
          <w:color w:val="002060"/>
        </w:rPr>
        <w:t>n</w:t>
      </w:r>
      <w:r>
        <w:rPr>
          <w:rFonts w:ascii="Candara" w:eastAsia="Arial" w:hAnsi="Arial"/>
          <w:color w:val="002060"/>
        </w:rPr>
        <w:t>’</w:t>
      </w:r>
      <w:r>
        <w:rPr>
          <w:rFonts w:ascii="Candara" w:eastAsia="Arial" w:hAnsi="Arial"/>
          <w:color w:val="002060"/>
        </w:rPr>
        <w:t xml:space="preserve"> as the number of ISD where there is, at least, one settlement instruction failed. </w:t>
      </w:r>
      <w:r>
        <w:rPr>
          <w:rFonts w:ascii="Candara" w:eastAsia="Candara" w:hAnsi="Candara"/>
          <w:color w:val="002060"/>
        </w:rPr>
        <w:t xml:space="preserve">The Intended Settlement Date itself is not enough to deduct the duration of the fail (if it was received late for instance). </w:t>
      </w:r>
    </w:p>
    <w:p w14:paraId="539FA208" w14:textId="77777777" w:rsidR="00465A9A" w:rsidRDefault="00465A9A" w:rsidP="00465A9A">
      <w:pPr>
        <w:pStyle w:val="ListParagraph"/>
        <w:numPr>
          <w:ilvl w:val="0"/>
          <w:numId w:val="18"/>
        </w:numPr>
        <w:adjustRightInd/>
        <w:spacing w:line="276" w:lineRule="auto"/>
        <w:rPr>
          <w:rFonts w:hAnsi="Calibri Light"/>
          <w:b/>
        </w:rPr>
      </w:pPr>
      <w:r>
        <w:rPr>
          <w:rFonts w:ascii="Candara" w:eastAsia="Candara" w:hAnsi="Candara"/>
          <w:color w:val="002060"/>
        </w:rPr>
        <w:t>A split of the daily data depending on the number of days of the fail will add complexity to the reporting, without providing any added value. We suggest adapting item 41 to display the duration split by the financial instrument type as stated in Annex I, Table 2.</w:t>
      </w:r>
    </w:p>
    <w:p w14:paraId="2E17E40D" w14:textId="77777777" w:rsidR="00465A9A" w:rsidRDefault="00465A9A" w:rsidP="00465A9A">
      <w:pPr>
        <w:pStyle w:val="ListParagraph"/>
        <w:numPr>
          <w:ilvl w:val="0"/>
          <w:numId w:val="28"/>
        </w:numPr>
        <w:adjustRightInd/>
        <w:spacing w:line="276" w:lineRule="auto"/>
        <w:rPr>
          <w:rFonts w:ascii="Candara" w:eastAsia="Arial" w:hAnsi="Arial"/>
          <w:color w:val="002060"/>
        </w:rPr>
      </w:pPr>
      <w:r>
        <w:rPr>
          <w:rFonts w:ascii="Candara" w:eastAsia="Arial" w:hAnsi="Arial"/>
          <w:color w:val="002060"/>
        </w:rPr>
        <w:lastRenderedPageBreak/>
        <w:t xml:space="preserve">Additionally, we would kindly ask ESMA to clarify what </w:t>
      </w:r>
      <w:r>
        <w:rPr>
          <w:rFonts w:ascii="Candara" w:eastAsia="Arial" w:hAnsi="Arial"/>
          <w:color w:val="002060"/>
        </w:rPr>
        <w:t>“</w:t>
      </w:r>
      <w:r>
        <w:rPr>
          <w:rFonts w:ascii="Candara" w:eastAsia="Arial" w:hAnsi="Arial"/>
          <w:b/>
          <w:i/>
          <w:color w:val="002060"/>
        </w:rPr>
        <w:t xml:space="preserve">weighted </w:t>
      </w:r>
      <w:r>
        <w:rPr>
          <w:rFonts w:ascii="Candara" w:eastAsia="Arial" w:hAnsi="Arial"/>
          <w:i/>
          <w:color w:val="002060"/>
        </w:rPr>
        <w:t>for the value of the settlement fail</w:t>
      </w:r>
      <w:r>
        <w:rPr>
          <w:rFonts w:ascii="Candara" w:eastAsia="Arial" w:hAnsi="Arial"/>
          <w:i/>
          <w:color w:val="002060"/>
        </w:rPr>
        <w:t>”</w:t>
      </w:r>
      <w:r>
        <w:rPr>
          <w:rFonts w:ascii="Candara" w:eastAsia="Arial" w:hAnsi="Arial"/>
          <w:i/>
          <w:color w:val="002060"/>
        </w:rPr>
        <w:t xml:space="preserve"> actually </w:t>
      </w:r>
      <w:r>
        <w:rPr>
          <w:rFonts w:ascii="Candara" w:eastAsia="Arial" w:hAnsi="Arial"/>
          <w:color w:val="002060"/>
        </w:rPr>
        <w:t xml:space="preserve">means and how the </w:t>
      </w:r>
      <w:r>
        <w:rPr>
          <w:rFonts w:ascii="Candara" w:eastAsia="Arial" w:hAnsi="Arial"/>
          <w:color w:val="002060"/>
        </w:rPr>
        <w:t>“</w:t>
      </w:r>
      <w:r>
        <w:rPr>
          <w:rFonts w:ascii="Candara" w:eastAsia="Arial" w:hAnsi="Arial"/>
          <w:color w:val="002060"/>
        </w:rPr>
        <w:t>weighting</w:t>
      </w:r>
      <w:r>
        <w:rPr>
          <w:rFonts w:ascii="Candara" w:eastAsia="Arial" w:hAnsi="Arial"/>
          <w:color w:val="002060"/>
        </w:rPr>
        <w:t>”</w:t>
      </w:r>
      <w:r>
        <w:rPr>
          <w:rFonts w:ascii="Candara" w:eastAsia="Arial" w:hAnsi="Arial"/>
          <w:color w:val="002060"/>
        </w:rPr>
        <w:t xml:space="preserve"> shall be defined by CSDs.</w:t>
      </w:r>
    </w:p>
    <w:permEnd w:id="2133087190"/>
    <w:p w14:paraId="21274437" w14:textId="77777777" w:rsidR="00C85C8B" w:rsidRDefault="00C85C8B" w:rsidP="00C85C8B">
      <w:pPr>
        <w:rPr>
          <w:rFonts w:ascii="Arial" w:hAnsi="Arial" w:cs="Arial"/>
        </w:rPr>
      </w:pPr>
      <w:r>
        <w:rPr>
          <w:rFonts w:ascii="Arial" w:hAnsi="Arial" w:cs="Arial"/>
        </w:rPr>
        <w:t>&lt;ESMA_QUESTION_SFR_11&gt;</w:t>
      </w:r>
    </w:p>
    <w:p w14:paraId="7A70C778" w14:textId="77777777" w:rsidR="00C85C8B" w:rsidRDefault="00C85C8B" w:rsidP="00C85C8B">
      <w:pPr>
        <w:rPr>
          <w:rFonts w:ascii="Arial" w:hAnsi="Arial" w:cs="Arial"/>
        </w:rPr>
      </w:pPr>
    </w:p>
    <w:p w14:paraId="53A15076" w14:textId="77777777" w:rsidR="00C85C8B" w:rsidRPr="00B0053A" w:rsidRDefault="00C85C8B" w:rsidP="00C85C8B">
      <w:pPr>
        <w:pStyle w:val="Questionstyle"/>
        <w:numPr>
          <w:ilvl w:val="0"/>
          <w:numId w:val="13"/>
        </w:numPr>
        <w:spacing w:after="250" w:line="276" w:lineRule="auto"/>
        <w:ind w:left="360"/>
      </w:pPr>
      <w:r w:rsidRPr="00B0053A">
        <w:t xml:space="preserve">: Do you have any comments or suggestions regarding the proposed approach for reporting partially settled instructions? Please provide arguments supporting your comments and suggestions. </w:t>
      </w:r>
    </w:p>
    <w:p w14:paraId="6E98A118" w14:textId="77777777" w:rsidR="00C85C8B" w:rsidRDefault="00C85C8B" w:rsidP="00C85C8B">
      <w:pPr>
        <w:rPr>
          <w:rFonts w:ascii="Arial" w:hAnsi="Arial" w:cs="Arial"/>
        </w:rPr>
      </w:pPr>
      <w:r>
        <w:rPr>
          <w:rFonts w:ascii="Arial" w:hAnsi="Arial" w:cs="Arial"/>
        </w:rPr>
        <w:t>&lt;ESMA_QUESTION_SFR_12&gt;</w:t>
      </w:r>
    </w:p>
    <w:p w14:paraId="3D616F33" w14:textId="77777777" w:rsidR="00465A9A" w:rsidRDefault="00465A9A" w:rsidP="00465A9A">
      <w:pPr>
        <w:spacing w:line="276" w:lineRule="auto"/>
        <w:jc w:val="both"/>
        <w:rPr>
          <w:rFonts w:ascii="Candara" w:eastAsia="Candara" w:hAnsi="Candara"/>
          <w:color w:val="002060"/>
          <w:sz w:val="22"/>
          <w:szCs w:val="22"/>
        </w:rPr>
      </w:pPr>
      <w:permStart w:id="42751191" w:edGrp="everyone"/>
      <w:r>
        <w:rPr>
          <w:rFonts w:ascii="Candara" w:eastAsia="Candara" w:hAnsi="Candara"/>
          <w:color w:val="002060"/>
          <w:sz w:val="22"/>
          <w:szCs w:val="22"/>
        </w:rPr>
        <w:t xml:space="preserve">A partially settled instruction should be reported as failed, until the moment it is completely settled. At the same time, the value failed should only include the part of the instruction which has not been settled yet. </w:t>
      </w:r>
    </w:p>
    <w:p w14:paraId="5DF3BB56" w14:textId="77777777" w:rsidR="00465A9A" w:rsidRDefault="00465A9A" w:rsidP="00465A9A">
      <w:pPr>
        <w:spacing w:line="276" w:lineRule="auto"/>
        <w:jc w:val="both"/>
        <w:rPr>
          <w:rFonts w:ascii="Candara" w:eastAsia="Candara" w:hAnsi="Candara"/>
          <w:color w:val="002060"/>
          <w:sz w:val="22"/>
          <w:szCs w:val="22"/>
        </w:rPr>
      </w:pPr>
      <w:r>
        <w:rPr>
          <w:rFonts w:ascii="Candara" w:eastAsia="Candara" w:hAnsi="Candara"/>
          <w:color w:val="002060"/>
          <w:sz w:val="22"/>
          <w:szCs w:val="22"/>
        </w:rPr>
        <w:t>We would need to have a better view on how to report a remaining part which was cancelled.</w:t>
      </w:r>
    </w:p>
    <w:permEnd w:id="42751191"/>
    <w:p w14:paraId="0B3B67E5" w14:textId="77777777" w:rsidR="00C85C8B" w:rsidRDefault="00C85C8B" w:rsidP="00C85C8B">
      <w:pPr>
        <w:rPr>
          <w:rFonts w:ascii="Arial" w:hAnsi="Arial" w:cs="Arial"/>
        </w:rPr>
      </w:pPr>
      <w:r>
        <w:rPr>
          <w:rFonts w:ascii="Arial" w:hAnsi="Arial" w:cs="Arial"/>
        </w:rPr>
        <w:t>&lt;ESMA_QUESTION_SFR_12&gt;</w:t>
      </w:r>
    </w:p>
    <w:p w14:paraId="010D75AA" w14:textId="77777777" w:rsidR="00C85C8B" w:rsidRDefault="00C85C8B" w:rsidP="00C85C8B">
      <w:pPr>
        <w:rPr>
          <w:rFonts w:ascii="Arial" w:hAnsi="Arial" w:cs="Arial"/>
        </w:rPr>
      </w:pPr>
    </w:p>
    <w:p w14:paraId="7C67BA72" w14:textId="77777777" w:rsidR="00C85C8B" w:rsidRDefault="00C85C8B" w:rsidP="00C85C8B">
      <w:pPr>
        <w:pStyle w:val="Questionstyle"/>
        <w:numPr>
          <w:ilvl w:val="0"/>
          <w:numId w:val="13"/>
        </w:numPr>
        <w:spacing w:after="250" w:line="276" w:lineRule="auto"/>
        <w:ind w:left="360"/>
      </w:pPr>
      <w:r w:rsidRPr="00B0053A">
        <w:t>: Can you please provide estimates regarding the cases where a late matching instruction is received containing an ISD within the previous month?</w:t>
      </w:r>
    </w:p>
    <w:p w14:paraId="32689064" w14:textId="77777777" w:rsidR="00C85C8B" w:rsidRDefault="00C85C8B" w:rsidP="00C85C8B">
      <w:pPr>
        <w:rPr>
          <w:rFonts w:ascii="Arial" w:hAnsi="Arial" w:cs="Arial"/>
        </w:rPr>
      </w:pPr>
      <w:r>
        <w:rPr>
          <w:rFonts w:ascii="Arial" w:hAnsi="Arial" w:cs="Arial"/>
        </w:rPr>
        <w:t>&lt;ESMA_QUESTION_SFR_13&gt;</w:t>
      </w:r>
    </w:p>
    <w:p w14:paraId="69B98AE0" w14:textId="77777777" w:rsidR="005D7CCC" w:rsidRPr="006B6F46" w:rsidRDefault="005D7CCC" w:rsidP="005D7CCC">
      <w:pPr>
        <w:spacing w:line="276" w:lineRule="auto"/>
        <w:jc w:val="both"/>
        <w:rPr>
          <w:rFonts w:ascii="Candara" w:eastAsia="Candara" w:hAnsi="Candara"/>
          <w:color w:val="002060"/>
          <w:sz w:val="22"/>
          <w:szCs w:val="22"/>
        </w:rPr>
      </w:pPr>
      <w:permStart w:id="562393656" w:edGrp="everyone"/>
      <w:r>
        <w:rPr>
          <w:rFonts w:ascii="Candara" w:eastAsia="Candara" w:hAnsi="Candara"/>
          <w:color w:val="002060"/>
          <w:sz w:val="22"/>
          <w:szCs w:val="22"/>
        </w:rPr>
        <w:t>CSDs cannot provide this information at this stage</w:t>
      </w:r>
      <w:r w:rsidRPr="006B6F46">
        <w:rPr>
          <w:rFonts w:ascii="Candara" w:eastAsia="Candara" w:hAnsi="Candara"/>
          <w:color w:val="002060"/>
          <w:sz w:val="22"/>
          <w:szCs w:val="22"/>
        </w:rPr>
        <w:t xml:space="preserve"> as the required “late matching” indication is not yet stored</w:t>
      </w:r>
      <w:r>
        <w:rPr>
          <w:rFonts w:ascii="Candara" w:eastAsia="Candara" w:hAnsi="Candara"/>
          <w:color w:val="002060"/>
          <w:sz w:val="22"/>
          <w:szCs w:val="22"/>
        </w:rPr>
        <w:t xml:space="preserve"> or can only be derived with significant efforts. A l</w:t>
      </w:r>
      <w:r w:rsidRPr="006B6F46">
        <w:rPr>
          <w:rFonts w:ascii="Candara" w:eastAsia="Candara" w:hAnsi="Candara"/>
          <w:color w:val="002060"/>
          <w:sz w:val="22"/>
          <w:szCs w:val="22"/>
        </w:rPr>
        <w:t>ate matching instruction of a previous month can be received on the following month. The month is not considered as a fixed term for CSD participants. A late matching fail can happen either intra-month or between two months without any distinction.).</w:t>
      </w:r>
    </w:p>
    <w:p w14:paraId="0E11A6FE" w14:textId="77777777" w:rsidR="005D7CCC" w:rsidRPr="006B6F46" w:rsidRDefault="005D7CCC" w:rsidP="005D7CCC">
      <w:pPr>
        <w:spacing w:line="276" w:lineRule="auto"/>
        <w:jc w:val="both"/>
        <w:rPr>
          <w:rFonts w:ascii="Candara" w:eastAsia="Candara" w:hAnsi="Candara"/>
          <w:color w:val="002060"/>
          <w:sz w:val="22"/>
          <w:szCs w:val="22"/>
        </w:rPr>
      </w:pPr>
    </w:p>
    <w:p w14:paraId="56401C2A" w14:textId="7EFB2088" w:rsidR="005D7CCC" w:rsidRPr="006B6F46" w:rsidRDefault="005D7CCC" w:rsidP="005D7CCC">
      <w:pPr>
        <w:spacing w:line="276" w:lineRule="auto"/>
        <w:jc w:val="both"/>
        <w:rPr>
          <w:rFonts w:ascii="Candara" w:eastAsia="Candara" w:hAnsi="Candara"/>
          <w:color w:val="002060"/>
          <w:sz w:val="22"/>
          <w:szCs w:val="22"/>
        </w:rPr>
      </w:pPr>
      <w:r w:rsidRPr="006B6F46">
        <w:rPr>
          <w:rFonts w:ascii="Candara" w:eastAsia="Candara" w:hAnsi="Candara"/>
          <w:color w:val="002060"/>
          <w:sz w:val="22"/>
          <w:szCs w:val="22"/>
        </w:rPr>
        <w:t>Importantly, CSDs should not be required to amend any previous</w:t>
      </w:r>
      <w:r>
        <w:rPr>
          <w:rFonts w:ascii="Candara" w:eastAsia="Candara" w:hAnsi="Candara"/>
          <w:color w:val="002060"/>
          <w:sz w:val="22"/>
          <w:szCs w:val="22"/>
        </w:rPr>
        <w:t>ly provided</w:t>
      </w:r>
      <w:r w:rsidRPr="006B6F46">
        <w:rPr>
          <w:rFonts w:ascii="Candara" w:eastAsia="Candara" w:hAnsi="Candara"/>
          <w:color w:val="002060"/>
          <w:sz w:val="22"/>
          <w:szCs w:val="22"/>
        </w:rPr>
        <w:t xml:space="preserve"> reports.</w:t>
      </w:r>
    </w:p>
    <w:permEnd w:id="562393656"/>
    <w:p w14:paraId="4B1B1FC7" w14:textId="77777777" w:rsidR="00C85C8B" w:rsidRDefault="00C85C8B" w:rsidP="00C85C8B">
      <w:pPr>
        <w:rPr>
          <w:rFonts w:ascii="Arial" w:hAnsi="Arial" w:cs="Arial"/>
        </w:rPr>
      </w:pPr>
      <w:r>
        <w:rPr>
          <w:rFonts w:ascii="Arial" w:hAnsi="Arial" w:cs="Arial"/>
        </w:rPr>
        <w:t>&lt;ESMA_QUESTION_SFR_13&gt;</w:t>
      </w:r>
    </w:p>
    <w:p w14:paraId="6A9EF007" w14:textId="77777777" w:rsidR="00C85C8B" w:rsidRDefault="00C85C8B" w:rsidP="00C85C8B">
      <w:pPr>
        <w:rPr>
          <w:rFonts w:ascii="Arial" w:hAnsi="Arial" w:cs="Arial"/>
        </w:rPr>
      </w:pPr>
    </w:p>
    <w:p w14:paraId="6E6B3B78" w14:textId="77777777" w:rsidR="00C85C8B" w:rsidRDefault="00C85C8B" w:rsidP="00C85C8B">
      <w:pPr>
        <w:pStyle w:val="Questionstyle"/>
        <w:numPr>
          <w:ilvl w:val="0"/>
          <w:numId w:val="13"/>
        </w:numPr>
        <w:spacing w:after="250" w:line="276" w:lineRule="auto"/>
        <w:ind w:left="360"/>
      </w:pPr>
      <w:r w:rsidRPr="00B0053A">
        <w:t xml:space="preserve">: Do you have any comments or suggestions regarding the proposed approach for treating late matching instructions? Which option do you prefer? Please provide arguments supporting your comments and suggestions. </w:t>
      </w:r>
    </w:p>
    <w:p w14:paraId="22D55F42" w14:textId="77777777" w:rsidR="00C85C8B" w:rsidRDefault="00C85C8B" w:rsidP="00C85C8B">
      <w:pPr>
        <w:rPr>
          <w:rFonts w:ascii="Arial" w:hAnsi="Arial" w:cs="Arial"/>
        </w:rPr>
      </w:pPr>
      <w:r>
        <w:rPr>
          <w:rFonts w:ascii="Arial" w:hAnsi="Arial" w:cs="Arial"/>
        </w:rPr>
        <w:t>&lt;ESMA_QUESTION_SFR_14&gt;</w:t>
      </w:r>
    </w:p>
    <w:p w14:paraId="1C497394" w14:textId="77777777" w:rsidR="003A3DC3" w:rsidRDefault="003A3DC3" w:rsidP="003A3DC3">
      <w:pPr>
        <w:pStyle w:val="Default"/>
        <w:spacing w:line="276" w:lineRule="auto"/>
        <w:rPr>
          <w:rFonts w:ascii="Candara" w:eastAsia="Candara" w:hAnsi="Candara"/>
          <w:color w:val="002060"/>
          <w:sz w:val="22"/>
          <w:szCs w:val="22"/>
        </w:rPr>
      </w:pPr>
      <w:permStart w:id="1904029307" w:edGrp="everyone"/>
      <w:r>
        <w:rPr>
          <w:rFonts w:ascii="Candara" w:eastAsia="Candara" w:hAnsi="Candara"/>
          <w:color w:val="002060"/>
          <w:sz w:val="22"/>
          <w:szCs w:val="22"/>
        </w:rPr>
        <w:t>We would advise to reconsider this requirement for the following reasons:</w:t>
      </w:r>
    </w:p>
    <w:p w14:paraId="48E3BB59" w14:textId="77777777" w:rsidR="003A3DC3" w:rsidRDefault="003A3DC3" w:rsidP="003A3DC3">
      <w:pPr>
        <w:pStyle w:val="Default"/>
        <w:numPr>
          <w:ilvl w:val="0"/>
          <w:numId w:val="29"/>
        </w:numPr>
        <w:spacing w:line="276" w:lineRule="auto"/>
        <w:jc w:val="left"/>
        <w:rPr>
          <w:rFonts w:ascii="Candara" w:eastAsia="Candara" w:hAnsi="Candara"/>
          <w:color w:val="002060"/>
          <w:sz w:val="22"/>
          <w:szCs w:val="22"/>
        </w:rPr>
      </w:pPr>
      <w:r>
        <w:rPr>
          <w:rFonts w:ascii="Candara" w:eastAsia="Candara" w:hAnsi="Candara"/>
          <w:color w:val="002060"/>
          <w:sz w:val="22"/>
          <w:szCs w:val="22"/>
        </w:rPr>
        <w:t xml:space="preserve">It is not in line with the “Internalized settlement” reports requirements for </w:t>
      </w:r>
      <w:proofErr w:type="spellStart"/>
      <w:r>
        <w:rPr>
          <w:rFonts w:ascii="Candara" w:eastAsia="Candara" w:hAnsi="Candara"/>
          <w:color w:val="002060"/>
          <w:sz w:val="22"/>
          <w:szCs w:val="22"/>
        </w:rPr>
        <w:t>internalizers</w:t>
      </w:r>
      <w:proofErr w:type="spellEnd"/>
      <w:r>
        <w:rPr>
          <w:rFonts w:ascii="Candara" w:eastAsia="Candara" w:hAnsi="Candara"/>
          <w:color w:val="002060"/>
          <w:sz w:val="22"/>
          <w:szCs w:val="22"/>
        </w:rPr>
        <w:t xml:space="preserve"> that does not oblige them to revalidate/ recalculate and resend reports.</w:t>
      </w:r>
    </w:p>
    <w:p w14:paraId="63972337" w14:textId="77777777" w:rsidR="003A3DC3" w:rsidRDefault="003A3DC3" w:rsidP="003A3DC3">
      <w:pPr>
        <w:pStyle w:val="Default"/>
        <w:spacing w:line="276" w:lineRule="auto"/>
        <w:jc w:val="both"/>
        <w:rPr>
          <w:rFonts w:ascii="Candara" w:eastAsia="Candara" w:hAnsi="Candara"/>
          <w:color w:val="002060"/>
          <w:sz w:val="22"/>
          <w:szCs w:val="22"/>
        </w:rPr>
      </w:pPr>
    </w:p>
    <w:p w14:paraId="382EE5AC" w14:textId="77777777" w:rsidR="003A3DC3" w:rsidRDefault="003A3DC3" w:rsidP="003A3DC3">
      <w:pPr>
        <w:pStyle w:val="ListParagraph"/>
        <w:numPr>
          <w:ilvl w:val="0"/>
          <w:numId w:val="29"/>
        </w:numPr>
        <w:adjustRightInd/>
        <w:spacing w:line="276" w:lineRule="auto"/>
        <w:jc w:val="left"/>
        <w:rPr>
          <w:rFonts w:ascii="Candara" w:eastAsia="Candara" w:hAnsi="Candara"/>
          <w:color w:val="002060"/>
        </w:rPr>
      </w:pPr>
      <w:r w:rsidRPr="00351072">
        <w:rPr>
          <w:rFonts w:ascii="Candara" w:eastAsia="Candara" w:hAnsi="Candara"/>
          <w:color w:val="002060"/>
        </w:rPr>
        <w:t>Additionally, due to the overall size of data to be processed and the assumed insignifi</w:t>
      </w:r>
      <w:r w:rsidRPr="00B40E14">
        <w:rPr>
          <w:rFonts w:ascii="Candara" w:eastAsia="Candara" w:hAnsi="Candara"/>
          <w:color w:val="002060"/>
        </w:rPr>
        <w:t>cant portion of “late matchings”, this would not be commensurate with the reduction of settle</w:t>
      </w:r>
      <w:r w:rsidRPr="00617DA9">
        <w:rPr>
          <w:rFonts w:ascii="Candara" w:eastAsia="Candara" w:hAnsi="Candara"/>
          <w:color w:val="002060"/>
        </w:rPr>
        <w:t xml:space="preserve">ment fails. </w:t>
      </w:r>
      <w:r w:rsidRPr="00351072">
        <w:rPr>
          <w:rFonts w:ascii="Candara" w:eastAsia="Candara" w:hAnsi="Candara"/>
          <w:color w:val="002060"/>
        </w:rPr>
        <w:t xml:space="preserve"> </w:t>
      </w:r>
    </w:p>
    <w:p w14:paraId="7A2DD883" w14:textId="77777777" w:rsidR="003A3DC3" w:rsidRPr="00351072" w:rsidRDefault="003A3DC3" w:rsidP="003A3DC3">
      <w:pPr>
        <w:pStyle w:val="ListParagraph"/>
        <w:numPr>
          <w:ilvl w:val="0"/>
          <w:numId w:val="29"/>
        </w:numPr>
        <w:adjustRightInd/>
        <w:spacing w:line="276" w:lineRule="auto"/>
        <w:jc w:val="left"/>
        <w:rPr>
          <w:rFonts w:ascii="Candara" w:eastAsia="Candara" w:hAnsi="Candara"/>
          <w:color w:val="002060"/>
        </w:rPr>
      </w:pPr>
      <w:r w:rsidRPr="00351072">
        <w:rPr>
          <w:rFonts w:ascii="Candara" w:eastAsia="Candara" w:hAnsi="Candara"/>
          <w:color w:val="002060"/>
        </w:rPr>
        <w:t>Providing an updated report will increase the processing time to obtain the report, with a low added value (as the number of such cases should remain minimum)</w:t>
      </w:r>
      <w:r>
        <w:rPr>
          <w:rFonts w:ascii="Candara" w:eastAsia="Candara" w:hAnsi="Candara"/>
          <w:color w:val="002060"/>
        </w:rPr>
        <w:t xml:space="preserve"> t</w:t>
      </w:r>
      <w:r w:rsidRPr="00351072">
        <w:rPr>
          <w:rFonts w:ascii="Candara" w:eastAsia="Candara" w:hAnsi="Candara"/>
          <w:color w:val="002060"/>
        </w:rPr>
        <w:t xml:space="preserve">o the initial objective </w:t>
      </w:r>
      <w:r>
        <w:rPr>
          <w:rFonts w:ascii="Candara" w:eastAsia="Candara" w:hAnsi="Candara"/>
          <w:color w:val="002060"/>
        </w:rPr>
        <w:t>of</w:t>
      </w:r>
      <w:r w:rsidRPr="00351072">
        <w:rPr>
          <w:rFonts w:ascii="Candara" w:eastAsia="Candara" w:hAnsi="Candara"/>
          <w:color w:val="002060"/>
        </w:rPr>
        <w:t xml:space="preserve"> trans</w:t>
      </w:r>
      <w:r>
        <w:rPr>
          <w:rFonts w:ascii="Candara" w:eastAsia="Candara" w:hAnsi="Candara"/>
          <w:color w:val="002060"/>
        </w:rPr>
        <w:t>parency and reduction of settlement</w:t>
      </w:r>
      <w:r w:rsidRPr="00351072">
        <w:rPr>
          <w:rFonts w:ascii="Candara" w:eastAsia="Candara" w:hAnsi="Candara"/>
          <w:color w:val="002060"/>
        </w:rPr>
        <w:t xml:space="preserve"> fails. </w:t>
      </w:r>
    </w:p>
    <w:p w14:paraId="4BD82269" w14:textId="77777777" w:rsidR="003A3DC3" w:rsidRDefault="003A3DC3" w:rsidP="003A3DC3">
      <w:pPr>
        <w:pStyle w:val="Default"/>
        <w:spacing w:before="250" w:line="276" w:lineRule="auto"/>
        <w:ind w:right="330"/>
        <w:jc w:val="both"/>
        <w:rPr>
          <w:rFonts w:ascii="Candara" w:eastAsia="Candara" w:hAnsi="Candara"/>
          <w:color w:val="002060"/>
          <w:sz w:val="22"/>
          <w:szCs w:val="22"/>
        </w:rPr>
      </w:pPr>
      <w:r>
        <w:rPr>
          <w:rFonts w:ascii="Candara" w:eastAsia="Candara" w:hAnsi="Candara"/>
          <w:color w:val="002060"/>
          <w:sz w:val="22"/>
          <w:szCs w:val="22"/>
        </w:rPr>
        <w:t xml:space="preserve">Considering the above, a monthly update appears disproportionate with the intended objective of the fails reporting. </w:t>
      </w:r>
    </w:p>
    <w:permEnd w:id="1904029307"/>
    <w:p w14:paraId="13192FC2" w14:textId="77777777" w:rsidR="00C85C8B" w:rsidRDefault="00C85C8B" w:rsidP="00C85C8B">
      <w:pPr>
        <w:rPr>
          <w:rFonts w:ascii="Arial" w:hAnsi="Arial" w:cs="Arial"/>
        </w:rPr>
      </w:pPr>
      <w:r>
        <w:rPr>
          <w:rFonts w:ascii="Arial" w:hAnsi="Arial" w:cs="Arial"/>
        </w:rPr>
        <w:lastRenderedPageBreak/>
        <w:t>&lt;ESMA_QUESTION_SFR_14&gt;</w:t>
      </w:r>
    </w:p>
    <w:p w14:paraId="4849DC40" w14:textId="77777777" w:rsidR="00C85C8B" w:rsidRDefault="00C85C8B" w:rsidP="00C85C8B">
      <w:pPr>
        <w:rPr>
          <w:rFonts w:ascii="Arial" w:hAnsi="Arial" w:cs="Arial"/>
        </w:rPr>
      </w:pPr>
    </w:p>
    <w:p w14:paraId="5493549F" w14:textId="77777777" w:rsidR="00C85C8B" w:rsidRPr="00B0053A" w:rsidRDefault="00C85C8B" w:rsidP="00C85C8B">
      <w:pPr>
        <w:pStyle w:val="Questionstyle"/>
        <w:numPr>
          <w:ilvl w:val="0"/>
          <w:numId w:val="13"/>
        </w:numPr>
        <w:spacing w:after="250" w:line="276" w:lineRule="auto"/>
        <w:ind w:left="360"/>
      </w:pPr>
      <w:r w:rsidRPr="00B0053A">
        <w:t xml:space="preserve">: What would be an adequate tolerance level (for figures related to: values, volumes, rates) for the discrepancies between the annual report and the aggregated figures in the related monthly reports? </w:t>
      </w:r>
    </w:p>
    <w:p w14:paraId="33223BA4" w14:textId="77777777" w:rsidR="00C85C8B" w:rsidRDefault="00C85C8B" w:rsidP="00C85C8B">
      <w:pPr>
        <w:rPr>
          <w:rFonts w:ascii="Arial" w:hAnsi="Arial" w:cs="Arial"/>
        </w:rPr>
      </w:pPr>
      <w:r>
        <w:rPr>
          <w:rFonts w:ascii="Arial" w:hAnsi="Arial" w:cs="Arial"/>
        </w:rPr>
        <w:t>&lt;ESMA_QUESTION_SFR_15&gt;</w:t>
      </w:r>
    </w:p>
    <w:p w14:paraId="3E2556C1" w14:textId="77777777" w:rsidR="00F41942" w:rsidRPr="006B6F46" w:rsidRDefault="00F41942" w:rsidP="00F41942">
      <w:pPr>
        <w:pStyle w:val="ListParagraph"/>
        <w:numPr>
          <w:ilvl w:val="0"/>
          <w:numId w:val="0"/>
        </w:numPr>
        <w:spacing w:line="276" w:lineRule="auto"/>
        <w:ind w:left="142"/>
        <w:rPr>
          <w:rFonts w:ascii="Candara" w:eastAsia="Candara" w:hAnsi="Candara"/>
          <w:color w:val="002060"/>
        </w:rPr>
      </w:pPr>
      <w:permStart w:id="2016095107" w:edGrp="everyone"/>
      <w:r>
        <w:rPr>
          <w:rFonts w:ascii="Candara" w:eastAsia="Candara" w:hAnsi="Candara"/>
          <w:color w:val="002060"/>
        </w:rPr>
        <w:t>ECSDA m</w:t>
      </w:r>
      <w:r w:rsidRPr="006B6F46">
        <w:rPr>
          <w:rFonts w:ascii="Candara" w:eastAsia="Candara" w:hAnsi="Candara"/>
          <w:color w:val="002060"/>
        </w:rPr>
        <w:t xml:space="preserve">embers have expressed </w:t>
      </w:r>
      <w:r>
        <w:rPr>
          <w:rFonts w:ascii="Candara" w:eastAsia="Candara" w:hAnsi="Candara"/>
          <w:color w:val="002060"/>
        </w:rPr>
        <w:t xml:space="preserve">a </w:t>
      </w:r>
      <w:r w:rsidRPr="006B6F46">
        <w:rPr>
          <w:rFonts w:ascii="Candara" w:eastAsia="Candara" w:hAnsi="Candara"/>
          <w:color w:val="002060"/>
        </w:rPr>
        <w:t>significantly different opinion in this regard:</w:t>
      </w:r>
    </w:p>
    <w:p w14:paraId="397E11E4" w14:textId="77777777" w:rsidR="00F41942" w:rsidRPr="00210CB9" w:rsidRDefault="00F41942" w:rsidP="00F41942">
      <w:pPr>
        <w:pStyle w:val="ListParagraph"/>
        <w:numPr>
          <w:ilvl w:val="0"/>
          <w:numId w:val="0"/>
        </w:numPr>
        <w:spacing w:line="276" w:lineRule="auto"/>
        <w:ind w:left="142"/>
        <w:rPr>
          <w:rFonts w:ascii="Candara" w:eastAsia="Candara" w:hAnsi="Candara"/>
          <w:color w:val="002060"/>
        </w:rPr>
      </w:pPr>
      <w:r w:rsidRPr="00210CB9">
        <w:rPr>
          <w:rFonts w:ascii="Candara" w:eastAsia="Candara" w:hAnsi="Candara"/>
          <w:color w:val="002060"/>
        </w:rPr>
        <w:t xml:space="preserve">The introduction of tolerances calculations/ considerations would massively complexify the process. We propose a 100% tolerance level if there </w:t>
      </w:r>
      <w:proofErr w:type="gramStart"/>
      <w:r w:rsidRPr="00210CB9">
        <w:rPr>
          <w:rFonts w:ascii="Candara" w:eastAsia="Candara" w:hAnsi="Candara"/>
          <w:color w:val="002060"/>
        </w:rPr>
        <w:t>has to</w:t>
      </w:r>
      <w:proofErr w:type="gramEnd"/>
      <w:r w:rsidRPr="00210CB9">
        <w:rPr>
          <w:rFonts w:ascii="Candara" w:eastAsia="Candara" w:hAnsi="Candara"/>
          <w:color w:val="002060"/>
        </w:rPr>
        <w:t xml:space="preserve"> be any at all. </w:t>
      </w:r>
    </w:p>
    <w:permEnd w:id="2016095107"/>
    <w:p w14:paraId="770D9E22" w14:textId="77777777" w:rsidR="00C85C8B" w:rsidRDefault="00C85C8B" w:rsidP="00C85C8B">
      <w:pPr>
        <w:rPr>
          <w:rFonts w:ascii="Arial" w:hAnsi="Arial" w:cs="Arial"/>
        </w:rPr>
      </w:pPr>
      <w:r>
        <w:rPr>
          <w:rFonts w:ascii="Arial" w:hAnsi="Arial" w:cs="Arial"/>
        </w:rPr>
        <w:t>&lt;ESMA_QUESTION_SFR_15&gt;</w:t>
      </w:r>
    </w:p>
    <w:p w14:paraId="60787EC7" w14:textId="77777777" w:rsidR="00C85C8B" w:rsidRDefault="00C85C8B" w:rsidP="00C85C8B">
      <w:pPr>
        <w:rPr>
          <w:rFonts w:ascii="Arial" w:hAnsi="Arial" w:cs="Arial"/>
        </w:rPr>
      </w:pPr>
    </w:p>
    <w:p w14:paraId="09A47F06" w14:textId="77777777" w:rsidR="00C85C8B" w:rsidRDefault="00C85C8B" w:rsidP="00C85C8B">
      <w:pPr>
        <w:pStyle w:val="Questionstyle"/>
        <w:numPr>
          <w:ilvl w:val="0"/>
          <w:numId w:val="13"/>
        </w:numPr>
        <w:spacing w:after="250" w:line="276" w:lineRule="auto"/>
        <w:ind w:left="360"/>
      </w:pPr>
      <w:r w:rsidRPr="00B0053A">
        <w:t>: Do you have any comments or suggestions regarding the proposed approach for reporting settlement fails based on the reason (cause) of each settlement fail?  Please provide arguments supporting your comments and suggestions. Please see the two Options which have been considered, together with the related examples, in Annex II to these Guidelines.</w:t>
      </w:r>
    </w:p>
    <w:p w14:paraId="06A9BDC8" w14:textId="77777777" w:rsidR="00C85C8B" w:rsidRDefault="00C85C8B" w:rsidP="00C85C8B">
      <w:pPr>
        <w:rPr>
          <w:rFonts w:ascii="Arial" w:hAnsi="Arial" w:cs="Arial"/>
        </w:rPr>
      </w:pPr>
      <w:r>
        <w:rPr>
          <w:rFonts w:ascii="Arial" w:hAnsi="Arial" w:cs="Arial"/>
        </w:rPr>
        <w:t>&lt;ESMA_QUESTION_SFR_16&gt;</w:t>
      </w:r>
    </w:p>
    <w:p w14:paraId="3DC38248" w14:textId="77777777" w:rsidR="00F41942" w:rsidRPr="00BB1EB1" w:rsidRDefault="00F41942" w:rsidP="00F41942">
      <w:pPr>
        <w:pStyle w:val="ListParagraph"/>
        <w:numPr>
          <w:ilvl w:val="0"/>
          <w:numId w:val="30"/>
        </w:numPr>
        <w:tabs>
          <w:tab w:val="clear" w:pos="567"/>
          <w:tab w:val="left" w:pos="426"/>
        </w:tabs>
        <w:adjustRightInd/>
        <w:spacing w:line="276" w:lineRule="auto"/>
        <w:ind w:left="567" w:hanging="207"/>
        <w:rPr>
          <w:rFonts w:ascii="Candara" w:eastAsia="Arial" w:hAnsi="Candara"/>
          <w:color w:val="002060"/>
        </w:rPr>
      </w:pPr>
      <w:permStart w:id="2068147066" w:edGrp="everyone"/>
      <w:r w:rsidRPr="00BB1EB1">
        <w:rPr>
          <w:rFonts w:ascii="Candara" w:eastAsia="Arial" w:hAnsi="Candara"/>
          <w:color w:val="002060"/>
        </w:rPr>
        <w:t xml:space="preserve">We would like to confirm how the CSD can determine if a fail is caused by a 'failure to deliver cash' or a 'failure to deliver securities' when more than one reason code of failure for a settlement instruction applies, and some of them result into both, ‘failure of cash’ and ‘failure of </w:t>
      </w:r>
      <w:proofErr w:type="gramStart"/>
      <w:r w:rsidRPr="00BB1EB1">
        <w:rPr>
          <w:rFonts w:ascii="Candara" w:eastAsia="Arial" w:hAnsi="Candara"/>
          <w:color w:val="002060"/>
        </w:rPr>
        <w:t>securities’</w:t>
      </w:r>
      <w:proofErr w:type="gramEnd"/>
      <w:r w:rsidRPr="00BB1EB1">
        <w:rPr>
          <w:rFonts w:ascii="Candara" w:eastAsia="Arial" w:hAnsi="Candara"/>
          <w:color w:val="002060"/>
        </w:rPr>
        <w:t xml:space="preserve">. A suggested approach would be to check the securities leg first, and if there is a </w:t>
      </w:r>
      <w:proofErr w:type="gramStart"/>
      <w:r w:rsidRPr="00BB1EB1">
        <w:rPr>
          <w:rFonts w:ascii="Candara" w:eastAsia="Arial" w:hAnsi="Candara"/>
          <w:color w:val="002060"/>
        </w:rPr>
        <w:t>fail,  no</w:t>
      </w:r>
      <w:proofErr w:type="gramEnd"/>
      <w:r w:rsidRPr="00BB1EB1">
        <w:rPr>
          <w:rFonts w:ascii="Candara" w:eastAsia="Arial" w:hAnsi="Candara"/>
          <w:color w:val="002060"/>
        </w:rPr>
        <w:t xml:space="preserve"> further checks would be done on the cash leg. This approach is aligned with </w:t>
      </w:r>
      <w:proofErr w:type="gramStart"/>
      <w:r w:rsidRPr="00BB1EB1">
        <w:rPr>
          <w:rFonts w:ascii="Candara" w:eastAsia="Arial" w:hAnsi="Candara"/>
          <w:color w:val="002060"/>
        </w:rPr>
        <w:t>the  foreseen</w:t>
      </w:r>
      <w:proofErr w:type="gramEnd"/>
      <w:r w:rsidRPr="00BB1EB1">
        <w:rPr>
          <w:rFonts w:ascii="Candara" w:eastAsia="Arial" w:hAnsi="Candara"/>
          <w:color w:val="002060"/>
        </w:rPr>
        <w:t xml:space="preserve"> behaviour of the T2S platform for penalties calculations.  </w:t>
      </w:r>
    </w:p>
    <w:p w14:paraId="1069DA2D" w14:textId="77777777" w:rsidR="00F41942" w:rsidRPr="00BB1EB1" w:rsidRDefault="00F41942" w:rsidP="00F41942">
      <w:pPr>
        <w:tabs>
          <w:tab w:val="left" w:pos="426"/>
        </w:tabs>
        <w:spacing w:line="276" w:lineRule="auto"/>
        <w:ind w:left="567" w:hanging="207"/>
        <w:rPr>
          <w:rFonts w:ascii="Candara" w:eastAsia="Arial" w:hAnsi="Candara"/>
          <w:color w:val="002060"/>
          <w:sz w:val="22"/>
          <w:szCs w:val="22"/>
        </w:rPr>
      </w:pPr>
    </w:p>
    <w:p w14:paraId="47E3B7E7" w14:textId="77777777" w:rsidR="00F41942" w:rsidRPr="00BB1EB1" w:rsidRDefault="00F41942" w:rsidP="00F41942">
      <w:pPr>
        <w:pStyle w:val="ListParagraph"/>
        <w:numPr>
          <w:ilvl w:val="0"/>
          <w:numId w:val="30"/>
        </w:numPr>
        <w:tabs>
          <w:tab w:val="clear" w:pos="567"/>
          <w:tab w:val="left" w:pos="426"/>
        </w:tabs>
        <w:adjustRightInd/>
        <w:spacing w:line="276" w:lineRule="auto"/>
        <w:ind w:left="567" w:hanging="207"/>
        <w:rPr>
          <w:rFonts w:ascii="Candara" w:eastAsia="Arial" w:hAnsi="Candara"/>
          <w:color w:val="002060"/>
        </w:rPr>
      </w:pPr>
      <w:r w:rsidRPr="00BB1EB1">
        <w:rPr>
          <w:rFonts w:ascii="Candara" w:eastAsia="Arial" w:hAnsi="Candara"/>
          <w:color w:val="002060"/>
        </w:rPr>
        <w:t xml:space="preserve">On the other hand, according to Guideline 5, CSDs should </w:t>
      </w:r>
      <w:proofErr w:type="gramStart"/>
      <w:r w:rsidRPr="00BB1EB1">
        <w:rPr>
          <w:rFonts w:ascii="Candara" w:eastAsia="Arial" w:hAnsi="Candara"/>
          <w:color w:val="002060"/>
        </w:rPr>
        <w:t>take into account</w:t>
      </w:r>
      <w:proofErr w:type="gramEnd"/>
      <w:r w:rsidRPr="00BB1EB1">
        <w:rPr>
          <w:rFonts w:ascii="Candara" w:eastAsia="Arial" w:hAnsi="Candara"/>
          <w:color w:val="002060"/>
        </w:rPr>
        <w:t xml:space="preserve"> the reason (cause) of settlement fail, to distinguish between ‘failure to deliver cash’ or ‘failure to deliver securities’. From our point of view, we believe that there can be some reason codes where it’s not clear how to translate these to ESMA reason status. </w:t>
      </w:r>
    </w:p>
    <w:p w14:paraId="061304AB" w14:textId="77777777" w:rsidR="00F41942" w:rsidRPr="00BB1EB1" w:rsidRDefault="00F41942" w:rsidP="00F41942">
      <w:pPr>
        <w:tabs>
          <w:tab w:val="left" w:pos="426"/>
        </w:tabs>
        <w:spacing w:line="276" w:lineRule="auto"/>
        <w:ind w:left="720" w:hanging="360"/>
        <w:rPr>
          <w:rFonts w:ascii="Candara" w:eastAsia="Arial" w:hAnsi="Candara"/>
          <w:color w:val="002060"/>
        </w:rPr>
      </w:pPr>
    </w:p>
    <w:p w14:paraId="22A6CF3E" w14:textId="77777777" w:rsidR="00F41942" w:rsidRPr="00BB1EB1" w:rsidRDefault="00F41942" w:rsidP="00F41942">
      <w:pPr>
        <w:pStyle w:val="ListParagraph"/>
        <w:numPr>
          <w:ilvl w:val="0"/>
          <w:numId w:val="18"/>
        </w:numPr>
        <w:tabs>
          <w:tab w:val="clear" w:pos="567"/>
          <w:tab w:val="left" w:pos="426"/>
        </w:tabs>
        <w:adjustRightInd/>
        <w:spacing w:line="276" w:lineRule="auto"/>
        <w:rPr>
          <w:rFonts w:ascii="Candara" w:eastAsia="Arial" w:hAnsi="Candara"/>
          <w:color w:val="002060"/>
        </w:rPr>
      </w:pPr>
      <w:r w:rsidRPr="00BB1EB1">
        <w:rPr>
          <w:rFonts w:ascii="Candara" w:hAnsi="Candara"/>
          <w:color w:val="002060"/>
        </w:rPr>
        <w:t>Note that several optimisation tools are available in the settlement system, which prevent failure of cash to happen. Thus, these situations should be marginal.</w:t>
      </w:r>
      <w:r w:rsidRPr="00BB1EB1">
        <w:rPr>
          <w:rFonts w:ascii="Candara" w:eastAsia="Arial" w:hAnsi="Candara"/>
          <w:color w:val="002060"/>
        </w:rPr>
        <w:t xml:space="preserve"> </w:t>
      </w:r>
    </w:p>
    <w:permEnd w:id="2068147066"/>
    <w:p w14:paraId="60D9E923" w14:textId="77777777" w:rsidR="00C85C8B" w:rsidRDefault="00C85C8B" w:rsidP="00C85C8B">
      <w:pPr>
        <w:rPr>
          <w:rFonts w:ascii="Arial" w:hAnsi="Arial" w:cs="Arial"/>
        </w:rPr>
      </w:pPr>
      <w:r>
        <w:rPr>
          <w:rFonts w:ascii="Arial" w:hAnsi="Arial" w:cs="Arial"/>
        </w:rPr>
        <w:t>&lt;ESMA_QUESTION_SFR_16&gt;</w:t>
      </w:r>
    </w:p>
    <w:p w14:paraId="22D1DDED" w14:textId="77777777" w:rsidR="00C85C8B" w:rsidRDefault="00C85C8B" w:rsidP="00C85C8B">
      <w:pPr>
        <w:rPr>
          <w:rFonts w:ascii="Arial" w:hAnsi="Arial" w:cs="Arial"/>
        </w:rPr>
      </w:pPr>
    </w:p>
    <w:p w14:paraId="683B8A63" w14:textId="77777777" w:rsidR="00C85C8B" w:rsidRPr="00B0053A" w:rsidRDefault="00C85C8B" w:rsidP="00C85C8B">
      <w:pPr>
        <w:pStyle w:val="Questionstyle"/>
        <w:numPr>
          <w:ilvl w:val="0"/>
          <w:numId w:val="13"/>
        </w:numPr>
        <w:spacing w:after="250" w:line="276" w:lineRule="auto"/>
        <w:ind w:left="360"/>
      </w:pPr>
      <w:r w:rsidRPr="00B0053A">
        <w:t>: Which Option regarding the treatment of business days in the monthly reports on settlement fails is preferable from an operational perspective? Please provide arguments supporting your comments and suggestions.</w:t>
      </w:r>
    </w:p>
    <w:p w14:paraId="4F38E822" w14:textId="77777777" w:rsidR="00C85C8B" w:rsidRDefault="00C85C8B" w:rsidP="00C85C8B">
      <w:pPr>
        <w:rPr>
          <w:rFonts w:ascii="Arial" w:hAnsi="Arial" w:cs="Arial"/>
        </w:rPr>
      </w:pPr>
      <w:r>
        <w:rPr>
          <w:rFonts w:ascii="Arial" w:hAnsi="Arial" w:cs="Arial"/>
        </w:rPr>
        <w:t>&lt;ESMA_QUESTION_SFR_17&gt;</w:t>
      </w:r>
    </w:p>
    <w:p w14:paraId="0A5BCAE5" w14:textId="77777777" w:rsidR="00910DD5" w:rsidRDefault="00910DD5" w:rsidP="00910DD5">
      <w:pPr>
        <w:spacing w:line="276" w:lineRule="auto"/>
        <w:jc w:val="both"/>
        <w:rPr>
          <w:rFonts w:ascii="Candara" w:eastAsia="Candara" w:hAnsi="Candara"/>
          <w:color w:val="002060"/>
          <w:sz w:val="22"/>
          <w:szCs w:val="22"/>
        </w:rPr>
      </w:pPr>
      <w:permStart w:id="356078207" w:edGrp="everyone"/>
      <w:r>
        <w:rPr>
          <w:rFonts w:ascii="Candara" w:eastAsia="Candara" w:hAnsi="Candara"/>
          <w:color w:val="002060"/>
          <w:sz w:val="22"/>
          <w:szCs w:val="22"/>
        </w:rPr>
        <w:t>CSDs support option 2 (only the business days of the respective month), as this is aligned with the application of the penalties, in the Settlement Discipline Regime, and will result in a clearer structure in the report. Furthermore, Option 1 would unnecessarily increase the report size when covering as well week-ends as non-business days.</w:t>
      </w:r>
    </w:p>
    <w:permEnd w:id="356078207"/>
    <w:p w14:paraId="68FFA108" w14:textId="77777777" w:rsidR="00C85C8B" w:rsidRDefault="00C85C8B" w:rsidP="00C85C8B">
      <w:pPr>
        <w:rPr>
          <w:rFonts w:ascii="Arial" w:hAnsi="Arial" w:cs="Arial"/>
        </w:rPr>
      </w:pPr>
      <w:r>
        <w:rPr>
          <w:rFonts w:ascii="Arial" w:hAnsi="Arial" w:cs="Arial"/>
        </w:rPr>
        <w:t>&lt;ESMA_QUESTION_SFR_17&gt;</w:t>
      </w:r>
    </w:p>
    <w:p w14:paraId="31D1A10D" w14:textId="77777777" w:rsidR="00C85C8B" w:rsidRDefault="00C85C8B" w:rsidP="00C85C8B">
      <w:pPr>
        <w:rPr>
          <w:rFonts w:ascii="Arial" w:hAnsi="Arial" w:cs="Arial"/>
        </w:rPr>
      </w:pPr>
    </w:p>
    <w:p w14:paraId="521C2DD6" w14:textId="77777777" w:rsidR="00C85C8B" w:rsidRPr="00B0053A" w:rsidRDefault="00C85C8B" w:rsidP="00C85C8B">
      <w:pPr>
        <w:pStyle w:val="Questionstyle"/>
        <w:numPr>
          <w:ilvl w:val="0"/>
          <w:numId w:val="13"/>
        </w:numPr>
        <w:spacing w:after="250" w:line="276" w:lineRule="auto"/>
        <w:ind w:left="360"/>
      </w:pPr>
      <w:r w:rsidRPr="00B0053A">
        <w:lastRenderedPageBreak/>
        <w:t>: Do you have any comments or suggestions regarding the currencies? Please provide arguments supporting your comments and suggestions.</w:t>
      </w:r>
    </w:p>
    <w:p w14:paraId="1E175AD6" w14:textId="77777777" w:rsidR="00C85C8B" w:rsidRDefault="00C85C8B" w:rsidP="00C85C8B">
      <w:pPr>
        <w:rPr>
          <w:rFonts w:ascii="Arial" w:hAnsi="Arial" w:cs="Arial"/>
        </w:rPr>
      </w:pPr>
      <w:r>
        <w:rPr>
          <w:rFonts w:ascii="Arial" w:hAnsi="Arial" w:cs="Arial"/>
        </w:rPr>
        <w:t>&lt;ESMA_QUESTION_SFR_18&gt;</w:t>
      </w:r>
    </w:p>
    <w:p w14:paraId="5D4AF575" w14:textId="77777777" w:rsidR="007E487B" w:rsidRDefault="007E487B" w:rsidP="007E487B">
      <w:pPr>
        <w:pStyle w:val="ListParagraph"/>
        <w:numPr>
          <w:ilvl w:val="0"/>
          <w:numId w:val="31"/>
        </w:numPr>
        <w:adjustRightInd/>
        <w:spacing w:line="276" w:lineRule="auto"/>
        <w:rPr>
          <w:rFonts w:ascii="Candara" w:eastAsia="Arial" w:hAnsi="Arial"/>
          <w:color w:val="002060"/>
        </w:rPr>
      </w:pPr>
      <w:permStart w:id="2032687649" w:edGrp="everyone"/>
      <w:r>
        <w:rPr>
          <w:rFonts w:ascii="Candara" w:eastAsia="Arial" w:hAnsi="Arial"/>
          <w:color w:val="002060"/>
        </w:rPr>
        <w:t xml:space="preserve">Regarding point 30, we </w:t>
      </w:r>
      <w:proofErr w:type="gramStart"/>
      <w:r>
        <w:rPr>
          <w:rFonts w:ascii="Candara" w:eastAsia="Arial" w:hAnsi="Arial"/>
          <w:color w:val="002060"/>
        </w:rPr>
        <w:t>understand  the</w:t>
      </w:r>
      <w:proofErr w:type="gramEnd"/>
      <w:r>
        <w:rPr>
          <w:rFonts w:ascii="Candara" w:eastAsia="Arial" w:hAnsi="Arial"/>
          <w:color w:val="002060"/>
        </w:rPr>
        <w:t xml:space="preserve"> value conversion into EUR shall be carried out using the official exchange rate of the ECB </w:t>
      </w:r>
      <w:r>
        <w:rPr>
          <w:rFonts w:ascii="Candara" w:eastAsia="Arial" w:hAnsi="Arial"/>
          <w:b/>
          <w:color w:val="002060"/>
        </w:rPr>
        <w:t xml:space="preserve">of the last day of the reporting period </w:t>
      </w:r>
      <w:r>
        <w:rPr>
          <w:rFonts w:ascii="Candara" w:eastAsia="Arial" w:hAnsi="Arial"/>
          <w:color w:val="002060"/>
        </w:rPr>
        <w:t xml:space="preserve">and </w:t>
      </w:r>
      <w:r>
        <w:rPr>
          <w:rFonts w:ascii="Candara" w:eastAsia="Arial" w:hAnsi="Arial"/>
          <w:b/>
          <w:color w:val="002060"/>
        </w:rPr>
        <w:t>apply the same exchange rate for all the days in the month</w:t>
      </w:r>
      <w:r>
        <w:rPr>
          <w:rFonts w:ascii="Candara" w:eastAsia="Arial" w:hAnsi="Arial"/>
          <w:color w:val="002060"/>
        </w:rPr>
        <w:t>.</w:t>
      </w:r>
    </w:p>
    <w:p w14:paraId="1FB75E7A" w14:textId="77777777" w:rsidR="007E487B" w:rsidRDefault="007E487B" w:rsidP="007E487B">
      <w:pPr>
        <w:pStyle w:val="Default"/>
        <w:spacing w:line="276" w:lineRule="auto"/>
        <w:rPr>
          <w:rFonts w:ascii="Candara" w:eastAsia="Candara" w:hAnsi="Candara"/>
          <w:color w:val="002060"/>
          <w:sz w:val="22"/>
          <w:szCs w:val="22"/>
        </w:rPr>
      </w:pPr>
    </w:p>
    <w:p w14:paraId="58B0210C" w14:textId="77777777" w:rsidR="007E487B" w:rsidRDefault="007E487B" w:rsidP="007E487B">
      <w:pPr>
        <w:pStyle w:val="Default"/>
        <w:numPr>
          <w:ilvl w:val="0"/>
          <w:numId w:val="31"/>
        </w:numPr>
        <w:spacing w:line="276" w:lineRule="auto"/>
        <w:jc w:val="left"/>
        <w:rPr>
          <w:rFonts w:ascii="Candara" w:eastAsia="Candara" w:hAnsi="Candara"/>
          <w:color w:val="002060"/>
          <w:sz w:val="22"/>
          <w:szCs w:val="22"/>
        </w:rPr>
      </w:pPr>
      <w:r>
        <w:rPr>
          <w:rFonts w:ascii="Candara" w:eastAsia="Candara" w:hAnsi="Candara"/>
          <w:color w:val="002060"/>
          <w:sz w:val="22"/>
          <w:szCs w:val="22"/>
        </w:rPr>
        <w:t>While we believe it would be clearer to quote the original currency code of the amount (e.g. USD), converted amount (to EUR) and EUR currency code, we acknowledge this is not foreseen in the report specifications as listed in the relevant RTS.</w:t>
      </w:r>
    </w:p>
    <w:permEnd w:id="2032687649"/>
    <w:p w14:paraId="27974064" w14:textId="77777777" w:rsidR="00C85C8B" w:rsidRDefault="00C85C8B" w:rsidP="00C85C8B">
      <w:pPr>
        <w:rPr>
          <w:rFonts w:ascii="Arial" w:hAnsi="Arial" w:cs="Arial"/>
        </w:rPr>
      </w:pPr>
      <w:r>
        <w:rPr>
          <w:rFonts w:ascii="Arial" w:hAnsi="Arial" w:cs="Arial"/>
        </w:rPr>
        <w:t>&lt;ESMA_QUESTION_SFR_18&gt;</w:t>
      </w:r>
    </w:p>
    <w:p w14:paraId="708E06BB" w14:textId="77777777" w:rsidR="00C85C8B" w:rsidRDefault="00C85C8B" w:rsidP="00C85C8B">
      <w:pPr>
        <w:rPr>
          <w:rFonts w:ascii="Arial" w:hAnsi="Arial" w:cs="Arial"/>
        </w:rPr>
      </w:pPr>
    </w:p>
    <w:p w14:paraId="13A52770" w14:textId="77777777" w:rsidR="00C85C8B" w:rsidRPr="00B0053A" w:rsidRDefault="00C85C8B" w:rsidP="00C85C8B">
      <w:pPr>
        <w:pStyle w:val="Questionstyle"/>
        <w:numPr>
          <w:ilvl w:val="0"/>
          <w:numId w:val="13"/>
        </w:numPr>
        <w:spacing w:after="250" w:line="276" w:lineRule="auto"/>
        <w:ind w:left="360"/>
      </w:pPr>
      <w:r w:rsidRPr="00B0053A">
        <w:t>: Do you have any comments or suggestions regarding the proposed approach for reporting the value of</w:t>
      </w:r>
      <w:r w:rsidRPr="00B8572C">
        <w:t xml:space="preserve"> financial instruments included in DwP/RWP settlement instructions</w:t>
      </w:r>
      <w:r w:rsidRPr="00B0053A">
        <w:t>? Please provide arguments supporting your comments and suggestions.</w:t>
      </w:r>
    </w:p>
    <w:p w14:paraId="41E6BA58" w14:textId="77777777" w:rsidR="00C85C8B" w:rsidRDefault="00C85C8B" w:rsidP="00C85C8B">
      <w:pPr>
        <w:rPr>
          <w:rFonts w:ascii="Arial" w:hAnsi="Arial" w:cs="Arial"/>
        </w:rPr>
      </w:pPr>
      <w:r>
        <w:rPr>
          <w:rFonts w:ascii="Arial" w:hAnsi="Arial" w:cs="Arial"/>
        </w:rPr>
        <w:t>&lt;ESMA_QUESTION_SFR_19&gt;</w:t>
      </w:r>
    </w:p>
    <w:p w14:paraId="7429BA89" w14:textId="77777777" w:rsidR="00C35D05" w:rsidRDefault="00C35D05" w:rsidP="00C35D05">
      <w:pPr>
        <w:pStyle w:val="ListParagraph"/>
        <w:numPr>
          <w:ilvl w:val="0"/>
          <w:numId w:val="32"/>
        </w:numPr>
        <w:adjustRightInd/>
        <w:spacing w:line="276" w:lineRule="auto"/>
        <w:ind w:left="567" w:hanging="207"/>
        <w:rPr>
          <w:rFonts w:ascii="Candara" w:eastAsia="Arial" w:hAnsi="Arial"/>
          <w:color w:val="002060"/>
        </w:rPr>
      </w:pPr>
      <w:permStart w:id="246896622" w:edGrp="everyone"/>
      <w:r>
        <w:rPr>
          <w:rFonts w:ascii="Candara" w:eastAsia="Arial" w:hAnsi="Arial"/>
          <w:color w:val="002060"/>
        </w:rPr>
        <w:t xml:space="preserve">From our point of view, unlike for penalties calculations, DVP/RVP settlement instructions countervalues are not requested to be recalculated using the MIFID II/ R closing price of the instrument, as it is supposed that the different market prices of the financial instrument are </w:t>
      </w:r>
      <w:proofErr w:type="gramStart"/>
      <w:r>
        <w:rPr>
          <w:rFonts w:ascii="Candara" w:eastAsia="Arial" w:hAnsi="Arial"/>
          <w:color w:val="002060"/>
        </w:rPr>
        <w:t>taken into account</w:t>
      </w:r>
      <w:proofErr w:type="gramEnd"/>
      <w:r>
        <w:rPr>
          <w:rFonts w:ascii="Candara" w:eastAsia="Arial" w:hAnsi="Arial"/>
          <w:color w:val="002060"/>
        </w:rPr>
        <w:t xml:space="preserve"> when closing the operation in the correspondent Trade Venue. </w:t>
      </w:r>
    </w:p>
    <w:p w14:paraId="7FE61DB7" w14:textId="77777777" w:rsidR="00C35D05" w:rsidRDefault="00C35D05" w:rsidP="00C35D05">
      <w:pPr>
        <w:pStyle w:val="ListParagraph"/>
        <w:numPr>
          <w:ilvl w:val="0"/>
          <w:numId w:val="32"/>
        </w:numPr>
        <w:adjustRightInd/>
        <w:spacing w:line="276" w:lineRule="auto"/>
        <w:ind w:left="567" w:hanging="207"/>
        <w:rPr>
          <w:rFonts w:ascii="Candara" w:eastAsia="Arial" w:hAnsi="Arial"/>
          <w:color w:val="002060"/>
        </w:rPr>
      </w:pPr>
      <w:r>
        <w:rPr>
          <w:rFonts w:ascii="Candara" w:eastAsia="Arial" w:hAnsi="Arial"/>
          <w:color w:val="002060"/>
        </w:rPr>
        <w:t xml:space="preserve">Furthermore, if we follow the proposed approach, we would have to inform of different figures in </w:t>
      </w:r>
      <w:r>
        <w:rPr>
          <w:rFonts w:ascii="Candara" w:eastAsia="Arial" w:hAnsi="Arial"/>
          <w:color w:val="002060"/>
        </w:rPr>
        <w:t>‘</w:t>
      </w:r>
      <w:r>
        <w:rPr>
          <w:rFonts w:ascii="Candara" w:eastAsia="Arial" w:hAnsi="Arial"/>
          <w:color w:val="002060"/>
        </w:rPr>
        <w:t>failure to deliver cash</w:t>
      </w:r>
      <w:r>
        <w:rPr>
          <w:rFonts w:ascii="Candara" w:eastAsia="Arial" w:hAnsi="Arial"/>
          <w:color w:val="002060"/>
        </w:rPr>
        <w:t>’</w:t>
      </w:r>
      <w:r>
        <w:rPr>
          <w:rFonts w:ascii="Candara" w:eastAsia="Arial" w:hAnsi="Arial"/>
          <w:color w:val="002060"/>
        </w:rPr>
        <w:t xml:space="preserve"> and </w:t>
      </w:r>
      <w:r>
        <w:rPr>
          <w:rFonts w:ascii="Candara" w:eastAsia="Arial" w:hAnsi="Arial"/>
          <w:color w:val="002060"/>
        </w:rPr>
        <w:t>‘</w:t>
      </w:r>
      <w:r>
        <w:rPr>
          <w:rFonts w:ascii="Candara" w:eastAsia="Arial" w:hAnsi="Arial"/>
          <w:color w:val="002060"/>
        </w:rPr>
        <w:t>failure to deliver securities</w:t>
      </w:r>
      <w:r>
        <w:rPr>
          <w:rFonts w:ascii="Candara" w:eastAsia="Arial" w:hAnsi="Arial"/>
          <w:color w:val="002060"/>
        </w:rPr>
        <w:t>’</w:t>
      </w:r>
      <w:r>
        <w:rPr>
          <w:rFonts w:ascii="Candara" w:eastAsia="Arial" w:hAnsi="Arial"/>
          <w:color w:val="002060"/>
        </w:rPr>
        <w:t xml:space="preserve">, when informing </w:t>
      </w:r>
      <w:proofErr w:type="spellStart"/>
      <w:r>
        <w:rPr>
          <w:rFonts w:ascii="Candara" w:eastAsia="Arial" w:hAnsi="Arial"/>
          <w:color w:val="002060"/>
        </w:rPr>
        <w:t>DwP</w:t>
      </w:r>
      <w:proofErr w:type="spellEnd"/>
      <w:r>
        <w:rPr>
          <w:rFonts w:ascii="Candara" w:eastAsia="Arial" w:hAnsi="Arial"/>
          <w:color w:val="002060"/>
        </w:rPr>
        <w:t>/</w:t>
      </w:r>
      <w:proofErr w:type="spellStart"/>
      <w:r>
        <w:rPr>
          <w:rFonts w:ascii="Candara" w:eastAsia="Arial" w:hAnsi="Arial"/>
          <w:color w:val="002060"/>
        </w:rPr>
        <w:t>RwP</w:t>
      </w:r>
      <w:proofErr w:type="spellEnd"/>
      <w:r>
        <w:rPr>
          <w:rFonts w:ascii="Candara" w:eastAsia="Arial" w:hAnsi="Arial"/>
          <w:color w:val="002060"/>
        </w:rPr>
        <w:t xml:space="preserve"> instructions. As shown in the examples on pages 33 and 34 of the ESMA Consultation Paper, the value of the total instructions when informing </w:t>
      </w:r>
      <w:r>
        <w:rPr>
          <w:rFonts w:ascii="Candara" w:eastAsia="Arial" w:hAnsi="Arial"/>
          <w:color w:val="002060"/>
        </w:rPr>
        <w:t>‘</w:t>
      </w:r>
      <w:r>
        <w:rPr>
          <w:rFonts w:ascii="Candara" w:eastAsia="Arial" w:hAnsi="Arial"/>
          <w:color w:val="002060"/>
        </w:rPr>
        <w:t>failure to deliver securities</w:t>
      </w:r>
      <w:r>
        <w:rPr>
          <w:rFonts w:ascii="Candara" w:eastAsia="Arial" w:hAnsi="Arial"/>
          <w:color w:val="002060"/>
        </w:rPr>
        <w:t>’</w:t>
      </w:r>
      <w:r>
        <w:rPr>
          <w:rFonts w:ascii="Candara" w:eastAsia="Arial" w:hAnsi="Arial"/>
          <w:color w:val="002060"/>
        </w:rPr>
        <w:t xml:space="preserve"> (600) is different when informing </w:t>
      </w:r>
      <w:r>
        <w:rPr>
          <w:rFonts w:ascii="Candara" w:eastAsia="Arial" w:hAnsi="Arial"/>
          <w:color w:val="002060"/>
        </w:rPr>
        <w:t>‘</w:t>
      </w:r>
      <w:r>
        <w:rPr>
          <w:rFonts w:ascii="Candara" w:eastAsia="Arial" w:hAnsi="Arial"/>
          <w:color w:val="002060"/>
        </w:rPr>
        <w:t>failure to deliver cash</w:t>
      </w:r>
      <w:r>
        <w:rPr>
          <w:rFonts w:ascii="Candara" w:eastAsia="Arial" w:hAnsi="Arial"/>
          <w:color w:val="002060"/>
        </w:rPr>
        <w:t>’</w:t>
      </w:r>
      <w:r>
        <w:rPr>
          <w:rFonts w:ascii="Candara" w:eastAsia="Arial" w:hAnsi="Arial"/>
          <w:color w:val="002060"/>
        </w:rPr>
        <w:t xml:space="preserve"> (500). In order to be consistent, these two figures should be measured following the same methodology.</w:t>
      </w:r>
    </w:p>
    <w:p w14:paraId="3A0EF0BD" w14:textId="77777777" w:rsidR="00C35D05" w:rsidRDefault="00C35D05" w:rsidP="00C35D05">
      <w:pPr>
        <w:pStyle w:val="ListParagraph"/>
        <w:numPr>
          <w:ilvl w:val="0"/>
          <w:numId w:val="32"/>
        </w:numPr>
        <w:adjustRightInd/>
        <w:spacing w:line="276" w:lineRule="auto"/>
        <w:ind w:left="567" w:hanging="207"/>
        <w:rPr>
          <w:rFonts w:ascii="Candara" w:eastAsia="Arial" w:hAnsi="Arial"/>
          <w:color w:val="002060"/>
        </w:rPr>
      </w:pPr>
      <w:r>
        <w:rPr>
          <w:rFonts w:ascii="Candara" w:eastAsia="Arial" w:hAnsi="Arial"/>
          <w:color w:val="002060"/>
        </w:rPr>
        <w:t>In scenarios of partial settlement, recalculating all the amounts settled and failed would increase substantially the complexity of the generation of the reports.</w:t>
      </w:r>
    </w:p>
    <w:permEnd w:id="246896622"/>
    <w:p w14:paraId="2E17B2DD" w14:textId="77777777" w:rsidR="00C85C8B" w:rsidRDefault="00C85C8B" w:rsidP="00C85C8B">
      <w:pPr>
        <w:rPr>
          <w:rFonts w:ascii="Arial" w:hAnsi="Arial" w:cs="Arial"/>
        </w:rPr>
      </w:pPr>
      <w:r>
        <w:rPr>
          <w:rFonts w:ascii="Arial" w:hAnsi="Arial" w:cs="Arial"/>
        </w:rPr>
        <w:t>&lt;ESMA_QUESTION_SFR_19&gt;</w:t>
      </w:r>
    </w:p>
    <w:p w14:paraId="5E358354" w14:textId="77777777" w:rsidR="00C85C8B" w:rsidRDefault="00C85C8B" w:rsidP="00C85C8B">
      <w:pPr>
        <w:rPr>
          <w:rFonts w:ascii="Arial" w:hAnsi="Arial" w:cs="Arial"/>
        </w:rPr>
      </w:pPr>
    </w:p>
    <w:p w14:paraId="45FC0C73" w14:textId="77777777" w:rsidR="00C85C8B" w:rsidRPr="00B0053A" w:rsidRDefault="00C85C8B" w:rsidP="00C85C8B">
      <w:pPr>
        <w:pStyle w:val="Questionstyle"/>
        <w:numPr>
          <w:ilvl w:val="0"/>
          <w:numId w:val="13"/>
        </w:numPr>
        <w:spacing w:after="250" w:line="276" w:lineRule="auto"/>
        <w:ind w:left="360"/>
      </w:pPr>
      <w:r w:rsidRPr="00B0053A">
        <w:t>: Do you have any comments or suggestions regarding the proposed ranking? Please provide arguments supporting your comments and suggestions.</w:t>
      </w:r>
    </w:p>
    <w:p w14:paraId="717676EF" w14:textId="77777777" w:rsidR="00C85C8B" w:rsidRDefault="00C85C8B" w:rsidP="00C85C8B">
      <w:pPr>
        <w:rPr>
          <w:rFonts w:ascii="Arial" w:hAnsi="Arial" w:cs="Arial"/>
        </w:rPr>
      </w:pPr>
      <w:r>
        <w:rPr>
          <w:rFonts w:ascii="Arial" w:hAnsi="Arial" w:cs="Arial"/>
        </w:rPr>
        <w:t>&lt;ESMA_QUESTION_SFR_20&gt;</w:t>
      </w:r>
    </w:p>
    <w:p w14:paraId="61D783B5" w14:textId="77777777" w:rsidR="00C35D05" w:rsidRDefault="00C35D05" w:rsidP="00C35D05">
      <w:pPr>
        <w:spacing w:line="276" w:lineRule="auto"/>
        <w:jc w:val="both"/>
        <w:rPr>
          <w:rFonts w:ascii="Candara" w:eastAsia="Candara" w:hAnsi="Candara"/>
          <w:color w:val="002060"/>
          <w:sz w:val="22"/>
          <w:szCs w:val="22"/>
        </w:rPr>
      </w:pPr>
      <w:permStart w:id="1905077423" w:edGrp="everyone"/>
      <w:r>
        <w:rPr>
          <w:rFonts w:ascii="Candara" w:eastAsia="Candara" w:hAnsi="Candara"/>
          <w:color w:val="002060"/>
          <w:sz w:val="22"/>
          <w:szCs w:val="22"/>
        </w:rPr>
        <w:t xml:space="preserve">A tie is considered to occur with a low probability. </w:t>
      </w:r>
    </w:p>
    <w:p w14:paraId="23E4AECB" w14:textId="77777777" w:rsidR="00C35D05" w:rsidRDefault="00C35D05" w:rsidP="00C35D05">
      <w:pPr>
        <w:spacing w:line="276" w:lineRule="auto"/>
        <w:jc w:val="both"/>
        <w:rPr>
          <w:rFonts w:ascii="Candara" w:eastAsia="Candara" w:hAnsi="Candara"/>
          <w:color w:val="002060"/>
          <w:sz w:val="22"/>
          <w:szCs w:val="22"/>
        </w:rPr>
      </w:pPr>
      <w:r>
        <w:rPr>
          <w:rFonts w:ascii="Candara" w:eastAsia="Candara" w:hAnsi="Candara"/>
          <w:color w:val="002060"/>
          <w:sz w:val="22"/>
          <w:szCs w:val="22"/>
        </w:rPr>
        <w:t xml:space="preserve">In order to distinguish tied data, </w:t>
      </w:r>
      <w:proofErr w:type="gramStart"/>
      <w:r>
        <w:rPr>
          <w:rFonts w:ascii="Candara" w:eastAsia="Candara" w:hAnsi="Candara"/>
          <w:color w:val="002060"/>
          <w:sz w:val="22"/>
          <w:szCs w:val="22"/>
        </w:rPr>
        <w:t>an</w:t>
      </w:r>
      <w:proofErr w:type="gramEnd"/>
      <w:r>
        <w:rPr>
          <w:rFonts w:ascii="Candara" w:eastAsia="Candara" w:hAnsi="Candara"/>
          <w:color w:val="002060"/>
          <w:sz w:val="22"/>
          <w:szCs w:val="22"/>
        </w:rPr>
        <w:t xml:space="preserve"> simpler approach would be to expand the assessment of the rates by CSDs to an additional decimal.</w:t>
      </w:r>
    </w:p>
    <w:permEnd w:id="1905077423"/>
    <w:p w14:paraId="4E1EC63D" w14:textId="77777777" w:rsidR="00C85C8B" w:rsidRDefault="00C85C8B" w:rsidP="00C85C8B">
      <w:pPr>
        <w:rPr>
          <w:rFonts w:ascii="Arial" w:hAnsi="Arial" w:cs="Arial"/>
        </w:rPr>
      </w:pPr>
      <w:r>
        <w:rPr>
          <w:rFonts w:ascii="Arial" w:hAnsi="Arial" w:cs="Arial"/>
        </w:rPr>
        <w:t>&lt;ESMA_QUESTION_SFR_20&gt;</w:t>
      </w:r>
    </w:p>
    <w:p w14:paraId="0DA801F5" w14:textId="77777777" w:rsidR="00C85C8B" w:rsidRDefault="00C85C8B" w:rsidP="00C85C8B">
      <w:pPr>
        <w:rPr>
          <w:rFonts w:ascii="Arial" w:hAnsi="Arial" w:cs="Arial"/>
        </w:rPr>
      </w:pPr>
    </w:p>
    <w:p w14:paraId="015FC7C9" w14:textId="77777777" w:rsidR="00C85C8B" w:rsidRPr="00B0053A" w:rsidRDefault="00C85C8B" w:rsidP="00C85C8B">
      <w:pPr>
        <w:pStyle w:val="Questionstyle"/>
        <w:numPr>
          <w:ilvl w:val="0"/>
          <w:numId w:val="13"/>
        </w:numPr>
        <w:spacing w:after="250" w:line="276" w:lineRule="auto"/>
        <w:ind w:left="360"/>
      </w:pPr>
      <w:r w:rsidRPr="00B0053A">
        <w:t>: Do you have any comments or suggestions regarding the proposed process for the submission of settlement fails reports? Please provide arguments supporting your comments and suggestions.</w:t>
      </w:r>
    </w:p>
    <w:p w14:paraId="52800AD6" w14:textId="77777777" w:rsidR="00C85C8B" w:rsidRDefault="00C85C8B" w:rsidP="00C85C8B">
      <w:pPr>
        <w:rPr>
          <w:rFonts w:ascii="Arial" w:hAnsi="Arial" w:cs="Arial"/>
        </w:rPr>
      </w:pPr>
      <w:r>
        <w:rPr>
          <w:rFonts w:ascii="Arial" w:hAnsi="Arial" w:cs="Arial"/>
        </w:rPr>
        <w:t>&lt;ESMA_QUESTION_SFR_21&gt;</w:t>
      </w:r>
    </w:p>
    <w:p w14:paraId="63432569" w14:textId="77777777" w:rsidR="00C35D05" w:rsidRDefault="00C35D05" w:rsidP="00C35D05">
      <w:pPr>
        <w:pStyle w:val="Default"/>
        <w:spacing w:line="276" w:lineRule="auto"/>
        <w:rPr>
          <w:rFonts w:ascii="Candara" w:eastAsia="Candara" w:hAnsi="Candara"/>
          <w:color w:val="002060"/>
          <w:sz w:val="22"/>
          <w:szCs w:val="22"/>
        </w:rPr>
      </w:pPr>
      <w:permStart w:id="1955334000" w:edGrp="everyone"/>
      <w:r>
        <w:rPr>
          <w:rFonts w:ascii="Candara" w:eastAsia="Candara" w:hAnsi="Candara"/>
          <w:color w:val="002060"/>
          <w:sz w:val="22"/>
          <w:szCs w:val="22"/>
        </w:rPr>
        <w:lastRenderedPageBreak/>
        <w:t>We do not have comments at this stage. However, in the absence of any draft XML messaging definition, a report availability already by 07.10.2020 appears to us problematic at this stage.</w:t>
      </w:r>
    </w:p>
    <w:p w14:paraId="21FF09C2" w14:textId="77777777" w:rsidR="00C35D05" w:rsidRDefault="00C35D05" w:rsidP="00C35D05">
      <w:pPr>
        <w:pStyle w:val="Default"/>
        <w:spacing w:line="276" w:lineRule="auto"/>
        <w:rPr>
          <w:rFonts w:ascii="Candara" w:eastAsia="Candara" w:hAnsi="Candara"/>
          <w:color w:val="002060"/>
          <w:sz w:val="22"/>
          <w:szCs w:val="22"/>
        </w:rPr>
      </w:pPr>
    </w:p>
    <w:p w14:paraId="50261E6F" w14:textId="77777777" w:rsidR="00C35D05" w:rsidRDefault="00C35D05" w:rsidP="00C35D05">
      <w:pPr>
        <w:pStyle w:val="Default"/>
        <w:spacing w:line="276" w:lineRule="auto"/>
        <w:rPr>
          <w:rFonts w:ascii="Candara" w:eastAsia="Candara" w:hAnsi="Candara"/>
          <w:color w:val="002060"/>
          <w:sz w:val="22"/>
          <w:szCs w:val="22"/>
        </w:rPr>
      </w:pPr>
      <w:r>
        <w:rPr>
          <w:rFonts w:ascii="Candara" w:eastAsia="Candara" w:hAnsi="Candara"/>
          <w:color w:val="002060"/>
          <w:sz w:val="22"/>
          <w:szCs w:val="22"/>
        </w:rPr>
        <w:t>We would therefore highlight the urgent need to define the ISO 20022 or XML message (draft) format, that should ideally be published prior to the final guidelines’ issuance.</w:t>
      </w:r>
    </w:p>
    <w:permEnd w:id="1955334000"/>
    <w:p w14:paraId="6C768546" w14:textId="77777777" w:rsidR="00C85C8B" w:rsidRDefault="00C85C8B" w:rsidP="00C85C8B">
      <w:pPr>
        <w:rPr>
          <w:rFonts w:ascii="Arial" w:hAnsi="Arial" w:cs="Arial"/>
        </w:rPr>
      </w:pPr>
      <w:r>
        <w:rPr>
          <w:rFonts w:ascii="Arial" w:hAnsi="Arial" w:cs="Arial"/>
        </w:rPr>
        <w:t>&lt;ESMA_QUESTION_SFR_21&gt;</w:t>
      </w:r>
    </w:p>
    <w:p w14:paraId="19E3D0CF" w14:textId="77777777" w:rsidR="00C85C8B" w:rsidRDefault="00C85C8B" w:rsidP="00C85C8B">
      <w:pPr>
        <w:rPr>
          <w:rFonts w:ascii="Arial" w:hAnsi="Arial" w:cs="Arial"/>
        </w:rPr>
      </w:pPr>
    </w:p>
    <w:p w14:paraId="53CE4AC6" w14:textId="77777777" w:rsidR="00C85C8B" w:rsidRPr="005E27B9" w:rsidRDefault="00C85C8B" w:rsidP="00C85C8B">
      <w:pPr>
        <w:pStyle w:val="Questionstyle"/>
        <w:numPr>
          <w:ilvl w:val="0"/>
          <w:numId w:val="13"/>
        </w:numPr>
        <w:spacing w:after="250" w:line="276" w:lineRule="auto"/>
        <w:ind w:left="360"/>
      </w:pPr>
      <w:r w:rsidRPr="005E27B9">
        <w:t>: Do you have any additional comments or suggestions regarding the proposed guidelines? Please provide arguments supporting your comments and suggestions.</w:t>
      </w:r>
    </w:p>
    <w:p w14:paraId="2C1762E6" w14:textId="77777777" w:rsidR="00C85C8B" w:rsidRDefault="00C85C8B" w:rsidP="00C85C8B">
      <w:pPr>
        <w:rPr>
          <w:rFonts w:ascii="Arial" w:hAnsi="Arial" w:cs="Arial"/>
        </w:rPr>
      </w:pPr>
      <w:r>
        <w:rPr>
          <w:rFonts w:ascii="Arial" w:hAnsi="Arial" w:cs="Arial"/>
        </w:rPr>
        <w:t>&lt;ESMA_QUESTION_SFR_22&gt;</w:t>
      </w:r>
    </w:p>
    <w:p w14:paraId="0A4A621B" w14:textId="77777777" w:rsidR="00C35D05" w:rsidRDefault="00C35D05" w:rsidP="00C35D05">
      <w:pPr>
        <w:spacing w:line="276" w:lineRule="auto"/>
        <w:rPr>
          <w:rFonts w:ascii="Candara" w:eastAsia="Arial" w:hAnsi="Arial"/>
          <w:color w:val="002060"/>
          <w:sz w:val="22"/>
          <w:szCs w:val="22"/>
        </w:rPr>
      </w:pPr>
      <w:permStart w:id="431188315" w:edGrp="everyone"/>
      <w:r>
        <w:rPr>
          <w:rFonts w:ascii="Candara" w:eastAsia="Arial" w:hAnsi="Arial"/>
          <w:color w:val="002060"/>
          <w:sz w:val="22"/>
          <w:szCs w:val="22"/>
        </w:rPr>
        <w:t>We would like to ask for the confirmation of the following points:</w:t>
      </w:r>
    </w:p>
    <w:p w14:paraId="62A26978" w14:textId="77777777" w:rsidR="00C35D05" w:rsidRDefault="00C35D05" w:rsidP="00C35D05">
      <w:pPr>
        <w:pStyle w:val="ListParagraph"/>
        <w:numPr>
          <w:ilvl w:val="0"/>
          <w:numId w:val="18"/>
        </w:numPr>
        <w:adjustRightInd/>
        <w:spacing w:line="276" w:lineRule="auto"/>
        <w:rPr>
          <w:rFonts w:ascii="Candara" w:eastAsia="Arial" w:hAnsi="Arial"/>
          <w:color w:val="002060"/>
        </w:rPr>
      </w:pPr>
      <w:r>
        <w:rPr>
          <w:rFonts w:ascii="Candara" w:eastAsia="Arial" w:hAnsi="Arial"/>
          <w:color w:val="002060"/>
        </w:rPr>
        <w:t>Whether the settlement restrictions (such as reservation, blocking or earmarking) would be included when reporting settlement fails, regarding Commission Delegated Regulation 2018/1229, Art. 13, (1.b).</w:t>
      </w:r>
    </w:p>
    <w:p w14:paraId="0BB4FB43" w14:textId="77777777" w:rsidR="00C35D05" w:rsidRPr="00E37E79" w:rsidRDefault="00C35D05" w:rsidP="00C35D05">
      <w:pPr>
        <w:pStyle w:val="ListParagraph"/>
        <w:numPr>
          <w:ilvl w:val="0"/>
          <w:numId w:val="18"/>
        </w:numPr>
        <w:adjustRightInd/>
        <w:spacing w:line="276" w:lineRule="auto"/>
        <w:rPr>
          <w:rFonts w:ascii="Candara" w:eastAsia="Arial" w:hAnsi="Candara"/>
          <w:color w:val="002060"/>
        </w:rPr>
      </w:pPr>
      <w:r w:rsidRPr="00BF393F">
        <w:rPr>
          <w:rFonts w:ascii="Candara" w:hAnsi="Candara"/>
          <w:color w:val="002060"/>
        </w:rPr>
        <w:t xml:space="preserve">CSDs will, for the identification of the transaction types, apply the ISO code of the participant causing the fail if the codes are not provided in both instructions or differ between the receipt and delivery instruction leg. </w:t>
      </w:r>
    </w:p>
    <w:permEnd w:id="431188315"/>
    <w:p w14:paraId="00EB94A9" w14:textId="77777777" w:rsidR="00C85C8B" w:rsidRDefault="00C85C8B" w:rsidP="00C85C8B">
      <w:pPr>
        <w:rPr>
          <w:rFonts w:ascii="Arial" w:hAnsi="Arial" w:cs="Arial"/>
        </w:rPr>
      </w:pPr>
      <w:r>
        <w:rPr>
          <w:rFonts w:ascii="Arial" w:hAnsi="Arial" w:cs="Arial"/>
        </w:rPr>
        <w:t>&lt;ESMA_QUESTION_SFR_22&gt;</w:t>
      </w:r>
    </w:p>
    <w:p w14:paraId="68B2CD44" w14:textId="77777777" w:rsidR="00C85C8B" w:rsidRDefault="00C85C8B" w:rsidP="00C85C8B">
      <w:pPr>
        <w:rPr>
          <w:rFonts w:ascii="Arial" w:hAnsi="Arial" w:cs="Arial"/>
        </w:rPr>
      </w:pPr>
    </w:p>
    <w:p w14:paraId="2E799A8C" w14:textId="77777777" w:rsidR="00C85C8B" w:rsidRPr="007B52B2" w:rsidRDefault="00C85C8B" w:rsidP="00C85C8B">
      <w:pPr>
        <w:rPr>
          <w:rFonts w:ascii="Arial" w:hAnsi="Arial" w:cs="Arial"/>
        </w:rPr>
      </w:pPr>
    </w:p>
    <w:p w14:paraId="5BCBA8B4" w14:textId="77777777" w:rsidR="00C1698A" w:rsidRPr="00B8572C" w:rsidRDefault="00C1698A" w:rsidP="00C1698A">
      <w:pPr>
        <w:spacing w:line="276" w:lineRule="auto"/>
      </w:pPr>
      <w:bookmarkStart w:id="1" w:name="_GoBack"/>
      <w:bookmarkEnd w:id="0"/>
      <w:bookmarkEnd w:id="1"/>
    </w:p>
    <w:sectPr w:rsidR="00C1698A" w:rsidRPr="00B8572C" w:rsidSect="00C85C8B">
      <w:headerReference w:type="default"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CF030" w14:textId="77777777" w:rsidR="003C0BBE" w:rsidRDefault="003C0BBE" w:rsidP="007E7997">
      <w:r>
        <w:separator/>
      </w:r>
    </w:p>
  </w:endnote>
  <w:endnote w:type="continuationSeparator" w:id="0">
    <w:p w14:paraId="726F36A1" w14:textId="77777777" w:rsidR="003C0BBE" w:rsidRDefault="003C0BBE" w:rsidP="007E7997">
      <w:r>
        <w:continuationSeparator/>
      </w:r>
    </w:p>
  </w:endnote>
  <w:endnote w:type="continuationNotice" w:id="1">
    <w:p w14:paraId="36239A30" w14:textId="77777777" w:rsidR="003C0BBE" w:rsidRDefault="003C0B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0A87A8EC"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8B2AF1">
      <w:rPr>
        <w:rFonts w:asciiTheme="majorHAnsi" w:hAnsiTheme="majorHAnsi"/>
        <w:color w:val="FFFFFF" w:themeColor="background1"/>
      </w:rPr>
      <w:t>20</w:t>
    </w:r>
    <w:r w:rsidR="00D13661">
      <w:rPr>
        <w:rFonts w:asciiTheme="majorHAnsi" w:hAnsiTheme="majorHAnsi"/>
        <w:color w:val="FFFFFF" w:themeColor="background1"/>
      </w:rPr>
      <w:t xml:space="preserve"> December 2018</w:t>
    </w:r>
    <w:r w:rsidR="00FF6930">
      <w:rPr>
        <w:rFonts w:asciiTheme="majorHAnsi" w:hAnsiTheme="majorHAnsi"/>
        <w:color w:val="FFFFFF" w:themeColor="background1"/>
      </w:rPr>
      <w:t xml:space="preserve"> ESMA70-151-2038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54E1B" w14:textId="77777777" w:rsidR="003C0BBE" w:rsidRDefault="003C0BBE" w:rsidP="007E7997">
      <w:r>
        <w:separator/>
      </w:r>
    </w:p>
  </w:footnote>
  <w:footnote w:type="continuationSeparator" w:id="0">
    <w:p w14:paraId="284590E3" w14:textId="77777777" w:rsidR="003C0BBE" w:rsidRDefault="003C0BBE" w:rsidP="007E7997">
      <w:r>
        <w:continuationSeparator/>
      </w:r>
    </w:p>
  </w:footnote>
  <w:footnote w:type="continuationNotice" w:id="1">
    <w:p w14:paraId="55698CE7" w14:textId="77777777" w:rsidR="003C0BBE" w:rsidRDefault="003C0BBE"/>
  </w:footnote>
  <w:footnote w:id="2">
    <w:p w14:paraId="11F0C503" w14:textId="77777777" w:rsidR="00E36813" w:rsidRDefault="00E36813" w:rsidP="00AF2EF7">
      <w:pPr>
        <w:pStyle w:val="FootnoteText"/>
      </w:pPr>
      <w:r>
        <w:rPr>
          <w:rStyle w:val="FootnoteReference"/>
        </w:rPr>
        <w:footnoteRef/>
      </w:r>
      <w:r>
        <w:t xml:space="preserve"> </w:t>
      </w:r>
      <w:r w:rsidRPr="00DC5925">
        <w:t xml:space="preserve">Regulation (EC) No 1049/2001 of the European Parliament and of the Council of 30 May 2001 regarding public access to European Parliament, Council and Commission documents , </w:t>
      </w:r>
      <w:r>
        <w:t>(</w:t>
      </w:r>
      <w:r w:rsidRPr="00A20296">
        <w:rPr>
          <w:i/>
        </w:rPr>
        <w:t>OJ L 145, 31.5.2001, p. 43–48</w:t>
      </w:r>
      <w:r>
        <w:t>)</w:t>
      </w:r>
    </w:p>
  </w:footnote>
  <w:footnote w:id="3">
    <w:p w14:paraId="5CC2CA5F" w14:textId="77777777" w:rsidR="00E36813" w:rsidRDefault="00E36813" w:rsidP="00AF2EF7">
      <w:pPr>
        <w:pStyle w:val="FootnoteText"/>
      </w:pPr>
      <w:r>
        <w:rPr>
          <w:rStyle w:val="FootnoteReference"/>
        </w:rPr>
        <w:footnoteRef/>
      </w:r>
      <w:r>
        <w:t xml:space="preserve"> </w:t>
      </w:r>
      <w:r w:rsidRPr="00E868A1">
        <w:t>Regulation (EU) No 909/2014 of the European Parliament and of the Council of 23 July 2014 on improving securities settlement in the European Union and on central securities depositories and amending Directive 98/26/EC and 2014/65/EU and Regulation (EU) No 236/2012 (</w:t>
      </w:r>
      <w:r w:rsidRPr="00A20296">
        <w:rPr>
          <w:i/>
        </w:rPr>
        <w:t>OJ L 257, 28.8.2014, p. 1-72</w:t>
      </w:r>
      <w:r w:rsidRPr="00E868A1">
        <w:t>).</w:t>
      </w:r>
    </w:p>
  </w:footnote>
  <w:footnote w:id="4">
    <w:p w14:paraId="6F3CF643" w14:textId="77777777" w:rsidR="00B429A1" w:rsidRDefault="00B429A1" w:rsidP="00B429A1">
      <w:pPr>
        <w:pStyle w:val="FootnoteText"/>
        <w:rPr>
          <w:rFonts w:ascii="Candara" w:eastAsia="Candara" w:hAnsi="Candara"/>
          <w:color w:val="002060"/>
        </w:rPr>
      </w:pPr>
      <w:r>
        <w:rPr>
          <w:rStyle w:val="FootnoteReference"/>
          <w:rFonts w:ascii="Candara" w:eastAsia="Candara" w:hAnsi="Candara"/>
          <w:color w:val="002060"/>
        </w:rPr>
        <w:footnoteRef/>
      </w:r>
      <w:r>
        <w:rPr>
          <w:rFonts w:ascii="Candara" w:eastAsia="Candara" w:hAnsi="Candara"/>
          <w:color w:val="002060"/>
        </w:rPr>
        <w:t xml:space="preserve"> Recital 14 states that </w:t>
      </w:r>
      <w:r>
        <w:rPr>
          <w:rFonts w:ascii="Candara" w:eastAsia="Candara" w:hAnsi="Candara"/>
          <w:i/>
          <w:color w:val="002060"/>
        </w:rPr>
        <w:t>“Competent authorities should also be entitled to request additional information on settlement fails or more frequent reporting as necessary so that they can perform their tasks.”</w:t>
      </w:r>
    </w:p>
  </w:footnote>
  <w:footnote w:id="5">
    <w:p w14:paraId="52D3769E" w14:textId="77777777" w:rsidR="000E39C8" w:rsidRDefault="000E39C8" w:rsidP="000E39C8">
      <w:pPr>
        <w:pStyle w:val="FootnoteText"/>
        <w:rPr>
          <w:rFonts w:ascii="Candara" w:eastAsia="Candara" w:hAnsi="Candara"/>
          <w:color w:val="002060"/>
        </w:rPr>
      </w:pPr>
      <w:r>
        <w:rPr>
          <w:rFonts w:ascii="Candara" w:eastAsia="Candara" w:hAnsi="Candara"/>
          <w:color w:val="002060"/>
          <w:vertAlign w:val="superscript"/>
        </w:rPr>
        <w:footnoteRef/>
      </w:r>
      <w:r>
        <w:rPr>
          <w:rFonts w:ascii="Candara" w:eastAsia="Candara" w:hAnsi="Candara"/>
          <w:color w:val="002060"/>
          <w:vertAlign w:val="superscript"/>
        </w:rPr>
        <w:t xml:space="preserve"> </w:t>
      </w:r>
      <w:r>
        <w:rPr>
          <w:rFonts w:ascii="Candara" w:eastAsia="Candara" w:hAnsi="Candara"/>
          <w:color w:val="002060"/>
        </w:rPr>
        <w:t>Better regulation consultation – Fitness Check of supervisory reporting requirements</w:t>
      </w:r>
    </w:p>
    <w:p w14:paraId="157A6CBC" w14:textId="77777777" w:rsidR="000E39C8" w:rsidRDefault="000E39C8" w:rsidP="000E39C8">
      <w:pPr>
        <w:pStyle w:val="FootnoteText"/>
      </w:pPr>
      <w:r>
        <w:rPr>
          <w:rFonts w:ascii="Candara" w:eastAsia="Candara" w:hAnsi="Candara"/>
          <w:color w:val="002060"/>
        </w:rPr>
        <w:t xml:space="preserve"> https://ec.europa.eu/info/law/better-regulation/initiatives/ares-2017-5063271_en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8159E"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2BE8"/>
    <w:multiLevelType w:val="hybridMultilevel"/>
    <w:tmpl w:val="4B402B32"/>
    <w:lvl w:ilvl="0" w:tplc="A0D0ED52">
      <w:start w:val="1"/>
      <w:numFmt w:val="lowerRoman"/>
      <w:lvlText w:val="(%1)"/>
      <w:lvlJc w:val="left"/>
      <w:pPr>
        <w:ind w:left="927" w:hanging="360"/>
        <w:jc w:val="both"/>
      </w:pPr>
      <w:rPr>
        <w:rFonts w:hint="default"/>
        <w:w w:val="100"/>
        <w:sz w:val="20"/>
        <w:szCs w:val="20"/>
        <w:shd w:val="clear" w:color="auto" w:fill="auto"/>
      </w:rPr>
    </w:lvl>
    <w:lvl w:ilvl="1" w:tplc="0B3C48D8">
      <w:start w:val="1"/>
      <w:numFmt w:val="bullet"/>
      <w:lvlText w:val="o"/>
      <w:lvlJc w:val="left"/>
      <w:pPr>
        <w:ind w:left="1647" w:hanging="360"/>
        <w:jc w:val="both"/>
      </w:pPr>
      <w:rPr>
        <w:rFonts w:ascii="Courier New" w:eastAsia="Courier New" w:hAnsi="Courier New"/>
        <w:w w:val="100"/>
        <w:sz w:val="20"/>
        <w:szCs w:val="20"/>
        <w:shd w:val="clear" w:color="auto" w:fill="auto"/>
      </w:rPr>
    </w:lvl>
    <w:lvl w:ilvl="2" w:tplc="D9A64C48">
      <w:start w:val="1"/>
      <w:numFmt w:val="bullet"/>
      <w:lvlText w:val="§"/>
      <w:lvlJc w:val="left"/>
      <w:pPr>
        <w:ind w:left="2367" w:hanging="360"/>
        <w:jc w:val="both"/>
      </w:pPr>
      <w:rPr>
        <w:rFonts w:ascii="Wingdings" w:eastAsia="Wingdings" w:hAnsi="Wingdings"/>
        <w:w w:val="100"/>
        <w:sz w:val="20"/>
        <w:szCs w:val="20"/>
        <w:shd w:val="clear" w:color="auto" w:fill="auto"/>
      </w:rPr>
    </w:lvl>
    <w:lvl w:ilvl="3" w:tplc="EB305604">
      <w:start w:val="1"/>
      <w:numFmt w:val="bullet"/>
      <w:lvlText w:val="·"/>
      <w:lvlJc w:val="left"/>
      <w:pPr>
        <w:ind w:left="3087" w:hanging="360"/>
        <w:jc w:val="both"/>
      </w:pPr>
      <w:rPr>
        <w:rFonts w:ascii="Symbol" w:eastAsia="Symbol" w:hAnsi="Symbol"/>
        <w:w w:val="100"/>
        <w:sz w:val="20"/>
        <w:szCs w:val="20"/>
        <w:shd w:val="clear" w:color="auto" w:fill="auto"/>
      </w:rPr>
    </w:lvl>
    <w:lvl w:ilvl="4" w:tplc="66205052">
      <w:start w:val="1"/>
      <w:numFmt w:val="bullet"/>
      <w:lvlText w:val="o"/>
      <w:lvlJc w:val="left"/>
      <w:pPr>
        <w:ind w:left="3807" w:hanging="360"/>
        <w:jc w:val="both"/>
      </w:pPr>
      <w:rPr>
        <w:rFonts w:ascii="Courier New" w:eastAsia="Courier New" w:hAnsi="Courier New"/>
        <w:w w:val="100"/>
        <w:sz w:val="20"/>
        <w:szCs w:val="20"/>
        <w:shd w:val="clear" w:color="auto" w:fill="auto"/>
      </w:rPr>
    </w:lvl>
    <w:lvl w:ilvl="5" w:tplc="BA26B40C">
      <w:start w:val="1"/>
      <w:numFmt w:val="bullet"/>
      <w:lvlText w:val="§"/>
      <w:lvlJc w:val="left"/>
      <w:pPr>
        <w:ind w:left="4527" w:hanging="360"/>
        <w:jc w:val="both"/>
      </w:pPr>
      <w:rPr>
        <w:rFonts w:ascii="Wingdings" w:eastAsia="Wingdings" w:hAnsi="Wingdings"/>
        <w:w w:val="100"/>
        <w:sz w:val="20"/>
        <w:szCs w:val="20"/>
        <w:shd w:val="clear" w:color="auto" w:fill="auto"/>
      </w:rPr>
    </w:lvl>
    <w:lvl w:ilvl="6" w:tplc="BE6490DA">
      <w:start w:val="1"/>
      <w:numFmt w:val="bullet"/>
      <w:lvlText w:val="·"/>
      <w:lvlJc w:val="left"/>
      <w:pPr>
        <w:ind w:left="5247" w:hanging="360"/>
        <w:jc w:val="both"/>
      </w:pPr>
      <w:rPr>
        <w:rFonts w:ascii="Symbol" w:eastAsia="Symbol" w:hAnsi="Symbol"/>
        <w:w w:val="100"/>
        <w:sz w:val="20"/>
        <w:szCs w:val="20"/>
        <w:shd w:val="clear" w:color="auto" w:fill="auto"/>
      </w:rPr>
    </w:lvl>
    <w:lvl w:ilvl="7" w:tplc="819249D6">
      <w:start w:val="1"/>
      <w:numFmt w:val="bullet"/>
      <w:lvlText w:val="o"/>
      <w:lvlJc w:val="left"/>
      <w:pPr>
        <w:ind w:left="5967" w:hanging="360"/>
        <w:jc w:val="both"/>
      </w:pPr>
      <w:rPr>
        <w:rFonts w:ascii="Courier New" w:eastAsia="Courier New" w:hAnsi="Courier New"/>
        <w:w w:val="100"/>
        <w:sz w:val="20"/>
        <w:szCs w:val="20"/>
        <w:shd w:val="clear" w:color="auto" w:fill="auto"/>
      </w:rPr>
    </w:lvl>
    <w:lvl w:ilvl="8" w:tplc="E6667DF2">
      <w:start w:val="1"/>
      <w:numFmt w:val="bullet"/>
      <w:lvlText w:val="§"/>
      <w:lvlJc w:val="left"/>
      <w:pPr>
        <w:ind w:left="6687" w:hanging="360"/>
        <w:jc w:val="both"/>
      </w:pPr>
      <w:rPr>
        <w:rFonts w:ascii="Wingdings" w:eastAsia="Wingdings" w:hAnsi="Wingdings"/>
        <w:w w:val="100"/>
        <w:sz w:val="20"/>
        <w:szCs w:val="20"/>
        <w:shd w:val="clear" w:color="auto" w:fill="auto"/>
      </w:rPr>
    </w:lvl>
  </w:abstractNum>
  <w:abstractNum w:abstractNumId="1"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15:restartNumberingAfterBreak="0">
    <w:nsid w:val="2F000000"/>
    <w:multiLevelType w:val="hybridMultilevel"/>
    <w:tmpl w:val="1F0020D3"/>
    <w:lvl w:ilvl="0" w:tplc="E47E45E2">
      <w:start w:val="1"/>
      <w:numFmt w:val="bullet"/>
      <w:lvlText w:val="§"/>
      <w:lvlJc w:val="left"/>
      <w:pPr>
        <w:ind w:left="720" w:hanging="360"/>
        <w:jc w:val="both"/>
      </w:pPr>
      <w:rPr>
        <w:rFonts w:ascii="Wingdings" w:eastAsia="Wingdings" w:hAnsi="Wingdings"/>
        <w:w w:val="100"/>
        <w:sz w:val="20"/>
        <w:szCs w:val="20"/>
        <w:shd w:val="clear" w:color="auto" w:fill="auto"/>
      </w:rPr>
    </w:lvl>
    <w:lvl w:ilvl="1" w:tplc="789A3236">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B5D08E4C">
      <w:start w:val="1"/>
      <w:numFmt w:val="bullet"/>
      <w:lvlText w:val="§"/>
      <w:lvlJc w:val="left"/>
      <w:pPr>
        <w:ind w:left="2160" w:hanging="360"/>
        <w:jc w:val="both"/>
      </w:pPr>
      <w:rPr>
        <w:rFonts w:ascii="Wingdings" w:eastAsia="Wingdings" w:hAnsi="Wingdings"/>
        <w:w w:val="100"/>
        <w:sz w:val="20"/>
        <w:szCs w:val="20"/>
        <w:shd w:val="clear" w:color="auto" w:fill="auto"/>
      </w:rPr>
    </w:lvl>
    <w:lvl w:ilvl="3" w:tplc="67C681E6">
      <w:start w:val="1"/>
      <w:numFmt w:val="bullet"/>
      <w:lvlText w:val="·"/>
      <w:lvlJc w:val="left"/>
      <w:pPr>
        <w:ind w:left="2880" w:hanging="360"/>
        <w:jc w:val="both"/>
      </w:pPr>
      <w:rPr>
        <w:rFonts w:ascii="Symbol" w:eastAsia="Symbol" w:hAnsi="Symbol"/>
        <w:w w:val="100"/>
        <w:sz w:val="20"/>
        <w:szCs w:val="20"/>
        <w:shd w:val="clear" w:color="auto" w:fill="auto"/>
      </w:rPr>
    </w:lvl>
    <w:lvl w:ilvl="4" w:tplc="E542DC04">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1A465A9E">
      <w:start w:val="1"/>
      <w:numFmt w:val="bullet"/>
      <w:lvlText w:val="§"/>
      <w:lvlJc w:val="left"/>
      <w:pPr>
        <w:ind w:left="4320" w:hanging="360"/>
        <w:jc w:val="both"/>
      </w:pPr>
      <w:rPr>
        <w:rFonts w:ascii="Wingdings" w:eastAsia="Wingdings" w:hAnsi="Wingdings"/>
        <w:w w:val="100"/>
        <w:sz w:val="20"/>
        <w:szCs w:val="20"/>
        <w:shd w:val="clear" w:color="auto" w:fill="auto"/>
      </w:rPr>
    </w:lvl>
    <w:lvl w:ilvl="6" w:tplc="B8261B98">
      <w:start w:val="1"/>
      <w:numFmt w:val="bullet"/>
      <w:lvlText w:val="·"/>
      <w:lvlJc w:val="left"/>
      <w:pPr>
        <w:ind w:left="5040" w:hanging="360"/>
        <w:jc w:val="both"/>
      </w:pPr>
      <w:rPr>
        <w:rFonts w:ascii="Symbol" w:eastAsia="Symbol" w:hAnsi="Symbol"/>
        <w:w w:val="100"/>
        <w:sz w:val="20"/>
        <w:szCs w:val="20"/>
        <w:shd w:val="clear" w:color="auto" w:fill="auto"/>
      </w:rPr>
    </w:lvl>
    <w:lvl w:ilvl="7" w:tplc="104A6DC0">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BC1AD232">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5" w15:restartNumberingAfterBreak="0">
    <w:nsid w:val="2F000002"/>
    <w:multiLevelType w:val="hybridMultilevel"/>
    <w:tmpl w:val="4F5BD66C"/>
    <w:lvl w:ilvl="0" w:tplc="6CE61F86">
      <w:start w:val="1"/>
      <w:numFmt w:val="bullet"/>
      <w:lvlText w:val="§"/>
      <w:lvlJc w:val="left"/>
      <w:pPr>
        <w:ind w:left="720" w:hanging="360"/>
        <w:jc w:val="both"/>
      </w:pPr>
      <w:rPr>
        <w:rFonts w:ascii="Wingdings" w:eastAsia="Wingdings" w:hAnsi="Wingdings"/>
        <w:w w:val="100"/>
        <w:sz w:val="20"/>
        <w:szCs w:val="20"/>
        <w:shd w:val="clear" w:color="auto" w:fill="auto"/>
      </w:rPr>
    </w:lvl>
    <w:lvl w:ilvl="1" w:tplc="D91451CE">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E0E67EDE">
      <w:start w:val="1"/>
      <w:numFmt w:val="bullet"/>
      <w:lvlText w:val="§"/>
      <w:lvlJc w:val="left"/>
      <w:pPr>
        <w:ind w:left="2160" w:hanging="360"/>
        <w:jc w:val="both"/>
      </w:pPr>
      <w:rPr>
        <w:rFonts w:ascii="Wingdings" w:eastAsia="Wingdings" w:hAnsi="Wingdings"/>
        <w:w w:val="100"/>
        <w:sz w:val="20"/>
        <w:szCs w:val="20"/>
        <w:shd w:val="clear" w:color="auto" w:fill="auto"/>
      </w:rPr>
    </w:lvl>
    <w:lvl w:ilvl="3" w:tplc="6E3EB54A">
      <w:start w:val="1"/>
      <w:numFmt w:val="bullet"/>
      <w:lvlText w:val="·"/>
      <w:lvlJc w:val="left"/>
      <w:pPr>
        <w:ind w:left="2880" w:hanging="360"/>
        <w:jc w:val="both"/>
      </w:pPr>
      <w:rPr>
        <w:rFonts w:ascii="Symbol" w:eastAsia="Symbol" w:hAnsi="Symbol"/>
        <w:w w:val="100"/>
        <w:sz w:val="20"/>
        <w:szCs w:val="20"/>
        <w:shd w:val="clear" w:color="auto" w:fill="auto"/>
      </w:rPr>
    </w:lvl>
    <w:lvl w:ilvl="4" w:tplc="6C86F262">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29B0945C">
      <w:start w:val="1"/>
      <w:numFmt w:val="bullet"/>
      <w:lvlText w:val="§"/>
      <w:lvlJc w:val="left"/>
      <w:pPr>
        <w:ind w:left="4320" w:hanging="360"/>
        <w:jc w:val="both"/>
      </w:pPr>
      <w:rPr>
        <w:rFonts w:ascii="Wingdings" w:eastAsia="Wingdings" w:hAnsi="Wingdings"/>
        <w:w w:val="100"/>
        <w:sz w:val="20"/>
        <w:szCs w:val="20"/>
        <w:shd w:val="clear" w:color="auto" w:fill="auto"/>
      </w:rPr>
    </w:lvl>
    <w:lvl w:ilvl="6" w:tplc="12800C2A">
      <w:start w:val="1"/>
      <w:numFmt w:val="bullet"/>
      <w:lvlText w:val="·"/>
      <w:lvlJc w:val="left"/>
      <w:pPr>
        <w:ind w:left="5040" w:hanging="360"/>
        <w:jc w:val="both"/>
      </w:pPr>
      <w:rPr>
        <w:rFonts w:ascii="Symbol" w:eastAsia="Symbol" w:hAnsi="Symbol"/>
        <w:w w:val="100"/>
        <w:sz w:val="20"/>
        <w:szCs w:val="20"/>
        <w:shd w:val="clear" w:color="auto" w:fill="auto"/>
      </w:rPr>
    </w:lvl>
    <w:lvl w:ilvl="7" w:tplc="2902B424">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48B6C5B2">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6" w15:restartNumberingAfterBreak="0">
    <w:nsid w:val="2F000004"/>
    <w:multiLevelType w:val="hybridMultilevel"/>
    <w:tmpl w:val="4118DBC1"/>
    <w:lvl w:ilvl="0" w:tplc="B62AE760">
      <w:start w:val="1"/>
      <w:numFmt w:val="bullet"/>
      <w:lvlText w:val="§"/>
      <w:lvlJc w:val="left"/>
      <w:pPr>
        <w:ind w:left="720" w:hanging="360"/>
        <w:jc w:val="both"/>
      </w:pPr>
      <w:rPr>
        <w:rFonts w:ascii="Wingdings" w:eastAsia="Wingdings" w:hAnsi="Wingdings"/>
        <w:w w:val="100"/>
        <w:sz w:val="20"/>
        <w:szCs w:val="20"/>
        <w:shd w:val="clear" w:color="auto" w:fill="auto"/>
      </w:rPr>
    </w:lvl>
    <w:lvl w:ilvl="1" w:tplc="14AEA116">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74B2649A">
      <w:start w:val="1"/>
      <w:numFmt w:val="bullet"/>
      <w:lvlText w:val="§"/>
      <w:lvlJc w:val="left"/>
      <w:pPr>
        <w:ind w:left="2160" w:hanging="360"/>
        <w:jc w:val="both"/>
      </w:pPr>
      <w:rPr>
        <w:rFonts w:ascii="Wingdings" w:eastAsia="Wingdings" w:hAnsi="Wingdings"/>
        <w:w w:val="100"/>
        <w:sz w:val="20"/>
        <w:szCs w:val="20"/>
        <w:shd w:val="clear" w:color="auto" w:fill="auto"/>
      </w:rPr>
    </w:lvl>
    <w:lvl w:ilvl="3" w:tplc="C20E3286">
      <w:start w:val="1"/>
      <w:numFmt w:val="bullet"/>
      <w:lvlText w:val="·"/>
      <w:lvlJc w:val="left"/>
      <w:pPr>
        <w:ind w:left="2880" w:hanging="360"/>
        <w:jc w:val="both"/>
      </w:pPr>
      <w:rPr>
        <w:rFonts w:ascii="Symbol" w:eastAsia="Symbol" w:hAnsi="Symbol"/>
        <w:w w:val="100"/>
        <w:sz w:val="20"/>
        <w:szCs w:val="20"/>
        <w:shd w:val="clear" w:color="auto" w:fill="auto"/>
      </w:rPr>
    </w:lvl>
    <w:lvl w:ilvl="4" w:tplc="88687348">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2FB23404">
      <w:start w:val="1"/>
      <w:numFmt w:val="bullet"/>
      <w:lvlText w:val="§"/>
      <w:lvlJc w:val="left"/>
      <w:pPr>
        <w:ind w:left="4320" w:hanging="360"/>
        <w:jc w:val="both"/>
      </w:pPr>
      <w:rPr>
        <w:rFonts w:ascii="Wingdings" w:eastAsia="Wingdings" w:hAnsi="Wingdings"/>
        <w:w w:val="100"/>
        <w:sz w:val="20"/>
        <w:szCs w:val="20"/>
        <w:shd w:val="clear" w:color="auto" w:fill="auto"/>
      </w:rPr>
    </w:lvl>
    <w:lvl w:ilvl="6" w:tplc="EBB6443A">
      <w:start w:val="1"/>
      <w:numFmt w:val="bullet"/>
      <w:lvlText w:val="·"/>
      <w:lvlJc w:val="left"/>
      <w:pPr>
        <w:ind w:left="5040" w:hanging="360"/>
        <w:jc w:val="both"/>
      </w:pPr>
      <w:rPr>
        <w:rFonts w:ascii="Symbol" w:eastAsia="Symbol" w:hAnsi="Symbol"/>
        <w:w w:val="100"/>
        <w:sz w:val="20"/>
        <w:szCs w:val="20"/>
        <w:shd w:val="clear" w:color="auto" w:fill="auto"/>
      </w:rPr>
    </w:lvl>
    <w:lvl w:ilvl="7" w:tplc="F5066922">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D224521A">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7" w15:restartNumberingAfterBreak="0">
    <w:nsid w:val="2F000006"/>
    <w:multiLevelType w:val="hybridMultilevel"/>
    <w:tmpl w:val="2202C76C"/>
    <w:lvl w:ilvl="0" w:tplc="1F2AE6AA">
      <w:start w:val="1"/>
      <w:numFmt w:val="bullet"/>
      <w:lvlText w:val="§"/>
      <w:lvlJc w:val="left"/>
      <w:pPr>
        <w:ind w:left="720" w:hanging="360"/>
        <w:jc w:val="both"/>
      </w:pPr>
      <w:rPr>
        <w:rFonts w:ascii="Wingdings" w:eastAsia="Wingdings" w:hAnsi="Wingdings"/>
        <w:w w:val="100"/>
        <w:sz w:val="20"/>
        <w:szCs w:val="20"/>
        <w:shd w:val="clear" w:color="auto" w:fill="auto"/>
      </w:rPr>
    </w:lvl>
    <w:lvl w:ilvl="1" w:tplc="95DA3EBE">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815412EE">
      <w:start w:val="1"/>
      <w:numFmt w:val="bullet"/>
      <w:lvlText w:val="§"/>
      <w:lvlJc w:val="left"/>
      <w:pPr>
        <w:ind w:left="2160" w:hanging="360"/>
        <w:jc w:val="both"/>
      </w:pPr>
      <w:rPr>
        <w:rFonts w:ascii="Wingdings" w:eastAsia="Wingdings" w:hAnsi="Wingdings"/>
        <w:w w:val="100"/>
        <w:sz w:val="20"/>
        <w:szCs w:val="20"/>
        <w:shd w:val="clear" w:color="auto" w:fill="auto"/>
      </w:rPr>
    </w:lvl>
    <w:lvl w:ilvl="3" w:tplc="B812433C">
      <w:start w:val="1"/>
      <w:numFmt w:val="bullet"/>
      <w:lvlText w:val="·"/>
      <w:lvlJc w:val="left"/>
      <w:pPr>
        <w:ind w:left="2880" w:hanging="360"/>
        <w:jc w:val="both"/>
      </w:pPr>
      <w:rPr>
        <w:rFonts w:ascii="Symbol" w:eastAsia="Symbol" w:hAnsi="Symbol"/>
        <w:w w:val="100"/>
        <w:sz w:val="20"/>
        <w:szCs w:val="20"/>
        <w:shd w:val="clear" w:color="auto" w:fill="auto"/>
      </w:rPr>
    </w:lvl>
    <w:lvl w:ilvl="4" w:tplc="D3D06764">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0844633C">
      <w:start w:val="1"/>
      <w:numFmt w:val="bullet"/>
      <w:lvlText w:val="§"/>
      <w:lvlJc w:val="left"/>
      <w:pPr>
        <w:ind w:left="4320" w:hanging="360"/>
        <w:jc w:val="both"/>
      </w:pPr>
      <w:rPr>
        <w:rFonts w:ascii="Wingdings" w:eastAsia="Wingdings" w:hAnsi="Wingdings"/>
        <w:w w:val="100"/>
        <w:sz w:val="20"/>
        <w:szCs w:val="20"/>
        <w:shd w:val="clear" w:color="auto" w:fill="auto"/>
      </w:rPr>
    </w:lvl>
    <w:lvl w:ilvl="6" w:tplc="54801E3E">
      <w:start w:val="1"/>
      <w:numFmt w:val="bullet"/>
      <w:lvlText w:val="·"/>
      <w:lvlJc w:val="left"/>
      <w:pPr>
        <w:ind w:left="5040" w:hanging="360"/>
        <w:jc w:val="both"/>
      </w:pPr>
      <w:rPr>
        <w:rFonts w:ascii="Symbol" w:eastAsia="Symbol" w:hAnsi="Symbol"/>
        <w:w w:val="100"/>
        <w:sz w:val="20"/>
        <w:szCs w:val="20"/>
        <w:shd w:val="clear" w:color="auto" w:fill="auto"/>
      </w:rPr>
    </w:lvl>
    <w:lvl w:ilvl="7" w:tplc="951E2CEC">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E6DACDC4">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8" w15:restartNumberingAfterBreak="0">
    <w:nsid w:val="2F000009"/>
    <w:multiLevelType w:val="hybridMultilevel"/>
    <w:tmpl w:val="5AD20226"/>
    <w:lvl w:ilvl="0" w:tplc="5A746B2E">
      <w:start w:val="1"/>
      <w:numFmt w:val="bullet"/>
      <w:lvlText w:val="§"/>
      <w:lvlJc w:val="left"/>
      <w:pPr>
        <w:ind w:left="720" w:hanging="360"/>
        <w:jc w:val="both"/>
      </w:pPr>
      <w:rPr>
        <w:rFonts w:ascii="Wingdings" w:eastAsia="Wingdings" w:hAnsi="Wingdings"/>
        <w:w w:val="100"/>
        <w:sz w:val="20"/>
        <w:szCs w:val="20"/>
        <w:shd w:val="clear" w:color="auto" w:fill="auto"/>
      </w:rPr>
    </w:lvl>
    <w:lvl w:ilvl="1" w:tplc="3EEC411C">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27C86D8E">
      <w:start w:val="1"/>
      <w:numFmt w:val="bullet"/>
      <w:lvlText w:val="§"/>
      <w:lvlJc w:val="left"/>
      <w:pPr>
        <w:ind w:left="2160" w:hanging="360"/>
        <w:jc w:val="both"/>
      </w:pPr>
      <w:rPr>
        <w:rFonts w:ascii="Wingdings" w:eastAsia="Wingdings" w:hAnsi="Wingdings"/>
        <w:w w:val="100"/>
        <w:sz w:val="20"/>
        <w:szCs w:val="20"/>
        <w:shd w:val="clear" w:color="auto" w:fill="auto"/>
      </w:rPr>
    </w:lvl>
    <w:lvl w:ilvl="3" w:tplc="68DC36A2">
      <w:start w:val="1"/>
      <w:numFmt w:val="bullet"/>
      <w:lvlText w:val="·"/>
      <w:lvlJc w:val="left"/>
      <w:pPr>
        <w:ind w:left="2880" w:hanging="360"/>
        <w:jc w:val="both"/>
      </w:pPr>
      <w:rPr>
        <w:rFonts w:ascii="Symbol" w:eastAsia="Symbol" w:hAnsi="Symbol"/>
        <w:w w:val="100"/>
        <w:sz w:val="20"/>
        <w:szCs w:val="20"/>
        <w:shd w:val="clear" w:color="auto" w:fill="auto"/>
      </w:rPr>
    </w:lvl>
    <w:lvl w:ilvl="4" w:tplc="42820A96">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9626C844">
      <w:start w:val="1"/>
      <w:numFmt w:val="bullet"/>
      <w:lvlText w:val="§"/>
      <w:lvlJc w:val="left"/>
      <w:pPr>
        <w:ind w:left="4320" w:hanging="360"/>
        <w:jc w:val="both"/>
      </w:pPr>
      <w:rPr>
        <w:rFonts w:ascii="Wingdings" w:eastAsia="Wingdings" w:hAnsi="Wingdings"/>
        <w:w w:val="100"/>
        <w:sz w:val="20"/>
        <w:szCs w:val="20"/>
        <w:shd w:val="clear" w:color="auto" w:fill="auto"/>
      </w:rPr>
    </w:lvl>
    <w:lvl w:ilvl="6" w:tplc="89108D86">
      <w:start w:val="1"/>
      <w:numFmt w:val="bullet"/>
      <w:lvlText w:val="·"/>
      <w:lvlJc w:val="left"/>
      <w:pPr>
        <w:ind w:left="5040" w:hanging="360"/>
        <w:jc w:val="both"/>
      </w:pPr>
      <w:rPr>
        <w:rFonts w:ascii="Symbol" w:eastAsia="Symbol" w:hAnsi="Symbol"/>
        <w:w w:val="100"/>
        <w:sz w:val="20"/>
        <w:szCs w:val="20"/>
        <w:shd w:val="clear" w:color="auto" w:fill="auto"/>
      </w:rPr>
    </w:lvl>
    <w:lvl w:ilvl="7" w:tplc="DABE2BCC">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7AB6FD1A">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9" w15:restartNumberingAfterBreak="0">
    <w:nsid w:val="2F00000A"/>
    <w:multiLevelType w:val="multilevel"/>
    <w:tmpl w:val="378B4C4C"/>
    <w:lvl w:ilvl="0">
      <w:start w:val="1"/>
      <w:numFmt w:val="upperRoman"/>
      <w:lvlText w:val="%1."/>
      <w:lvlJc w:val="right"/>
      <w:pPr>
        <w:tabs>
          <w:tab w:val="left" w:pos="1211"/>
        </w:tabs>
        <w:ind w:left="1211" w:hanging="720"/>
        <w:jc w:val="both"/>
      </w:pPr>
    </w:lvl>
    <w:lvl w:ilvl="1">
      <w:start w:val="1"/>
      <w:numFmt w:val="decimal"/>
      <w:lvlText w:val="%2."/>
      <w:lvlJc w:val="left"/>
      <w:pPr>
        <w:tabs>
          <w:tab w:val="left" w:pos="1931"/>
        </w:tabs>
        <w:ind w:left="1931" w:hanging="720"/>
        <w:jc w:val="both"/>
      </w:pPr>
    </w:lvl>
    <w:lvl w:ilvl="2">
      <w:start w:val="1"/>
      <w:numFmt w:val="decimal"/>
      <w:lvlText w:val="%3."/>
      <w:lvlJc w:val="left"/>
      <w:pPr>
        <w:tabs>
          <w:tab w:val="left" w:pos="2651"/>
        </w:tabs>
        <w:ind w:left="2651" w:hanging="720"/>
        <w:jc w:val="both"/>
      </w:pPr>
    </w:lvl>
    <w:lvl w:ilvl="3">
      <w:start w:val="1"/>
      <w:numFmt w:val="decimal"/>
      <w:lvlText w:val="%4."/>
      <w:lvlJc w:val="left"/>
      <w:pPr>
        <w:tabs>
          <w:tab w:val="left" w:pos="3371"/>
        </w:tabs>
        <w:ind w:left="3371" w:hanging="720"/>
        <w:jc w:val="both"/>
      </w:pPr>
    </w:lvl>
    <w:lvl w:ilvl="4">
      <w:start w:val="1"/>
      <w:numFmt w:val="decimal"/>
      <w:lvlText w:val="%5."/>
      <w:lvlJc w:val="left"/>
      <w:pPr>
        <w:tabs>
          <w:tab w:val="left" w:pos="4091"/>
        </w:tabs>
        <w:ind w:left="4091" w:hanging="720"/>
        <w:jc w:val="both"/>
      </w:pPr>
    </w:lvl>
    <w:lvl w:ilvl="5">
      <w:start w:val="1"/>
      <w:numFmt w:val="decimal"/>
      <w:lvlText w:val="%6."/>
      <w:lvlJc w:val="left"/>
      <w:pPr>
        <w:tabs>
          <w:tab w:val="left" w:pos="4811"/>
        </w:tabs>
        <w:ind w:left="4811" w:hanging="720"/>
        <w:jc w:val="both"/>
      </w:pPr>
    </w:lvl>
    <w:lvl w:ilvl="6">
      <w:start w:val="1"/>
      <w:numFmt w:val="decimal"/>
      <w:lvlText w:val="%7."/>
      <w:lvlJc w:val="left"/>
      <w:pPr>
        <w:tabs>
          <w:tab w:val="left" w:pos="5531"/>
        </w:tabs>
        <w:ind w:left="5531" w:hanging="720"/>
        <w:jc w:val="both"/>
      </w:pPr>
    </w:lvl>
    <w:lvl w:ilvl="7">
      <w:start w:val="1"/>
      <w:numFmt w:val="decimal"/>
      <w:lvlText w:val="%8."/>
      <w:lvlJc w:val="left"/>
      <w:pPr>
        <w:tabs>
          <w:tab w:val="left" w:pos="6251"/>
        </w:tabs>
        <w:ind w:left="6251" w:hanging="720"/>
        <w:jc w:val="both"/>
      </w:pPr>
    </w:lvl>
    <w:lvl w:ilvl="8">
      <w:start w:val="1"/>
      <w:numFmt w:val="decimal"/>
      <w:lvlText w:val="%9."/>
      <w:lvlJc w:val="left"/>
      <w:pPr>
        <w:tabs>
          <w:tab w:val="left" w:pos="6971"/>
        </w:tabs>
        <w:ind w:left="6971" w:hanging="720"/>
        <w:jc w:val="both"/>
      </w:pPr>
    </w:lvl>
  </w:abstractNum>
  <w:abstractNum w:abstractNumId="10" w15:restartNumberingAfterBreak="0">
    <w:nsid w:val="2F00000B"/>
    <w:multiLevelType w:val="hybridMultilevel"/>
    <w:tmpl w:val="403E1E2A"/>
    <w:lvl w:ilvl="0" w:tplc="0D1644BA">
      <w:start w:val="1"/>
      <w:numFmt w:val="bullet"/>
      <w:lvlText w:val="§"/>
      <w:lvlJc w:val="left"/>
      <w:pPr>
        <w:ind w:left="720" w:hanging="360"/>
        <w:jc w:val="both"/>
      </w:pPr>
      <w:rPr>
        <w:rFonts w:ascii="Wingdings" w:eastAsia="Wingdings" w:hAnsi="Wingdings"/>
        <w:w w:val="100"/>
        <w:sz w:val="20"/>
        <w:szCs w:val="20"/>
        <w:shd w:val="clear" w:color="auto" w:fill="auto"/>
      </w:rPr>
    </w:lvl>
    <w:lvl w:ilvl="1" w:tplc="0D969DFA">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EE1648B4">
      <w:start w:val="1"/>
      <w:numFmt w:val="bullet"/>
      <w:lvlText w:val="§"/>
      <w:lvlJc w:val="left"/>
      <w:pPr>
        <w:ind w:left="2160" w:hanging="360"/>
        <w:jc w:val="both"/>
      </w:pPr>
      <w:rPr>
        <w:rFonts w:ascii="Wingdings" w:eastAsia="Wingdings" w:hAnsi="Wingdings"/>
        <w:w w:val="100"/>
        <w:sz w:val="20"/>
        <w:szCs w:val="20"/>
        <w:shd w:val="clear" w:color="auto" w:fill="auto"/>
      </w:rPr>
    </w:lvl>
    <w:lvl w:ilvl="3" w:tplc="9094EE1C">
      <w:start w:val="1"/>
      <w:numFmt w:val="bullet"/>
      <w:lvlText w:val="·"/>
      <w:lvlJc w:val="left"/>
      <w:pPr>
        <w:ind w:left="2880" w:hanging="360"/>
        <w:jc w:val="both"/>
      </w:pPr>
      <w:rPr>
        <w:rFonts w:ascii="Symbol" w:eastAsia="Symbol" w:hAnsi="Symbol"/>
        <w:w w:val="100"/>
        <w:sz w:val="20"/>
        <w:szCs w:val="20"/>
        <w:shd w:val="clear" w:color="auto" w:fill="auto"/>
      </w:rPr>
    </w:lvl>
    <w:lvl w:ilvl="4" w:tplc="3AB4708E">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6B5AD174">
      <w:start w:val="1"/>
      <w:numFmt w:val="bullet"/>
      <w:lvlText w:val="§"/>
      <w:lvlJc w:val="left"/>
      <w:pPr>
        <w:ind w:left="4320" w:hanging="360"/>
        <w:jc w:val="both"/>
      </w:pPr>
      <w:rPr>
        <w:rFonts w:ascii="Wingdings" w:eastAsia="Wingdings" w:hAnsi="Wingdings"/>
        <w:w w:val="100"/>
        <w:sz w:val="20"/>
        <w:szCs w:val="20"/>
        <w:shd w:val="clear" w:color="auto" w:fill="auto"/>
      </w:rPr>
    </w:lvl>
    <w:lvl w:ilvl="6" w:tplc="FA36851C">
      <w:start w:val="1"/>
      <w:numFmt w:val="bullet"/>
      <w:lvlText w:val="·"/>
      <w:lvlJc w:val="left"/>
      <w:pPr>
        <w:ind w:left="5040" w:hanging="360"/>
        <w:jc w:val="both"/>
      </w:pPr>
      <w:rPr>
        <w:rFonts w:ascii="Symbol" w:eastAsia="Symbol" w:hAnsi="Symbol"/>
        <w:w w:val="100"/>
        <w:sz w:val="20"/>
        <w:szCs w:val="20"/>
        <w:shd w:val="clear" w:color="auto" w:fill="auto"/>
      </w:rPr>
    </w:lvl>
    <w:lvl w:ilvl="7" w:tplc="0E0E7780">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D5467810">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1" w15:restartNumberingAfterBreak="0">
    <w:nsid w:val="2F00000C"/>
    <w:multiLevelType w:val="hybridMultilevel"/>
    <w:tmpl w:val="542E8946"/>
    <w:lvl w:ilvl="0" w:tplc="311C8948">
      <w:start w:val="1"/>
      <w:numFmt w:val="bullet"/>
      <w:lvlText w:val="§"/>
      <w:lvlJc w:val="left"/>
      <w:pPr>
        <w:ind w:left="720" w:hanging="360"/>
        <w:jc w:val="both"/>
      </w:pPr>
      <w:rPr>
        <w:rFonts w:ascii="Wingdings" w:eastAsia="Wingdings" w:hAnsi="Wingdings"/>
        <w:w w:val="100"/>
        <w:sz w:val="20"/>
        <w:szCs w:val="20"/>
        <w:shd w:val="clear" w:color="auto" w:fill="auto"/>
      </w:rPr>
    </w:lvl>
    <w:lvl w:ilvl="1" w:tplc="0B3C48D8">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D9A64C48">
      <w:start w:val="1"/>
      <w:numFmt w:val="bullet"/>
      <w:lvlText w:val="§"/>
      <w:lvlJc w:val="left"/>
      <w:pPr>
        <w:ind w:left="2160" w:hanging="360"/>
        <w:jc w:val="both"/>
      </w:pPr>
      <w:rPr>
        <w:rFonts w:ascii="Wingdings" w:eastAsia="Wingdings" w:hAnsi="Wingdings"/>
        <w:w w:val="100"/>
        <w:sz w:val="20"/>
        <w:szCs w:val="20"/>
        <w:shd w:val="clear" w:color="auto" w:fill="auto"/>
      </w:rPr>
    </w:lvl>
    <w:lvl w:ilvl="3" w:tplc="EB305604">
      <w:start w:val="1"/>
      <w:numFmt w:val="bullet"/>
      <w:lvlText w:val="·"/>
      <w:lvlJc w:val="left"/>
      <w:pPr>
        <w:ind w:left="2880" w:hanging="360"/>
        <w:jc w:val="both"/>
      </w:pPr>
      <w:rPr>
        <w:rFonts w:ascii="Symbol" w:eastAsia="Symbol" w:hAnsi="Symbol"/>
        <w:w w:val="100"/>
        <w:sz w:val="20"/>
        <w:szCs w:val="20"/>
        <w:shd w:val="clear" w:color="auto" w:fill="auto"/>
      </w:rPr>
    </w:lvl>
    <w:lvl w:ilvl="4" w:tplc="66205052">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BA26B40C">
      <w:start w:val="1"/>
      <w:numFmt w:val="bullet"/>
      <w:lvlText w:val="§"/>
      <w:lvlJc w:val="left"/>
      <w:pPr>
        <w:ind w:left="4320" w:hanging="360"/>
        <w:jc w:val="both"/>
      </w:pPr>
      <w:rPr>
        <w:rFonts w:ascii="Wingdings" w:eastAsia="Wingdings" w:hAnsi="Wingdings"/>
        <w:w w:val="100"/>
        <w:sz w:val="20"/>
        <w:szCs w:val="20"/>
        <w:shd w:val="clear" w:color="auto" w:fill="auto"/>
      </w:rPr>
    </w:lvl>
    <w:lvl w:ilvl="6" w:tplc="BE6490DA">
      <w:start w:val="1"/>
      <w:numFmt w:val="bullet"/>
      <w:lvlText w:val="·"/>
      <w:lvlJc w:val="left"/>
      <w:pPr>
        <w:ind w:left="5040" w:hanging="360"/>
        <w:jc w:val="both"/>
      </w:pPr>
      <w:rPr>
        <w:rFonts w:ascii="Symbol" w:eastAsia="Symbol" w:hAnsi="Symbol"/>
        <w:w w:val="100"/>
        <w:sz w:val="20"/>
        <w:szCs w:val="20"/>
        <w:shd w:val="clear" w:color="auto" w:fill="auto"/>
      </w:rPr>
    </w:lvl>
    <w:lvl w:ilvl="7" w:tplc="819249D6">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E6667DF2">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2" w15:restartNumberingAfterBreak="0">
    <w:nsid w:val="2F000011"/>
    <w:multiLevelType w:val="hybridMultilevel"/>
    <w:tmpl w:val="1F7E2088"/>
    <w:lvl w:ilvl="0" w:tplc="6B006DA0">
      <w:start w:val="1"/>
      <w:numFmt w:val="upperRoman"/>
      <w:lvlText w:val="%1."/>
      <w:lvlJc w:val="left"/>
      <w:pPr>
        <w:ind w:left="1080" w:hanging="720"/>
        <w:jc w:val="both"/>
      </w:pPr>
      <w:rPr>
        <w:w w:val="100"/>
        <w:sz w:val="20"/>
        <w:szCs w:val="20"/>
        <w:shd w:val="clear" w:color="auto" w:fill="auto"/>
      </w:rPr>
    </w:lvl>
    <w:lvl w:ilvl="1" w:tplc="0ED8C11C">
      <w:start w:val="1"/>
      <w:numFmt w:val="lowerLetter"/>
      <w:lvlText w:val="%2."/>
      <w:lvlJc w:val="left"/>
      <w:pPr>
        <w:ind w:left="1440" w:hanging="360"/>
        <w:jc w:val="both"/>
      </w:pPr>
    </w:lvl>
    <w:lvl w:ilvl="2" w:tplc="C948456C">
      <w:start w:val="1"/>
      <w:numFmt w:val="lowerRoman"/>
      <w:lvlText w:val="%3."/>
      <w:lvlJc w:val="right"/>
      <w:pPr>
        <w:ind w:left="2160" w:hanging="180"/>
        <w:jc w:val="both"/>
      </w:pPr>
    </w:lvl>
    <w:lvl w:ilvl="3" w:tplc="D6A02F38">
      <w:start w:val="1"/>
      <w:numFmt w:val="decimal"/>
      <w:lvlText w:val="%4."/>
      <w:lvlJc w:val="left"/>
      <w:pPr>
        <w:ind w:left="2880" w:hanging="360"/>
        <w:jc w:val="both"/>
      </w:pPr>
    </w:lvl>
    <w:lvl w:ilvl="4" w:tplc="F13889E8">
      <w:start w:val="1"/>
      <w:numFmt w:val="lowerLetter"/>
      <w:lvlText w:val="%5."/>
      <w:lvlJc w:val="left"/>
      <w:pPr>
        <w:ind w:left="3600" w:hanging="360"/>
        <w:jc w:val="both"/>
      </w:pPr>
    </w:lvl>
    <w:lvl w:ilvl="5" w:tplc="F05CAF68">
      <w:start w:val="1"/>
      <w:numFmt w:val="lowerRoman"/>
      <w:lvlText w:val="%6."/>
      <w:lvlJc w:val="right"/>
      <w:pPr>
        <w:ind w:left="4320" w:hanging="180"/>
        <w:jc w:val="both"/>
      </w:pPr>
    </w:lvl>
    <w:lvl w:ilvl="6" w:tplc="CFC2BF3A">
      <w:start w:val="1"/>
      <w:numFmt w:val="decimal"/>
      <w:lvlText w:val="%7."/>
      <w:lvlJc w:val="left"/>
      <w:pPr>
        <w:ind w:left="5040" w:hanging="360"/>
        <w:jc w:val="both"/>
      </w:pPr>
    </w:lvl>
    <w:lvl w:ilvl="7" w:tplc="B664963C">
      <w:start w:val="1"/>
      <w:numFmt w:val="lowerLetter"/>
      <w:lvlText w:val="%8."/>
      <w:lvlJc w:val="left"/>
      <w:pPr>
        <w:ind w:left="5760" w:hanging="360"/>
        <w:jc w:val="both"/>
      </w:pPr>
    </w:lvl>
    <w:lvl w:ilvl="8" w:tplc="EFAE8254">
      <w:start w:val="1"/>
      <w:numFmt w:val="lowerRoman"/>
      <w:lvlText w:val="%9."/>
      <w:lvlJc w:val="right"/>
      <w:pPr>
        <w:ind w:left="6480" w:hanging="180"/>
        <w:jc w:val="both"/>
      </w:pPr>
    </w:lvl>
  </w:abstractNum>
  <w:abstractNum w:abstractNumId="13" w15:restartNumberingAfterBreak="0">
    <w:nsid w:val="2F000013"/>
    <w:multiLevelType w:val="hybridMultilevel"/>
    <w:tmpl w:val="234724AA"/>
    <w:lvl w:ilvl="0" w:tplc="ABAA3370">
      <w:start w:val="1"/>
      <w:numFmt w:val="decimal"/>
      <w:lvlText w:val="%1."/>
      <w:lvlJc w:val="left"/>
      <w:pPr>
        <w:ind w:left="720" w:hanging="360"/>
        <w:jc w:val="both"/>
      </w:pPr>
    </w:lvl>
    <w:lvl w:ilvl="1" w:tplc="BD3E9526">
      <w:start w:val="1"/>
      <w:numFmt w:val="lowerLetter"/>
      <w:lvlText w:val="%2."/>
      <w:lvlJc w:val="left"/>
      <w:pPr>
        <w:ind w:left="1440" w:hanging="360"/>
        <w:jc w:val="both"/>
      </w:pPr>
    </w:lvl>
    <w:lvl w:ilvl="2" w:tplc="654A43E0">
      <w:start w:val="1"/>
      <w:numFmt w:val="lowerRoman"/>
      <w:lvlText w:val="%3."/>
      <w:lvlJc w:val="right"/>
      <w:pPr>
        <w:ind w:left="2160" w:hanging="180"/>
        <w:jc w:val="both"/>
      </w:pPr>
    </w:lvl>
    <w:lvl w:ilvl="3" w:tplc="6CCC585A">
      <w:start w:val="1"/>
      <w:numFmt w:val="decimal"/>
      <w:lvlText w:val="%4."/>
      <w:lvlJc w:val="left"/>
      <w:pPr>
        <w:ind w:left="2880" w:hanging="360"/>
        <w:jc w:val="both"/>
      </w:pPr>
    </w:lvl>
    <w:lvl w:ilvl="4" w:tplc="0A14EA88">
      <w:start w:val="1"/>
      <w:numFmt w:val="lowerLetter"/>
      <w:lvlText w:val="%5."/>
      <w:lvlJc w:val="left"/>
      <w:pPr>
        <w:ind w:left="3600" w:hanging="360"/>
        <w:jc w:val="both"/>
      </w:pPr>
    </w:lvl>
    <w:lvl w:ilvl="5" w:tplc="FE98DA9E">
      <w:start w:val="1"/>
      <w:numFmt w:val="lowerRoman"/>
      <w:lvlText w:val="%6."/>
      <w:lvlJc w:val="right"/>
      <w:pPr>
        <w:ind w:left="4320" w:hanging="180"/>
        <w:jc w:val="both"/>
      </w:pPr>
    </w:lvl>
    <w:lvl w:ilvl="6" w:tplc="967EE930">
      <w:start w:val="1"/>
      <w:numFmt w:val="decimal"/>
      <w:lvlText w:val="%7."/>
      <w:lvlJc w:val="left"/>
      <w:pPr>
        <w:ind w:left="5040" w:hanging="360"/>
        <w:jc w:val="both"/>
      </w:pPr>
    </w:lvl>
    <w:lvl w:ilvl="7" w:tplc="72967E90">
      <w:start w:val="1"/>
      <w:numFmt w:val="lowerLetter"/>
      <w:lvlText w:val="%8."/>
      <w:lvlJc w:val="left"/>
      <w:pPr>
        <w:ind w:left="5760" w:hanging="360"/>
        <w:jc w:val="both"/>
      </w:pPr>
    </w:lvl>
    <w:lvl w:ilvl="8" w:tplc="E018A0B0">
      <w:start w:val="1"/>
      <w:numFmt w:val="lowerRoman"/>
      <w:lvlText w:val="%9."/>
      <w:lvlJc w:val="right"/>
      <w:pPr>
        <w:ind w:left="6480" w:hanging="180"/>
        <w:jc w:val="both"/>
      </w:pPr>
    </w:lvl>
  </w:abstractNum>
  <w:abstractNum w:abstractNumId="14" w15:restartNumberingAfterBreak="0">
    <w:nsid w:val="2F000014"/>
    <w:multiLevelType w:val="hybridMultilevel"/>
    <w:tmpl w:val="39B81717"/>
    <w:lvl w:ilvl="0" w:tplc="A91640A4">
      <w:start w:val="1"/>
      <w:numFmt w:val="decimal"/>
      <w:lvlText w:val="%1."/>
      <w:lvlJc w:val="left"/>
      <w:pPr>
        <w:ind w:left="720" w:hanging="360"/>
        <w:jc w:val="both"/>
      </w:pPr>
    </w:lvl>
    <w:lvl w:ilvl="1" w:tplc="29AAC77C">
      <w:start w:val="1"/>
      <w:numFmt w:val="lowerLetter"/>
      <w:lvlText w:val="%2."/>
      <w:lvlJc w:val="left"/>
      <w:pPr>
        <w:ind w:left="1440" w:hanging="360"/>
        <w:jc w:val="both"/>
      </w:pPr>
    </w:lvl>
    <w:lvl w:ilvl="2" w:tplc="89261C3C">
      <w:start w:val="1"/>
      <w:numFmt w:val="lowerRoman"/>
      <w:lvlText w:val="%3."/>
      <w:lvlJc w:val="right"/>
      <w:pPr>
        <w:ind w:left="2160" w:hanging="180"/>
        <w:jc w:val="both"/>
      </w:pPr>
    </w:lvl>
    <w:lvl w:ilvl="3" w:tplc="82FC8188">
      <w:start w:val="1"/>
      <w:numFmt w:val="decimal"/>
      <w:lvlText w:val="%4."/>
      <w:lvlJc w:val="left"/>
      <w:pPr>
        <w:ind w:left="2880" w:hanging="360"/>
        <w:jc w:val="both"/>
      </w:pPr>
    </w:lvl>
    <w:lvl w:ilvl="4" w:tplc="CDF01B90">
      <w:start w:val="1"/>
      <w:numFmt w:val="lowerLetter"/>
      <w:lvlText w:val="%5."/>
      <w:lvlJc w:val="left"/>
      <w:pPr>
        <w:ind w:left="3600" w:hanging="360"/>
        <w:jc w:val="both"/>
      </w:pPr>
    </w:lvl>
    <w:lvl w:ilvl="5" w:tplc="E69C780C">
      <w:start w:val="1"/>
      <w:numFmt w:val="lowerRoman"/>
      <w:lvlText w:val="%6."/>
      <w:lvlJc w:val="right"/>
      <w:pPr>
        <w:ind w:left="4320" w:hanging="180"/>
        <w:jc w:val="both"/>
      </w:pPr>
    </w:lvl>
    <w:lvl w:ilvl="6" w:tplc="082600B8">
      <w:start w:val="1"/>
      <w:numFmt w:val="decimal"/>
      <w:lvlText w:val="%7."/>
      <w:lvlJc w:val="left"/>
      <w:pPr>
        <w:ind w:left="5040" w:hanging="360"/>
        <w:jc w:val="both"/>
      </w:pPr>
    </w:lvl>
    <w:lvl w:ilvl="7" w:tplc="F2681892">
      <w:start w:val="1"/>
      <w:numFmt w:val="lowerLetter"/>
      <w:lvlText w:val="%8."/>
      <w:lvlJc w:val="left"/>
      <w:pPr>
        <w:ind w:left="5760" w:hanging="360"/>
        <w:jc w:val="both"/>
      </w:pPr>
    </w:lvl>
    <w:lvl w:ilvl="8" w:tplc="E50CBBE2">
      <w:start w:val="1"/>
      <w:numFmt w:val="lowerRoman"/>
      <w:lvlText w:val="%9."/>
      <w:lvlJc w:val="right"/>
      <w:pPr>
        <w:ind w:left="6480" w:hanging="180"/>
        <w:jc w:val="both"/>
      </w:pPr>
    </w:lvl>
  </w:abstractNum>
  <w:abstractNum w:abstractNumId="15" w15:restartNumberingAfterBreak="0">
    <w:nsid w:val="2F000015"/>
    <w:multiLevelType w:val="hybridMultilevel"/>
    <w:tmpl w:val="4AF41588"/>
    <w:lvl w:ilvl="0" w:tplc="7820CBA4">
      <w:start w:val="1"/>
      <w:numFmt w:val="bullet"/>
      <w:lvlText w:val="§"/>
      <w:lvlJc w:val="left"/>
      <w:pPr>
        <w:ind w:left="720" w:hanging="360"/>
        <w:jc w:val="both"/>
      </w:pPr>
      <w:rPr>
        <w:rFonts w:ascii="Wingdings" w:eastAsia="Wingdings" w:hAnsi="Wingdings"/>
        <w:w w:val="100"/>
        <w:sz w:val="20"/>
        <w:szCs w:val="20"/>
        <w:shd w:val="clear" w:color="auto" w:fill="auto"/>
      </w:rPr>
    </w:lvl>
    <w:lvl w:ilvl="1" w:tplc="D858690C">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751C4A02">
      <w:start w:val="1"/>
      <w:numFmt w:val="bullet"/>
      <w:lvlText w:val="§"/>
      <w:lvlJc w:val="left"/>
      <w:pPr>
        <w:ind w:left="2160" w:hanging="360"/>
        <w:jc w:val="both"/>
      </w:pPr>
      <w:rPr>
        <w:rFonts w:ascii="Wingdings" w:eastAsia="Wingdings" w:hAnsi="Wingdings"/>
        <w:w w:val="100"/>
        <w:sz w:val="20"/>
        <w:szCs w:val="20"/>
        <w:shd w:val="clear" w:color="auto" w:fill="auto"/>
      </w:rPr>
    </w:lvl>
    <w:lvl w:ilvl="3" w:tplc="9FD88860">
      <w:start w:val="1"/>
      <w:numFmt w:val="bullet"/>
      <w:lvlText w:val="·"/>
      <w:lvlJc w:val="left"/>
      <w:pPr>
        <w:ind w:left="2880" w:hanging="360"/>
        <w:jc w:val="both"/>
      </w:pPr>
      <w:rPr>
        <w:rFonts w:ascii="Symbol" w:eastAsia="Symbol" w:hAnsi="Symbol"/>
        <w:w w:val="100"/>
        <w:sz w:val="20"/>
        <w:szCs w:val="20"/>
        <w:shd w:val="clear" w:color="auto" w:fill="auto"/>
      </w:rPr>
    </w:lvl>
    <w:lvl w:ilvl="4" w:tplc="551453FC">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3E5843E4">
      <w:start w:val="1"/>
      <w:numFmt w:val="bullet"/>
      <w:lvlText w:val="§"/>
      <w:lvlJc w:val="left"/>
      <w:pPr>
        <w:ind w:left="4320" w:hanging="360"/>
        <w:jc w:val="both"/>
      </w:pPr>
      <w:rPr>
        <w:rFonts w:ascii="Wingdings" w:eastAsia="Wingdings" w:hAnsi="Wingdings"/>
        <w:w w:val="100"/>
        <w:sz w:val="20"/>
        <w:szCs w:val="20"/>
        <w:shd w:val="clear" w:color="auto" w:fill="auto"/>
      </w:rPr>
    </w:lvl>
    <w:lvl w:ilvl="6" w:tplc="D5022A6E">
      <w:start w:val="1"/>
      <w:numFmt w:val="bullet"/>
      <w:lvlText w:val="·"/>
      <w:lvlJc w:val="left"/>
      <w:pPr>
        <w:ind w:left="5040" w:hanging="360"/>
        <w:jc w:val="both"/>
      </w:pPr>
      <w:rPr>
        <w:rFonts w:ascii="Symbol" w:eastAsia="Symbol" w:hAnsi="Symbol"/>
        <w:w w:val="100"/>
        <w:sz w:val="20"/>
        <w:szCs w:val="20"/>
        <w:shd w:val="clear" w:color="auto" w:fill="auto"/>
      </w:rPr>
    </w:lvl>
    <w:lvl w:ilvl="7" w:tplc="36CEF942">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0A0CCDB6">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6" w15:restartNumberingAfterBreak="0">
    <w:nsid w:val="2F000017"/>
    <w:multiLevelType w:val="hybridMultilevel"/>
    <w:tmpl w:val="5A8C4582"/>
    <w:lvl w:ilvl="0" w:tplc="F4FAE646">
      <w:start w:val="1"/>
      <w:numFmt w:val="bullet"/>
      <w:lvlText w:val="§"/>
      <w:lvlJc w:val="left"/>
      <w:pPr>
        <w:ind w:left="720" w:hanging="360"/>
        <w:jc w:val="both"/>
      </w:pPr>
      <w:rPr>
        <w:rFonts w:ascii="Wingdings" w:eastAsia="Wingdings" w:hAnsi="Wingdings"/>
        <w:w w:val="100"/>
        <w:sz w:val="20"/>
        <w:szCs w:val="20"/>
        <w:shd w:val="clear" w:color="auto" w:fill="auto"/>
      </w:rPr>
    </w:lvl>
    <w:lvl w:ilvl="1" w:tplc="D160FAF2">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BBB6DE28">
      <w:start w:val="1"/>
      <w:numFmt w:val="bullet"/>
      <w:lvlText w:val="§"/>
      <w:lvlJc w:val="left"/>
      <w:pPr>
        <w:ind w:left="2160" w:hanging="360"/>
        <w:jc w:val="both"/>
      </w:pPr>
      <w:rPr>
        <w:rFonts w:ascii="Wingdings" w:eastAsia="Wingdings" w:hAnsi="Wingdings"/>
        <w:w w:val="100"/>
        <w:sz w:val="20"/>
        <w:szCs w:val="20"/>
        <w:shd w:val="clear" w:color="auto" w:fill="auto"/>
      </w:rPr>
    </w:lvl>
    <w:lvl w:ilvl="3" w:tplc="2EDAB414">
      <w:start w:val="1"/>
      <w:numFmt w:val="bullet"/>
      <w:lvlText w:val="·"/>
      <w:lvlJc w:val="left"/>
      <w:pPr>
        <w:ind w:left="2880" w:hanging="360"/>
        <w:jc w:val="both"/>
      </w:pPr>
      <w:rPr>
        <w:rFonts w:ascii="Symbol" w:eastAsia="Symbol" w:hAnsi="Symbol"/>
        <w:w w:val="100"/>
        <w:sz w:val="20"/>
        <w:szCs w:val="20"/>
        <w:shd w:val="clear" w:color="auto" w:fill="auto"/>
      </w:rPr>
    </w:lvl>
    <w:lvl w:ilvl="4" w:tplc="DB725228">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5156B52A">
      <w:start w:val="1"/>
      <w:numFmt w:val="bullet"/>
      <w:lvlText w:val="§"/>
      <w:lvlJc w:val="left"/>
      <w:pPr>
        <w:ind w:left="4320" w:hanging="360"/>
        <w:jc w:val="both"/>
      </w:pPr>
      <w:rPr>
        <w:rFonts w:ascii="Wingdings" w:eastAsia="Wingdings" w:hAnsi="Wingdings"/>
        <w:w w:val="100"/>
        <w:sz w:val="20"/>
        <w:szCs w:val="20"/>
        <w:shd w:val="clear" w:color="auto" w:fill="auto"/>
      </w:rPr>
    </w:lvl>
    <w:lvl w:ilvl="6" w:tplc="AF88821E">
      <w:start w:val="1"/>
      <w:numFmt w:val="bullet"/>
      <w:lvlText w:val="·"/>
      <w:lvlJc w:val="left"/>
      <w:pPr>
        <w:ind w:left="5040" w:hanging="360"/>
        <w:jc w:val="both"/>
      </w:pPr>
      <w:rPr>
        <w:rFonts w:ascii="Symbol" w:eastAsia="Symbol" w:hAnsi="Symbol"/>
        <w:w w:val="100"/>
        <w:sz w:val="20"/>
        <w:szCs w:val="20"/>
        <w:shd w:val="clear" w:color="auto" w:fill="auto"/>
      </w:rPr>
    </w:lvl>
    <w:lvl w:ilvl="7" w:tplc="1BC25E1E">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051C3B7C">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7" w15:restartNumberingAfterBreak="0">
    <w:nsid w:val="2F000018"/>
    <w:multiLevelType w:val="hybridMultilevel"/>
    <w:tmpl w:val="5527992C"/>
    <w:lvl w:ilvl="0" w:tplc="99CCA3D8">
      <w:start w:val="1"/>
      <w:numFmt w:val="bullet"/>
      <w:lvlText w:val="§"/>
      <w:lvlJc w:val="left"/>
      <w:pPr>
        <w:ind w:left="720" w:hanging="360"/>
        <w:jc w:val="both"/>
      </w:pPr>
      <w:rPr>
        <w:rFonts w:ascii="Wingdings" w:eastAsia="Wingdings" w:hAnsi="Wingdings"/>
        <w:w w:val="100"/>
        <w:sz w:val="20"/>
        <w:szCs w:val="20"/>
        <w:shd w:val="clear" w:color="auto" w:fill="auto"/>
      </w:rPr>
    </w:lvl>
    <w:lvl w:ilvl="1" w:tplc="41B63E28">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134C8956">
      <w:start w:val="1"/>
      <w:numFmt w:val="bullet"/>
      <w:lvlText w:val="§"/>
      <w:lvlJc w:val="left"/>
      <w:pPr>
        <w:ind w:left="2160" w:hanging="360"/>
        <w:jc w:val="both"/>
      </w:pPr>
      <w:rPr>
        <w:rFonts w:ascii="Wingdings" w:eastAsia="Wingdings" w:hAnsi="Wingdings"/>
        <w:w w:val="100"/>
        <w:sz w:val="20"/>
        <w:szCs w:val="20"/>
        <w:shd w:val="clear" w:color="auto" w:fill="auto"/>
      </w:rPr>
    </w:lvl>
    <w:lvl w:ilvl="3" w:tplc="15CEE538">
      <w:start w:val="1"/>
      <w:numFmt w:val="bullet"/>
      <w:lvlText w:val="·"/>
      <w:lvlJc w:val="left"/>
      <w:pPr>
        <w:ind w:left="2880" w:hanging="360"/>
        <w:jc w:val="both"/>
      </w:pPr>
      <w:rPr>
        <w:rFonts w:ascii="Symbol" w:eastAsia="Symbol" w:hAnsi="Symbol"/>
        <w:w w:val="100"/>
        <w:sz w:val="20"/>
        <w:szCs w:val="20"/>
        <w:shd w:val="clear" w:color="auto" w:fill="auto"/>
      </w:rPr>
    </w:lvl>
    <w:lvl w:ilvl="4" w:tplc="1E90D842">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DD187F52">
      <w:start w:val="1"/>
      <w:numFmt w:val="bullet"/>
      <w:lvlText w:val="§"/>
      <w:lvlJc w:val="left"/>
      <w:pPr>
        <w:ind w:left="4320" w:hanging="360"/>
        <w:jc w:val="both"/>
      </w:pPr>
      <w:rPr>
        <w:rFonts w:ascii="Wingdings" w:eastAsia="Wingdings" w:hAnsi="Wingdings"/>
        <w:w w:val="100"/>
        <w:sz w:val="20"/>
        <w:szCs w:val="20"/>
        <w:shd w:val="clear" w:color="auto" w:fill="auto"/>
      </w:rPr>
    </w:lvl>
    <w:lvl w:ilvl="6" w:tplc="E82A41B6">
      <w:start w:val="1"/>
      <w:numFmt w:val="bullet"/>
      <w:lvlText w:val="·"/>
      <w:lvlJc w:val="left"/>
      <w:pPr>
        <w:ind w:left="5040" w:hanging="360"/>
        <w:jc w:val="both"/>
      </w:pPr>
      <w:rPr>
        <w:rFonts w:ascii="Symbol" w:eastAsia="Symbol" w:hAnsi="Symbol"/>
        <w:w w:val="100"/>
        <w:sz w:val="20"/>
        <w:szCs w:val="20"/>
        <w:shd w:val="clear" w:color="auto" w:fill="auto"/>
      </w:rPr>
    </w:lvl>
    <w:lvl w:ilvl="7" w:tplc="3FF615DA">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915618EA">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8" w15:restartNumberingAfterBreak="0">
    <w:nsid w:val="2F00001B"/>
    <w:multiLevelType w:val="hybridMultilevel"/>
    <w:tmpl w:val="48D9CEEB"/>
    <w:lvl w:ilvl="0" w:tplc="DA06CE58">
      <w:start w:val="1"/>
      <w:numFmt w:val="bullet"/>
      <w:lvlText w:val="§"/>
      <w:lvlJc w:val="left"/>
      <w:pPr>
        <w:ind w:left="720" w:hanging="360"/>
        <w:jc w:val="both"/>
      </w:pPr>
      <w:rPr>
        <w:rFonts w:ascii="Wingdings" w:eastAsia="Wingdings" w:hAnsi="Wingdings"/>
        <w:w w:val="100"/>
        <w:sz w:val="20"/>
        <w:szCs w:val="20"/>
        <w:shd w:val="clear" w:color="auto" w:fill="auto"/>
      </w:rPr>
    </w:lvl>
    <w:lvl w:ilvl="1" w:tplc="BCE4129A">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F1E0C4C4">
      <w:start w:val="1"/>
      <w:numFmt w:val="bullet"/>
      <w:lvlText w:val="§"/>
      <w:lvlJc w:val="left"/>
      <w:pPr>
        <w:ind w:left="2160" w:hanging="360"/>
        <w:jc w:val="both"/>
      </w:pPr>
      <w:rPr>
        <w:rFonts w:ascii="Wingdings" w:eastAsia="Wingdings" w:hAnsi="Wingdings"/>
        <w:w w:val="100"/>
        <w:sz w:val="20"/>
        <w:szCs w:val="20"/>
        <w:shd w:val="clear" w:color="auto" w:fill="auto"/>
      </w:rPr>
    </w:lvl>
    <w:lvl w:ilvl="3" w:tplc="150001A0">
      <w:start w:val="1"/>
      <w:numFmt w:val="bullet"/>
      <w:lvlText w:val="·"/>
      <w:lvlJc w:val="left"/>
      <w:pPr>
        <w:ind w:left="2880" w:hanging="360"/>
        <w:jc w:val="both"/>
      </w:pPr>
      <w:rPr>
        <w:rFonts w:ascii="Symbol" w:eastAsia="Symbol" w:hAnsi="Symbol"/>
        <w:w w:val="100"/>
        <w:sz w:val="20"/>
        <w:szCs w:val="20"/>
        <w:shd w:val="clear" w:color="auto" w:fill="auto"/>
      </w:rPr>
    </w:lvl>
    <w:lvl w:ilvl="4" w:tplc="D8FCE032">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7F9E6904">
      <w:start w:val="1"/>
      <w:numFmt w:val="bullet"/>
      <w:lvlText w:val="§"/>
      <w:lvlJc w:val="left"/>
      <w:pPr>
        <w:ind w:left="4320" w:hanging="360"/>
        <w:jc w:val="both"/>
      </w:pPr>
      <w:rPr>
        <w:rFonts w:ascii="Wingdings" w:eastAsia="Wingdings" w:hAnsi="Wingdings"/>
        <w:w w:val="100"/>
        <w:sz w:val="20"/>
        <w:szCs w:val="20"/>
        <w:shd w:val="clear" w:color="auto" w:fill="auto"/>
      </w:rPr>
    </w:lvl>
    <w:lvl w:ilvl="6" w:tplc="54164C20">
      <w:start w:val="1"/>
      <w:numFmt w:val="bullet"/>
      <w:lvlText w:val="·"/>
      <w:lvlJc w:val="left"/>
      <w:pPr>
        <w:ind w:left="5040" w:hanging="360"/>
        <w:jc w:val="both"/>
      </w:pPr>
      <w:rPr>
        <w:rFonts w:ascii="Symbol" w:eastAsia="Symbol" w:hAnsi="Symbol"/>
        <w:w w:val="100"/>
        <w:sz w:val="20"/>
        <w:szCs w:val="20"/>
        <w:shd w:val="clear" w:color="auto" w:fill="auto"/>
      </w:rPr>
    </w:lvl>
    <w:lvl w:ilvl="7" w:tplc="BF9C48AE">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B04CF496">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19" w15:restartNumberingAfterBreak="0">
    <w:nsid w:val="2F00001D"/>
    <w:multiLevelType w:val="hybridMultilevel"/>
    <w:tmpl w:val="4BE04E83"/>
    <w:lvl w:ilvl="0" w:tplc="E1B2E940">
      <w:start w:val="1"/>
      <w:numFmt w:val="bullet"/>
      <w:lvlText w:val="§"/>
      <w:lvlJc w:val="left"/>
      <w:pPr>
        <w:ind w:left="720" w:hanging="360"/>
        <w:jc w:val="both"/>
      </w:pPr>
      <w:rPr>
        <w:rFonts w:ascii="Wingdings" w:eastAsia="Wingdings" w:hAnsi="Wingdings"/>
        <w:w w:val="100"/>
        <w:sz w:val="20"/>
        <w:szCs w:val="20"/>
        <w:shd w:val="clear" w:color="auto" w:fill="auto"/>
      </w:rPr>
    </w:lvl>
    <w:lvl w:ilvl="1" w:tplc="DD36ECD6">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5178FC52">
      <w:start w:val="1"/>
      <w:numFmt w:val="bullet"/>
      <w:lvlText w:val="§"/>
      <w:lvlJc w:val="left"/>
      <w:pPr>
        <w:ind w:left="2160" w:hanging="360"/>
        <w:jc w:val="both"/>
      </w:pPr>
      <w:rPr>
        <w:rFonts w:ascii="Wingdings" w:eastAsia="Wingdings" w:hAnsi="Wingdings"/>
        <w:w w:val="100"/>
        <w:sz w:val="20"/>
        <w:szCs w:val="20"/>
        <w:shd w:val="clear" w:color="auto" w:fill="auto"/>
      </w:rPr>
    </w:lvl>
    <w:lvl w:ilvl="3" w:tplc="804E998A">
      <w:start w:val="1"/>
      <w:numFmt w:val="bullet"/>
      <w:lvlText w:val="·"/>
      <w:lvlJc w:val="left"/>
      <w:pPr>
        <w:ind w:left="2880" w:hanging="360"/>
        <w:jc w:val="both"/>
      </w:pPr>
      <w:rPr>
        <w:rFonts w:ascii="Symbol" w:eastAsia="Symbol" w:hAnsi="Symbol"/>
        <w:w w:val="100"/>
        <w:sz w:val="20"/>
        <w:szCs w:val="20"/>
        <w:shd w:val="clear" w:color="auto" w:fill="auto"/>
      </w:rPr>
    </w:lvl>
    <w:lvl w:ilvl="4" w:tplc="C8726DEA">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35DEF66E">
      <w:start w:val="1"/>
      <w:numFmt w:val="bullet"/>
      <w:lvlText w:val="§"/>
      <w:lvlJc w:val="left"/>
      <w:pPr>
        <w:ind w:left="4320" w:hanging="360"/>
        <w:jc w:val="both"/>
      </w:pPr>
      <w:rPr>
        <w:rFonts w:ascii="Wingdings" w:eastAsia="Wingdings" w:hAnsi="Wingdings"/>
        <w:w w:val="100"/>
        <w:sz w:val="20"/>
        <w:szCs w:val="20"/>
        <w:shd w:val="clear" w:color="auto" w:fill="auto"/>
      </w:rPr>
    </w:lvl>
    <w:lvl w:ilvl="6" w:tplc="A322ED4A">
      <w:start w:val="1"/>
      <w:numFmt w:val="bullet"/>
      <w:lvlText w:val="·"/>
      <w:lvlJc w:val="left"/>
      <w:pPr>
        <w:ind w:left="5040" w:hanging="360"/>
        <w:jc w:val="both"/>
      </w:pPr>
      <w:rPr>
        <w:rFonts w:ascii="Symbol" w:eastAsia="Symbol" w:hAnsi="Symbol"/>
        <w:w w:val="100"/>
        <w:sz w:val="20"/>
        <w:szCs w:val="20"/>
        <w:shd w:val="clear" w:color="auto" w:fill="auto"/>
      </w:rPr>
    </w:lvl>
    <w:lvl w:ilvl="7" w:tplc="B5D2C4C8">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A59A8640">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20" w15:restartNumberingAfterBreak="0">
    <w:nsid w:val="2F00001E"/>
    <w:multiLevelType w:val="multilevel"/>
    <w:tmpl w:val="5942B24C"/>
    <w:lvl w:ilvl="0">
      <w:start w:val="1"/>
      <w:numFmt w:val="bullet"/>
      <w:lvlText w:val="§"/>
      <w:lvlJc w:val="left"/>
      <w:pPr>
        <w:tabs>
          <w:tab w:val="left" w:pos="720"/>
        </w:tabs>
        <w:ind w:left="720" w:hanging="720"/>
        <w:jc w:val="both"/>
      </w:pPr>
      <w:rPr>
        <w:rFonts w:ascii="Wingdings" w:eastAsia="Wingdings" w:hAnsi="Wingdings"/>
        <w:w w:val="100"/>
        <w:sz w:val="20"/>
        <w:szCs w:val="20"/>
        <w:shd w:val="clear" w:color="auto" w:fill="auto"/>
      </w:rPr>
    </w:lvl>
    <w:lvl w:ilvl="1">
      <w:start w:val="1"/>
      <w:numFmt w:val="decimal"/>
      <w:lvlText w:val="%2."/>
      <w:lvlJc w:val="left"/>
      <w:pPr>
        <w:tabs>
          <w:tab w:val="left" w:pos="1440"/>
        </w:tabs>
        <w:ind w:left="1440" w:hanging="720"/>
        <w:jc w:val="both"/>
      </w:pPr>
    </w:lvl>
    <w:lvl w:ilvl="2">
      <w:start w:val="1"/>
      <w:numFmt w:val="decimal"/>
      <w:lvlText w:val="%3."/>
      <w:lvlJc w:val="left"/>
      <w:pPr>
        <w:tabs>
          <w:tab w:val="left" w:pos="2160"/>
        </w:tabs>
        <w:ind w:left="2160" w:hanging="720"/>
        <w:jc w:val="both"/>
      </w:pPr>
    </w:lvl>
    <w:lvl w:ilvl="3">
      <w:start w:val="1"/>
      <w:numFmt w:val="decimal"/>
      <w:lvlText w:val="%4."/>
      <w:lvlJc w:val="left"/>
      <w:pPr>
        <w:tabs>
          <w:tab w:val="left" w:pos="2880"/>
        </w:tabs>
        <w:ind w:left="2880" w:hanging="720"/>
        <w:jc w:val="both"/>
      </w:pPr>
    </w:lvl>
    <w:lvl w:ilvl="4">
      <w:start w:val="1"/>
      <w:numFmt w:val="decimal"/>
      <w:lvlText w:val="%5."/>
      <w:lvlJc w:val="left"/>
      <w:pPr>
        <w:tabs>
          <w:tab w:val="left" w:pos="3600"/>
        </w:tabs>
        <w:ind w:left="3600" w:hanging="720"/>
        <w:jc w:val="both"/>
      </w:pPr>
    </w:lvl>
    <w:lvl w:ilvl="5">
      <w:start w:val="1"/>
      <w:numFmt w:val="decimal"/>
      <w:lvlText w:val="%6."/>
      <w:lvlJc w:val="left"/>
      <w:pPr>
        <w:tabs>
          <w:tab w:val="left" w:pos="4320"/>
        </w:tabs>
        <w:ind w:left="4320" w:hanging="720"/>
        <w:jc w:val="both"/>
      </w:pPr>
    </w:lvl>
    <w:lvl w:ilvl="6">
      <w:start w:val="1"/>
      <w:numFmt w:val="decimal"/>
      <w:lvlText w:val="%7."/>
      <w:lvlJc w:val="left"/>
      <w:pPr>
        <w:tabs>
          <w:tab w:val="left" w:pos="5040"/>
        </w:tabs>
        <w:ind w:left="5040" w:hanging="720"/>
        <w:jc w:val="both"/>
      </w:pPr>
    </w:lvl>
    <w:lvl w:ilvl="7">
      <w:start w:val="1"/>
      <w:numFmt w:val="decimal"/>
      <w:lvlText w:val="%8."/>
      <w:lvlJc w:val="left"/>
      <w:pPr>
        <w:tabs>
          <w:tab w:val="left" w:pos="5760"/>
        </w:tabs>
        <w:ind w:left="5760" w:hanging="720"/>
        <w:jc w:val="both"/>
      </w:pPr>
    </w:lvl>
    <w:lvl w:ilvl="8">
      <w:start w:val="1"/>
      <w:numFmt w:val="decimal"/>
      <w:lvlText w:val="%9."/>
      <w:lvlJc w:val="left"/>
      <w:pPr>
        <w:tabs>
          <w:tab w:val="left" w:pos="6480"/>
        </w:tabs>
        <w:ind w:left="6480" w:hanging="720"/>
        <w:jc w:val="both"/>
      </w:pPr>
    </w:lvl>
  </w:abstractNum>
  <w:abstractNum w:abstractNumId="21" w15:restartNumberingAfterBreak="0">
    <w:nsid w:val="2F00001F"/>
    <w:multiLevelType w:val="hybridMultilevel"/>
    <w:tmpl w:val="4FC7DA49"/>
    <w:lvl w:ilvl="0" w:tplc="E09E88A6">
      <w:start w:val="1"/>
      <w:numFmt w:val="bullet"/>
      <w:lvlText w:val="§"/>
      <w:lvlJc w:val="left"/>
      <w:pPr>
        <w:ind w:left="720" w:hanging="360"/>
        <w:jc w:val="both"/>
      </w:pPr>
      <w:rPr>
        <w:rFonts w:ascii="Wingdings" w:eastAsia="Wingdings" w:hAnsi="Wingdings"/>
        <w:w w:val="100"/>
        <w:sz w:val="20"/>
        <w:szCs w:val="20"/>
        <w:shd w:val="clear" w:color="auto" w:fill="auto"/>
      </w:rPr>
    </w:lvl>
    <w:lvl w:ilvl="1" w:tplc="B78C2258">
      <w:start w:val="1"/>
      <w:numFmt w:val="bullet"/>
      <w:lvlText w:val="o"/>
      <w:lvlJc w:val="left"/>
      <w:pPr>
        <w:ind w:left="1440" w:hanging="360"/>
        <w:jc w:val="both"/>
      </w:pPr>
      <w:rPr>
        <w:rFonts w:ascii="Courier New" w:eastAsia="Courier New" w:hAnsi="Courier New"/>
        <w:w w:val="100"/>
        <w:sz w:val="20"/>
        <w:szCs w:val="20"/>
        <w:shd w:val="clear" w:color="auto" w:fill="auto"/>
      </w:rPr>
    </w:lvl>
    <w:lvl w:ilvl="2" w:tplc="E7F43E68">
      <w:start w:val="1"/>
      <w:numFmt w:val="bullet"/>
      <w:lvlText w:val="§"/>
      <w:lvlJc w:val="left"/>
      <w:pPr>
        <w:ind w:left="2160" w:hanging="360"/>
        <w:jc w:val="both"/>
      </w:pPr>
      <w:rPr>
        <w:rFonts w:ascii="Wingdings" w:eastAsia="Wingdings" w:hAnsi="Wingdings"/>
        <w:w w:val="100"/>
        <w:sz w:val="20"/>
        <w:szCs w:val="20"/>
        <w:shd w:val="clear" w:color="auto" w:fill="auto"/>
      </w:rPr>
    </w:lvl>
    <w:lvl w:ilvl="3" w:tplc="77A8F1EE">
      <w:start w:val="1"/>
      <w:numFmt w:val="bullet"/>
      <w:lvlText w:val="·"/>
      <w:lvlJc w:val="left"/>
      <w:pPr>
        <w:ind w:left="2880" w:hanging="360"/>
        <w:jc w:val="both"/>
      </w:pPr>
      <w:rPr>
        <w:rFonts w:ascii="Symbol" w:eastAsia="Symbol" w:hAnsi="Symbol"/>
        <w:w w:val="100"/>
        <w:sz w:val="20"/>
        <w:szCs w:val="20"/>
        <w:shd w:val="clear" w:color="auto" w:fill="auto"/>
      </w:rPr>
    </w:lvl>
    <w:lvl w:ilvl="4" w:tplc="E3BA03E0">
      <w:start w:val="1"/>
      <w:numFmt w:val="bullet"/>
      <w:lvlText w:val="o"/>
      <w:lvlJc w:val="left"/>
      <w:pPr>
        <w:ind w:left="3600" w:hanging="360"/>
        <w:jc w:val="both"/>
      </w:pPr>
      <w:rPr>
        <w:rFonts w:ascii="Courier New" w:eastAsia="Courier New" w:hAnsi="Courier New"/>
        <w:w w:val="100"/>
        <w:sz w:val="20"/>
        <w:szCs w:val="20"/>
        <w:shd w:val="clear" w:color="auto" w:fill="auto"/>
      </w:rPr>
    </w:lvl>
    <w:lvl w:ilvl="5" w:tplc="2B607CC4">
      <w:start w:val="1"/>
      <w:numFmt w:val="bullet"/>
      <w:lvlText w:val="§"/>
      <w:lvlJc w:val="left"/>
      <w:pPr>
        <w:ind w:left="4320" w:hanging="360"/>
        <w:jc w:val="both"/>
      </w:pPr>
      <w:rPr>
        <w:rFonts w:ascii="Wingdings" w:eastAsia="Wingdings" w:hAnsi="Wingdings"/>
        <w:w w:val="100"/>
        <w:sz w:val="20"/>
        <w:szCs w:val="20"/>
        <w:shd w:val="clear" w:color="auto" w:fill="auto"/>
      </w:rPr>
    </w:lvl>
    <w:lvl w:ilvl="6" w:tplc="E202FB70">
      <w:start w:val="1"/>
      <w:numFmt w:val="bullet"/>
      <w:lvlText w:val="·"/>
      <w:lvlJc w:val="left"/>
      <w:pPr>
        <w:ind w:left="5040" w:hanging="360"/>
        <w:jc w:val="both"/>
      </w:pPr>
      <w:rPr>
        <w:rFonts w:ascii="Symbol" w:eastAsia="Symbol" w:hAnsi="Symbol"/>
        <w:w w:val="100"/>
        <w:sz w:val="20"/>
        <w:szCs w:val="20"/>
        <w:shd w:val="clear" w:color="auto" w:fill="auto"/>
      </w:rPr>
    </w:lvl>
    <w:lvl w:ilvl="7" w:tplc="C0CAC1F6">
      <w:start w:val="1"/>
      <w:numFmt w:val="bullet"/>
      <w:lvlText w:val="o"/>
      <w:lvlJc w:val="left"/>
      <w:pPr>
        <w:ind w:left="5760" w:hanging="360"/>
        <w:jc w:val="both"/>
      </w:pPr>
      <w:rPr>
        <w:rFonts w:ascii="Courier New" w:eastAsia="Courier New" w:hAnsi="Courier New"/>
        <w:w w:val="100"/>
        <w:sz w:val="20"/>
        <w:szCs w:val="20"/>
        <w:shd w:val="clear" w:color="auto" w:fill="auto"/>
      </w:rPr>
    </w:lvl>
    <w:lvl w:ilvl="8" w:tplc="7DF6A798">
      <w:start w:val="1"/>
      <w:numFmt w:val="bullet"/>
      <w:lvlText w:val="§"/>
      <w:lvlJc w:val="left"/>
      <w:pPr>
        <w:ind w:left="6480" w:hanging="360"/>
        <w:jc w:val="both"/>
      </w:pPr>
      <w:rPr>
        <w:rFonts w:ascii="Wingdings" w:eastAsia="Wingdings" w:hAnsi="Wingdings"/>
        <w:w w:val="100"/>
        <w:sz w:val="20"/>
        <w:szCs w:val="20"/>
        <w:shd w:val="clear" w:color="auto" w:fill="auto"/>
      </w:rPr>
    </w:lvl>
  </w:abstractNum>
  <w:abstractNum w:abstractNumId="22"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27"/>
  </w:num>
  <w:num w:numId="4">
    <w:abstractNumId w:val="2"/>
  </w:num>
  <w:num w:numId="5">
    <w:abstractNumId w:val="26"/>
  </w:num>
  <w:num w:numId="6">
    <w:abstractNumId w:val="28"/>
  </w:num>
  <w:num w:numId="7">
    <w:abstractNumId w:val="25"/>
  </w:num>
  <w:num w:numId="8">
    <w:abstractNumId w:val="3"/>
  </w:num>
  <w:num w:numId="9">
    <w:abstractNumId w:val="24"/>
  </w:num>
  <w:num w:numId="10">
    <w:abstractNumId w:val="23"/>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3"/>
  </w:num>
  <w:num w:numId="16">
    <w:abstractNumId w:val="9"/>
  </w:num>
  <w:num w:numId="17">
    <w:abstractNumId w:val="20"/>
  </w:num>
  <w:num w:numId="18">
    <w:abstractNumId w:val="11"/>
  </w:num>
  <w:num w:numId="19">
    <w:abstractNumId w:val="12"/>
  </w:num>
  <w:num w:numId="20">
    <w:abstractNumId w:val="0"/>
  </w:num>
  <w:num w:numId="21">
    <w:abstractNumId w:val="7"/>
  </w:num>
  <w:num w:numId="22">
    <w:abstractNumId w:val="17"/>
  </w:num>
  <w:num w:numId="23">
    <w:abstractNumId w:val="5"/>
  </w:num>
  <w:num w:numId="24">
    <w:abstractNumId w:val="16"/>
  </w:num>
  <w:num w:numId="25">
    <w:abstractNumId w:val="10"/>
  </w:num>
  <w:num w:numId="26">
    <w:abstractNumId w:val="18"/>
  </w:num>
  <w:num w:numId="27">
    <w:abstractNumId w:val="6"/>
  </w:num>
  <w:num w:numId="28">
    <w:abstractNumId w:val="15"/>
  </w:num>
  <w:num w:numId="29">
    <w:abstractNumId w:val="21"/>
  </w:num>
  <w:num w:numId="30">
    <w:abstractNumId w:val="19"/>
  </w:num>
  <w:num w:numId="31">
    <w:abstractNumId w:val="8"/>
  </w:num>
  <w:num w:numId="3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1YuM5VYi/24OU72vv3o3C0iPS+YbMZx1Z9089shVxmAuHpUr+Rehtf08/jy52cp2JfZh+TvbEy3A2dLwifOuAg==" w:salt="5PH7UZMwzOvFN4b5au5C8Q=="/>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9C8"/>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3DC3"/>
    <w:rsid w:val="003A73A4"/>
    <w:rsid w:val="003B102E"/>
    <w:rsid w:val="003B4E3D"/>
    <w:rsid w:val="003C0BBE"/>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CC8"/>
    <w:rsid w:val="00462B2F"/>
    <w:rsid w:val="00465A9A"/>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D7CCC"/>
    <w:rsid w:val="005E0C59"/>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5826"/>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487B"/>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87321"/>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0DD5"/>
    <w:rsid w:val="0091457F"/>
    <w:rsid w:val="0091729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011"/>
    <w:rsid w:val="00AB22DF"/>
    <w:rsid w:val="00AB30EA"/>
    <w:rsid w:val="00AB458B"/>
    <w:rsid w:val="00AB45E4"/>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29A1"/>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35D05"/>
    <w:rsid w:val="00C40053"/>
    <w:rsid w:val="00C4294D"/>
    <w:rsid w:val="00C444C8"/>
    <w:rsid w:val="00C452DD"/>
    <w:rsid w:val="00C45856"/>
    <w:rsid w:val="00C46603"/>
    <w:rsid w:val="00C54316"/>
    <w:rsid w:val="00C55208"/>
    <w:rsid w:val="00C5527D"/>
    <w:rsid w:val="00C61B1A"/>
    <w:rsid w:val="00C62A53"/>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D7FBD"/>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738"/>
    <w:rsid w:val="00F03FA7"/>
    <w:rsid w:val="00F048EF"/>
    <w:rsid w:val="00F06AAD"/>
    <w:rsid w:val="00F146BE"/>
    <w:rsid w:val="00F22013"/>
    <w:rsid w:val="00F22356"/>
    <w:rsid w:val="00F226E0"/>
    <w:rsid w:val="00F2522F"/>
    <w:rsid w:val="00F30180"/>
    <w:rsid w:val="00F31A29"/>
    <w:rsid w:val="00F3279A"/>
    <w:rsid w:val="00F37236"/>
    <w:rsid w:val="00F41942"/>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26"/>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semiHidden/>
    <w:unhideWhenUsed/>
    <w:qFormat/>
    <w:rsid w:val="006F53E8"/>
    <w:rPr>
      <w:sz w:val="16"/>
    </w:rPr>
  </w:style>
  <w:style w:type="character" w:customStyle="1" w:styleId="FootnoteTextChar">
    <w:name w:val="Footnote Text Char"/>
    <w:basedOn w:val="DefaultParagraphFont"/>
    <w:link w:val="FootnoteText"/>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26"/>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39C8"/>
    <w:pPr>
      <w:autoSpaceDE w:val="0"/>
      <w:autoSpaceDN w:val="0"/>
      <w:spacing w:after="0" w:line="240" w:lineRule="auto"/>
    </w:pPr>
    <w:rPr>
      <w:rFonts w:ascii="Arial" w:eastAsia="Arial" w:hAnsi="Arial" w:cs="Times New Roman"/>
      <w:color w:val="000000"/>
      <w:sz w:val="24"/>
      <w:szCs w:val="24"/>
      <w:lang w:val="en-GB"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ESMA70-151-2038</_dlc_DocId>
    <TaxCatchAll xmlns="20fbe147-bbda-4e53-b6b1-7e8bbff3fe19">
      <Value>83</Value>
      <Value>13</Value>
      <Value>4</Value>
      <Value>2</Value>
      <Value>8</Value>
    </TaxCatchAll>
    <_dlc_DocIdUrl xmlns="20fbe147-bbda-4e53-b6b1-7e8bbff3fe19">
      <Url>https://sherpa.esma.europa.eu/sites/MKT/PTR/_layouts/15/DocIdRedir.aspx?ID=ESMA70-151-2038</Url>
      <Description>ESMA70-151-2038</Description>
    </_dlc_DocIdUrl>
    <Year xmlns="20fbe147-bbda-4e53-b6b1-7e8bbff3fe19">2017</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CSDs</TermName>
          <TermId xmlns="http://schemas.microsoft.com/office/infopath/2007/PartnerControls">cd41eee2-dc71-477b-8c46-a3d72bfd022f</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CSDR Guidelines</TermName>
          <TermId xmlns="http://schemas.microsoft.com/office/infopath/2007/PartnerControls">3766e6b8-c718-4d18-ace1-7788cb47febc</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c96fde18-57b6-49e7-940f-682f491fa8d9</TermId>
        </TermInfo>
      </Terms>
    </eed0a0b2ea6941718a34434e243f3d8f>
  </documentManagement>
</p:properties>
</file>

<file path=customXml/item2.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43f0c91c15a35a829cc57425f528957">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fbbb7618d4ce4afcf8cc0421086690a3"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2.xml><?xml version="1.0" encoding="utf-8"?>
<ds:datastoreItem xmlns:ds="http://schemas.openxmlformats.org/officeDocument/2006/customXml" ds:itemID="{A54BD056-B562-46C7-AD75-04305B1EF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A26CEEAE-28DE-42B7-9AB5-61290DCB8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19</TotalTime>
  <Pages>16</Pages>
  <Words>5160</Words>
  <Characters>29412</Characters>
  <Application>Microsoft Office Word</Application>
  <DocSecurity>8</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34503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Barbara Domenici</cp:lastModifiedBy>
  <cp:revision>16</cp:revision>
  <cp:lastPrinted>2017-07-24T14:47:00Z</cp:lastPrinted>
  <dcterms:created xsi:type="dcterms:W3CDTF">2018-12-21T10:43:00Z</dcterms:created>
  <dcterms:modified xsi:type="dcterms:W3CDTF">2019-02-20T13:41:00Z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2;#Restricted|187aa7e6-627f-4951-b138-6ff841dc883d</vt:lpwstr>
  </property>
  <property fmtid="{D5CDD505-2E9C-101B-9397-08002B2CF9AE}" pid="4" name="ContentTypeId">
    <vt:lpwstr>0x01010001BD15C3986B91498E0AE644B715B9EE01080087D15FE546E30B45B9BBC45FA14F869C</vt:lpwstr>
  </property>
  <property fmtid="{D5CDD505-2E9C-101B-9397-08002B2CF9AE}" pid="5" name="_dlc_DocIdItemGuid">
    <vt:lpwstr>d02b02f8-8290-4e7c-8488-477b8da5a477</vt:lpwstr>
  </property>
  <property fmtid="{D5CDD505-2E9C-101B-9397-08002B2CF9AE}" pid="6" name="DocumentType">
    <vt:lpwstr>13;#Guidelines|c96fde18-57b6-49e7-940f-682f491fa8d9</vt:lpwstr>
  </property>
  <property fmtid="{D5CDD505-2E9C-101B-9397-08002B2CF9AE}" pid="7" name="Topic">
    <vt:lpwstr>8;#CSDs|cd41eee2-dc71-477b-8c46-a3d72bfd022f</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83;#CSDR Guidelines|3766e6b8-c718-4d18-ace1-7788cb47febc</vt:lpwstr>
  </property>
</Properties>
</file>