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13195" w14:textId="77777777" w:rsidR="008C4DF3" w:rsidRPr="00DC4050" w:rsidRDefault="001A544E" w:rsidP="008C4DF3">
      <w:pPr>
        <w:jc w:val="center"/>
        <w:rPr>
          <w:rFonts w:cstheme="minorHAnsi"/>
        </w:rPr>
      </w:pPr>
      <w:r w:rsidRPr="00DC4050">
        <w:rPr>
          <w:rFonts w:cstheme="minorHAnsi"/>
          <w:noProof/>
          <w:sz w:val="20"/>
        </w:rPr>
        <w:drawing>
          <wp:inline distT="0" distB="0" distL="0" distR="0" wp14:anchorId="09AC8BCE" wp14:editId="3B7C0ADE">
            <wp:extent cx="2025336" cy="7429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025336" cy="742950"/>
                    </a:xfrm>
                    <a:prstGeom prst="rect">
                      <a:avLst/>
                    </a:prstGeom>
                  </pic:spPr>
                </pic:pic>
              </a:graphicData>
            </a:graphic>
          </wp:inline>
        </w:drawing>
      </w:r>
    </w:p>
    <w:p w14:paraId="67A5DC4F" w14:textId="77777777" w:rsidR="008C4DF3" w:rsidRPr="00DC4050" w:rsidRDefault="008C4DF3" w:rsidP="008C4DF3">
      <w:pPr>
        <w:pStyle w:val="BodyText"/>
        <w:spacing w:before="10"/>
        <w:rPr>
          <w:rFonts w:asciiTheme="minorHAnsi" w:hAnsiTheme="minorHAnsi" w:cstheme="minorHAnsi"/>
          <w:sz w:val="21"/>
        </w:rPr>
      </w:pPr>
    </w:p>
    <w:p w14:paraId="6101B723" w14:textId="699B1832" w:rsidR="008C4DF3" w:rsidRPr="00DC4050" w:rsidRDefault="008C4DF3" w:rsidP="007D0F47">
      <w:pPr>
        <w:pStyle w:val="BodyText"/>
        <w:spacing w:before="76"/>
        <w:rPr>
          <w:rFonts w:asciiTheme="minorHAnsi" w:hAnsiTheme="minorHAnsi" w:cstheme="minorHAnsi"/>
        </w:rPr>
      </w:pPr>
      <w:r w:rsidRPr="00DC4050">
        <w:rPr>
          <w:rFonts w:asciiTheme="minorHAnsi" w:hAnsiTheme="minorHAnsi" w:cstheme="minorHAnsi"/>
        </w:rPr>
        <w:t>13</w:t>
      </w:r>
      <w:r w:rsidRPr="00DC4050">
        <w:rPr>
          <w:rFonts w:asciiTheme="minorHAnsi" w:hAnsiTheme="minorHAnsi" w:cstheme="minorHAnsi"/>
          <w:vertAlign w:val="superscript"/>
        </w:rPr>
        <w:t>th</w:t>
      </w:r>
      <w:r w:rsidRPr="00DC4050">
        <w:rPr>
          <w:rFonts w:asciiTheme="minorHAnsi" w:hAnsiTheme="minorHAnsi" w:cstheme="minorHAnsi"/>
        </w:rPr>
        <w:t xml:space="preserve"> February 2019</w:t>
      </w:r>
    </w:p>
    <w:p w14:paraId="19DB9DE6" w14:textId="77777777" w:rsidR="008C4DF3" w:rsidRPr="00DC4050" w:rsidRDefault="008C4DF3" w:rsidP="007D0F47">
      <w:pPr>
        <w:pStyle w:val="BodyText"/>
        <w:rPr>
          <w:rFonts w:asciiTheme="minorHAnsi" w:hAnsiTheme="minorHAnsi" w:cstheme="minorHAnsi"/>
          <w:sz w:val="24"/>
        </w:rPr>
      </w:pPr>
    </w:p>
    <w:p w14:paraId="0E125248" w14:textId="77777777" w:rsidR="008C4DF3" w:rsidRPr="00DC4050" w:rsidRDefault="008C4DF3" w:rsidP="007D0F47">
      <w:pPr>
        <w:pStyle w:val="BodyText"/>
        <w:spacing w:before="6"/>
        <w:rPr>
          <w:rFonts w:asciiTheme="minorHAnsi" w:hAnsiTheme="minorHAnsi" w:cstheme="minorHAnsi"/>
          <w:sz w:val="25"/>
        </w:rPr>
      </w:pPr>
    </w:p>
    <w:p w14:paraId="3C223DDA" w14:textId="3E9C314B" w:rsidR="008C4DF3" w:rsidRPr="00DC4050" w:rsidRDefault="008C4DF3" w:rsidP="007D0F47">
      <w:pPr>
        <w:pStyle w:val="BodyText"/>
        <w:ind w:right="4064"/>
        <w:rPr>
          <w:rFonts w:asciiTheme="minorHAnsi" w:hAnsiTheme="minorHAnsi" w:cstheme="minorHAnsi"/>
        </w:rPr>
      </w:pPr>
      <w:r w:rsidRPr="00DC4050">
        <w:rPr>
          <w:rFonts w:asciiTheme="minorHAnsi" w:hAnsiTheme="minorHAnsi" w:cstheme="minorHAnsi"/>
        </w:rPr>
        <w:t xml:space="preserve">European Securities and Markets Authority </w:t>
      </w:r>
    </w:p>
    <w:p w14:paraId="6FEB495A" w14:textId="1820C495" w:rsidR="008C4DF3" w:rsidRPr="00DC4050" w:rsidRDefault="008C4DF3" w:rsidP="007D0F47">
      <w:pPr>
        <w:pStyle w:val="BodyText"/>
        <w:ind w:right="4064"/>
        <w:rPr>
          <w:rFonts w:asciiTheme="minorHAnsi" w:hAnsiTheme="minorHAnsi" w:cstheme="minorHAnsi"/>
        </w:rPr>
      </w:pPr>
      <w:r w:rsidRPr="00DC4050">
        <w:rPr>
          <w:rFonts w:asciiTheme="minorHAnsi" w:hAnsiTheme="minorHAnsi" w:cstheme="minorHAnsi"/>
        </w:rPr>
        <w:t xml:space="preserve">103 rue de </w:t>
      </w:r>
      <w:proofErr w:type="spellStart"/>
      <w:r w:rsidRPr="00DC4050">
        <w:rPr>
          <w:rFonts w:asciiTheme="minorHAnsi" w:hAnsiTheme="minorHAnsi" w:cstheme="minorHAnsi"/>
        </w:rPr>
        <w:t>Grenelle</w:t>
      </w:r>
      <w:proofErr w:type="spellEnd"/>
    </w:p>
    <w:p w14:paraId="3A6411BB" w14:textId="77777777" w:rsidR="00C82DF4" w:rsidRDefault="008C4DF3" w:rsidP="007D0F47">
      <w:pPr>
        <w:pStyle w:val="BodyText"/>
        <w:ind w:right="4064"/>
        <w:rPr>
          <w:rFonts w:asciiTheme="minorHAnsi" w:hAnsiTheme="minorHAnsi" w:cstheme="minorHAnsi"/>
        </w:rPr>
      </w:pPr>
      <w:r w:rsidRPr="00DC4050">
        <w:rPr>
          <w:rFonts w:asciiTheme="minorHAnsi" w:hAnsiTheme="minorHAnsi" w:cstheme="minorHAnsi"/>
        </w:rPr>
        <w:t xml:space="preserve">75345 Paris </w:t>
      </w:r>
    </w:p>
    <w:p w14:paraId="306A008D" w14:textId="19E67D5D" w:rsidR="008C4DF3" w:rsidRPr="00DC4050" w:rsidRDefault="008C4DF3" w:rsidP="007D0F47">
      <w:pPr>
        <w:pStyle w:val="BodyText"/>
        <w:ind w:right="4064"/>
        <w:rPr>
          <w:rFonts w:asciiTheme="minorHAnsi" w:hAnsiTheme="minorHAnsi" w:cstheme="minorHAnsi"/>
        </w:rPr>
      </w:pPr>
      <w:r w:rsidRPr="00DC4050">
        <w:rPr>
          <w:rFonts w:asciiTheme="minorHAnsi" w:hAnsiTheme="minorHAnsi" w:cstheme="minorHAnsi"/>
        </w:rPr>
        <w:t>France</w:t>
      </w:r>
    </w:p>
    <w:p w14:paraId="6DA3E8A0" w14:textId="2C090E93" w:rsidR="008C4DF3" w:rsidRDefault="008C4DF3" w:rsidP="008C4DF3">
      <w:pPr>
        <w:pStyle w:val="BodyText"/>
        <w:rPr>
          <w:rFonts w:asciiTheme="minorHAnsi" w:hAnsiTheme="minorHAnsi" w:cstheme="minorHAnsi"/>
        </w:rPr>
      </w:pPr>
    </w:p>
    <w:p w14:paraId="7280D67F" w14:textId="77777777" w:rsidR="00C82DF4" w:rsidRPr="00DC4050" w:rsidRDefault="00C82DF4" w:rsidP="008C4DF3">
      <w:pPr>
        <w:pStyle w:val="BodyText"/>
        <w:rPr>
          <w:rFonts w:asciiTheme="minorHAnsi" w:hAnsiTheme="minorHAnsi" w:cstheme="minorHAnsi"/>
        </w:rPr>
      </w:pPr>
    </w:p>
    <w:p w14:paraId="5519195D" w14:textId="3B395DA3" w:rsidR="008C4DF3" w:rsidRDefault="008C4DF3" w:rsidP="007D0F47">
      <w:pPr>
        <w:pStyle w:val="BodyText"/>
        <w:rPr>
          <w:rFonts w:asciiTheme="minorHAnsi" w:hAnsiTheme="minorHAnsi" w:cstheme="minorHAnsi"/>
          <w:b/>
        </w:rPr>
      </w:pPr>
    </w:p>
    <w:p w14:paraId="22CA1959" w14:textId="77777777" w:rsidR="007D0F47" w:rsidRPr="007D0F47" w:rsidRDefault="007D0F47" w:rsidP="007D0F47">
      <w:pPr>
        <w:pStyle w:val="BodyText"/>
        <w:rPr>
          <w:rFonts w:asciiTheme="minorHAnsi" w:hAnsiTheme="minorHAnsi" w:cstheme="minorHAnsi"/>
          <w:b/>
        </w:rPr>
      </w:pPr>
    </w:p>
    <w:p w14:paraId="19609109" w14:textId="7DC04B63" w:rsidR="008C4DF3" w:rsidRPr="00C82DF4" w:rsidRDefault="008C4DF3" w:rsidP="008C4DF3">
      <w:pPr>
        <w:ind w:right="221"/>
        <w:jc w:val="both"/>
        <w:rPr>
          <w:rFonts w:cstheme="minorHAnsi"/>
          <w:b/>
        </w:rPr>
      </w:pPr>
      <w:r w:rsidRPr="00C82DF4">
        <w:rPr>
          <w:rFonts w:cstheme="minorHAnsi"/>
          <w:b/>
        </w:rPr>
        <w:t>Draft guidelines on the reporting to competent authorities under article 37 of the MMF Regulation (ESMA 34-49-144, 13 November 2018)</w:t>
      </w:r>
    </w:p>
    <w:p w14:paraId="28A8C1FD" w14:textId="77777777" w:rsidR="008C4DF3" w:rsidRPr="007D0F47" w:rsidRDefault="008C4DF3" w:rsidP="008C4DF3">
      <w:pPr>
        <w:pStyle w:val="BodyText"/>
        <w:rPr>
          <w:rFonts w:asciiTheme="minorHAnsi" w:hAnsiTheme="minorHAnsi" w:cstheme="minorHAnsi"/>
          <w:b/>
        </w:rPr>
      </w:pPr>
    </w:p>
    <w:p w14:paraId="0728CEB3" w14:textId="77777777" w:rsidR="008C4DF3" w:rsidRPr="00C82DF4" w:rsidRDefault="008C4DF3" w:rsidP="007D0F47">
      <w:pPr>
        <w:spacing w:line="240" w:lineRule="auto"/>
        <w:ind w:right="221"/>
        <w:jc w:val="both"/>
        <w:rPr>
          <w:rFonts w:cstheme="minorHAnsi"/>
        </w:rPr>
      </w:pPr>
      <w:r w:rsidRPr="00C82DF4">
        <w:rPr>
          <w:rFonts w:cstheme="minorHAnsi"/>
        </w:rPr>
        <w:t>The</w:t>
      </w:r>
      <w:r w:rsidRPr="00C82DF4">
        <w:rPr>
          <w:rFonts w:cstheme="minorHAnsi"/>
          <w:spacing w:val="-16"/>
        </w:rPr>
        <w:t xml:space="preserve"> </w:t>
      </w:r>
      <w:r w:rsidRPr="00C82DF4">
        <w:rPr>
          <w:rFonts w:cstheme="minorHAnsi"/>
        </w:rPr>
        <w:t>Institutional</w:t>
      </w:r>
      <w:r w:rsidRPr="00C82DF4">
        <w:rPr>
          <w:rFonts w:cstheme="minorHAnsi"/>
          <w:spacing w:val="-14"/>
        </w:rPr>
        <w:t xml:space="preserve"> </w:t>
      </w:r>
      <w:r w:rsidRPr="00C82DF4">
        <w:rPr>
          <w:rFonts w:cstheme="minorHAnsi"/>
        </w:rPr>
        <w:t>Money</w:t>
      </w:r>
      <w:r w:rsidRPr="00C82DF4">
        <w:rPr>
          <w:rFonts w:cstheme="minorHAnsi"/>
          <w:spacing w:val="-14"/>
        </w:rPr>
        <w:t xml:space="preserve"> </w:t>
      </w:r>
      <w:r w:rsidRPr="00C82DF4">
        <w:rPr>
          <w:rFonts w:cstheme="minorHAnsi"/>
        </w:rPr>
        <w:t>Market</w:t>
      </w:r>
      <w:r w:rsidRPr="00C82DF4">
        <w:rPr>
          <w:rFonts w:cstheme="minorHAnsi"/>
          <w:spacing w:val="-14"/>
        </w:rPr>
        <w:t xml:space="preserve"> </w:t>
      </w:r>
      <w:r w:rsidRPr="00C82DF4">
        <w:rPr>
          <w:rFonts w:cstheme="minorHAnsi"/>
        </w:rPr>
        <w:t>Funds</w:t>
      </w:r>
      <w:r w:rsidRPr="00C82DF4">
        <w:rPr>
          <w:rFonts w:cstheme="minorHAnsi"/>
          <w:spacing w:val="-15"/>
        </w:rPr>
        <w:t xml:space="preserve"> </w:t>
      </w:r>
      <w:r w:rsidRPr="00C82DF4">
        <w:rPr>
          <w:rFonts w:cstheme="minorHAnsi"/>
        </w:rPr>
        <w:t>Association</w:t>
      </w:r>
      <w:r w:rsidRPr="00C82DF4">
        <w:rPr>
          <w:rFonts w:cstheme="minorHAnsi"/>
          <w:spacing w:val="-15"/>
        </w:rPr>
        <w:t xml:space="preserve"> </w:t>
      </w:r>
      <w:r w:rsidRPr="00C82DF4">
        <w:rPr>
          <w:rFonts w:cstheme="minorHAnsi"/>
        </w:rPr>
        <w:t>Ltd</w:t>
      </w:r>
      <w:r w:rsidRPr="00C82DF4">
        <w:rPr>
          <w:rFonts w:cstheme="minorHAnsi"/>
          <w:spacing w:val="-15"/>
        </w:rPr>
        <w:t xml:space="preserve"> </w:t>
      </w:r>
      <w:r w:rsidRPr="00C82DF4">
        <w:rPr>
          <w:rFonts w:cstheme="minorHAnsi"/>
        </w:rPr>
        <w:t>(“IMMFA”)</w:t>
      </w:r>
      <w:r w:rsidRPr="00C82DF4">
        <w:rPr>
          <w:rFonts w:cstheme="minorHAnsi"/>
          <w:spacing w:val="-13"/>
        </w:rPr>
        <w:t xml:space="preserve"> </w:t>
      </w:r>
      <w:r w:rsidRPr="00C82DF4">
        <w:rPr>
          <w:rFonts w:cstheme="minorHAnsi"/>
        </w:rPr>
        <w:t>is</w:t>
      </w:r>
      <w:r w:rsidRPr="00C82DF4">
        <w:rPr>
          <w:rFonts w:cstheme="minorHAnsi"/>
          <w:spacing w:val="-15"/>
        </w:rPr>
        <w:t xml:space="preserve"> </w:t>
      </w:r>
      <w:r w:rsidRPr="00C82DF4">
        <w:rPr>
          <w:rFonts w:cstheme="minorHAnsi"/>
        </w:rPr>
        <w:t>pleased</w:t>
      </w:r>
      <w:r w:rsidRPr="00C82DF4">
        <w:rPr>
          <w:rFonts w:cstheme="minorHAnsi"/>
          <w:spacing w:val="-15"/>
        </w:rPr>
        <w:t xml:space="preserve"> </w:t>
      </w:r>
      <w:r w:rsidRPr="00C82DF4">
        <w:rPr>
          <w:rFonts w:cstheme="minorHAnsi"/>
        </w:rPr>
        <w:t>to</w:t>
      </w:r>
      <w:r w:rsidRPr="00C82DF4">
        <w:rPr>
          <w:rFonts w:cstheme="minorHAnsi"/>
          <w:spacing w:val="-14"/>
        </w:rPr>
        <w:t xml:space="preserve"> </w:t>
      </w:r>
      <w:r w:rsidRPr="00C82DF4">
        <w:rPr>
          <w:rFonts w:cstheme="minorHAnsi"/>
        </w:rPr>
        <w:t>submit</w:t>
      </w:r>
      <w:r w:rsidRPr="00C82DF4">
        <w:rPr>
          <w:rFonts w:cstheme="minorHAnsi"/>
          <w:spacing w:val="-16"/>
        </w:rPr>
        <w:t xml:space="preserve"> </w:t>
      </w:r>
      <w:r w:rsidRPr="00C82DF4">
        <w:rPr>
          <w:rFonts w:cstheme="minorHAnsi"/>
        </w:rPr>
        <w:t>its</w:t>
      </w:r>
      <w:r w:rsidRPr="00C82DF4">
        <w:rPr>
          <w:rFonts w:cstheme="minorHAnsi"/>
          <w:spacing w:val="-15"/>
        </w:rPr>
        <w:t xml:space="preserve"> </w:t>
      </w:r>
      <w:r w:rsidRPr="00C82DF4">
        <w:rPr>
          <w:rFonts w:cstheme="minorHAnsi"/>
        </w:rPr>
        <w:t>comments on</w:t>
      </w:r>
      <w:r w:rsidRPr="00C82DF4">
        <w:rPr>
          <w:rFonts w:cstheme="minorHAnsi"/>
          <w:spacing w:val="-11"/>
        </w:rPr>
        <w:t xml:space="preserve"> </w:t>
      </w:r>
      <w:r w:rsidRPr="00C82DF4">
        <w:rPr>
          <w:rFonts w:cstheme="minorHAnsi"/>
        </w:rPr>
        <w:t>the</w:t>
      </w:r>
      <w:r w:rsidRPr="00C82DF4">
        <w:rPr>
          <w:rFonts w:cstheme="minorHAnsi"/>
          <w:spacing w:val="-11"/>
        </w:rPr>
        <w:t xml:space="preserve"> </w:t>
      </w:r>
      <w:r w:rsidRPr="00C82DF4">
        <w:rPr>
          <w:rFonts w:cstheme="minorHAnsi"/>
        </w:rPr>
        <w:t>ESMA</w:t>
      </w:r>
      <w:r w:rsidRPr="00C82DF4">
        <w:rPr>
          <w:rFonts w:cstheme="minorHAnsi"/>
          <w:spacing w:val="-11"/>
        </w:rPr>
        <w:t xml:space="preserve"> </w:t>
      </w:r>
      <w:r w:rsidRPr="00C82DF4">
        <w:rPr>
          <w:rFonts w:cstheme="minorHAnsi"/>
        </w:rPr>
        <w:t>Consultation</w:t>
      </w:r>
      <w:r w:rsidRPr="00C82DF4">
        <w:rPr>
          <w:rFonts w:cstheme="minorHAnsi"/>
          <w:spacing w:val="-11"/>
        </w:rPr>
        <w:t xml:space="preserve"> </w:t>
      </w:r>
      <w:r w:rsidRPr="00C82DF4">
        <w:rPr>
          <w:rFonts w:cstheme="minorHAnsi"/>
        </w:rPr>
        <w:t>Paper</w:t>
      </w:r>
      <w:r w:rsidRPr="00C82DF4">
        <w:rPr>
          <w:rFonts w:cstheme="minorHAnsi"/>
          <w:spacing w:val="-10"/>
        </w:rPr>
        <w:t xml:space="preserve"> </w:t>
      </w:r>
      <w:r w:rsidRPr="00C82DF4">
        <w:rPr>
          <w:rFonts w:cstheme="minorHAnsi"/>
        </w:rPr>
        <w:t>on</w:t>
      </w:r>
      <w:r w:rsidRPr="00C82DF4">
        <w:rPr>
          <w:rFonts w:cstheme="minorHAnsi"/>
          <w:spacing w:val="-11"/>
        </w:rPr>
        <w:t xml:space="preserve"> </w:t>
      </w:r>
      <w:r w:rsidRPr="00C82DF4">
        <w:rPr>
          <w:rFonts w:cstheme="minorHAnsi"/>
        </w:rPr>
        <w:t>Draft guidelines on the reporting to competent authorities under article 37 of the MMF Regulation (ESMA 34-49-144, 13 November 2018)</w:t>
      </w:r>
    </w:p>
    <w:p w14:paraId="69CD8AB5" w14:textId="3728177F" w:rsidR="008C4DF3" w:rsidRPr="00DC4050" w:rsidRDefault="008C4DF3" w:rsidP="007D0F47">
      <w:pPr>
        <w:spacing w:line="240" w:lineRule="auto"/>
        <w:ind w:right="221"/>
        <w:jc w:val="both"/>
        <w:rPr>
          <w:rFonts w:cstheme="minorHAnsi"/>
        </w:rPr>
      </w:pPr>
      <w:r w:rsidRPr="00DC4050">
        <w:rPr>
          <w:rFonts w:cstheme="minorHAnsi"/>
        </w:rPr>
        <w:t>IMMFA represents the European institutional money market fund industry that manages and promotes investment funds regulated by the MMF Regulation. All IMMFA members’ funds are UCITS</w:t>
      </w:r>
      <w:r w:rsidRPr="007D0F47">
        <w:rPr>
          <w:rFonts w:cstheme="minorHAnsi"/>
        </w:rPr>
        <w:t xml:space="preserve"> </w:t>
      </w:r>
      <w:r w:rsidRPr="00DC4050">
        <w:rPr>
          <w:rFonts w:cstheme="minorHAnsi"/>
        </w:rPr>
        <w:t>and</w:t>
      </w:r>
      <w:r w:rsidRPr="007D0F47">
        <w:rPr>
          <w:rFonts w:cstheme="minorHAnsi"/>
        </w:rPr>
        <w:t xml:space="preserve"> </w:t>
      </w:r>
      <w:r w:rsidRPr="00DC4050">
        <w:rPr>
          <w:rFonts w:cstheme="minorHAnsi"/>
        </w:rPr>
        <w:t>predominantly</w:t>
      </w:r>
      <w:r w:rsidRPr="007D0F47">
        <w:rPr>
          <w:rFonts w:cstheme="minorHAnsi"/>
        </w:rPr>
        <w:t xml:space="preserve"> </w:t>
      </w:r>
      <w:r w:rsidRPr="00DC4050">
        <w:rPr>
          <w:rFonts w:cstheme="minorHAnsi"/>
        </w:rPr>
        <w:t>Short‐term</w:t>
      </w:r>
      <w:r w:rsidRPr="007D0F47">
        <w:rPr>
          <w:rFonts w:cstheme="minorHAnsi"/>
        </w:rPr>
        <w:t xml:space="preserve"> </w:t>
      </w:r>
      <w:r w:rsidRPr="00DC4050">
        <w:rPr>
          <w:rFonts w:cstheme="minorHAnsi"/>
        </w:rPr>
        <w:t>money</w:t>
      </w:r>
      <w:r w:rsidRPr="007D0F47">
        <w:rPr>
          <w:rFonts w:cstheme="minorHAnsi"/>
        </w:rPr>
        <w:t xml:space="preserve"> </w:t>
      </w:r>
      <w:r w:rsidRPr="00DC4050">
        <w:rPr>
          <w:rFonts w:cstheme="minorHAnsi"/>
        </w:rPr>
        <w:t>market</w:t>
      </w:r>
      <w:r w:rsidRPr="007D0F47">
        <w:rPr>
          <w:rFonts w:cstheme="minorHAnsi"/>
        </w:rPr>
        <w:t xml:space="preserve"> </w:t>
      </w:r>
      <w:r w:rsidRPr="00DC4050">
        <w:rPr>
          <w:rFonts w:cstheme="minorHAnsi"/>
        </w:rPr>
        <w:t xml:space="preserve">funds. </w:t>
      </w:r>
      <w:r w:rsidR="007D0F47">
        <w:rPr>
          <w:rFonts w:cstheme="minorHAnsi"/>
        </w:rPr>
        <w:t xml:space="preserve"> </w:t>
      </w:r>
      <w:r w:rsidRPr="00DC4050">
        <w:rPr>
          <w:rFonts w:cstheme="minorHAnsi"/>
        </w:rPr>
        <w:t>All but one is domiciled in Luxembourg or the Republic of Ireland (there is one UK</w:t>
      </w:r>
      <w:r w:rsidRPr="007D0F47">
        <w:rPr>
          <w:rFonts w:cstheme="minorHAnsi"/>
        </w:rPr>
        <w:t xml:space="preserve"> </w:t>
      </w:r>
      <w:r w:rsidRPr="00DC4050">
        <w:rPr>
          <w:rFonts w:cstheme="minorHAnsi"/>
        </w:rPr>
        <w:t>fund).</w:t>
      </w:r>
    </w:p>
    <w:p w14:paraId="55AA3D17" w14:textId="7AA2F6D6" w:rsidR="008C4DF3" w:rsidRPr="00DC4050" w:rsidRDefault="008C4DF3" w:rsidP="007D0F47">
      <w:pPr>
        <w:spacing w:line="240" w:lineRule="auto"/>
        <w:ind w:right="221"/>
        <w:jc w:val="both"/>
        <w:rPr>
          <w:rFonts w:cstheme="minorHAnsi"/>
        </w:rPr>
      </w:pPr>
      <w:r w:rsidRPr="00DC4050">
        <w:rPr>
          <w:rFonts w:cstheme="minorHAnsi"/>
        </w:rPr>
        <w:t xml:space="preserve">Funds under management for IMMFA members’ money market funds currently total €648 billion. A list of members may be found at </w:t>
      </w:r>
      <w:hyperlink r:id="rId9">
        <w:r w:rsidRPr="007D0F47">
          <w:rPr>
            <w:rFonts w:cstheme="minorHAnsi"/>
          </w:rPr>
          <w:t>www.immfa.org</w:t>
        </w:r>
      </w:hyperlink>
    </w:p>
    <w:p w14:paraId="7EF67FFB" w14:textId="4C8D62E8" w:rsidR="008C4DF3" w:rsidRPr="007D0F47" w:rsidRDefault="007D0F47" w:rsidP="007D0F47">
      <w:pPr>
        <w:spacing w:line="240" w:lineRule="auto"/>
        <w:ind w:right="221"/>
        <w:jc w:val="both"/>
        <w:rPr>
          <w:rFonts w:cstheme="minorHAnsi"/>
        </w:rPr>
      </w:pPr>
      <w:r>
        <w:rPr>
          <w:rFonts w:cstheme="minorHAnsi"/>
        </w:rPr>
        <w:t>The consultation is seeking to further clarify the content of a template which has already been published, so accordingly many of our responses are brief.</w:t>
      </w:r>
    </w:p>
    <w:p w14:paraId="6BC60B89" w14:textId="77777777" w:rsidR="008C4DF3" w:rsidRPr="00DC4050" w:rsidRDefault="008C4DF3" w:rsidP="007D0F47">
      <w:pPr>
        <w:pStyle w:val="Heading1"/>
        <w:spacing w:before="55"/>
        <w:ind w:left="0"/>
        <w:rPr>
          <w:rFonts w:asciiTheme="minorHAnsi" w:hAnsiTheme="minorHAnsi" w:cstheme="minorHAnsi"/>
        </w:rPr>
      </w:pPr>
      <w:r w:rsidRPr="00DC4050">
        <w:rPr>
          <w:rFonts w:asciiTheme="minorHAnsi" w:hAnsiTheme="minorHAnsi" w:cstheme="minorHAnsi"/>
        </w:rPr>
        <w:t>Summary of major points in the response</w:t>
      </w:r>
    </w:p>
    <w:p w14:paraId="12824130" w14:textId="0AC944BD" w:rsidR="00472502" w:rsidRDefault="00472502" w:rsidP="00984696">
      <w:pPr>
        <w:pStyle w:val="ListParagraph"/>
        <w:widowControl w:val="0"/>
        <w:numPr>
          <w:ilvl w:val="0"/>
          <w:numId w:val="2"/>
        </w:numPr>
        <w:tabs>
          <w:tab w:val="left" w:pos="949"/>
        </w:tabs>
        <w:autoSpaceDE w:val="0"/>
        <w:autoSpaceDN w:val="0"/>
        <w:spacing w:before="120" w:after="0" w:line="240" w:lineRule="auto"/>
        <w:ind w:right="222"/>
        <w:contextualSpacing w:val="0"/>
        <w:jc w:val="both"/>
        <w:rPr>
          <w:rFonts w:cstheme="minorHAnsi"/>
        </w:rPr>
      </w:pPr>
      <w:r w:rsidRPr="00DC4050">
        <w:rPr>
          <w:rFonts w:cstheme="minorHAnsi"/>
        </w:rPr>
        <w:t>Performance volatility</w:t>
      </w:r>
    </w:p>
    <w:p w14:paraId="5AE104D8" w14:textId="1DC2F722" w:rsidR="00AC10F2" w:rsidRPr="00AC10F2" w:rsidRDefault="00AC10F2" w:rsidP="00984696">
      <w:pPr>
        <w:pStyle w:val="ListParagraph"/>
        <w:ind w:left="948"/>
        <w:jc w:val="both"/>
        <w:rPr>
          <w:rFonts w:cstheme="minorHAnsi"/>
        </w:rPr>
      </w:pPr>
      <w:r w:rsidRPr="00AC10F2">
        <w:rPr>
          <w:rFonts w:cstheme="minorHAnsi"/>
        </w:rPr>
        <w:t xml:space="preserve">We </w:t>
      </w:r>
      <w:r>
        <w:rPr>
          <w:rFonts w:cstheme="minorHAnsi"/>
        </w:rPr>
        <w:t xml:space="preserve">believe </w:t>
      </w:r>
      <w:r w:rsidRPr="00AC10F2">
        <w:rPr>
          <w:rFonts w:cstheme="minorHAnsi"/>
        </w:rPr>
        <w:t xml:space="preserve">very strongly that this requirement should extend to all types of MMF permitted under the regulation, and it is not clear from the way that the document is framed that it does so currently. </w:t>
      </w:r>
    </w:p>
    <w:p w14:paraId="0583AD70" w14:textId="77777777" w:rsidR="00AC10F2" w:rsidRPr="00AC10F2" w:rsidRDefault="00AC10F2" w:rsidP="00984696">
      <w:pPr>
        <w:pStyle w:val="ListParagraph"/>
        <w:ind w:left="948"/>
        <w:jc w:val="both"/>
        <w:rPr>
          <w:rFonts w:cstheme="minorHAnsi"/>
        </w:rPr>
      </w:pPr>
      <w:r w:rsidRPr="00AC10F2">
        <w:rPr>
          <w:rFonts w:cstheme="minorHAnsi"/>
        </w:rPr>
        <w:t>It is difficult to comment on the formula in the absence of a definition for ‘return’.  We advocate the adoption of a parallel approach to the US regulation 2a7 which requires a hypothetical yield and a NAV to be reported.  The portfolio volatility could then be based on the variation of the NAV.  We note that reporting the portfolio volatility is also highly relevant for VNAV funds of both the standard and short-term varieties, whose investors have a very particular requirement to be able to attribute ‘performance’ to capital and revenue impacts.</w:t>
      </w:r>
    </w:p>
    <w:p w14:paraId="665EB8B6" w14:textId="77777777" w:rsidR="00AC10F2" w:rsidRPr="00DC4050" w:rsidRDefault="00AC10F2" w:rsidP="00984696">
      <w:pPr>
        <w:pStyle w:val="ListParagraph"/>
        <w:widowControl w:val="0"/>
        <w:tabs>
          <w:tab w:val="left" w:pos="949"/>
        </w:tabs>
        <w:autoSpaceDE w:val="0"/>
        <w:autoSpaceDN w:val="0"/>
        <w:spacing w:before="120" w:after="0" w:line="240" w:lineRule="auto"/>
        <w:ind w:left="948" w:right="222"/>
        <w:contextualSpacing w:val="0"/>
        <w:jc w:val="both"/>
        <w:rPr>
          <w:rFonts w:cstheme="minorHAnsi"/>
        </w:rPr>
      </w:pPr>
    </w:p>
    <w:p w14:paraId="0C0139A8" w14:textId="77777777" w:rsidR="00984696" w:rsidRDefault="00984696">
      <w:pPr>
        <w:rPr>
          <w:rFonts w:cstheme="minorHAnsi"/>
        </w:rPr>
      </w:pPr>
      <w:r>
        <w:rPr>
          <w:rFonts w:cstheme="minorHAnsi"/>
        </w:rPr>
        <w:br w:type="page"/>
      </w:r>
    </w:p>
    <w:p w14:paraId="730D1FDB" w14:textId="4A1B14FE" w:rsidR="00472502" w:rsidRPr="00DC4050" w:rsidRDefault="00472502" w:rsidP="00984696">
      <w:pPr>
        <w:pStyle w:val="ListParagraph"/>
        <w:widowControl w:val="0"/>
        <w:numPr>
          <w:ilvl w:val="0"/>
          <w:numId w:val="2"/>
        </w:numPr>
        <w:tabs>
          <w:tab w:val="left" w:pos="949"/>
        </w:tabs>
        <w:autoSpaceDE w:val="0"/>
        <w:autoSpaceDN w:val="0"/>
        <w:spacing w:before="120" w:after="0" w:line="240" w:lineRule="auto"/>
        <w:ind w:right="222"/>
        <w:contextualSpacing w:val="0"/>
        <w:jc w:val="both"/>
        <w:rPr>
          <w:rFonts w:cstheme="minorHAnsi"/>
        </w:rPr>
      </w:pPr>
      <w:r w:rsidRPr="00DC4050">
        <w:rPr>
          <w:rFonts w:cstheme="minorHAnsi"/>
        </w:rPr>
        <w:lastRenderedPageBreak/>
        <w:t>Quarter end reporting and stress testing days</w:t>
      </w:r>
    </w:p>
    <w:p w14:paraId="558970AF" w14:textId="7CCF2627" w:rsidR="00AC10F2" w:rsidRPr="00AC10F2" w:rsidRDefault="00AC10F2" w:rsidP="00984696">
      <w:pPr>
        <w:pStyle w:val="ListParagraph"/>
        <w:ind w:left="948"/>
        <w:jc w:val="both"/>
        <w:rPr>
          <w:rFonts w:cstheme="minorHAnsi"/>
        </w:rPr>
      </w:pPr>
      <w:r w:rsidRPr="00AC10F2">
        <w:rPr>
          <w:rFonts w:cstheme="minorHAnsi"/>
        </w:rPr>
        <w:t xml:space="preserve">The TARGET reporting dates at quarter ends are the most atypical portfolio composition days for MMFs.  Stress testing at these dates will produce results which are not generally representative of the </w:t>
      </w:r>
      <w:r w:rsidR="00984696">
        <w:rPr>
          <w:rFonts w:cstheme="minorHAnsi"/>
        </w:rPr>
        <w:t xml:space="preserve">business of the </w:t>
      </w:r>
      <w:r w:rsidRPr="00AC10F2">
        <w:rPr>
          <w:rFonts w:cstheme="minorHAnsi"/>
        </w:rPr>
        <w:t>MMF.</w:t>
      </w:r>
    </w:p>
    <w:p w14:paraId="2FB147EA" w14:textId="3F20988D" w:rsidR="00472502" w:rsidRPr="00DC4050" w:rsidRDefault="00472502" w:rsidP="00984696">
      <w:pPr>
        <w:jc w:val="both"/>
        <w:rPr>
          <w:rFonts w:cstheme="minorHAnsi"/>
        </w:rPr>
      </w:pPr>
    </w:p>
    <w:p w14:paraId="60892A12" w14:textId="77777777" w:rsidR="00472502" w:rsidRPr="00DC4050" w:rsidRDefault="00472502" w:rsidP="00984696">
      <w:pPr>
        <w:jc w:val="both"/>
        <w:rPr>
          <w:rFonts w:cstheme="minorHAnsi"/>
        </w:rPr>
      </w:pPr>
    </w:p>
    <w:tbl>
      <w:tblPr>
        <w:tblStyle w:val="TableGrid"/>
        <w:tblW w:w="0" w:type="auto"/>
        <w:tblLook w:val="04A0" w:firstRow="1" w:lastRow="0" w:firstColumn="1" w:lastColumn="0" w:noHBand="0" w:noVBand="1"/>
      </w:tblPr>
      <w:tblGrid>
        <w:gridCol w:w="9016"/>
      </w:tblGrid>
      <w:tr w:rsidR="00FB2D4D" w:rsidRPr="00E511B2" w14:paraId="735F4D53" w14:textId="77777777" w:rsidTr="00E511B2">
        <w:tc>
          <w:tcPr>
            <w:tcW w:w="9016" w:type="dxa"/>
            <w:shd w:val="clear" w:color="auto" w:fill="00ABC9"/>
          </w:tcPr>
          <w:p w14:paraId="6C617F58" w14:textId="7903F931" w:rsidR="00FB2D4D" w:rsidRPr="00DC4050" w:rsidRDefault="00FB2D4D" w:rsidP="00984696">
            <w:pPr>
              <w:jc w:val="both"/>
              <w:rPr>
                <w:rFonts w:cstheme="minorHAnsi"/>
              </w:rPr>
            </w:pPr>
            <w:r w:rsidRPr="00DC4050">
              <w:rPr>
                <w:rFonts w:cstheme="minorHAnsi"/>
              </w:rPr>
              <w:t xml:space="preserve">Q1 Are you of the view that there could be merits for managers of MMFs subject to yearly reporting in accordance with article 37(1) of the MMF Regulation to report on a quarterly basis so that their corresponding operational process is less burdensome?11 </w:t>
            </w:r>
          </w:p>
        </w:tc>
      </w:tr>
      <w:tr w:rsidR="00FB2D4D" w:rsidRPr="00DC4050" w14:paraId="1C76F2E6" w14:textId="77777777" w:rsidTr="00FB2D4D">
        <w:tc>
          <w:tcPr>
            <w:tcW w:w="9016" w:type="dxa"/>
          </w:tcPr>
          <w:p w14:paraId="2A265AD2" w14:textId="36A4FE8C" w:rsidR="00472502" w:rsidRPr="00DC4050" w:rsidRDefault="00093261" w:rsidP="00984696">
            <w:pPr>
              <w:spacing w:before="120" w:after="360"/>
              <w:jc w:val="both"/>
              <w:rPr>
                <w:rFonts w:cstheme="minorHAnsi"/>
              </w:rPr>
            </w:pPr>
            <w:r w:rsidRPr="00DC4050">
              <w:rPr>
                <w:rFonts w:cstheme="minorHAnsi"/>
              </w:rPr>
              <w:t>Yes</w:t>
            </w:r>
          </w:p>
        </w:tc>
      </w:tr>
      <w:tr w:rsidR="00FB2D4D" w:rsidRPr="00E511B2" w14:paraId="33AF04EF" w14:textId="77777777" w:rsidTr="00E511B2">
        <w:tc>
          <w:tcPr>
            <w:tcW w:w="9016" w:type="dxa"/>
            <w:shd w:val="clear" w:color="auto" w:fill="00ABC9"/>
          </w:tcPr>
          <w:p w14:paraId="1A511568" w14:textId="48B11936" w:rsidR="00FB2D4D" w:rsidRPr="00DC4050" w:rsidRDefault="00FB2D4D" w:rsidP="00984696">
            <w:pPr>
              <w:jc w:val="both"/>
              <w:rPr>
                <w:rFonts w:cstheme="minorHAnsi"/>
              </w:rPr>
            </w:pPr>
            <w:r w:rsidRPr="00DC4050">
              <w:rPr>
                <w:rFonts w:cstheme="minorHAnsi"/>
              </w:rPr>
              <w:t xml:space="preserve">Q2 Do you identify potential situations in which managers of MMFs do not have any information to report on MMFs other than those listed above (e.g. certain types of situations of liquidation of the MMF)? </w:t>
            </w:r>
          </w:p>
        </w:tc>
      </w:tr>
      <w:tr w:rsidR="00FB2D4D" w:rsidRPr="00984696" w14:paraId="784675C4" w14:textId="77777777" w:rsidTr="00FB2D4D">
        <w:tc>
          <w:tcPr>
            <w:tcW w:w="9016" w:type="dxa"/>
          </w:tcPr>
          <w:p w14:paraId="5C5D099B" w14:textId="3265F472" w:rsidR="00472502" w:rsidRPr="00DC4050" w:rsidRDefault="00093261" w:rsidP="00984696">
            <w:pPr>
              <w:spacing w:before="120" w:after="360"/>
              <w:jc w:val="both"/>
              <w:rPr>
                <w:rFonts w:cstheme="minorHAnsi"/>
              </w:rPr>
            </w:pPr>
            <w:r w:rsidRPr="00DC4050">
              <w:rPr>
                <w:rFonts w:cstheme="minorHAnsi"/>
              </w:rPr>
              <w:t>No</w:t>
            </w:r>
          </w:p>
        </w:tc>
      </w:tr>
      <w:tr w:rsidR="00FB2D4D" w:rsidRPr="00E511B2" w14:paraId="1292C1F2" w14:textId="77777777" w:rsidTr="00E511B2">
        <w:tc>
          <w:tcPr>
            <w:tcW w:w="9016" w:type="dxa"/>
            <w:shd w:val="clear" w:color="auto" w:fill="00ABC9"/>
          </w:tcPr>
          <w:p w14:paraId="5CA07419" w14:textId="77777777" w:rsidR="00FB2D4D" w:rsidRPr="00DC4050" w:rsidRDefault="00FB2D4D" w:rsidP="00984696">
            <w:pPr>
              <w:jc w:val="both"/>
              <w:rPr>
                <w:rFonts w:cstheme="minorHAnsi"/>
              </w:rPr>
            </w:pPr>
            <w:r w:rsidRPr="00DC4050">
              <w:rPr>
                <w:rFonts w:cstheme="minorHAnsi"/>
              </w:rPr>
              <w:t xml:space="preserve">Q3 Do you agree that the MMF Guidelines could specify which sources should be used by managers of MMFs if the base currency is not included in the list of currencies for which the ECB provides an exchange rate? If yes, which sources should be used in your view? </w:t>
            </w:r>
          </w:p>
        </w:tc>
      </w:tr>
      <w:tr w:rsidR="00FB2D4D" w:rsidRPr="00984696" w14:paraId="034D9BF2" w14:textId="77777777" w:rsidTr="00FB2D4D">
        <w:tc>
          <w:tcPr>
            <w:tcW w:w="9016" w:type="dxa"/>
          </w:tcPr>
          <w:p w14:paraId="4220E713" w14:textId="0EBD280D" w:rsidR="00472502" w:rsidRPr="00DC4050" w:rsidRDefault="00093261" w:rsidP="00984696">
            <w:pPr>
              <w:spacing w:before="120" w:after="360"/>
              <w:jc w:val="both"/>
              <w:rPr>
                <w:rFonts w:cstheme="minorHAnsi"/>
              </w:rPr>
            </w:pPr>
            <w:r w:rsidRPr="00DC4050">
              <w:rPr>
                <w:rFonts w:cstheme="minorHAnsi"/>
              </w:rPr>
              <w:t xml:space="preserve">Yes.  </w:t>
            </w:r>
            <w:r w:rsidR="00984696">
              <w:rPr>
                <w:rFonts w:cstheme="minorHAnsi"/>
              </w:rPr>
              <w:t>O</w:t>
            </w:r>
            <w:r w:rsidRPr="00DC4050">
              <w:rPr>
                <w:rFonts w:cstheme="minorHAnsi"/>
              </w:rPr>
              <w:t>ther Central Bank</w:t>
            </w:r>
            <w:r w:rsidR="00984696">
              <w:rPr>
                <w:rFonts w:cstheme="minorHAnsi"/>
              </w:rPr>
              <w:t>s of major economies</w:t>
            </w:r>
          </w:p>
        </w:tc>
      </w:tr>
      <w:tr w:rsidR="00FB2D4D" w:rsidRPr="00E511B2" w14:paraId="718EA7B7" w14:textId="77777777" w:rsidTr="00E511B2">
        <w:tc>
          <w:tcPr>
            <w:tcW w:w="9016" w:type="dxa"/>
            <w:shd w:val="clear" w:color="auto" w:fill="00ABC9"/>
          </w:tcPr>
          <w:p w14:paraId="15DA44D0" w14:textId="77777777" w:rsidR="00FB2D4D" w:rsidRPr="00DC4050" w:rsidRDefault="00FB2D4D" w:rsidP="00984696">
            <w:pPr>
              <w:jc w:val="both"/>
              <w:rPr>
                <w:rFonts w:cstheme="minorHAnsi"/>
              </w:rPr>
            </w:pPr>
            <w:r w:rsidRPr="00DC4050">
              <w:rPr>
                <w:rFonts w:cstheme="minorHAnsi"/>
              </w:rPr>
              <w:t xml:space="preserve">Q4 Do you identify any other issue that would need to be specified in relation to the above section on “general principles” of the reporting template? </w:t>
            </w:r>
          </w:p>
        </w:tc>
      </w:tr>
      <w:tr w:rsidR="00FB2D4D" w:rsidRPr="00984696" w14:paraId="4B62BFAE" w14:textId="77777777" w:rsidTr="00FB2D4D">
        <w:tc>
          <w:tcPr>
            <w:tcW w:w="9016" w:type="dxa"/>
          </w:tcPr>
          <w:p w14:paraId="536456CC" w14:textId="140CCCD7" w:rsidR="00472502" w:rsidRPr="00DC4050" w:rsidRDefault="00093261" w:rsidP="00984696">
            <w:pPr>
              <w:spacing w:before="120" w:after="360"/>
              <w:jc w:val="both"/>
              <w:rPr>
                <w:rFonts w:cstheme="minorHAnsi"/>
              </w:rPr>
            </w:pPr>
            <w:r w:rsidRPr="00DC4050">
              <w:rPr>
                <w:rFonts w:cstheme="minorHAnsi"/>
              </w:rPr>
              <w:t>No</w:t>
            </w:r>
          </w:p>
        </w:tc>
      </w:tr>
      <w:tr w:rsidR="00FB2D4D" w:rsidRPr="00E511B2" w14:paraId="1210CFC8" w14:textId="77777777" w:rsidTr="00E511B2">
        <w:tc>
          <w:tcPr>
            <w:tcW w:w="9016" w:type="dxa"/>
            <w:shd w:val="clear" w:color="auto" w:fill="00ABC9"/>
          </w:tcPr>
          <w:p w14:paraId="6C8FFA3B" w14:textId="77777777" w:rsidR="00811800" w:rsidRDefault="00FB2D4D" w:rsidP="00984696">
            <w:pPr>
              <w:jc w:val="both"/>
              <w:rPr>
                <w:rFonts w:cstheme="minorHAnsi"/>
              </w:rPr>
            </w:pPr>
            <w:r w:rsidRPr="00DC4050">
              <w:rPr>
                <w:rFonts w:cstheme="minorHAnsi"/>
              </w:rPr>
              <w:t xml:space="preserve">Q5 </w:t>
            </w:r>
          </w:p>
          <w:p w14:paraId="6826BD5E" w14:textId="1BDF9CD3" w:rsidR="00377A8B" w:rsidRPr="00DC4050" w:rsidRDefault="00FB2D4D" w:rsidP="00984696">
            <w:pPr>
              <w:jc w:val="both"/>
              <w:rPr>
                <w:rFonts w:cstheme="minorHAnsi"/>
              </w:rPr>
            </w:pPr>
            <w:r w:rsidRPr="00DC4050">
              <w:rPr>
                <w:rFonts w:cstheme="minorHAnsi"/>
              </w:rPr>
              <w:t xml:space="preserve">Do you agree that if an MMF is composed of different share classes that differ in relation to their base currency the base currency that should be included in field A.1.12 should be the base currency as specified in the accounting documents of the MMF or are you of the view that in that case the base currency of the largest share class should be included in field A.1.12? </w:t>
            </w:r>
          </w:p>
          <w:p w14:paraId="4FF8EE6D" w14:textId="77777777" w:rsidR="00811800" w:rsidRDefault="00811800" w:rsidP="00984696">
            <w:pPr>
              <w:jc w:val="both"/>
              <w:rPr>
                <w:rFonts w:cstheme="minorHAnsi"/>
              </w:rPr>
            </w:pPr>
          </w:p>
          <w:p w14:paraId="4F768D1F" w14:textId="5A8F8BF4" w:rsidR="00FB2D4D" w:rsidRPr="00DC4050" w:rsidRDefault="00FB2D4D" w:rsidP="00984696">
            <w:pPr>
              <w:jc w:val="both"/>
              <w:rPr>
                <w:rFonts w:cstheme="minorHAnsi"/>
              </w:rPr>
            </w:pPr>
            <w:r w:rsidRPr="00DC4050">
              <w:rPr>
                <w:rFonts w:cstheme="minorHAnsi"/>
              </w:rPr>
              <w:t xml:space="preserve">Would you see merit in aligning the inception date mentioned above in section X with the first reporting date, as defined in section II? </w:t>
            </w:r>
          </w:p>
        </w:tc>
      </w:tr>
      <w:tr w:rsidR="00FB2D4D" w:rsidRPr="00984696" w14:paraId="5847D041" w14:textId="77777777" w:rsidTr="00FB2D4D">
        <w:tc>
          <w:tcPr>
            <w:tcW w:w="9016" w:type="dxa"/>
          </w:tcPr>
          <w:p w14:paraId="26605273" w14:textId="1007BDE6" w:rsidR="00472502" w:rsidRPr="00DC4050" w:rsidRDefault="00377A8B" w:rsidP="00984696">
            <w:pPr>
              <w:spacing w:before="120" w:after="360"/>
              <w:jc w:val="both"/>
              <w:rPr>
                <w:rFonts w:cstheme="minorHAnsi"/>
              </w:rPr>
            </w:pPr>
            <w:r w:rsidRPr="00DC4050">
              <w:rPr>
                <w:rFonts w:cstheme="minorHAnsi"/>
              </w:rPr>
              <w:t>The reporting should follow the currency of the fund documents.  The possibility that the largest share class could be denominated in a different currency is quite alarming.  The relevant information for interpreting stress test results would require to be reported as a minimum.  In response to the second question, we believe the dates should be aligned.</w:t>
            </w:r>
          </w:p>
        </w:tc>
      </w:tr>
      <w:tr w:rsidR="00FB2D4D" w:rsidRPr="00E511B2" w14:paraId="2ED8D673" w14:textId="77777777" w:rsidTr="00E511B2">
        <w:tc>
          <w:tcPr>
            <w:tcW w:w="9016" w:type="dxa"/>
            <w:shd w:val="clear" w:color="auto" w:fill="00ABC9"/>
          </w:tcPr>
          <w:p w14:paraId="74AD13AD" w14:textId="77777777" w:rsidR="00FB2D4D" w:rsidRPr="00DC4050" w:rsidRDefault="00FB2D4D" w:rsidP="00984696">
            <w:pPr>
              <w:jc w:val="both"/>
              <w:rPr>
                <w:rFonts w:cstheme="minorHAnsi"/>
              </w:rPr>
            </w:pPr>
            <w:r w:rsidRPr="00DC4050">
              <w:rPr>
                <w:rFonts w:cstheme="minorHAnsi"/>
              </w:rPr>
              <w:t xml:space="preserve">Q6 Do you identify any other issue that would need to be specified in relation to the above section on the block 1 of the reporting template? </w:t>
            </w:r>
          </w:p>
        </w:tc>
      </w:tr>
      <w:tr w:rsidR="00FB2D4D" w:rsidRPr="00984696" w14:paraId="54D9FA57" w14:textId="77777777" w:rsidTr="00FB2D4D">
        <w:tc>
          <w:tcPr>
            <w:tcW w:w="9016" w:type="dxa"/>
          </w:tcPr>
          <w:p w14:paraId="560D3C95" w14:textId="4E6B9389" w:rsidR="00472502" w:rsidRPr="00DC4050" w:rsidRDefault="00377A8B" w:rsidP="00984696">
            <w:pPr>
              <w:spacing w:before="120" w:after="360"/>
              <w:jc w:val="both"/>
              <w:rPr>
                <w:rFonts w:cstheme="minorHAnsi"/>
              </w:rPr>
            </w:pPr>
            <w:r w:rsidRPr="00DC4050">
              <w:rPr>
                <w:rFonts w:cstheme="minorHAnsi"/>
              </w:rPr>
              <w:t>No</w:t>
            </w:r>
          </w:p>
        </w:tc>
      </w:tr>
      <w:tr w:rsidR="00FB2D4D" w:rsidRPr="00E511B2" w14:paraId="44F3E734" w14:textId="77777777" w:rsidTr="00E511B2">
        <w:tc>
          <w:tcPr>
            <w:tcW w:w="9016" w:type="dxa"/>
            <w:shd w:val="clear" w:color="auto" w:fill="00ABC9"/>
          </w:tcPr>
          <w:p w14:paraId="248D502D" w14:textId="77777777" w:rsidR="003E21A2" w:rsidRDefault="00FB2D4D" w:rsidP="00984696">
            <w:pPr>
              <w:jc w:val="both"/>
              <w:rPr>
                <w:rFonts w:cstheme="minorHAnsi"/>
              </w:rPr>
            </w:pPr>
            <w:r w:rsidRPr="00DC4050">
              <w:rPr>
                <w:rFonts w:cstheme="minorHAnsi"/>
              </w:rPr>
              <w:t xml:space="preserve">Q7 Are you of the view that the abovementioned specification leaves too much room for interpretation and would lead to data that is not comparable? </w:t>
            </w:r>
          </w:p>
          <w:p w14:paraId="0EC94201" w14:textId="77777777" w:rsidR="003E21A2" w:rsidRDefault="003E21A2" w:rsidP="00984696">
            <w:pPr>
              <w:jc w:val="both"/>
              <w:rPr>
                <w:rFonts w:cstheme="minorHAnsi"/>
              </w:rPr>
            </w:pPr>
          </w:p>
          <w:p w14:paraId="46CF90A6" w14:textId="77777777" w:rsidR="00FB2D4D" w:rsidRDefault="00FB2D4D" w:rsidP="00984696">
            <w:pPr>
              <w:jc w:val="both"/>
              <w:rPr>
                <w:rFonts w:cstheme="minorHAnsi"/>
              </w:rPr>
            </w:pPr>
            <w:r w:rsidRPr="00DC4050">
              <w:rPr>
                <w:rFonts w:cstheme="minorHAnsi"/>
              </w:rPr>
              <w:t>Are you of the view that settlement periods should be taken into account and that, as a consequence, the last part of the abovementioned specification (“if it has as a non-negligible impact on the liquidity profile of the MMF”) should be removed?</w:t>
            </w:r>
          </w:p>
          <w:p w14:paraId="63DD8994" w14:textId="59F5D3EA" w:rsidR="003E21A2" w:rsidRPr="00DC4050" w:rsidRDefault="003E21A2" w:rsidP="00984696">
            <w:pPr>
              <w:jc w:val="both"/>
              <w:rPr>
                <w:rFonts w:cstheme="minorHAnsi"/>
              </w:rPr>
            </w:pPr>
          </w:p>
        </w:tc>
      </w:tr>
      <w:tr w:rsidR="00FB2D4D" w:rsidRPr="00984696" w14:paraId="61EDFA0B" w14:textId="77777777" w:rsidTr="00FB2D4D">
        <w:tc>
          <w:tcPr>
            <w:tcW w:w="9016" w:type="dxa"/>
          </w:tcPr>
          <w:p w14:paraId="4965D01E" w14:textId="2FD6619D" w:rsidR="00472502" w:rsidRPr="00DC4050" w:rsidRDefault="00377A8B" w:rsidP="00984696">
            <w:pPr>
              <w:spacing w:before="120" w:after="360"/>
              <w:jc w:val="both"/>
              <w:rPr>
                <w:rFonts w:cstheme="minorHAnsi"/>
              </w:rPr>
            </w:pPr>
            <w:r w:rsidRPr="00DC4050">
              <w:rPr>
                <w:rFonts w:cstheme="minorHAnsi"/>
              </w:rPr>
              <w:lastRenderedPageBreak/>
              <w:t xml:space="preserve">We agree that the qualification should be removed because it would introduce subjectivity.  Settlement periods are </w:t>
            </w:r>
            <w:r w:rsidR="00E72756" w:rsidRPr="00DC4050">
              <w:rPr>
                <w:rFonts w:cstheme="minorHAnsi"/>
              </w:rPr>
              <w:t>relevant,</w:t>
            </w:r>
            <w:r w:rsidRPr="00DC4050">
              <w:rPr>
                <w:rFonts w:cstheme="minorHAnsi"/>
              </w:rPr>
              <w:t xml:space="preserve"> and </w:t>
            </w:r>
            <w:r w:rsidR="008A11C0" w:rsidRPr="00DC4050">
              <w:rPr>
                <w:rFonts w:cstheme="minorHAnsi"/>
              </w:rPr>
              <w:t>cash should only be assumed to be available when standard market settlement terms have been taken into account.</w:t>
            </w:r>
          </w:p>
        </w:tc>
      </w:tr>
      <w:tr w:rsidR="00FB2D4D" w:rsidRPr="00E511B2" w14:paraId="6D0C97C4" w14:textId="77777777" w:rsidTr="00E511B2">
        <w:tc>
          <w:tcPr>
            <w:tcW w:w="9016" w:type="dxa"/>
            <w:shd w:val="clear" w:color="auto" w:fill="00ABC9"/>
          </w:tcPr>
          <w:p w14:paraId="56FBA700" w14:textId="77777777" w:rsidR="00FB2D4D" w:rsidRDefault="00FB2D4D" w:rsidP="00984696">
            <w:pPr>
              <w:jc w:val="both"/>
              <w:rPr>
                <w:rFonts w:cstheme="minorHAnsi"/>
              </w:rPr>
            </w:pPr>
            <w:r w:rsidRPr="00DC4050">
              <w:rPr>
                <w:rFonts w:cstheme="minorHAnsi"/>
              </w:rPr>
              <w:t xml:space="preserve">Q8 Do you have any views in relation to the abovementioned formula on how to measure the monthly portfolio volatility or are you of the view that another formula would be welcome? </w:t>
            </w:r>
          </w:p>
          <w:p w14:paraId="738FC1D9" w14:textId="23ED0593" w:rsidR="003E21A2" w:rsidRPr="00DC4050" w:rsidRDefault="003E21A2" w:rsidP="00984696">
            <w:pPr>
              <w:jc w:val="both"/>
              <w:rPr>
                <w:rFonts w:cstheme="minorHAnsi"/>
              </w:rPr>
            </w:pPr>
          </w:p>
        </w:tc>
      </w:tr>
      <w:tr w:rsidR="00FB2D4D" w:rsidRPr="00984696" w14:paraId="36005F03" w14:textId="77777777" w:rsidTr="00FB2D4D">
        <w:tc>
          <w:tcPr>
            <w:tcW w:w="9016" w:type="dxa"/>
          </w:tcPr>
          <w:p w14:paraId="53F2CE4F" w14:textId="77777777" w:rsidR="00E72756" w:rsidRPr="00DC4050" w:rsidRDefault="00E72756" w:rsidP="00984696">
            <w:pPr>
              <w:spacing w:before="120" w:after="360"/>
              <w:jc w:val="both"/>
              <w:rPr>
                <w:rFonts w:cstheme="minorHAnsi"/>
              </w:rPr>
            </w:pPr>
            <w:r w:rsidRPr="00DC4050">
              <w:rPr>
                <w:rFonts w:cstheme="minorHAnsi"/>
              </w:rPr>
              <w:t>We very strongly believe that this</w:t>
            </w:r>
            <w:r w:rsidR="008A11C0" w:rsidRPr="00DC4050">
              <w:rPr>
                <w:rFonts w:cstheme="minorHAnsi"/>
              </w:rPr>
              <w:t xml:space="preserve"> requirement </w:t>
            </w:r>
            <w:r w:rsidRPr="00DC4050">
              <w:rPr>
                <w:rFonts w:cstheme="minorHAnsi"/>
              </w:rPr>
              <w:t xml:space="preserve">should </w:t>
            </w:r>
            <w:r w:rsidR="008A11C0" w:rsidRPr="00DC4050">
              <w:rPr>
                <w:rFonts w:cstheme="minorHAnsi"/>
              </w:rPr>
              <w:t>extend to all types of MMF</w:t>
            </w:r>
            <w:r w:rsidRPr="00DC4050">
              <w:rPr>
                <w:rFonts w:cstheme="minorHAnsi"/>
              </w:rPr>
              <w:t xml:space="preserve"> permitted under the regulation, and it is not clear from the way that the document is framed that it does so currently. </w:t>
            </w:r>
          </w:p>
          <w:p w14:paraId="019E6E76" w14:textId="6A5A936B" w:rsidR="00472502" w:rsidRPr="00DC4050" w:rsidRDefault="008A11C0" w:rsidP="00984696">
            <w:pPr>
              <w:spacing w:before="120" w:after="360"/>
              <w:jc w:val="both"/>
              <w:rPr>
                <w:rFonts w:cstheme="minorHAnsi"/>
              </w:rPr>
            </w:pPr>
            <w:r w:rsidRPr="00DC4050">
              <w:rPr>
                <w:rFonts w:cstheme="minorHAnsi"/>
              </w:rPr>
              <w:t xml:space="preserve">It is difficult to comment on the formula in the absence of a definition for ‘return’.  We advocate the adoption of a parallel approach to the US regulation 2a7 which requires a hypothetical yield and a NAV to be reported.  The portfolio volatility could then be based on the variation of the NAV.  We note that reporting the portfolio volatility is also highly relevant for VNAV funds of both the standard and </w:t>
            </w:r>
            <w:r w:rsidR="00E72756" w:rsidRPr="00DC4050">
              <w:rPr>
                <w:rFonts w:cstheme="minorHAnsi"/>
              </w:rPr>
              <w:t>short-term</w:t>
            </w:r>
            <w:r w:rsidRPr="00DC4050">
              <w:rPr>
                <w:rFonts w:cstheme="minorHAnsi"/>
              </w:rPr>
              <w:t xml:space="preserve"> varieties, whose investors have a very particular requirement to be able to attribute ‘performance’ to capital and revenue impacts.</w:t>
            </w:r>
          </w:p>
        </w:tc>
      </w:tr>
      <w:tr w:rsidR="00FB2D4D" w:rsidRPr="00E511B2" w14:paraId="237EFA65" w14:textId="77777777" w:rsidTr="00E511B2">
        <w:tc>
          <w:tcPr>
            <w:tcW w:w="9016" w:type="dxa"/>
            <w:shd w:val="clear" w:color="auto" w:fill="00ABC9"/>
          </w:tcPr>
          <w:p w14:paraId="45067338" w14:textId="77777777" w:rsidR="00FB2D4D" w:rsidRPr="00DC4050" w:rsidRDefault="00FB2D4D" w:rsidP="00984696">
            <w:pPr>
              <w:jc w:val="both"/>
              <w:rPr>
                <w:rFonts w:cstheme="minorHAnsi"/>
              </w:rPr>
            </w:pPr>
            <w:r w:rsidRPr="00DC4050">
              <w:rPr>
                <w:rFonts w:cstheme="minorHAnsi"/>
              </w:rPr>
              <w:t xml:space="preserve">Q9 Do you identify any other issue that would need to be specified in relation to the above section on the block 2 of the reporting template? </w:t>
            </w:r>
          </w:p>
        </w:tc>
      </w:tr>
      <w:tr w:rsidR="00FB2D4D" w:rsidRPr="00984696" w14:paraId="7575BDB3" w14:textId="77777777" w:rsidTr="00FB2D4D">
        <w:tc>
          <w:tcPr>
            <w:tcW w:w="9016" w:type="dxa"/>
          </w:tcPr>
          <w:p w14:paraId="4749CE22" w14:textId="5FCA2E2E" w:rsidR="00472502" w:rsidRPr="00DC4050" w:rsidRDefault="00E72756" w:rsidP="00984696">
            <w:pPr>
              <w:spacing w:before="120" w:after="360"/>
              <w:jc w:val="both"/>
              <w:rPr>
                <w:rFonts w:cstheme="minorHAnsi"/>
              </w:rPr>
            </w:pPr>
            <w:r w:rsidRPr="00DC4050">
              <w:rPr>
                <w:rFonts w:cstheme="minorHAnsi"/>
              </w:rPr>
              <w:t>No</w:t>
            </w:r>
          </w:p>
        </w:tc>
      </w:tr>
      <w:tr w:rsidR="00FB2D4D" w:rsidRPr="00E511B2" w14:paraId="1E24FE68" w14:textId="77777777" w:rsidTr="00E511B2">
        <w:tc>
          <w:tcPr>
            <w:tcW w:w="9016" w:type="dxa"/>
            <w:shd w:val="clear" w:color="auto" w:fill="00ABC9"/>
          </w:tcPr>
          <w:p w14:paraId="090B39F5" w14:textId="77777777" w:rsidR="00FB2D4D" w:rsidRDefault="00FB2D4D" w:rsidP="00984696">
            <w:pPr>
              <w:jc w:val="both"/>
              <w:rPr>
                <w:rFonts w:cstheme="minorHAnsi"/>
              </w:rPr>
            </w:pPr>
            <w:r w:rsidRPr="00DC4050">
              <w:rPr>
                <w:rFonts w:cstheme="minorHAnsi"/>
              </w:rPr>
              <w:t xml:space="preserve">Q10 Do you identify any other issue that would need to be specified in relation to the above section on the block 3 of the reporting template? </w:t>
            </w:r>
          </w:p>
          <w:p w14:paraId="634D0E28" w14:textId="0F429999" w:rsidR="003E21A2" w:rsidRPr="00DC4050" w:rsidRDefault="003E21A2" w:rsidP="00984696">
            <w:pPr>
              <w:jc w:val="both"/>
              <w:rPr>
                <w:rFonts w:cstheme="minorHAnsi"/>
              </w:rPr>
            </w:pPr>
          </w:p>
        </w:tc>
      </w:tr>
      <w:tr w:rsidR="00FB2D4D" w:rsidRPr="00984696" w14:paraId="0727FFCF" w14:textId="77777777" w:rsidTr="00FB2D4D">
        <w:tc>
          <w:tcPr>
            <w:tcW w:w="9016" w:type="dxa"/>
          </w:tcPr>
          <w:p w14:paraId="68A7FA6C" w14:textId="77777777" w:rsidR="00FB2D4D" w:rsidRPr="00DC4050" w:rsidRDefault="00E72756" w:rsidP="00984696">
            <w:pPr>
              <w:spacing w:before="120" w:after="360"/>
              <w:jc w:val="both"/>
              <w:rPr>
                <w:rFonts w:cstheme="minorHAnsi"/>
              </w:rPr>
            </w:pPr>
            <w:r w:rsidRPr="00DC4050">
              <w:rPr>
                <w:rFonts w:cstheme="minorHAnsi"/>
              </w:rPr>
              <w:t>The TARGET reporting dates at quarter ends are the most atypical portfolio composition days for MMFs.  Stress testing at these dates will produce results which are not generally representative of the MMF.</w:t>
            </w:r>
          </w:p>
          <w:p w14:paraId="40FB6394" w14:textId="7EED1768" w:rsidR="00472502" w:rsidRPr="00DC4050" w:rsidRDefault="00472502" w:rsidP="00984696">
            <w:pPr>
              <w:spacing w:before="120" w:after="360"/>
              <w:jc w:val="both"/>
              <w:rPr>
                <w:rFonts w:cstheme="minorHAnsi"/>
              </w:rPr>
            </w:pPr>
          </w:p>
        </w:tc>
      </w:tr>
      <w:tr w:rsidR="00FB2D4D" w:rsidRPr="00E511B2" w14:paraId="3048C2A6" w14:textId="77777777" w:rsidTr="00E511B2">
        <w:tc>
          <w:tcPr>
            <w:tcW w:w="9016" w:type="dxa"/>
            <w:shd w:val="clear" w:color="auto" w:fill="00ABC9"/>
          </w:tcPr>
          <w:p w14:paraId="755746EC" w14:textId="77777777" w:rsidR="00FB2D4D" w:rsidRPr="00DC4050" w:rsidRDefault="00FB2D4D" w:rsidP="00984696">
            <w:pPr>
              <w:jc w:val="both"/>
              <w:rPr>
                <w:rFonts w:cstheme="minorHAnsi"/>
              </w:rPr>
            </w:pPr>
            <w:r w:rsidRPr="00DC4050">
              <w:rPr>
                <w:rFonts w:cstheme="minorHAnsi"/>
              </w:rPr>
              <w:t xml:space="preserve">Q11 With the respect to the CFI codes to be provided, do you identify any eligible asset not included in the table in the Annex of the Guidelines? </w:t>
            </w:r>
          </w:p>
        </w:tc>
      </w:tr>
      <w:tr w:rsidR="00FB2D4D" w:rsidRPr="00984696" w14:paraId="5C3F81D2" w14:textId="77777777" w:rsidTr="00FB2D4D">
        <w:tc>
          <w:tcPr>
            <w:tcW w:w="9016" w:type="dxa"/>
          </w:tcPr>
          <w:p w14:paraId="248D4FEA" w14:textId="20D3289F" w:rsidR="00472502" w:rsidRPr="00DC4050" w:rsidRDefault="00E72756" w:rsidP="00984696">
            <w:pPr>
              <w:spacing w:before="120" w:after="360"/>
              <w:jc w:val="both"/>
              <w:rPr>
                <w:rFonts w:cstheme="minorHAnsi"/>
              </w:rPr>
            </w:pPr>
            <w:r w:rsidRPr="00DC4050">
              <w:rPr>
                <w:rFonts w:cstheme="minorHAnsi"/>
              </w:rPr>
              <w:t>No.</w:t>
            </w:r>
          </w:p>
        </w:tc>
      </w:tr>
      <w:tr w:rsidR="00FB2D4D" w:rsidRPr="00E511B2" w14:paraId="60C23E0A" w14:textId="77777777" w:rsidTr="00E511B2">
        <w:tc>
          <w:tcPr>
            <w:tcW w:w="9016" w:type="dxa"/>
            <w:shd w:val="clear" w:color="auto" w:fill="00ABC9"/>
          </w:tcPr>
          <w:p w14:paraId="52675204" w14:textId="54F45EA3" w:rsidR="00FB2D4D" w:rsidRPr="00DC4050" w:rsidRDefault="00FB2D4D" w:rsidP="00984696">
            <w:pPr>
              <w:jc w:val="both"/>
              <w:rPr>
                <w:rFonts w:cstheme="minorHAnsi"/>
              </w:rPr>
            </w:pPr>
            <w:r w:rsidRPr="00DC4050">
              <w:rPr>
                <w:rFonts w:cstheme="minorHAnsi"/>
              </w:rPr>
              <w:t xml:space="preserve">Q12 Do you agree with the proposals of ESMA in relation to the domicile of the </w:t>
            </w:r>
            <w:r w:rsidR="0034284F" w:rsidRPr="00DC4050">
              <w:rPr>
                <w:rFonts w:cstheme="minorHAnsi"/>
              </w:rPr>
              <w:t>above-mentioned</w:t>
            </w:r>
            <w:r w:rsidRPr="00DC4050">
              <w:rPr>
                <w:rFonts w:cstheme="minorHAnsi"/>
              </w:rPr>
              <w:t xml:space="preserve"> assets? </w:t>
            </w:r>
          </w:p>
        </w:tc>
      </w:tr>
      <w:tr w:rsidR="00FB2D4D" w:rsidRPr="00984696" w14:paraId="2258FE26" w14:textId="77777777" w:rsidTr="00FB2D4D">
        <w:tc>
          <w:tcPr>
            <w:tcW w:w="9016" w:type="dxa"/>
          </w:tcPr>
          <w:p w14:paraId="0B644FE0" w14:textId="2E3776BE" w:rsidR="00472502" w:rsidRPr="00DC4050" w:rsidRDefault="00E72756" w:rsidP="00984696">
            <w:pPr>
              <w:spacing w:before="120" w:after="360"/>
              <w:jc w:val="both"/>
              <w:rPr>
                <w:rFonts w:cstheme="minorHAnsi"/>
              </w:rPr>
            </w:pPr>
            <w:r w:rsidRPr="00DC4050">
              <w:rPr>
                <w:rFonts w:cstheme="minorHAnsi"/>
              </w:rPr>
              <w:t>Yes</w:t>
            </w:r>
          </w:p>
        </w:tc>
      </w:tr>
      <w:tr w:rsidR="00FB2D4D" w:rsidRPr="00E511B2" w14:paraId="53F2C3D6" w14:textId="77777777" w:rsidTr="00E511B2">
        <w:tc>
          <w:tcPr>
            <w:tcW w:w="9016" w:type="dxa"/>
            <w:shd w:val="clear" w:color="auto" w:fill="00ABC9"/>
          </w:tcPr>
          <w:p w14:paraId="1AB8B600" w14:textId="77777777" w:rsidR="00AC10F2" w:rsidRDefault="00FB2D4D" w:rsidP="00984696">
            <w:pPr>
              <w:jc w:val="both"/>
              <w:rPr>
                <w:rFonts w:cstheme="minorHAnsi"/>
              </w:rPr>
            </w:pPr>
            <w:r w:rsidRPr="00DC4050">
              <w:rPr>
                <w:rFonts w:cstheme="minorHAnsi"/>
              </w:rPr>
              <w:t xml:space="preserve">Q13 Do you agree that a category “supranational/multiple regions” should be included in the potential geographical areas to be chosen? </w:t>
            </w:r>
          </w:p>
          <w:p w14:paraId="5D0640DA" w14:textId="520EBEC0" w:rsidR="00FB2D4D" w:rsidRPr="00DC4050" w:rsidRDefault="00FB2D4D" w:rsidP="00984696">
            <w:pPr>
              <w:jc w:val="both"/>
              <w:rPr>
                <w:rFonts w:cstheme="minorHAnsi"/>
              </w:rPr>
            </w:pPr>
            <w:r w:rsidRPr="00DC4050">
              <w:rPr>
                <w:rFonts w:cstheme="minorHAnsi"/>
              </w:rPr>
              <w:t xml:space="preserve">If yes, could you provide examples of assets for which you would choose that category? </w:t>
            </w:r>
          </w:p>
        </w:tc>
      </w:tr>
      <w:tr w:rsidR="00FB2D4D" w:rsidRPr="00984696" w14:paraId="596BD7DA" w14:textId="77777777" w:rsidTr="00FB2D4D">
        <w:tc>
          <w:tcPr>
            <w:tcW w:w="9016" w:type="dxa"/>
          </w:tcPr>
          <w:p w14:paraId="4B1AAD01" w14:textId="4A18A324" w:rsidR="00472502" w:rsidRPr="00DC4050" w:rsidRDefault="00E72756" w:rsidP="00984696">
            <w:pPr>
              <w:spacing w:before="120" w:after="360"/>
              <w:jc w:val="both"/>
              <w:rPr>
                <w:rFonts w:cstheme="minorHAnsi"/>
              </w:rPr>
            </w:pPr>
            <w:r w:rsidRPr="00DC4050">
              <w:rPr>
                <w:rFonts w:cstheme="minorHAnsi"/>
              </w:rPr>
              <w:lastRenderedPageBreak/>
              <w:t xml:space="preserve">Yes.  </w:t>
            </w:r>
            <w:r w:rsidR="007E22B1" w:rsidRPr="00DC4050">
              <w:rPr>
                <w:rFonts w:cstheme="minorHAnsi"/>
              </w:rPr>
              <w:t>Without being exhaustive; Bonds, Medium Term Notes, Floating Rate Notes, Commercial Paper.</w:t>
            </w:r>
          </w:p>
        </w:tc>
      </w:tr>
      <w:tr w:rsidR="00FB2D4D" w:rsidRPr="00E511B2" w14:paraId="578C58E7" w14:textId="77777777" w:rsidTr="00E511B2">
        <w:tc>
          <w:tcPr>
            <w:tcW w:w="9016" w:type="dxa"/>
            <w:shd w:val="clear" w:color="auto" w:fill="00ABC9"/>
          </w:tcPr>
          <w:p w14:paraId="77F4A17C" w14:textId="77777777" w:rsidR="00AC10F2" w:rsidRDefault="00FB2D4D" w:rsidP="00984696">
            <w:pPr>
              <w:jc w:val="both"/>
              <w:rPr>
                <w:rFonts w:cstheme="minorHAnsi"/>
              </w:rPr>
            </w:pPr>
            <w:r w:rsidRPr="00DC4050">
              <w:rPr>
                <w:rFonts w:cstheme="minorHAnsi"/>
              </w:rPr>
              <w:t xml:space="preserve">Q14 Do you agree that the clean price of the money market instrument (A.6.12), this field should always be reported in absolute terms (in monetary values, not in percentages)? </w:t>
            </w:r>
          </w:p>
          <w:p w14:paraId="47064B87" w14:textId="3B2AE735" w:rsidR="00FB2D4D" w:rsidRPr="00DC4050" w:rsidRDefault="00FB2D4D" w:rsidP="00984696">
            <w:pPr>
              <w:jc w:val="both"/>
              <w:rPr>
                <w:rFonts w:cstheme="minorHAnsi"/>
              </w:rPr>
            </w:pPr>
            <w:r w:rsidRPr="00DC4050">
              <w:rPr>
                <w:rFonts w:cstheme="minorHAnsi"/>
              </w:rPr>
              <w:t xml:space="preserve">Which of the 2 abovementioned options on the “base currency” mentioned in field A.6.13 would you favour: currency of the asset or the currency of the MMF? </w:t>
            </w:r>
          </w:p>
        </w:tc>
      </w:tr>
      <w:tr w:rsidR="00FB2D4D" w:rsidRPr="00984696" w14:paraId="7BB608AB" w14:textId="77777777" w:rsidTr="00FB2D4D">
        <w:tc>
          <w:tcPr>
            <w:tcW w:w="9016" w:type="dxa"/>
          </w:tcPr>
          <w:p w14:paraId="6B5E0B73" w14:textId="77777777" w:rsidR="00FB2D4D" w:rsidRPr="00DC4050" w:rsidRDefault="007E22B1" w:rsidP="00984696">
            <w:pPr>
              <w:spacing w:before="120" w:after="360"/>
              <w:jc w:val="both"/>
              <w:rPr>
                <w:rFonts w:cstheme="minorHAnsi"/>
              </w:rPr>
            </w:pPr>
            <w:r w:rsidRPr="00DC4050">
              <w:rPr>
                <w:rFonts w:cstheme="minorHAnsi"/>
              </w:rPr>
              <w:t>Yes.</w:t>
            </w:r>
          </w:p>
          <w:p w14:paraId="1944B3E5" w14:textId="12650FB7" w:rsidR="00472502" w:rsidRPr="00DC4050" w:rsidRDefault="007E22B1" w:rsidP="00984696">
            <w:pPr>
              <w:spacing w:before="120" w:after="360"/>
              <w:jc w:val="both"/>
              <w:rPr>
                <w:rFonts w:cstheme="minorHAnsi"/>
              </w:rPr>
            </w:pPr>
            <w:r w:rsidRPr="00DC4050">
              <w:rPr>
                <w:rFonts w:cstheme="minorHAnsi"/>
              </w:rPr>
              <w:t>The first one.  The base currency should be the currency of the money market instrument.</w:t>
            </w:r>
          </w:p>
        </w:tc>
      </w:tr>
      <w:tr w:rsidR="00FB2D4D" w:rsidRPr="00E511B2" w14:paraId="2559D665" w14:textId="77777777" w:rsidTr="00E511B2">
        <w:tc>
          <w:tcPr>
            <w:tcW w:w="9016" w:type="dxa"/>
            <w:shd w:val="clear" w:color="auto" w:fill="00ABC9"/>
          </w:tcPr>
          <w:p w14:paraId="076769FD" w14:textId="77777777" w:rsidR="00FB2D4D" w:rsidRPr="00DC4050" w:rsidRDefault="00FB2D4D" w:rsidP="00984696">
            <w:pPr>
              <w:jc w:val="both"/>
              <w:rPr>
                <w:rFonts w:cstheme="minorHAnsi"/>
              </w:rPr>
            </w:pPr>
            <w:r w:rsidRPr="00DC4050">
              <w:rPr>
                <w:rFonts w:cstheme="minorHAnsi"/>
              </w:rPr>
              <w:t xml:space="preserve">Q15 With respect to fields A.6.23 to A.6.25, would you identify any cases where there is no sponsor of an eligible securitisation or asset backed commercial paper? </w:t>
            </w:r>
          </w:p>
        </w:tc>
      </w:tr>
      <w:tr w:rsidR="00FB2D4D" w:rsidRPr="00984696" w14:paraId="2EF569A9" w14:textId="77777777" w:rsidTr="00FB2D4D">
        <w:tc>
          <w:tcPr>
            <w:tcW w:w="9016" w:type="dxa"/>
          </w:tcPr>
          <w:p w14:paraId="117775F8" w14:textId="282AF0CF" w:rsidR="00472502" w:rsidRPr="00DC4050" w:rsidRDefault="007E22B1" w:rsidP="00984696">
            <w:pPr>
              <w:spacing w:before="120" w:after="360"/>
              <w:jc w:val="both"/>
              <w:rPr>
                <w:rFonts w:cstheme="minorHAnsi"/>
              </w:rPr>
            </w:pPr>
            <w:r w:rsidRPr="00DC4050">
              <w:rPr>
                <w:rFonts w:cstheme="minorHAnsi"/>
              </w:rPr>
              <w:t>No</w:t>
            </w:r>
          </w:p>
        </w:tc>
      </w:tr>
      <w:tr w:rsidR="00FB2D4D" w:rsidRPr="00984696" w14:paraId="12DCE594" w14:textId="77777777" w:rsidTr="00E511B2">
        <w:tc>
          <w:tcPr>
            <w:tcW w:w="9016" w:type="dxa"/>
            <w:shd w:val="clear" w:color="auto" w:fill="00ABC9"/>
          </w:tcPr>
          <w:p w14:paraId="27340CD4" w14:textId="77777777" w:rsidR="00FB2D4D" w:rsidRPr="00DC4050" w:rsidRDefault="00FB2D4D" w:rsidP="00E511B2">
            <w:pPr>
              <w:jc w:val="both"/>
              <w:rPr>
                <w:rFonts w:cstheme="minorHAnsi"/>
              </w:rPr>
            </w:pPr>
            <w:r w:rsidRPr="00DC4050">
              <w:rPr>
                <w:rFonts w:cstheme="minorHAnsi"/>
              </w:rPr>
              <w:t xml:space="preserve">Q16 Do you identify other potential contract types that would need to be included in the list above in relation to field A.6.39? </w:t>
            </w:r>
          </w:p>
        </w:tc>
      </w:tr>
      <w:tr w:rsidR="00FB2D4D" w:rsidRPr="00984696" w14:paraId="04F0CF54" w14:textId="77777777" w:rsidTr="00FB2D4D">
        <w:tc>
          <w:tcPr>
            <w:tcW w:w="9016" w:type="dxa"/>
          </w:tcPr>
          <w:p w14:paraId="17E34593" w14:textId="54ED217F" w:rsidR="00472502" w:rsidRPr="00DC4050" w:rsidRDefault="007E22B1" w:rsidP="00984696">
            <w:pPr>
              <w:spacing w:before="120" w:after="360"/>
              <w:jc w:val="both"/>
              <w:rPr>
                <w:rFonts w:cstheme="minorHAnsi"/>
              </w:rPr>
            </w:pPr>
            <w:r w:rsidRPr="00DC4050">
              <w:rPr>
                <w:rFonts w:cstheme="minorHAnsi"/>
              </w:rPr>
              <w:t>No</w:t>
            </w:r>
          </w:p>
        </w:tc>
      </w:tr>
      <w:tr w:rsidR="00FB2D4D" w:rsidRPr="00E511B2" w14:paraId="5E13CA9B" w14:textId="77777777" w:rsidTr="00E511B2">
        <w:tc>
          <w:tcPr>
            <w:tcW w:w="9016" w:type="dxa"/>
            <w:shd w:val="clear" w:color="auto" w:fill="00ABC9"/>
          </w:tcPr>
          <w:p w14:paraId="0DAB7DDD" w14:textId="77777777" w:rsidR="00AC10F2" w:rsidRDefault="00FB2D4D" w:rsidP="00984696">
            <w:pPr>
              <w:jc w:val="both"/>
              <w:rPr>
                <w:rFonts w:cstheme="minorHAnsi"/>
              </w:rPr>
            </w:pPr>
            <w:r w:rsidRPr="00DC4050">
              <w:rPr>
                <w:rFonts w:cstheme="minorHAnsi"/>
              </w:rPr>
              <w:t xml:space="preserve">Q17 Do you see merits in clarifying what should be the name of the underlying as referred to in Field A.6.45? </w:t>
            </w:r>
          </w:p>
          <w:p w14:paraId="7C798C99" w14:textId="7EE40BF4" w:rsidR="00FB2D4D" w:rsidRPr="00DC4050" w:rsidRDefault="00FB2D4D" w:rsidP="00984696">
            <w:pPr>
              <w:jc w:val="both"/>
              <w:rPr>
                <w:rFonts w:cstheme="minorHAnsi"/>
              </w:rPr>
            </w:pPr>
            <w:r w:rsidRPr="00DC4050">
              <w:rPr>
                <w:rFonts w:cstheme="minorHAnsi"/>
              </w:rPr>
              <w:t xml:space="preserve">If yes, which specifications would you expect? </w:t>
            </w:r>
          </w:p>
        </w:tc>
      </w:tr>
      <w:tr w:rsidR="00FB2D4D" w:rsidRPr="00984696" w14:paraId="4FEFC481" w14:textId="77777777" w:rsidTr="00FB2D4D">
        <w:tc>
          <w:tcPr>
            <w:tcW w:w="9016" w:type="dxa"/>
          </w:tcPr>
          <w:p w14:paraId="254E8277" w14:textId="7AD83EC6" w:rsidR="00472502" w:rsidRPr="00DC4050" w:rsidRDefault="007E22B1" w:rsidP="00984696">
            <w:pPr>
              <w:spacing w:before="120" w:after="360"/>
              <w:jc w:val="both"/>
              <w:rPr>
                <w:rFonts w:cstheme="minorHAnsi"/>
              </w:rPr>
            </w:pPr>
            <w:r w:rsidRPr="00DC4050">
              <w:rPr>
                <w:rFonts w:cstheme="minorHAnsi"/>
              </w:rPr>
              <w:t>Yes.  Sufficient detail to be able to be clear about the risk to investors and to be able to interpret the relevant stress testing results.</w:t>
            </w:r>
          </w:p>
        </w:tc>
      </w:tr>
      <w:tr w:rsidR="00FB2D4D" w:rsidRPr="00E511B2" w14:paraId="4D1C6CEA" w14:textId="77777777" w:rsidTr="00E511B2">
        <w:tc>
          <w:tcPr>
            <w:tcW w:w="9016" w:type="dxa"/>
            <w:shd w:val="clear" w:color="auto" w:fill="00ABC9"/>
          </w:tcPr>
          <w:p w14:paraId="62E28F94" w14:textId="77777777" w:rsidR="00AC10F2" w:rsidRDefault="00FB2D4D" w:rsidP="00984696">
            <w:pPr>
              <w:jc w:val="both"/>
              <w:rPr>
                <w:rFonts w:cstheme="minorHAnsi"/>
              </w:rPr>
            </w:pPr>
            <w:r w:rsidRPr="00DC4050">
              <w:rPr>
                <w:rFonts w:cstheme="minorHAnsi"/>
              </w:rPr>
              <w:t xml:space="preserve">Q18 Are you of the view that ESMA should further specify what is meant by “exposure” in fields A.6.91 and A.6.92? </w:t>
            </w:r>
          </w:p>
          <w:p w14:paraId="78617041" w14:textId="07084242" w:rsidR="00FB2D4D" w:rsidRPr="00DC4050" w:rsidRDefault="00FB2D4D" w:rsidP="00984696">
            <w:pPr>
              <w:jc w:val="both"/>
              <w:rPr>
                <w:rFonts w:cstheme="minorHAnsi"/>
              </w:rPr>
            </w:pPr>
            <w:r w:rsidRPr="00DC4050">
              <w:rPr>
                <w:rFonts w:cstheme="minorHAnsi"/>
              </w:rPr>
              <w:t xml:space="preserve">If yes, which types of specifications would you suggest? </w:t>
            </w:r>
          </w:p>
        </w:tc>
      </w:tr>
      <w:tr w:rsidR="00FB2D4D" w:rsidRPr="00984696" w14:paraId="4078FB5D" w14:textId="77777777" w:rsidTr="00FB2D4D">
        <w:tc>
          <w:tcPr>
            <w:tcW w:w="9016" w:type="dxa"/>
          </w:tcPr>
          <w:p w14:paraId="3C526853" w14:textId="45377033" w:rsidR="00472502" w:rsidRPr="00DC4050" w:rsidRDefault="007E22B1" w:rsidP="00984696">
            <w:pPr>
              <w:spacing w:before="120" w:after="360"/>
              <w:jc w:val="both"/>
              <w:rPr>
                <w:rFonts w:cstheme="minorHAnsi"/>
              </w:rPr>
            </w:pPr>
            <w:r w:rsidRPr="00DC4050">
              <w:rPr>
                <w:rFonts w:cstheme="minorHAnsi"/>
              </w:rPr>
              <w:t>We believe ESMA is referring to the gross principal amount of the transaction.</w:t>
            </w:r>
          </w:p>
        </w:tc>
      </w:tr>
      <w:tr w:rsidR="00FB2D4D" w:rsidRPr="00E511B2" w14:paraId="320E98A9" w14:textId="77777777" w:rsidTr="00E511B2">
        <w:tc>
          <w:tcPr>
            <w:tcW w:w="9016" w:type="dxa"/>
            <w:shd w:val="clear" w:color="auto" w:fill="00ABC9"/>
          </w:tcPr>
          <w:p w14:paraId="6435E30D" w14:textId="77777777" w:rsidR="00F7636D" w:rsidRPr="00DC4050" w:rsidRDefault="00FB2D4D" w:rsidP="00984696">
            <w:pPr>
              <w:jc w:val="both"/>
              <w:rPr>
                <w:rFonts w:cstheme="minorHAnsi"/>
              </w:rPr>
            </w:pPr>
            <w:r w:rsidRPr="00DC4050">
              <w:rPr>
                <w:rFonts w:cstheme="minorHAnsi"/>
              </w:rPr>
              <w:t xml:space="preserve">Q19 Do you identify any other issue that would need to be specified in relation to the above section on the block 4 of the reporting template? </w:t>
            </w:r>
          </w:p>
          <w:p w14:paraId="764ED5DE" w14:textId="77777777" w:rsidR="00F7636D" w:rsidRPr="00DC4050" w:rsidRDefault="00F7636D" w:rsidP="00984696">
            <w:pPr>
              <w:jc w:val="both"/>
              <w:rPr>
                <w:rFonts w:cstheme="minorHAnsi"/>
              </w:rPr>
            </w:pPr>
            <w:r w:rsidRPr="00DC4050">
              <w:rPr>
                <w:rFonts w:cstheme="minorHAnsi"/>
              </w:rPr>
              <w:t xml:space="preserve">In particular, in your view, how would the NAV of the MMF compare to the sum of the values of the fields on total market values (and quantity) of money market instruments, securitisation and ABCP, financial derivative instrument, unit or share of other MMF, deposit or ancillary liquid asset, repurchase agreement and reverse repurchase agreement (A.6.16 and A.6.11, A.6.34 39 and A.6.29, A.6.54, A.6.67 and A.6.69, A.6.80, A.6.91)? </w:t>
            </w:r>
          </w:p>
          <w:p w14:paraId="709F806C" w14:textId="025447B0" w:rsidR="00FB2D4D" w:rsidRPr="00DC4050" w:rsidRDefault="00F7636D" w:rsidP="00984696">
            <w:pPr>
              <w:jc w:val="both"/>
              <w:rPr>
                <w:rFonts w:cstheme="minorHAnsi"/>
              </w:rPr>
            </w:pPr>
            <w:r w:rsidRPr="00DC4050">
              <w:rPr>
                <w:rFonts w:cstheme="minorHAnsi"/>
              </w:rPr>
              <w:t>Do you have any comments on the table “CFI codes for eligible securities” included in the annex of the Guidelines?</w:t>
            </w:r>
          </w:p>
        </w:tc>
      </w:tr>
      <w:tr w:rsidR="00FB2D4D" w:rsidRPr="00984696" w14:paraId="229D4853" w14:textId="77777777" w:rsidTr="00FB2D4D">
        <w:tc>
          <w:tcPr>
            <w:tcW w:w="9016" w:type="dxa"/>
          </w:tcPr>
          <w:p w14:paraId="44193945" w14:textId="77777777" w:rsidR="00AC10F2" w:rsidRPr="00E511B2" w:rsidRDefault="00F7636D" w:rsidP="00984696">
            <w:pPr>
              <w:spacing w:before="120" w:after="360"/>
              <w:jc w:val="both"/>
              <w:rPr>
                <w:rFonts w:cstheme="minorHAnsi"/>
                <w:color w:val="000000" w:themeColor="text1"/>
              </w:rPr>
            </w:pPr>
            <w:r w:rsidRPr="00E511B2">
              <w:rPr>
                <w:rFonts w:cstheme="minorHAnsi"/>
                <w:color w:val="000000" w:themeColor="text1"/>
              </w:rPr>
              <w:t>No.</w:t>
            </w:r>
          </w:p>
          <w:p w14:paraId="67CE6688" w14:textId="74406C9C" w:rsidR="00E511B2" w:rsidRDefault="00E511B2" w:rsidP="00E511B2">
            <w:pPr>
              <w:spacing w:before="120" w:after="120"/>
              <w:jc w:val="both"/>
              <w:rPr>
                <w:color w:val="000000" w:themeColor="text1"/>
              </w:rPr>
            </w:pPr>
            <w:r w:rsidRPr="00E511B2">
              <w:rPr>
                <w:color w:val="000000" w:themeColor="text1"/>
                <w:u w:val="single"/>
              </w:rPr>
              <w:t>Asset Description</w:t>
            </w:r>
            <w:r w:rsidRPr="00E511B2">
              <w:rPr>
                <w:color w:val="000000" w:themeColor="text1"/>
              </w:rPr>
              <w:t xml:space="preserve">: We have certain guidance on how to report asset description for STS securitization but not for other securities. We can have the asset description responded similar to AIFMD process which is more around combination of issuer name, yield/coupon, maturity etc. </w:t>
            </w:r>
            <w:r w:rsidRPr="00E511B2">
              <w:rPr>
                <w:color w:val="000000" w:themeColor="text1"/>
              </w:rPr>
              <w:lastRenderedPageBreak/>
              <w:t>However, if ESMA is looking for this data field to be responded in a certain way, we would need further guidance</w:t>
            </w:r>
            <w:r>
              <w:rPr>
                <w:color w:val="000000" w:themeColor="text1"/>
              </w:rPr>
              <w:t>.</w:t>
            </w:r>
            <w:bookmarkStart w:id="0" w:name="_GoBack"/>
            <w:bookmarkEnd w:id="0"/>
          </w:p>
          <w:p w14:paraId="7C4FF600" w14:textId="3925522D" w:rsidR="00E511B2" w:rsidRPr="00E511B2" w:rsidRDefault="00E511B2" w:rsidP="00E511B2">
            <w:pPr>
              <w:spacing w:before="120" w:after="120"/>
              <w:jc w:val="both"/>
              <w:rPr>
                <w:rFonts w:cstheme="minorHAnsi"/>
                <w:color w:val="000000" w:themeColor="text1"/>
              </w:rPr>
            </w:pPr>
          </w:p>
        </w:tc>
      </w:tr>
      <w:tr w:rsidR="00FB2D4D" w:rsidRPr="00E511B2" w14:paraId="2FCDF3AF" w14:textId="77777777" w:rsidTr="00E511B2">
        <w:tc>
          <w:tcPr>
            <w:tcW w:w="9016" w:type="dxa"/>
            <w:shd w:val="clear" w:color="auto" w:fill="00ABC9"/>
          </w:tcPr>
          <w:p w14:paraId="795AE9F2" w14:textId="4218A00D" w:rsidR="00FB2D4D" w:rsidRPr="00DC4050" w:rsidRDefault="00FB2D4D" w:rsidP="00984696">
            <w:pPr>
              <w:jc w:val="both"/>
              <w:rPr>
                <w:rFonts w:cstheme="minorHAnsi"/>
              </w:rPr>
            </w:pPr>
            <w:r w:rsidRPr="00DC4050">
              <w:rPr>
                <w:rFonts w:cstheme="minorHAnsi"/>
              </w:rPr>
              <w:lastRenderedPageBreak/>
              <w:t xml:space="preserve">Q20 Do you identify any other issue that would need to be specified in relation to the above section on the block 5 of the reporting template? </w:t>
            </w:r>
          </w:p>
        </w:tc>
      </w:tr>
      <w:tr w:rsidR="00FB2D4D" w:rsidRPr="00984696" w14:paraId="366DFF80" w14:textId="77777777" w:rsidTr="00FB2D4D">
        <w:tc>
          <w:tcPr>
            <w:tcW w:w="9016" w:type="dxa"/>
          </w:tcPr>
          <w:p w14:paraId="06EC6868" w14:textId="47E08A76" w:rsidR="00472502" w:rsidRPr="00DC4050" w:rsidRDefault="00F7636D" w:rsidP="00984696">
            <w:pPr>
              <w:spacing w:before="120" w:after="360"/>
              <w:jc w:val="both"/>
              <w:rPr>
                <w:rFonts w:cstheme="minorHAnsi"/>
              </w:rPr>
            </w:pPr>
            <w:r w:rsidRPr="00DC4050">
              <w:rPr>
                <w:rFonts w:cstheme="minorHAnsi"/>
              </w:rPr>
              <w:t>No</w:t>
            </w:r>
          </w:p>
        </w:tc>
      </w:tr>
      <w:tr w:rsidR="00FB2D4D" w:rsidRPr="00E511B2" w14:paraId="73187B08" w14:textId="77777777" w:rsidTr="00E511B2">
        <w:tc>
          <w:tcPr>
            <w:tcW w:w="9016" w:type="dxa"/>
            <w:shd w:val="clear" w:color="auto" w:fill="00ABC9"/>
          </w:tcPr>
          <w:p w14:paraId="156231AD" w14:textId="77777777" w:rsidR="00FB2D4D" w:rsidRPr="00DC4050" w:rsidRDefault="00FB2D4D" w:rsidP="00984696">
            <w:pPr>
              <w:jc w:val="both"/>
              <w:rPr>
                <w:rFonts w:cstheme="minorHAnsi"/>
              </w:rPr>
            </w:pPr>
            <w:r w:rsidRPr="00DC4050">
              <w:rPr>
                <w:rFonts w:cstheme="minorHAnsi"/>
              </w:rPr>
              <w:t>Q21 Do you identify any other issue that would need to be specified in relation to the above section on the block 6 of the reporting template</w:t>
            </w:r>
          </w:p>
        </w:tc>
      </w:tr>
      <w:tr w:rsidR="00FB2D4D" w:rsidRPr="00984696" w14:paraId="6146488E" w14:textId="77777777" w:rsidTr="00FB2D4D">
        <w:tc>
          <w:tcPr>
            <w:tcW w:w="9016" w:type="dxa"/>
          </w:tcPr>
          <w:p w14:paraId="5DBE1C08" w14:textId="0C5F8791" w:rsidR="00472502" w:rsidRPr="00DC4050" w:rsidRDefault="00F7636D" w:rsidP="00984696">
            <w:pPr>
              <w:spacing w:before="120" w:after="360"/>
              <w:jc w:val="both"/>
              <w:rPr>
                <w:rFonts w:cstheme="minorHAnsi"/>
              </w:rPr>
            </w:pPr>
            <w:r w:rsidRPr="00DC4050">
              <w:rPr>
                <w:rFonts w:cstheme="minorHAnsi"/>
              </w:rPr>
              <w:t>Prices should be reported in the currency of the asset, not necessarily in Euro.</w:t>
            </w:r>
          </w:p>
        </w:tc>
      </w:tr>
    </w:tbl>
    <w:p w14:paraId="471D7389" w14:textId="5E46D09E" w:rsidR="00FB2D4D" w:rsidRPr="00DC4050" w:rsidRDefault="00FB2D4D" w:rsidP="00FB2D4D">
      <w:pPr>
        <w:rPr>
          <w:rFonts w:cstheme="minorHAnsi"/>
        </w:rPr>
      </w:pPr>
    </w:p>
    <w:sectPr w:rsidR="00FB2D4D" w:rsidRPr="00DC4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9727C"/>
    <w:multiLevelType w:val="hybridMultilevel"/>
    <w:tmpl w:val="A59E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E51FCB"/>
    <w:multiLevelType w:val="hybridMultilevel"/>
    <w:tmpl w:val="A77E2664"/>
    <w:lvl w:ilvl="0" w:tplc="27DEE8AA">
      <w:numFmt w:val="bullet"/>
      <w:lvlText w:val=""/>
      <w:lvlJc w:val="left"/>
      <w:pPr>
        <w:ind w:left="948" w:hanging="360"/>
      </w:pPr>
      <w:rPr>
        <w:rFonts w:ascii="Symbol" w:eastAsia="Symbol" w:hAnsi="Symbol" w:cs="Symbol" w:hint="default"/>
        <w:w w:val="100"/>
        <w:sz w:val="22"/>
        <w:szCs w:val="22"/>
      </w:rPr>
    </w:lvl>
    <w:lvl w:ilvl="1" w:tplc="5A4C8EB8">
      <w:numFmt w:val="bullet"/>
      <w:lvlText w:val="•"/>
      <w:lvlJc w:val="left"/>
      <w:pPr>
        <w:ind w:left="1770" w:hanging="360"/>
      </w:pPr>
      <w:rPr>
        <w:rFonts w:hint="default"/>
      </w:rPr>
    </w:lvl>
    <w:lvl w:ilvl="2" w:tplc="C3CC241A">
      <w:numFmt w:val="bullet"/>
      <w:lvlText w:val="•"/>
      <w:lvlJc w:val="left"/>
      <w:pPr>
        <w:ind w:left="2600" w:hanging="360"/>
      </w:pPr>
      <w:rPr>
        <w:rFonts w:hint="default"/>
      </w:rPr>
    </w:lvl>
    <w:lvl w:ilvl="3" w:tplc="5F7A6950">
      <w:numFmt w:val="bullet"/>
      <w:lvlText w:val="•"/>
      <w:lvlJc w:val="left"/>
      <w:pPr>
        <w:ind w:left="3431" w:hanging="360"/>
      </w:pPr>
      <w:rPr>
        <w:rFonts w:hint="default"/>
      </w:rPr>
    </w:lvl>
    <w:lvl w:ilvl="4" w:tplc="9EB2BB1A">
      <w:numFmt w:val="bullet"/>
      <w:lvlText w:val="•"/>
      <w:lvlJc w:val="left"/>
      <w:pPr>
        <w:ind w:left="4261" w:hanging="360"/>
      </w:pPr>
      <w:rPr>
        <w:rFonts w:hint="default"/>
      </w:rPr>
    </w:lvl>
    <w:lvl w:ilvl="5" w:tplc="613CCE96">
      <w:numFmt w:val="bullet"/>
      <w:lvlText w:val="•"/>
      <w:lvlJc w:val="left"/>
      <w:pPr>
        <w:ind w:left="5092" w:hanging="360"/>
      </w:pPr>
      <w:rPr>
        <w:rFonts w:hint="default"/>
      </w:rPr>
    </w:lvl>
    <w:lvl w:ilvl="6" w:tplc="D24065FC">
      <w:numFmt w:val="bullet"/>
      <w:lvlText w:val="•"/>
      <w:lvlJc w:val="left"/>
      <w:pPr>
        <w:ind w:left="5922" w:hanging="360"/>
      </w:pPr>
      <w:rPr>
        <w:rFonts w:hint="default"/>
      </w:rPr>
    </w:lvl>
    <w:lvl w:ilvl="7" w:tplc="0532A67C">
      <w:numFmt w:val="bullet"/>
      <w:lvlText w:val="•"/>
      <w:lvlJc w:val="left"/>
      <w:pPr>
        <w:ind w:left="6753" w:hanging="360"/>
      </w:pPr>
      <w:rPr>
        <w:rFonts w:hint="default"/>
      </w:rPr>
    </w:lvl>
    <w:lvl w:ilvl="8" w:tplc="7592FFD4">
      <w:numFmt w:val="bullet"/>
      <w:lvlText w:val="•"/>
      <w:lvlJc w:val="left"/>
      <w:pPr>
        <w:ind w:left="7583"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4D"/>
    <w:rsid w:val="00093261"/>
    <w:rsid w:val="000D6F9B"/>
    <w:rsid w:val="001A544E"/>
    <w:rsid w:val="00316AB7"/>
    <w:rsid w:val="0034284F"/>
    <w:rsid w:val="00377A8B"/>
    <w:rsid w:val="003E21A2"/>
    <w:rsid w:val="00472502"/>
    <w:rsid w:val="006705CE"/>
    <w:rsid w:val="00745AC7"/>
    <w:rsid w:val="007D0F47"/>
    <w:rsid w:val="007E22B1"/>
    <w:rsid w:val="00811800"/>
    <w:rsid w:val="008A11C0"/>
    <w:rsid w:val="008C4DF3"/>
    <w:rsid w:val="009009A2"/>
    <w:rsid w:val="00984696"/>
    <w:rsid w:val="00AC10F2"/>
    <w:rsid w:val="00B051A3"/>
    <w:rsid w:val="00BC2071"/>
    <w:rsid w:val="00C82DF4"/>
    <w:rsid w:val="00DC4050"/>
    <w:rsid w:val="00E511B2"/>
    <w:rsid w:val="00E72756"/>
    <w:rsid w:val="00F7636D"/>
    <w:rsid w:val="00FB2D4D"/>
    <w:rsid w:val="00FF0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345F"/>
  <w15:chartTrackingRefBased/>
  <w15:docId w15:val="{1A6552C2-1F38-4ECF-9A88-2853C871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5CE"/>
  </w:style>
  <w:style w:type="paragraph" w:styleId="Heading1">
    <w:name w:val="heading 1"/>
    <w:basedOn w:val="Normal"/>
    <w:link w:val="Heading1Char"/>
    <w:uiPriority w:val="9"/>
    <w:qFormat/>
    <w:rsid w:val="008C4DF3"/>
    <w:pPr>
      <w:widowControl w:val="0"/>
      <w:autoSpaceDE w:val="0"/>
      <w:autoSpaceDN w:val="0"/>
      <w:spacing w:before="120" w:after="0" w:line="240" w:lineRule="auto"/>
      <w:ind w:left="108"/>
      <w:outlineLvl w:val="0"/>
    </w:pPr>
    <w:rPr>
      <w:rFonts w:ascii="Calibri" w:eastAsia="Calibri" w:hAnsi="Calibri" w:cs="Calibri"/>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705CE"/>
    <w:pPr>
      <w:ind w:left="720"/>
      <w:contextualSpacing/>
    </w:pPr>
  </w:style>
  <w:style w:type="table" w:styleId="TableGrid">
    <w:name w:val="Table Grid"/>
    <w:basedOn w:val="TableNormal"/>
    <w:uiPriority w:val="39"/>
    <w:rsid w:val="00FB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C4DF3"/>
    <w:rPr>
      <w:rFonts w:ascii="Calibri" w:eastAsia="Calibri" w:hAnsi="Calibri" w:cs="Calibri"/>
      <w:b/>
      <w:bCs/>
      <w:lang w:val="en-US"/>
    </w:rPr>
  </w:style>
  <w:style w:type="paragraph" w:styleId="BodyText">
    <w:name w:val="Body Text"/>
    <w:basedOn w:val="Normal"/>
    <w:link w:val="BodyTextChar"/>
    <w:uiPriority w:val="1"/>
    <w:qFormat/>
    <w:rsid w:val="008C4DF3"/>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8C4DF3"/>
    <w:rPr>
      <w:rFonts w:ascii="Calibri" w:eastAsia="Calibri" w:hAnsi="Calibri" w:cs="Calibri"/>
      <w:lang w:val="en-US"/>
    </w:rPr>
  </w:style>
  <w:style w:type="paragraph" w:styleId="BalloonText">
    <w:name w:val="Balloon Text"/>
    <w:basedOn w:val="Normal"/>
    <w:link w:val="BalloonTextChar"/>
    <w:uiPriority w:val="99"/>
    <w:semiHidden/>
    <w:unhideWhenUsed/>
    <w:rsid w:val="00811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8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mmf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98513A6C7154BBEAA3B849DCE0F1D" ma:contentTypeVersion="9" ma:contentTypeDescription="Create a new document." ma:contentTypeScope="" ma:versionID="542dace7ef1bf77dc3fc51613c71174c">
  <xsd:schema xmlns:xsd="http://www.w3.org/2001/XMLSchema" xmlns:xs="http://www.w3.org/2001/XMLSchema" xmlns:p="http://schemas.microsoft.com/office/2006/metadata/properties" xmlns:ns2="305c5873-8f29-4047-95e3-59b9edfb9e5f" xmlns:ns3="3a3372f0-c1f0-4f1d-bf23-e3b35840e156" targetNamespace="http://schemas.microsoft.com/office/2006/metadata/properties" ma:root="true" ma:fieldsID="82463d280182ca4058d9087a636afe21" ns2:_="" ns3:_="">
    <xsd:import namespace="305c5873-8f29-4047-95e3-59b9edfb9e5f"/>
    <xsd:import namespace="3a3372f0-c1f0-4f1d-bf23-e3b35840e1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c5873-8f29-4047-95e3-59b9edfb9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372f0-c1f0-4f1d-bf23-e3b35840e1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A912B-67F4-44F4-822F-622EABF8C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c5873-8f29-4047-95e3-59b9edfb9e5f"/>
    <ds:schemaRef ds:uri="3a3372f0-c1f0-4f1d-bf23-e3b35840e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58A39-0E75-41C6-A89A-86B70C57F195}">
  <ds:schemaRefs>
    <ds:schemaRef ds:uri="http://schemas.microsoft.com/sharepoint/v3/contenttype/forms"/>
  </ds:schemaRefs>
</ds:datastoreItem>
</file>

<file path=customXml/itemProps3.xml><?xml version="1.0" encoding="utf-8"?>
<ds:datastoreItem xmlns:ds="http://schemas.openxmlformats.org/officeDocument/2006/customXml" ds:itemID="{80418562-AFC5-4588-8E6E-C2FB38C165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Curran</dc:creator>
  <cp:keywords/>
  <dc:description/>
  <cp:lastModifiedBy>MATT CURRAN</cp:lastModifiedBy>
  <cp:revision>2</cp:revision>
  <cp:lastPrinted>2019-02-13T13:47:00Z</cp:lastPrinted>
  <dcterms:created xsi:type="dcterms:W3CDTF">2019-02-14T15:18:00Z</dcterms:created>
  <dcterms:modified xsi:type="dcterms:W3CDTF">2019-02-14T15:18:00Z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0x01010082F98513A6C7154BBEAA3B849DCE0F1D</vt:lpwstr>
  </property>
</Properties>
</file>