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E1C" w:rsidRDefault="00025E1C"/>
    <w:tbl>
      <w:tblPr>
        <w:tblW w:w="8386" w:type="dxa"/>
        <w:tblLayout w:type="fixed"/>
        <w:tblCellMar>
          <w:left w:w="0" w:type="dxa"/>
          <w:right w:w="0" w:type="dxa"/>
        </w:tblCellMar>
        <w:tblLook w:val="0000" w:firstRow="0" w:lastRow="0" w:firstColumn="0" w:lastColumn="0" w:noHBand="0" w:noVBand="0"/>
      </w:tblPr>
      <w:tblGrid>
        <w:gridCol w:w="8364"/>
        <w:gridCol w:w="22"/>
      </w:tblGrid>
      <w:tr w:rsidR="00894750" w:rsidRPr="00D50E13" w:rsidTr="008A69C5">
        <w:trPr>
          <w:trHeight w:hRule="exact" w:val="1680"/>
        </w:trPr>
        <w:tc>
          <w:tcPr>
            <w:tcW w:w="8364" w:type="dxa"/>
          </w:tcPr>
          <w:p w:rsidR="00025E1C" w:rsidRDefault="00025E1C" w:rsidP="00C846E7">
            <w:pPr>
              <w:spacing w:line="276" w:lineRule="auto"/>
              <w:jc w:val="center"/>
              <w:rPr>
                <w:b/>
                <w:bCs/>
                <w:sz w:val="28"/>
                <w:szCs w:val="28"/>
                <w:lang w:val="en-US" w:bidi="x-none"/>
              </w:rPr>
            </w:pPr>
            <w:proofErr w:type="spellStart"/>
            <w:r w:rsidRPr="00025E1C">
              <w:rPr>
                <w:b/>
                <w:bCs/>
                <w:sz w:val="28"/>
                <w:szCs w:val="28"/>
                <w:lang w:val="en-US" w:bidi="x-none"/>
              </w:rPr>
              <w:t>Amundi’s</w:t>
            </w:r>
            <w:proofErr w:type="spellEnd"/>
            <w:r w:rsidRPr="00025E1C">
              <w:rPr>
                <w:b/>
                <w:bCs/>
                <w:sz w:val="28"/>
                <w:szCs w:val="28"/>
                <w:lang w:val="en-US" w:bidi="x-none"/>
              </w:rPr>
              <w:t xml:space="preserve"> answer to </w:t>
            </w:r>
            <w:r w:rsidR="00330922">
              <w:rPr>
                <w:b/>
                <w:bCs/>
                <w:sz w:val="28"/>
                <w:szCs w:val="28"/>
                <w:lang w:val="en-US" w:bidi="x-none"/>
              </w:rPr>
              <w:t>ESMA’s consultation</w:t>
            </w:r>
            <w:r w:rsidR="00C846E7">
              <w:rPr>
                <w:b/>
                <w:bCs/>
                <w:sz w:val="28"/>
                <w:szCs w:val="28"/>
                <w:lang w:val="en-US" w:bidi="x-none"/>
              </w:rPr>
              <w:t xml:space="preserve"> paper on</w:t>
            </w:r>
          </w:p>
          <w:p w:rsidR="00F75822" w:rsidRDefault="00330922" w:rsidP="00C846E7">
            <w:pPr>
              <w:spacing w:line="276" w:lineRule="auto"/>
              <w:jc w:val="center"/>
              <w:rPr>
                <w:b/>
                <w:bCs/>
                <w:sz w:val="28"/>
                <w:szCs w:val="28"/>
                <w:lang w:val="en-US" w:bidi="x-none"/>
              </w:rPr>
            </w:pPr>
            <w:r>
              <w:rPr>
                <w:b/>
                <w:bCs/>
                <w:sz w:val="28"/>
                <w:szCs w:val="28"/>
                <w:lang w:val="en-US" w:bidi="x-none"/>
              </w:rPr>
              <w:t xml:space="preserve">Draft guidelines on the reporting to competent authorities </w:t>
            </w:r>
          </w:p>
          <w:p w:rsidR="00330922" w:rsidRDefault="00330922" w:rsidP="00C846E7">
            <w:pPr>
              <w:spacing w:line="276" w:lineRule="auto"/>
              <w:jc w:val="center"/>
              <w:rPr>
                <w:b/>
                <w:bCs/>
                <w:sz w:val="28"/>
                <w:szCs w:val="28"/>
                <w:lang w:val="en-US" w:bidi="x-none"/>
              </w:rPr>
            </w:pPr>
            <w:r>
              <w:rPr>
                <w:b/>
                <w:bCs/>
                <w:sz w:val="28"/>
                <w:szCs w:val="28"/>
                <w:lang w:val="en-US" w:bidi="x-none"/>
              </w:rPr>
              <w:t>Under article 37 of MMF Regulation</w:t>
            </w:r>
          </w:p>
          <w:p w:rsidR="00025E1C" w:rsidRPr="00025E1C" w:rsidRDefault="00025E1C" w:rsidP="00025E1C">
            <w:pPr>
              <w:spacing w:line="216" w:lineRule="atLeast"/>
              <w:jc w:val="center"/>
              <w:rPr>
                <w:b/>
                <w:bCs/>
                <w:sz w:val="28"/>
                <w:szCs w:val="28"/>
                <w:lang w:val="en-US" w:bidi="x-none"/>
              </w:rPr>
            </w:pPr>
          </w:p>
          <w:p w:rsidR="00025E1C" w:rsidRPr="00025E1C" w:rsidRDefault="00025E1C" w:rsidP="00025E1C">
            <w:pPr>
              <w:spacing w:line="216" w:lineRule="atLeast"/>
              <w:jc w:val="center"/>
              <w:rPr>
                <w:sz w:val="24"/>
                <w:szCs w:val="24"/>
                <w:lang w:val="en-US" w:bidi="x-none"/>
              </w:rPr>
            </w:pPr>
            <w:r w:rsidRPr="00025E1C">
              <w:rPr>
                <w:bCs/>
                <w:sz w:val="24"/>
                <w:szCs w:val="24"/>
                <w:lang w:val="en-US" w:bidi="x-none"/>
              </w:rPr>
              <w:t>(</w:t>
            </w:r>
            <w:r w:rsidR="00F75822">
              <w:rPr>
                <w:bCs/>
                <w:sz w:val="24"/>
                <w:szCs w:val="24"/>
                <w:lang w:val="en-US" w:bidi="x-none"/>
              </w:rPr>
              <w:t xml:space="preserve">February </w:t>
            </w:r>
            <w:r w:rsidR="00330922">
              <w:rPr>
                <w:bCs/>
                <w:sz w:val="24"/>
                <w:szCs w:val="24"/>
                <w:lang w:val="en-US" w:bidi="x-none"/>
              </w:rPr>
              <w:t>14</w:t>
            </w:r>
            <w:r w:rsidRPr="00025E1C">
              <w:rPr>
                <w:bCs/>
                <w:sz w:val="24"/>
                <w:szCs w:val="24"/>
                <w:lang w:val="en-US" w:bidi="x-none"/>
              </w:rPr>
              <w:t>, 2018)</w:t>
            </w:r>
          </w:p>
          <w:p w:rsidR="008A69C5" w:rsidRPr="008A69C5" w:rsidRDefault="008A69C5" w:rsidP="00025E1C">
            <w:pPr>
              <w:spacing w:line="216" w:lineRule="atLeast"/>
              <w:jc w:val="center"/>
              <w:rPr>
                <w:sz w:val="24"/>
                <w:szCs w:val="24"/>
                <w:lang w:val="en-US" w:bidi="x-none"/>
              </w:rPr>
            </w:pPr>
          </w:p>
        </w:tc>
        <w:tc>
          <w:tcPr>
            <w:tcW w:w="22" w:type="dxa"/>
          </w:tcPr>
          <w:p w:rsidR="00894750" w:rsidRPr="008A69C5" w:rsidRDefault="00894750">
            <w:pPr>
              <w:spacing w:line="216" w:lineRule="atLeast"/>
              <w:rPr>
                <w:sz w:val="18"/>
                <w:lang w:val="en-US" w:bidi="x-none"/>
              </w:rPr>
            </w:pPr>
          </w:p>
        </w:tc>
      </w:tr>
      <w:tr w:rsidR="00894750" w:rsidRPr="00025E1C" w:rsidTr="008A69C5">
        <w:trPr>
          <w:trHeight w:hRule="exact" w:val="200"/>
        </w:trPr>
        <w:tc>
          <w:tcPr>
            <w:tcW w:w="8386" w:type="dxa"/>
            <w:gridSpan w:val="2"/>
          </w:tcPr>
          <w:p w:rsidR="00025E1C" w:rsidRPr="00025E1C" w:rsidRDefault="00025E1C" w:rsidP="00025E1C">
            <w:pPr>
              <w:autoSpaceDE w:val="0"/>
              <w:autoSpaceDN w:val="0"/>
              <w:adjustRightInd w:val="0"/>
              <w:spacing w:line="240" w:lineRule="auto"/>
              <w:rPr>
                <w:rFonts w:ascii="Times New Roman" w:eastAsia="PMingLiU" w:hAnsi="Times New Roman"/>
                <w:color w:val="000000"/>
                <w:sz w:val="24"/>
                <w:szCs w:val="24"/>
                <w:lang w:val="en-US" w:eastAsia="zh-TW"/>
              </w:rPr>
            </w:pPr>
          </w:p>
          <w:p w:rsidR="00025E1C" w:rsidRPr="00025E1C" w:rsidRDefault="00025E1C" w:rsidP="00025E1C">
            <w:pPr>
              <w:spacing w:after="200" w:line="276" w:lineRule="auto"/>
              <w:jc w:val="center"/>
              <w:rPr>
                <w:rFonts w:ascii="Calibri" w:eastAsia="PMingLiU" w:hAnsi="Calibri"/>
                <w:b/>
                <w:bCs/>
                <w:sz w:val="40"/>
                <w:szCs w:val="40"/>
                <w:lang w:val="en-US" w:eastAsia="zh-TW"/>
              </w:rPr>
            </w:pPr>
            <w:proofErr w:type="spellStart"/>
            <w:r w:rsidRPr="00025E1C">
              <w:rPr>
                <w:rFonts w:ascii="Calibri" w:eastAsia="PMingLiU" w:hAnsi="Calibri"/>
                <w:b/>
                <w:bCs/>
                <w:sz w:val="40"/>
                <w:szCs w:val="40"/>
                <w:lang w:val="en-US" w:eastAsia="zh-TW"/>
              </w:rPr>
              <w:t>Amundi’s</w:t>
            </w:r>
            <w:proofErr w:type="spellEnd"/>
            <w:r w:rsidRPr="00025E1C">
              <w:rPr>
                <w:rFonts w:ascii="Calibri" w:eastAsia="PMingLiU" w:hAnsi="Calibri"/>
                <w:b/>
                <w:bCs/>
                <w:sz w:val="40"/>
                <w:szCs w:val="40"/>
                <w:lang w:val="en-US" w:eastAsia="zh-TW"/>
              </w:rPr>
              <w:t xml:space="preserve"> answer to ISDA’s Consultation on Interbank Offered Rate (IBOR) Fallbacks for 2006 ISDA Definitions</w:t>
            </w:r>
          </w:p>
          <w:p w:rsidR="00025E1C" w:rsidRPr="00025E1C" w:rsidRDefault="00025E1C" w:rsidP="00025E1C">
            <w:pPr>
              <w:spacing w:after="200" w:line="276" w:lineRule="auto"/>
              <w:jc w:val="center"/>
              <w:rPr>
                <w:rFonts w:eastAsia="PMingLiU" w:cs="Arial"/>
                <w:sz w:val="28"/>
                <w:szCs w:val="28"/>
                <w:lang w:val="en-US" w:eastAsia="zh-TW"/>
              </w:rPr>
            </w:pPr>
            <w:r w:rsidRPr="00025E1C">
              <w:rPr>
                <w:rFonts w:ascii="Calibri" w:eastAsia="PMingLiU" w:hAnsi="Calibri"/>
                <w:bCs/>
                <w:sz w:val="28"/>
                <w:szCs w:val="28"/>
                <w:lang w:val="en-US" w:eastAsia="zh-TW"/>
              </w:rPr>
              <w:t>(October 12, 2018)</w:t>
            </w:r>
          </w:p>
          <w:p w:rsidR="00025E1C" w:rsidRPr="00025E1C" w:rsidRDefault="00025E1C" w:rsidP="00025E1C">
            <w:pPr>
              <w:spacing w:after="200" w:line="276" w:lineRule="auto"/>
              <w:jc w:val="both"/>
              <w:rPr>
                <w:rFonts w:eastAsia="PMingLiU" w:cs="Arial"/>
                <w:b/>
                <w:sz w:val="22"/>
                <w:szCs w:val="22"/>
                <w:lang w:val="en-US" w:eastAsia="zh-TW"/>
              </w:rPr>
            </w:pPr>
            <w:r w:rsidRPr="00025E1C">
              <w:rPr>
                <w:rFonts w:eastAsia="PMingLiU" w:cs="Arial"/>
                <w:b/>
                <w:sz w:val="22"/>
                <w:szCs w:val="22"/>
                <w:lang w:val="en-US" w:eastAsia="zh-TW"/>
              </w:rPr>
              <w:t>Questions</w:t>
            </w:r>
          </w:p>
          <w:p w:rsidR="00025E1C" w:rsidRPr="00025E1C" w:rsidRDefault="00025E1C" w:rsidP="00025E1C">
            <w:pPr>
              <w:spacing w:after="200" w:line="276" w:lineRule="auto"/>
              <w:jc w:val="both"/>
              <w:rPr>
                <w:rFonts w:eastAsia="PMingLiU" w:cs="Arial"/>
                <w:b/>
                <w:sz w:val="22"/>
                <w:szCs w:val="22"/>
                <w:lang w:val="en-US" w:eastAsia="zh-TW"/>
              </w:rPr>
            </w:pPr>
            <w:r w:rsidRPr="00025E1C">
              <w:rPr>
                <w:rFonts w:eastAsia="PMingLiU" w:cs="Arial"/>
                <w:b/>
                <w:sz w:val="22"/>
                <w:szCs w:val="22"/>
                <w:lang w:val="en-US" w:eastAsia="zh-TW"/>
              </w:rPr>
              <w:t>The following pairs of adjusted RFR and spread adjustment are possible:</w:t>
            </w:r>
          </w:p>
          <w:p w:rsidR="00025E1C" w:rsidRPr="00025E1C" w:rsidRDefault="00025E1C" w:rsidP="00025E1C">
            <w:pPr>
              <w:spacing w:after="200" w:line="276" w:lineRule="auto"/>
              <w:jc w:val="both"/>
              <w:rPr>
                <w:rFonts w:eastAsia="PMingLiU" w:cs="Arial"/>
                <w:b/>
                <w:color w:val="FF0000"/>
                <w:sz w:val="22"/>
                <w:szCs w:val="22"/>
                <w:lang w:val="en-US" w:eastAsia="zh-TW"/>
              </w:rPr>
            </w:pPr>
            <w:r w:rsidRPr="00025E1C">
              <w:rPr>
                <w:rFonts w:eastAsia="PMingLiU" w:cs="Arial"/>
                <w:b/>
                <w:sz w:val="22"/>
                <w:szCs w:val="22"/>
                <w:lang w:val="en-US" w:eastAsia="zh-TW"/>
              </w:rPr>
              <w:t>1. Compounded Setting in Arrears Rate with Forward Approach</w:t>
            </w:r>
            <w:r w:rsidRPr="00025E1C">
              <w:rPr>
                <w:rFonts w:eastAsia="PMingLiU" w:cs="Arial"/>
                <w:b/>
                <w:color w:val="FF0000"/>
                <w:sz w:val="22"/>
                <w:szCs w:val="22"/>
                <w:lang w:val="en-US" w:eastAsia="zh-TW"/>
              </w:rPr>
              <w:t xml:space="preserve"> 1</w:t>
            </w:r>
          </w:p>
          <w:p w:rsidR="00025E1C" w:rsidRPr="00025E1C" w:rsidRDefault="00025E1C" w:rsidP="00025E1C">
            <w:pPr>
              <w:spacing w:after="200" w:line="276" w:lineRule="auto"/>
              <w:jc w:val="both"/>
              <w:rPr>
                <w:rFonts w:eastAsia="PMingLiU" w:cs="Arial"/>
                <w:b/>
                <w:color w:val="FF0000"/>
                <w:sz w:val="22"/>
                <w:szCs w:val="22"/>
                <w:lang w:val="en-US" w:eastAsia="zh-TW"/>
              </w:rPr>
            </w:pPr>
            <w:r w:rsidRPr="00025E1C">
              <w:rPr>
                <w:rFonts w:eastAsia="PMingLiU" w:cs="Arial"/>
                <w:b/>
                <w:sz w:val="22"/>
                <w:szCs w:val="22"/>
                <w:lang w:val="en-US" w:eastAsia="zh-TW"/>
              </w:rPr>
              <w:t xml:space="preserve">2. Compounded Setting in Advance Rate with Forward Approach </w:t>
            </w:r>
            <w:r w:rsidRPr="00025E1C">
              <w:rPr>
                <w:rFonts w:eastAsia="PMingLiU" w:cs="Arial"/>
                <w:b/>
                <w:color w:val="FF0000"/>
                <w:sz w:val="22"/>
                <w:szCs w:val="22"/>
                <w:lang w:val="en-US" w:eastAsia="zh-TW"/>
              </w:rPr>
              <w:t>5</w:t>
            </w:r>
          </w:p>
          <w:p w:rsidR="00025E1C" w:rsidRPr="00025E1C" w:rsidRDefault="00025E1C" w:rsidP="00025E1C">
            <w:pPr>
              <w:spacing w:after="200" w:line="276" w:lineRule="auto"/>
              <w:jc w:val="both"/>
              <w:rPr>
                <w:rFonts w:eastAsia="PMingLiU" w:cs="Arial"/>
                <w:b/>
                <w:color w:val="FF0000"/>
                <w:sz w:val="22"/>
                <w:szCs w:val="22"/>
                <w:lang w:val="en-US" w:eastAsia="zh-TW"/>
              </w:rPr>
            </w:pPr>
            <w:r w:rsidRPr="00025E1C">
              <w:rPr>
                <w:rFonts w:eastAsia="PMingLiU" w:cs="Arial"/>
                <w:b/>
                <w:sz w:val="22"/>
                <w:szCs w:val="22"/>
                <w:lang w:val="en-US" w:eastAsia="zh-TW"/>
              </w:rPr>
              <w:t xml:space="preserve">3. Spot Overnight Rate with Historical Mean/Median Approach </w:t>
            </w:r>
            <w:r w:rsidRPr="00025E1C">
              <w:rPr>
                <w:rFonts w:eastAsia="PMingLiU" w:cs="Arial"/>
                <w:b/>
                <w:color w:val="FF0000"/>
                <w:sz w:val="22"/>
                <w:szCs w:val="22"/>
                <w:lang w:val="en-US" w:eastAsia="zh-TW"/>
              </w:rPr>
              <w:t>9</w:t>
            </w:r>
          </w:p>
          <w:p w:rsidR="00025E1C" w:rsidRPr="00025E1C" w:rsidRDefault="00025E1C" w:rsidP="00025E1C">
            <w:pPr>
              <w:spacing w:after="200" w:line="276" w:lineRule="auto"/>
              <w:jc w:val="both"/>
              <w:rPr>
                <w:rFonts w:eastAsia="PMingLiU" w:cs="Arial"/>
                <w:b/>
                <w:color w:val="FF0000"/>
                <w:sz w:val="22"/>
                <w:szCs w:val="22"/>
                <w:lang w:val="en-US" w:eastAsia="zh-TW"/>
              </w:rPr>
            </w:pPr>
            <w:r w:rsidRPr="00025E1C">
              <w:rPr>
                <w:rFonts w:eastAsia="PMingLiU" w:cs="Arial"/>
                <w:b/>
                <w:sz w:val="22"/>
                <w:szCs w:val="22"/>
                <w:lang w:val="en-US" w:eastAsia="zh-TW"/>
              </w:rPr>
              <w:t xml:space="preserve">4. Convexity-adjusted Overnight Rate with Historical Mean/Median Approach </w:t>
            </w:r>
            <w:r w:rsidRPr="00025E1C">
              <w:rPr>
                <w:rFonts w:eastAsia="PMingLiU" w:cs="Arial"/>
                <w:b/>
                <w:color w:val="FF0000"/>
                <w:sz w:val="22"/>
                <w:szCs w:val="22"/>
                <w:lang w:val="en-US" w:eastAsia="zh-TW"/>
              </w:rPr>
              <w:t>4</w:t>
            </w:r>
          </w:p>
          <w:p w:rsidR="00025E1C" w:rsidRPr="00025E1C" w:rsidRDefault="00025E1C" w:rsidP="00025E1C">
            <w:pPr>
              <w:spacing w:after="200" w:line="276" w:lineRule="auto"/>
              <w:jc w:val="both"/>
              <w:rPr>
                <w:rFonts w:eastAsia="PMingLiU" w:cs="Arial"/>
                <w:b/>
                <w:color w:val="FF0000"/>
                <w:sz w:val="22"/>
                <w:szCs w:val="22"/>
                <w:lang w:val="en-US" w:eastAsia="zh-TW"/>
              </w:rPr>
            </w:pPr>
            <w:r w:rsidRPr="00025E1C">
              <w:rPr>
                <w:rFonts w:eastAsia="PMingLiU" w:cs="Arial"/>
                <w:b/>
                <w:sz w:val="22"/>
                <w:szCs w:val="22"/>
                <w:lang w:val="en-US" w:eastAsia="zh-TW"/>
              </w:rPr>
              <w:t xml:space="preserve">5. Compounded Setting in Arrears Rate with Historical Mean/Median Approach </w:t>
            </w:r>
            <w:r w:rsidRPr="00025E1C">
              <w:rPr>
                <w:rFonts w:eastAsia="PMingLiU" w:cs="Arial"/>
                <w:b/>
                <w:color w:val="FF0000"/>
                <w:sz w:val="22"/>
                <w:szCs w:val="22"/>
                <w:lang w:val="en-US" w:eastAsia="zh-TW"/>
              </w:rPr>
              <w:t>2</w:t>
            </w:r>
          </w:p>
          <w:p w:rsidR="00025E1C" w:rsidRPr="00025E1C" w:rsidRDefault="00025E1C" w:rsidP="00025E1C">
            <w:pPr>
              <w:spacing w:after="200" w:line="276" w:lineRule="auto"/>
              <w:jc w:val="both"/>
              <w:rPr>
                <w:rFonts w:eastAsia="PMingLiU" w:cs="Arial"/>
                <w:b/>
                <w:color w:val="FF0000"/>
                <w:sz w:val="22"/>
                <w:szCs w:val="22"/>
                <w:lang w:val="en-US" w:eastAsia="zh-TW"/>
              </w:rPr>
            </w:pPr>
            <w:r w:rsidRPr="00025E1C">
              <w:rPr>
                <w:rFonts w:eastAsia="PMingLiU" w:cs="Arial"/>
                <w:b/>
                <w:sz w:val="22"/>
                <w:szCs w:val="22"/>
                <w:lang w:val="en-US" w:eastAsia="zh-TW"/>
              </w:rPr>
              <w:t xml:space="preserve">6. Compounded Setting in Advance Rate with Historical Mean/Median Approach </w:t>
            </w:r>
            <w:r w:rsidRPr="00025E1C">
              <w:rPr>
                <w:rFonts w:eastAsia="PMingLiU" w:cs="Arial"/>
                <w:b/>
                <w:color w:val="FF0000"/>
                <w:sz w:val="22"/>
                <w:szCs w:val="22"/>
                <w:lang w:val="en-US" w:eastAsia="zh-TW"/>
              </w:rPr>
              <w:t>6</w:t>
            </w:r>
          </w:p>
          <w:p w:rsidR="00025E1C" w:rsidRPr="00025E1C" w:rsidRDefault="00025E1C" w:rsidP="00025E1C">
            <w:pPr>
              <w:spacing w:after="200" w:line="276" w:lineRule="auto"/>
              <w:jc w:val="both"/>
              <w:rPr>
                <w:rFonts w:eastAsia="PMingLiU" w:cs="Arial"/>
                <w:b/>
                <w:color w:val="FF0000"/>
                <w:sz w:val="22"/>
                <w:szCs w:val="22"/>
                <w:lang w:val="en-US" w:eastAsia="zh-TW"/>
              </w:rPr>
            </w:pPr>
            <w:r w:rsidRPr="00025E1C">
              <w:rPr>
                <w:rFonts w:eastAsia="PMingLiU" w:cs="Arial"/>
                <w:b/>
                <w:sz w:val="22"/>
                <w:szCs w:val="22"/>
                <w:lang w:val="en-US" w:eastAsia="zh-TW"/>
              </w:rPr>
              <w:t xml:space="preserve">7. Spot Overnight Rate with Spot-Spread Approach </w:t>
            </w:r>
            <w:r w:rsidRPr="00025E1C">
              <w:rPr>
                <w:rFonts w:eastAsia="PMingLiU" w:cs="Arial"/>
                <w:b/>
                <w:color w:val="FF0000"/>
                <w:sz w:val="22"/>
                <w:szCs w:val="22"/>
                <w:lang w:val="en-US" w:eastAsia="zh-TW"/>
              </w:rPr>
              <w:t>8</w:t>
            </w:r>
          </w:p>
          <w:p w:rsidR="00025E1C" w:rsidRPr="00025E1C" w:rsidRDefault="00025E1C" w:rsidP="00025E1C">
            <w:pPr>
              <w:spacing w:after="200" w:line="276" w:lineRule="auto"/>
              <w:jc w:val="both"/>
              <w:rPr>
                <w:rFonts w:eastAsia="PMingLiU" w:cs="Arial"/>
                <w:b/>
                <w:color w:val="FF0000"/>
                <w:sz w:val="22"/>
                <w:szCs w:val="22"/>
                <w:lang w:val="en-US" w:eastAsia="zh-TW"/>
              </w:rPr>
            </w:pPr>
            <w:r w:rsidRPr="00025E1C">
              <w:rPr>
                <w:rFonts w:eastAsia="PMingLiU" w:cs="Arial"/>
                <w:b/>
                <w:sz w:val="22"/>
                <w:szCs w:val="22"/>
                <w:lang w:val="en-US" w:eastAsia="zh-TW"/>
              </w:rPr>
              <w:t xml:space="preserve">8. Convexity-adjusted Overnight Rate with Spot-Spread Approach </w:t>
            </w:r>
            <w:r w:rsidRPr="00025E1C">
              <w:rPr>
                <w:rFonts w:eastAsia="PMingLiU" w:cs="Arial"/>
                <w:b/>
                <w:color w:val="FF0000"/>
                <w:sz w:val="22"/>
                <w:szCs w:val="22"/>
                <w:lang w:val="en-US" w:eastAsia="zh-TW"/>
              </w:rPr>
              <w:t>3</w:t>
            </w:r>
          </w:p>
          <w:p w:rsidR="00025E1C" w:rsidRPr="00025E1C" w:rsidRDefault="00025E1C" w:rsidP="00025E1C">
            <w:pPr>
              <w:spacing w:after="200" w:line="276" w:lineRule="auto"/>
              <w:jc w:val="both"/>
              <w:rPr>
                <w:rFonts w:eastAsia="PMingLiU" w:cs="Arial"/>
                <w:color w:val="FF0000"/>
                <w:sz w:val="22"/>
                <w:szCs w:val="22"/>
                <w:lang w:val="en-US" w:eastAsia="zh-TW"/>
              </w:rPr>
            </w:pPr>
            <w:r w:rsidRPr="00025E1C">
              <w:rPr>
                <w:rFonts w:eastAsia="PMingLiU" w:cs="Arial"/>
                <w:b/>
                <w:sz w:val="22"/>
                <w:szCs w:val="22"/>
                <w:lang w:val="en-US" w:eastAsia="zh-TW"/>
              </w:rPr>
              <w:t>9. Compounded Setting in Advance Rate with Spot-Spread Approach</w:t>
            </w:r>
            <w:r w:rsidRPr="00025E1C">
              <w:rPr>
                <w:rFonts w:eastAsia="PMingLiU" w:cs="Arial"/>
                <w:sz w:val="22"/>
                <w:szCs w:val="22"/>
                <w:lang w:val="en-US" w:eastAsia="zh-TW"/>
              </w:rPr>
              <w:t xml:space="preserve"> </w:t>
            </w:r>
            <w:r w:rsidRPr="00025E1C">
              <w:rPr>
                <w:rFonts w:eastAsia="PMingLiU" w:cs="Arial"/>
                <w:color w:val="FF0000"/>
                <w:sz w:val="22"/>
                <w:szCs w:val="22"/>
                <w:lang w:val="en-US" w:eastAsia="zh-TW"/>
              </w:rPr>
              <w:t>7</w:t>
            </w:r>
          </w:p>
          <w:p w:rsidR="00025E1C" w:rsidRPr="00025E1C" w:rsidRDefault="00025E1C" w:rsidP="00025E1C">
            <w:pPr>
              <w:spacing w:after="200" w:line="276" w:lineRule="auto"/>
              <w:jc w:val="both"/>
              <w:rPr>
                <w:rFonts w:eastAsia="PMingLiU" w:cs="Arial"/>
                <w:b/>
                <w:sz w:val="22"/>
                <w:szCs w:val="22"/>
                <w:lang w:val="en-US" w:eastAsia="zh-TW"/>
              </w:rPr>
            </w:pPr>
            <w:r w:rsidRPr="00025E1C">
              <w:rPr>
                <w:rFonts w:eastAsia="PMingLiU" w:cs="Arial"/>
                <w:b/>
                <w:sz w:val="22"/>
                <w:szCs w:val="22"/>
                <w:lang w:val="en-US" w:eastAsia="zh-TW"/>
              </w:rPr>
              <w:t>Preferred Approach</w:t>
            </w:r>
          </w:p>
          <w:p w:rsidR="00025E1C" w:rsidRPr="00025E1C" w:rsidRDefault="00025E1C" w:rsidP="00025E1C">
            <w:pPr>
              <w:spacing w:after="200" w:line="276" w:lineRule="auto"/>
              <w:jc w:val="both"/>
              <w:rPr>
                <w:rFonts w:eastAsia="PMingLiU" w:cs="Arial"/>
                <w:b/>
                <w:sz w:val="22"/>
                <w:szCs w:val="22"/>
                <w:lang w:val="en-US" w:eastAsia="zh-TW"/>
              </w:rPr>
            </w:pPr>
            <w:r w:rsidRPr="00025E1C">
              <w:rPr>
                <w:rFonts w:eastAsia="PMingLiU" w:cs="Arial"/>
                <w:b/>
                <w:sz w:val="22"/>
                <w:szCs w:val="22"/>
                <w:lang w:val="en-US" w:eastAsia="zh-TW"/>
              </w:rPr>
              <w:t>• Please rank the combinations listed above with 1 as your preferred approach, 2 as your second preferred approach, and so forth.</w:t>
            </w:r>
          </w:p>
          <w:p w:rsidR="00025E1C" w:rsidRPr="00025E1C" w:rsidRDefault="00025E1C" w:rsidP="00025E1C">
            <w:pPr>
              <w:spacing w:after="200" w:line="276" w:lineRule="auto"/>
              <w:jc w:val="both"/>
              <w:rPr>
                <w:rFonts w:eastAsia="PMingLiU" w:cs="Arial"/>
                <w:color w:val="FF0000"/>
                <w:sz w:val="22"/>
                <w:szCs w:val="22"/>
                <w:lang w:val="en-US" w:eastAsia="zh-TW"/>
              </w:rPr>
            </w:pPr>
            <w:r w:rsidRPr="00025E1C">
              <w:rPr>
                <w:rFonts w:eastAsia="PMingLiU" w:cs="Arial"/>
                <w:sz w:val="22"/>
                <w:szCs w:val="22"/>
                <w:lang w:val="en-US" w:eastAsia="zh-TW"/>
              </w:rPr>
              <w:t>1. Compounded Setting in Arrears Rate with Forward Approach</w:t>
            </w:r>
            <w:r w:rsidRPr="00025E1C">
              <w:rPr>
                <w:rFonts w:eastAsia="PMingLiU" w:cs="Arial"/>
                <w:color w:val="FF0000"/>
                <w:sz w:val="22"/>
                <w:szCs w:val="22"/>
                <w:lang w:val="en-US" w:eastAsia="zh-TW"/>
              </w:rPr>
              <w:t xml:space="preserve"> </w:t>
            </w:r>
          </w:p>
          <w:p w:rsidR="00025E1C" w:rsidRPr="00025E1C" w:rsidRDefault="00025E1C" w:rsidP="00025E1C">
            <w:pPr>
              <w:spacing w:after="200" w:line="276" w:lineRule="auto"/>
              <w:jc w:val="both"/>
              <w:rPr>
                <w:rFonts w:eastAsia="PMingLiU" w:cs="Arial"/>
                <w:color w:val="FF0000"/>
                <w:sz w:val="22"/>
                <w:szCs w:val="22"/>
                <w:lang w:val="en-US" w:eastAsia="zh-TW"/>
              </w:rPr>
            </w:pPr>
            <w:r w:rsidRPr="00025E1C">
              <w:rPr>
                <w:rFonts w:eastAsia="PMingLiU" w:cs="Arial"/>
                <w:sz w:val="22"/>
                <w:szCs w:val="22"/>
                <w:lang w:val="en-US" w:eastAsia="zh-TW"/>
              </w:rPr>
              <w:t>2. Compounded Setting in Arrears Rate with Historical Mean/Median Approach</w:t>
            </w:r>
          </w:p>
          <w:p w:rsidR="00025E1C" w:rsidRPr="00025E1C" w:rsidRDefault="00025E1C" w:rsidP="00025E1C">
            <w:pPr>
              <w:spacing w:after="200" w:line="276" w:lineRule="auto"/>
              <w:jc w:val="both"/>
              <w:rPr>
                <w:rFonts w:eastAsia="PMingLiU" w:cs="Arial"/>
                <w:color w:val="FF0000"/>
                <w:sz w:val="22"/>
                <w:szCs w:val="22"/>
                <w:lang w:val="en-US" w:eastAsia="zh-TW"/>
              </w:rPr>
            </w:pPr>
            <w:r w:rsidRPr="00025E1C">
              <w:rPr>
                <w:rFonts w:eastAsia="PMingLiU" w:cs="Arial"/>
                <w:sz w:val="22"/>
                <w:szCs w:val="22"/>
                <w:lang w:val="en-US" w:eastAsia="zh-TW"/>
              </w:rPr>
              <w:t>3. Convexity-adjusted Overnight Rate with Spot-Spread Approach</w:t>
            </w:r>
          </w:p>
          <w:p w:rsidR="00025E1C" w:rsidRPr="00025E1C" w:rsidRDefault="00025E1C" w:rsidP="00025E1C">
            <w:pPr>
              <w:spacing w:after="200" w:line="276" w:lineRule="auto"/>
              <w:jc w:val="both"/>
              <w:rPr>
                <w:rFonts w:eastAsia="PMingLiU" w:cs="Arial"/>
                <w:color w:val="FF0000"/>
                <w:sz w:val="22"/>
                <w:szCs w:val="22"/>
                <w:lang w:val="en-US" w:eastAsia="zh-TW"/>
              </w:rPr>
            </w:pPr>
            <w:r w:rsidRPr="00025E1C">
              <w:rPr>
                <w:rFonts w:eastAsia="PMingLiU" w:cs="Arial"/>
                <w:sz w:val="22"/>
                <w:szCs w:val="22"/>
                <w:lang w:val="en-US" w:eastAsia="zh-TW"/>
              </w:rPr>
              <w:t>4. Convexity-adjusted Overnight Rate with Historical Mean/Median Approach</w:t>
            </w:r>
          </w:p>
          <w:p w:rsidR="00025E1C" w:rsidRPr="00025E1C" w:rsidRDefault="00025E1C" w:rsidP="00025E1C">
            <w:pPr>
              <w:spacing w:after="200" w:line="276" w:lineRule="auto"/>
              <w:jc w:val="both"/>
              <w:rPr>
                <w:rFonts w:eastAsia="PMingLiU" w:cs="Arial"/>
                <w:color w:val="FF0000"/>
                <w:sz w:val="22"/>
                <w:szCs w:val="22"/>
                <w:lang w:val="en-US" w:eastAsia="zh-TW"/>
              </w:rPr>
            </w:pPr>
            <w:r w:rsidRPr="00025E1C">
              <w:rPr>
                <w:rFonts w:eastAsia="PMingLiU" w:cs="Arial"/>
                <w:sz w:val="22"/>
                <w:szCs w:val="22"/>
                <w:lang w:val="en-US" w:eastAsia="zh-TW"/>
              </w:rPr>
              <w:t>5. Compounded Setting in Advance Rate with Forward Approach</w:t>
            </w:r>
          </w:p>
          <w:p w:rsidR="00025E1C" w:rsidRPr="00025E1C" w:rsidRDefault="00025E1C" w:rsidP="00025E1C">
            <w:pPr>
              <w:spacing w:after="200" w:line="276" w:lineRule="auto"/>
              <w:jc w:val="both"/>
              <w:rPr>
                <w:rFonts w:eastAsia="PMingLiU" w:cs="Arial"/>
                <w:sz w:val="22"/>
                <w:szCs w:val="22"/>
                <w:lang w:val="en-US" w:eastAsia="zh-TW"/>
              </w:rPr>
            </w:pPr>
            <w:r w:rsidRPr="00025E1C">
              <w:rPr>
                <w:rFonts w:eastAsia="PMingLiU" w:cs="Arial"/>
                <w:sz w:val="22"/>
                <w:szCs w:val="22"/>
                <w:lang w:val="en-US" w:eastAsia="zh-TW"/>
              </w:rPr>
              <w:t xml:space="preserve">6. Compounded Setting in Advance Rate with Historical Mean/Median Approach </w:t>
            </w:r>
          </w:p>
          <w:p w:rsidR="00025E1C" w:rsidRPr="00025E1C" w:rsidRDefault="00025E1C" w:rsidP="00025E1C">
            <w:pPr>
              <w:spacing w:after="200" w:line="276" w:lineRule="auto"/>
              <w:jc w:val="both"/>
              <w:rPr>
                <w:rFonts w:eastAsia="PMingLiU" w:cs="Arial"/>
                <w:color w:val="FF0000"/>
                <w:sz w:val="22"/>
                <w:szCs w:val="22"/>
                <w:lang w:val="en-US" w:eastAsia="zh-TW"/>
              </w:rPr>
            </w:pPr>
            <w:r w:rsidRPr="00025E1C">
              <w:rPr>
                <w:rFonts w:eastAsia="PMingLiU" w:cs="Arial"/>
                <w:sz w:val="22"/>
                <w:szCs w:val="22"/>
                <w:lang w:val="en-US" w:eastAsia="zh-TW"/>
              </w:rPr>
              <w:t xml:space="preserve">7. Compounded Setting in Advance Rate with Spot-Spread Approach </w:t>
            </w:r>
          </w:p>
          <w:p w:rsidR="00025E1C" w:rsidRPr="00025E1C" w:rsidRDefault="00025E1C" w:rsidP="00025E1C">
            <w:pPr>
              <w:spacing w:after="200" w:line="276" w:lineRule="auto"/>
              <w:jc w:val="both"/>
              <w:rPr>
                <w:rFonts w:eastAsia="PMingLiU" w:cs="Arial"/>
                <w:color w:val="FF0000"/>
                <w:sz w:val="22"/>
                <w:szCs w:val="22"/>
                <w:lang w:val="en-US" w:eastAsia="zh-TW"/>
              </w:rPr>
            </w:pPr>
            <w:r w:rsidRPr="00025E1C">
              <w:rPr>
                <w:rFonts w:eastAsia="PMingLiU" w:cs="Arial"/>
                <w:sz w:val="22"/>
                <w:szCs w:val="22"/>
                <w:lang w:val="en-US" w:eastAsia="zh-TW"/>
              </w:rPr>
              <w:t>8. Spot Overnight Rate with Spot-Spread Approach</w:t>
            </w:r>
          </w:p>
          <w:p w:rsidR="00025E1C" w:rsidRPr="00025E1C" w:rsidRDefault="00025E1C" w:rsidP="00025E1C">
            <w:pPr>
              <w:spacing w:after="200" w:line="276" w:lineRule="auto"/>
              <w:jc w:val="both"/>
              <w:rPr>
                <w:rFonts w:eastAsia="PMingLiU" w:cs="Arial"/>
                <w:color w:val="FF0000"/>
                <w:sz w:val="22"/>
                <w:szCs w:val="22"/>
                <w:lang w:val="en-US" w:eastAsia="zh-TW"/>
              </w:rPr>
            </w:pPr>
            <w:r w:rsidRPr="00025E1C">
              <w:rPr>
                <w:rFonts w:eastAsia="PMingLiU" w:cs="Arial"/>
                <w:sz w:val="22"/>
                <w:szCs w:val="22"/>
                <w:lang w:val="en-US" w:eastAsia="zh-TW"/>
              </w:rPr>
              <w:t xml:space="preserve">9. Spot Overnight Rate with Historical Mean/Median Approach </w:t>
            </w:r>
          </w:p>
          <w:p w:rsidR="00025E1C" w:rsidRPr="00025E1C" w:rsidRDefault="00025E1C" w:rsidP="00025E1C">
            <w:pPr>
              <w:spacing w:after="200" w:line="276" w:lineRule="auto"/>
              <w:jc w:val="both"/>
              <w:rPr>
                <w:rFonts w:eastAsia="PMingLiU" w:cs="Arial"/>
                <w:sz w:val="22"/>
                <w:szCs w:val="22"/>
                <w:lang w:val="en-US" w:eastAsia="zh-TW"/>
              </w:rPr>
            </w:pPr>
          </w:p>
          <w:p w:rsidR="00025E1C" w:rsidRPr="00025E1C" w:rsidRDefault="00025E1C" w:rsidP="00025E1C">
            <w:pPr>
              <w:spacing w:after="200" w:line="276" w:lineRule="auto"/>
              <w:jc w:val="both"/>
              <w:rPr>
                <w:rFonts w:eastAsia="PMingLiU" w:cs="Arial"/>
                <w:b/>
                <w:sz w:val="22"/>
                <w:szCs w:val="22"/>
                <w:lang w:val="en-US" w:eastAsia="zh-TW"/>
              </w:rPr>
            </w:pPr>
            <w:r w:rsidRPr="00025E1C">
              <w:rPr>
                <w:rFonts w:eastAsia="PMingLiU" w:cs="Arial"/>
                <w:b/>
                <w:sz w:val="22"/>
                <w:szCs w:val="22"/>
                <w:lang w:val="en-US" w:eastAsia="zh-TW"/>
              </w:rPr>
              <w:t>o Please explain your rankings. Please specifically comment on the characteristics of the combinations you ranked the highest that most influenced your decision.</w:t>
            </w:r>
          </w:p>
          <w:p w:rsidR="00025E1C" w:rsidRPr="00025E1C" w:rsidRDefault="00025E1C" w:rsidP="00025E1C">
            <w:pPr>
              <w:spacing w:after="200" w:line="276" w:lineRule="auto"/>
              <w:jc w:val="both"/>
              <w:rPr>
                <w:rFonts w:ascii="Calibri" w:eastAsia="PMingLiU" w:hAnsi="Calibri" w:cs="Arial"/>
                <w:sz w:val="24"/>
                <w:szCs w:val="24"/>
                <w:lang w:val="en-US" w:eastAsia="zh-TW"/>
              </w:rPr>
            </w:pPr>
            <w:r w:rsidRPr="00025E1C">
              <w:rPr>
                <w:rFonts w:ascii="Calibri" w:eastAsia="PMingLiU" w:hAnsi="Calibri" w:cs="Arial"/>
                <w:sz w:val="24"/>
                <w:szCs w:val="24"/>
                <w:lang w:val="en-US" w:eastAsia="zh-TW"/>
              </w:rPr>
              <w:t xml:space="preserve">A first comment is necessary when it comes to ranking the different methodologies. We believe that ISDA should envision as a possibility another methodology that in our opinion would be superior to those which are suggested. We believe that derivatives and particularly futures and OIS could provide very meaningful indications to build a yield curve that would include market anticipations. We expect futures and OIS related to ESTER to develop very rapidly and to be soon a relevant option. </w:t>
            </w:r>
          </w:p>
          <w:p w:rsidR="00025E1C" w:rsidRPr="00025E1C" w:rsidRDefault="00025E1C" w:rsidP="00025E1C">
            <w:pPr>
              <w:spacing w:after="200" w:line="276" w:lineRule="auto"/>
              <w:jc w:val="both"/>
              <w:rPr>
                <w:rFonts w:ascii="Calibri" w:eastAsia="PMingLiU" w:hAnsi="Calibri" w:cs="Arial"/>
                <w:sz w:val="24"/>
                <w:szCs w:val="24"/>
                <w:lang w:val="en-US" w:eastAsia="zh-TW"/>
              </w:rPr>
            </w:pPr>
            <w:r w:rsidRPr="00025E1C">
              <w:rPr>
                <w:rFonts w:ascii="Calibri" w:eastAsia="PMingLiU" w:hAnsi="Calibri" w:cs="Arial"/>
                <w:sz w:val="24"/>
                <w:szCs w:val="24"/>
                <w:lang w:val="en-US" w:eastAsia="zh-TW"/>
              </w:rPr>
              <w:t xml:space="preserve">Limiting ourselves to the methodologies proposed in the consultation, our preference clearly goes to a compounded setting in arrears rate. It gives the best adjusted measure of the RFR over the period under review and is intellectually consistent with the objective. Conversely, other methodologies - like Compounded setting in advance rate that implies that past is predictive of future prices and spot overnight rate that </w:t>
            </w:r>
            <w:proofErr w:type="spellStart"/>
            <w:r w:rsidRPr="00025E1C">
              <w:rPr>
                <w:rFonts w:ascii="Calibri" w:eastAsia="PMingLiU" w:hAnsi="Calibri" w:cs="Arial"/>
                <w:sz w:val="24"/>
                <w:szCs w:val="24"/>
                <w:lang w:val="en-US" w:eastAsia="zh-TW"/>
              </w:rPr>
              <w:t>cristallises</w:t>
            </w:r>
            <w:proofErr w:type="spellEnd"/>
            <w:r w:rsidRPr="00025E1C">
              <w:rPr>
                <w:rFonts w:ascii="Calibri" w:eastAsia="PMingLiU" w:hAnsi="Calibri" w:cs="Arial"/>
                <w:sz w:val="24"/>
                <w:szCs w:val="24"/>
                <w:lang w:val="en-US" w:eastAsia="zh-TW"/>
              </w:rPr>
              <w:t xml:space="preserve"> an initial level without any consideration on future variations - seem over simplistic. As an asset manager we cannot imagine to contradict our constant motto that past performance do not determine future yield. We cannot either consider that we live in a still environment where spot interest rates are stable.</w:t>
            </w:r>
          </w:p>
          <w:p w:rsidR="00025E1C" w:rsidRPr="00025E1C" w:rsidRDefault="00025E1C" w:rsidP="00025E1C">
            <w:pPr>
              <w:spacing w:after="200" w:line="276" w:lineRule="auto"/>
              <w:jc w:val="both"/>
              <w:rPr>
                <w:rFonts w:ascii="Calibri" w:eastAsia="PMingLiU" w:hAnsi="Calibri" w:cs="Arial"/>
                <w:sz w:val="24"/>
                <w:szCs w:val="24"/>
                <w:lang w:val="en-US" w:eastAsia="zh-TW"/>
              </w:rPr>
            </w:pPr>
            <w:r w:rsidRPr="00025E1C">
              <w:rPr>
                <w:rFonts w:ascii="Calibri" w:eastAsia="PMingLiU" w:hAnsi="Calibri" w:cs="Arial"/>
                <w:sz w:val="24"/>
                <w:szCs w:val="24"/>
                <w:lang w:val="en-US" w:eastAsia="zh-TW"/>
              </w:rPr>
              <w:t xml:space="preserve">We </w:t>
            </w:r>
            <w:proofErr w:type="spellStart"/>
            <w:r w:rsidRPr="00025E1C">
              <w:rPr>
                <w:rFonts w:ascii="Calibri" w:eastAsia="PMingLiU" w:hAnsi="Calibri" w:cs="Arial"/>
                <w:sz w:val="24"/>
                <w:szCs w:val="24"/>
                <w:lang w:val="en-US" w:eastAsia="zh-TW"/>
              </w:rPr>
              <w:t>realise</w:t>
            </w:r>
            <w:proofErr w:type="spellEnd"/>
            <w:r w:rsidRPr="00025E1C">
              <w:rPr>
                <w:rFonts w:ascii="Calibri" w:eastAsia="PMingLiU" w:hAnsi="Calibri" w:cs="Arial"/>
                <w:sz w:val="24"/>
                <w:szCs w:val="24"/>
                <w:lang w:val="en-US" w:eastAsia="zh-TW"/>
              </w:rPr>
              <w:t xml:space="preserve"> that the incapacity to know the applicable rate in advance may frighten some participants. But we have experienced it in France decades ago when we used such rates as T4M or TAM not to mention TME and TMO as references. It is workable for back offices provided there is a reasonable delay between the exact date and the reference date. For example  inflation linked bonds adjust the inflation coefficient over the course of the month based on the latest inflation figure that has been published. This 1 to 2 month delay is acceptable. On money market a 2 day delay is usual but we could imagine to slightly increase it in order to facilitate valuation and back office processes. </w:t>
            </w:r>
          </w:p>
          <w:p w:rsidR="00025E1C" w:rsidRPr="00025E1C" w:rsidRDefault="00025E1C" w:rsidP="00025E1C">
            <w:pPr>
              <w:spacing w:after="200" w:line="276" w:lineRule="auto"/>
              <w:jc w:val="both"/>
              <w:rPr>
                <w:rFonts w:ascii="Calibri" w:eastAsia="PMingLiU" w:hAnsi="Calibri" w:cs="Arial"/>
                <w:sz w:val="24"/>
                <w:szCs w:val="24"/>
                <w:lang w:val="en-US" w:eastAsia="zh-TW"/>
              </w:rPr>
            </w:pPr>
            <w:r w:rsidRPr="00025E1C">
              <w:rPr>
                <w:rFonts w:ascii="Calibri" w:eastAsia="PMingLiU" w:hAnsi="Calibri" w:cs="Arial"/>
                <w:sz w:val="24"/>
                <w:szCs w:val="24"/>
                <w:lang w:val="en-US" w:eastAsia="zh-TW"/>
              </w:rPr>
              <w:t>This compounded setting in arrears rate is appropriate for derivatives where the continuous adaptation to market conditions is necessary to properly hedge or simply value positions. However, we think that it is very important for ISDA to propose a methodology that will be applicable for all currencies and all types of instruments. That includes bonds and notes that pay a coupon based on  a floating rate. In that respect we consider that discussion should start to determine the delay (1 week?) that would be compatible with a regular adjustment of accrued in portfolios.</w:t>
            </w:r>
          </w:p>
          <w:p w:rsidR="00025E1C" w:rsidRPr="00025E1C" w:rsidRDefault="00025E1C" w:rsidP="00025E1C">
            <w:pPr>
              <w:spacing w:after="200" w:line="276" w:lineRule="auto"/>
              <w:jc w:val="both"/>
              <w:rPr>
                <w:rFonts w:ascii="Calibri" w:eastAsia="PMingLiU" w:hAnsi="Calibri" w:cs="Arial"/>
                <w:sz w:val="24"/>
                <w:szCs w:val="24"/>
                <w:lang w:val="en-US" w:eastAsia="zh-TW"/>
              </w:rPr>
            </w:pPr>
            <w:r w:rsidRPr="00025E1C">
              <w:rPr>
                <w:rFonts w:ascii="Calibri" w:eastAsia="PMingLiU" w:hAnsi="Calibri" w:cs="Arial"/>
                <w:sz w:val="24"/>
                <w:szCs w:val="24"/>
                <w:lang w:val="en-US" w:eastAsia="zh-TW"/>
              </w:rPr>
              <w:t>A fall back suggestion would be to consider convexity adjusted overnight rate which is not very accurate but acceptable and simple. It introduces some convexity but does not include anticipations. However, we are afraid that in a negative interest rate environment it will lead to inconsistent results and raise more questions than bring solutions. It is not our favorite answer but ranks second because the other 2 options are not appropriate in our view. Though, we do not disqualify any proposal since we think that they may have some merits and should be considered in order to effectively agree on a fallback for IBORs.</w:t>
            </w:r>
          </w:p>
          <w:p w:rsidR="00025E1C" w:rsidRPr="00025E1C" w:rsidRDefault="00025E1C" w:rsidP="00025E1C">
            <w:pPr>
              <w:spacing w:after="200" w:line="276" w:lineRule="auto"/>
              <w:jc w:val="both"/>
              <w:rPr>
                <w:rFonts w:ascii="Calibri" w:eastAsia="PMingLiU" w:hAnsi="Calibri" w:cs="Arial"/>
                <w:sz w:val="24"/>
                <w:szCs w:val="24"/>
                <w:lang w:val="en-US" w:eastAsia="zh-TW"/>
              </w:rPr>
            </w:pPr>
            <w:r w:rsidRPr="00025E1C">
              <w:rPr>
                <w:rFonts w:ascii="Calibri" w:eastAsia="PMingLiU" w:hAnsi="Calibri" w:cs="Arial"/>
                <w:sz w:val="24"/>
                <w:szCs w:val="24"/>
                <w:lang w:val="en-US" w:eastAsia="zh-TW"/>
              </w:rPr>
              <w:t xml:space="preserve">On the difference between a spot or a long period average rate, we are close to neutral provided that we exclude the instantaneous reference base on one single observation. In other words the gap between the top 2 options in our list is very limited when it is far more important with the option we ranked 3d and below. When  considering forward or spot spread approaches we suggest to take into consideration an average over one month or 20 days. For means or median it requires long term series of data and we feel that 10 years may not be sufficient. Therefore, it is also for practical and not theoretical or intellectual reasons that we put on top the Compounded setting in arrears rate with forward approach.  </w:t>
            </w:r>
          </w:p>
          <w:p w:rsidR="00025E1C" w:rsidRPr="00025E1C" w:rsidRDefault="00025E1C" w:rsidP="00025E1C">
            <w:pPr>
              <w:spacing w:after="200" w:line="276" w:lineRule="auto"/>
              <w:jc w:val="both"/>
              <w:rPr>
                <w:rFonts w:eastAsia="PMingLiU" w:cs="Arial"/>
                <w:b/>
                <w:sz w:val="22"/>
                <w:szCs w:val="22"/>
                <w:lang w:val="en-US" w:eastAsia="zh-TW"/>
              </w:rPr>
            </w:pPr>
            <w:r w:rsidRPr="00025E1C">
              <w:rPr>
                <w:rFonts w:eastAsia="PMingLiU" w:cs="Arial"/>
                <w:b/>
                <w:sz w:val="22"/>
                <w:szCs w:val="22"/>
                <w:lang w:val="en-US" w:eastAsia="zh-TW"/>
              </w:rPr>
              <w:t>o If you are completely opposed to an approach to adjusted RFRs, please do not rank it but explain why you are completely opposed to it.</w:t>
            </w:r>
          </w:p>
          <w:p w:rsidR="00025E1C" w:rsidRPr="00025E1C" w:rsidRDefault="00025E1C" w:rsidP="00025E1C">
            <w:pPr>
              <w:spacing w:after="200" w:line="276" w:lineRule="auto"/>
              <w:jc w:val="both"/>
              <w:rPr>
                <w:rFonts w:ascii="Calibri" w:eastAsia="PMingLiU" w:hAnsi="Calibri" w:cs="Arial"/>
                <w:sz w:val="24"/>
                <w:szCs w:val="24"/>
                <w:lang w:val="en-US" w:eastAsia="zh-TW"/>
              </w:rPr>
            </w:pPr>
            <w:r w:rsidRPr="00025E1C">
              <w:rPr>
                <w:rFonts w:ascii="Calibri" w:eastAsia="PMingLiU" w:hAnsi="Calibri" w:cs="Arial"/>
                <w:sz w:val="24"/>
                <w:szCs w:val="24"/>
                <w:lang w:val="en-US" w:eastAsia="zh-TW"/>
              </w:rPr>
              <w:t>We do not want to disqualify and totally oppose any of the suggested methodologies. We express strong preferences, but we think that the overarching objective to find a workable solution in a very short delay requires some open-mindedness on our side.</w:t>
            </w:r>
          </w:p>
          <w:p w:rsidR="00025E1C" w:rsidRPr="00025E1C" w:rsidRDefault="00025E1C" w:rsidP="00025E1C">
            <w:pPr>
              <w:spacing w:after="200" w:line="276" w:lineRule="auto"/>
              <w:jc w:val="both"/>
              <w:rPr>
                <w:rFonts w:eastAsia="PMingLiU" w:cs="Arial"/>
                <w:b/>
                <w:sz w:val="22"/>
                <w:szCs w:val="22"/>
                <w:lang w:val="en-US" w:eastAsia="zh-TW"/>
              </w:rPr>
            </w:pPr>
            <w:r w:rsidRPr="00025E1C">
              <w:rPr>
                <w:rFonts w:eastAsia="PMingLiU" w:cs="Arial"/>
                <w:b/>
                <w:sz w:val="22"/>
                <w:szCs w:val="22"/>
                <w:lang w:val="en-US" w:eastAsia="zh-TW"/>
              </w:rPr>
              <w:t xml:space="preserve">o Indicate whether your preferences apply universally to GBP LIBOR/SONIA; JPY LIBOR/TONA; TIBOR/TONA; </w:t>
            </w:r>
            <w:proofErr w:type="spellStart"/>
            <w:r w:rsidRPr="00025E1C">
              <w:rPr>
                <w:rFonts w:eastAsia="PMingLiU" w:cs="Arial"/>
                <w:b/>
                <w:sz w:val="22"/>
                <w:szCs w:val="22"/>
                <w:lang w:val="en-US" w:eastAsia="zh-TW"/>
              </w:rPr>
              <w:t>Euroyen</w:t>
            </w:r>
            <w:proofErr w:type="spellEnd"/>
            <w:r w:rsidRPr="00025E1C">
              <w:rPr>
                <w:rFonts w:eastAsia="PMingLiU" w:cs="Arial"/>
                <w:b/>
                <w:sz w:val="22"/>
                <w:szCs w:val="22"/>
                <w:lang w:val="en-US" w:eastAsia="zh-TW"/>
              </w:rPr>
              <w:t xml:space="preserve"> TIBOR/TONA; CHF LIBOR/SARON and BBSW/RBA cash rate. Alternatively, provide a separate ranking for each IBOR that should be handled separately.</w:t>
            </w:r>
          </w:p>
          <w:p w:rsidR="00025E1C" w:rsidRPr="00025E1C" w:rsidRDefault="00025E1C" w:rsidP="00025E1C">
            <w:pPr>
              <w:spacing w:after="200" w:line="276" w:lineRule="auto"/>
              <w:jc w:val="both"/>
              <w:rPr>
                <w:rFonts w:ascii="Calibri" w:eastAsia="PMingLiU" w:hAnsi="Calibri" w:cs="Arial"/>
                <w:sz w:val="24"/>
                <w:szCs w:val="24"/>
                <w:lang w:val="en-US" w:eastAsia="zh-TW"/>
              </w:rPr>
            </w:pPr>
            <w:r w:rsidRPr="00025E1C">
              <w:rPr>
                <w:rFonts w:ascii="Calibri" w:eastAsia="PMingLiU" w:hAnsi="Calibri" w:cs="Arial"/>
                <w:sz w:val="24"/>
                <w:szCs w:val="24"/>
                <w:lang w:val="en-US" w:eastAsia="zh-TW"/>
              </w:rPr>
              <w:t>We would like to introduce a methodology that will be applicable for all types of instruments using IBORs and moving to a substitute index. Therefore and as a first application of this general principle, we intend to have the same methodology for all IBORs within the perimeter of the current consultation and the following one that ISDA plans to launch.</w:t>
            </w:r>
          </w:p>
          <w:p w:rsidR="00025E1C" w:rsidRPr="00025E1C" w:rsidRDefault="00025E1C" w:rsidP="00025E1C">
            <w:pPr>
              <w:spacing w:after="200" w:line="276" w:lineRule="auto"/>
              <w:jc w:val="both"/>
              <w:rPr>
                <w:rFonts w:eastAsia="PMingLiU" w:cs="Arial"/>
                <w:b/>
                <w:sz w:val="22"/>
                <w:szCs w:val="22"/>
                <w:lang w:val="en-US" w:eastAsia="zh-TW"/>
              </w:rPr>
            </w:pPr>
            <w:r w:rsidRPr="00025E1C">
              <w:rPr>
                <w:rFonts w:eastAsia="PMingLiU" w:cs="Arial"/>
                <w:b/>
                <w:sz w:val="22"/>
                <w:szCs w:val="22"/>
                <w:lang w:val="en-US" w:eastAsia="zh-TW"/>
              </w:rPr>
              <w:t>o If your preferences apply universally, please indicate whether you would also expect your preferences to apply to USD LIBOR/SOFR, EUR LIBOR/[the identified EUR RFR] and EURIBOR/[the identified EUR RFR].</w:t>
            </w:r>
          </w:p>
          <w:p w:rsidR="00025E1C" w:rsidRPr="00025E1C" w:rsidRDefault="00025E1C" w:rsidP="00025E1C">
            <w:pPr>
              <w:spacing w:after="200" w:line="276" w:lineRule="auto"/>
              <w:jc w:val="both"/>
              <w:rPr>
                <w:rFonts w:ascii="Calibri" w:eastAsia="PMingLiU" w:hAnsi="Calibri" w:cs="Arial"/>
                <w:sz w:val="24"/>
                <w:szCs w:val="24"/>
                <w:lang w:val="en-US" w:eastAsia="zh-TW"/>
              </w:rPr>
            </w:pPr>
            <w:r w:rsidRPr="00025E1C">
              <w:rPr>
                <w:rFonts w:ascii="Calibri" w:eastAsia="PMingLiU" w:hAnsi="Calibri" w:cs="Arial"/>
                <w:sz w:val="24"/>
                <w:szCs w:val="24"/>
                <w:lang w:val="en-US" w:eastAsia="zh-TW"/>
              </w:rPr>
              <w:t>Yes. See our answer to the previous question.</w:t>
            </w:r>
          </w:p>
          <w:p w:rsidR="00025E1C" w:rsidRPr="00025E1C" w:rsidRDefault="00025E1C" w:rsidP="00025E1C">
            <w:pPr>
              <w:spacing w:after="200" w:line="276" w:lineRule="auto"/>
              <w:jc w:val="both"/>
              <w:rPr>
                <w:rFonts w:eastAsia="PMingLiU" w:cs="Arial"/>
                <w:sz w:val="22"/>
                <w:szCs w:val="22"/>
                <w:lang w:val="en-US" w:eastAsia="zh-TW"/>
              </w:rPr>
            </w:pPr>
            <w:r w:rsidRPr="00025E1C">
              <w:rPr>
                <w:rFonts w:eastAsia="PMingLiU" w:cs="Arial"/>
                <w:b/>
                <w:sz w:val="22"/>
                <w:szCs w:val="22"/>
                <w:lang w:val="en-US" w:eastAsia="zh-TW"/>
              </w:rPr>
              <w:t>o Please provide preliminary comments on your preferred approach for USD LIBOR/SOFR (regardless of whether your preference applies universally or to USD LIBOR/SOFR only). Indicate what, if any, additional information you need to confirm this as your preferred approach</w:t>
            </w:r>
            <w:r w:rsidRPr="00025E1C">
              <w:rPr>
                <w:rFonts w:eastAsia="PMingLiU" w:cs="Arial"/>
                <w:sz w:val="22"/>
                <w:szCs w:val="22"/>
                <w:lang w:val="en-US" w:eastAsia="zh-TW"/>
              </w:rPr>
              <w:t>.</w:t>
            </w:r>
          </w:p>
          <w:p w:rsidR="00025E1C" w:rsidRPr="00025E1C" w:rsidRDefault="00025E1C" w:rsidP="00025E1C">
            <w:pPr>
              <w:spacing w:after="200" w:line="276" w:lineRule="auto"/>
              <w:jc w:val="both"/>
              <w:rPr>
                <w:rFonts w:ascii="Calibri" w:eastAsia="PMingLiU" w:hAnsi="Calibri" w:cs="Arial"/>
                <w:sz w:val="24"/>
                <w:szCs w:val="24"/>
                <w:lang w:val="en-US" w:eastAsia="zh-TW"/>
              </w:rPr>
            </w:pPr>
            <w:r w:rsidRPr="00025E1C">
              <w:rPr>
                <w:rFonts w:ascii="Calibri" w:eastAsia="PMingLiU" w:hAnsi="Calibri" w:cs="Arial"/>
                <w:sz w:val="24"/>
                <w:szCs w:val="24"/>
                <w:lang w:val="en-US" w:eastAsia="zh-TW"/>
              </w:rPr>
              <w:t>We expect the methodology to apply to all IBORs and have the same preferences as indicated in question 1.</w:t>
            </w:r>
          </w:p>
          <w:p w:rsidR="00025E1C" w:rsidRPr="00025E1C" w:rsidRDefault="00025E1C" w:rsidP="00025E1C">
            <w:pPr>
              <w:spacing w:after="200" w:line="276" w:lineRule="auto"/>
              <w:jc w:val="both"/>
              <w:rPr>
                <w:rFonts w:eastAsia="PMingLiU" w:cs="Arial"/>
                <w:b/>
                <w:sz w:val="22"/>
                <w:szCs w:val="22"/>
                <w:lang w:val="en-US" w:eastAsia="zh-TW"/>
              </w:rPr>
            </w:pPr>
            <w:r w:rsidRPr="00025E1C">
              <w:rPr>
                <w:rFonts w:eastAsia="PMingLiU" w:cs="Arial"/>
                <w:b/>
                <w:sz w:val="22"/>
                <w:szCs w:val="22"/>
                <w:lang w:val="en-US" w:eastAsia="zh-TW"/>
              </w:rPr>
              <w:t>• Please indicate whether you would not be able to transact using definitions that incorporate fallbacks based on any of the approaches to adjusted RFRs or spread adjustments. If you would not be able to transact, please give specific examples of the types of derivatives for which the fallbacks would be problematic and explain why.</w:t>
            </w:r>
          </w:p>
          <w:p w:rsidR="00025E1C" w:rsidRPr="00025E1C" w:rsidRDefault="00025E1C" w:rsidP="00025E1C">
            <w:pPr>
              <w:spacing w:after="200" w:line="276" w:lineRule="auto"/>
              <w:jc w:val="both"/>
              <w:rPr>
                <w:rFonts w:ascii="Calibri" w:eastAsia="PMingLiU" w:hAnsi="Calibri" w:cs="Arial"/>
                <w:sz w:val="24"/>
                <w:szCs w:val="24"/>
                <w:lang w:val="en-US" w:eastAsia="zh-TW"/>
              </w:rPr>
            </w:pPr>
            <w:r w:rsidRPr="00025E1C">
              <w:rPr>
                <w:rFonts w:ascii="Calibri" w:eastAsia="PMingLiU" w:hAnsi="Calibri" w:cs="Arial"/>
                <w:sz w:val="24"/>
                <w:szCs w:val="24"/>
                <w:lang w:val="en-US" w:eastAsia="zh-TW"/>
              </w:rPr>
              <w:t>Considering the spread adjustment calculation, we could not agree to be dependent on one data vendor. We are strong believers that IBORs are public goods largely accessible freely or at a reasonable cost based rate and that it should be maintained with substitutes. In that respect the historical mean/median approach implies the availability of long running data over years and it may pose the question of their cost.</w:t>
            </w:r>
          </w:p>
          <w:p w:rsidR="00025E1C" w:rsidRPr="00025E1C" w:rsidRDefault="00025E1C" w:rsidP="00025E1C">
            <w:pPr>
              <w:spacing w:after="200" w:line="276" w:lineRule="auto"/>
              <w:jc w:val="both"/>
              <w:rPr>
                <w:rFonts w:eastAsia="PMingLiU" w:cs="Arial"/>
                <w:b/>
                <w:sz w:val="22"/>
                <w:szCs w:val="22"/>
                <w:lang w:val="en-US" w:eastAsia="zh-TW"/>
              </w:rPr>
            </w:pPr>
            <w:r w:rsidRPr="00025E1C">
              <w:rPr>
                <w:rFonts w:eastAsia="PMingLiU" w:cs="Arial"/>
                <w:b/>
                <w:sz w:val="22"/>
                <w:szCs w:val="22"/>
                <w:lang w:val="en-US" w:eastAsia="zh-TW"/>
              </w:rPr>
              <w:t>• Would it be problematic for market participants to use different approaches to calculate adjusted RFRs and spread adjustments in fallbacks across different currencies? Please explain why or why not, commenting specifically on the potential implications of using different approaches across different currencies.</w:t>
            </w:r>
          </w:p>
          <w:p w:rsidR="00025E1C" w:rsidRPr="00025E1C" w:rsidRDefault="00025E1C" w:rsidP="00025E1C">
            <w:pPr>
              <w:spacing w:after="200" w:line="276" w:lineRule="auto"/>
              <w:jc w:val="both"/>
              <w:rPr>
                <w:rFonts w:ascii="Calibri" w:eastAsia="PMingLiU" w:hAnsi="Calibri" w:cs="Arial"/>
                <w:sz w:val="24"/>
                <w:szCs w:val="24"/>
                <w:lang w:val="en-US" w:eastAsia="zh-TW"/>
              </w:rPr>
            </w:pPr>
            <w:r w:rsidRPr="00025E1C">
              <w:rPr>
                <w:rFonts w:ascii="Calibri" w:eastAsia="PMingLiU" w:hAnsi="Calibri" w:cs="Arial"/>
                <w:sz w:val="24"/>
                <w:szCs w:val="24"/>
                <w:lang w:val="en-US" w:eastAsia="zh-TW"/>
              </w:rPr>
              <w:t>Yes, it would be problematic to use different approaches for different currencies. The multiplication of methodologies introduces operational difficulties and creates unnecessary risks. We do not see any advantage in having specificities according to the currency.</w:t>
            </w:r>
          </w:p>
          <w:p w:rsidR="00025E1C" w:rsidRPr="00025E1C" w:rsidRDefault="00025E1C" w:rsidP="00025E1C">
            <w:pPr>
              <w:spacing w:after="200" w:line="276" w:lineRule="auto"/>
              <w:jc w:val="both"/>
              <w:rPr>
                <w:rFonts w:eastAsia="PMingLiU" w:cs="Arial"/>
                <w:b/>
                <w:sz w:val="22"/>
                <w:szCs w:val="22"/>
                <w:lang w:val="en-US" w:eastAsia="zh-TW"/>
              </w:rPr>
            </w:pPr>
            <w:r w:rsidRPr="00025E1C">
              <w:rPr>
                <w:rFonts w:eastAsia="PMingLiU" w:cs="Arial"/>
                <w:b/>
                <w:sz w:val="22"/>
                <w:szCs w:val="22"/>
                <w:lang w:val="en-US" w:eastAsia="zh-TW"/>
              </w:rPr>
              <w:t>• Please provide separate comments on the general appropriateness and effectiveness of each of the four approaches to adjusted RFRs and three methodologies for the spread adjustments. Please specifically comment on anticipated operational challenges, economic impacts, implications for hedging, feasibility of implementation and any other complexities. Indicate whether your comments apply to all contracts, new contracts only or legacy contracts only. With respect to any operational challenges, please explain how long it would take to overcome such challenges.</w:t>
            </w:r>
          </w:p>
          <w:p w:rsidR="00025E1C" w:rsidRPr="00025E1C" w:rsidRDefault="00025E1C" w:rsidP="00025E1C">
            <w:pPr>
              <w:spacing w:after="200" w:line="276" w:lineRule="auto"/>
              <w:jc w:val="both"/>
              <w:rPr>
                <w:rFonts w:ascii="Calibri" w:eastAsia="PMingLiU" w:hAnsi="Calibri" w:cs="Arial"/>
                <w:sz w:val="24"/>
                <w:szCs w:val="24"/>
                <w:lang w:val="en-US" w:eastAsia="zh-TW"/>
              </w:rPr>
            </w:pPr>
            <w:r w:rsidRPr="00025E1C">
              <w:rPr>
                <w:rFonts w:ascii="Calibri" w:eastAsia="PMingLiU" w:hAnsi="Calibri" w:cs="Arial"/>
                <w:sz w:val="24"/>
                <w:szCs w:val="24"/>
                <w:lang w:val="en-US" w:eastAsia="zh-TW"/>
              </w:rPr>
              <w:t xml:space="preserve">It is too early to assess challenges and economic impacts for an asset management firm. </w:t>
            </w:r>
          </w:p>
          <w:p w:rsidR="00025E1C" w:rsidRPr="00025E1C" w:rsidRDefault="00025E1C" w:rsidP="00025E1C">
            <w:pPr>
              <w:spacing w:after="200" w:line="276" w:lineRule="auto"/>
              <w:jc w:val="both"/>
              <w:rPr>
                <w:rFonts w:eastAsia="PMingLiU" w:cs="Arial"/>
                <w:b/>
                <w:sz w:val="22"/>
                <w:szCs w:val="22"/>
                <w:lang w:val="en-US" w:eastAsia="zh-TW"/>
              </w:rPr>
            </w:pPr>
            <w:r w:rsidRPr="00025E1C">
              <w:rPr>
                <w:rFonts w:eastAsia="PMingLiU" w:cs="Arial"/>
                <w:b/>
                <w:sz w:val="22"/>
                <w:szCs w:val="22"/>
                <w:lang w:val="en-US" w:eastAsia="zh-TW"/>
              </w:rPr>
              <w:t>• Questions about specific methodologies for calculating the spread adjustment:</w:t>
            </w:r>
          </w:p>
          <w:p w:rsidR="00025E1C" w:rsidRPr="00025E1C" w:rsidRDefault="00025E1C" w:rsidP="00025E1C">
            <w:pPr>
              <w:spacing w:after="200" w:line="276" w:lineRule="auto"/>
              <w:jc w:val="both"/>
              <w:rPr>
                <w:rFonts w:eastAsia="PMingLiU" w:cs="Arial"/>
                <w:b/>
                <w:sz w:val="22"/>
                <w:szCs w:val="22"/>
                <w:lang w:val="en-US" w:eastAsia="zh-TW"/>
              </w:rPr>
            </w:pPr>
            <w:r w:rsidRPr="00025E1C">
              <w:rPr>
                <w:rFonts w:eastAsia="PMingLiU" w:cs="Arial"/>
                <w:b/>
                <w:sz w:val="22"/>
                <w:szCs w:val="22"/>
                <w:lang w:val="en-US" w:eastAsia="zh-TW"/>
              </w:rPr>
              <w:t>o Forward Approach</w:t>
            </w:r>
          </w:p>
          <w:p w:rsidR="00025E1C" w:rsidRPr="00025E1C" w:rsidRDefault="00025E1C" w:rsidP="00025E1C">
            <w:pPr>
              <w:numPr>
                <w:ilvl w:val="0"/>
                <w:numId w:val="9"/>
              </w:numPr>
              <w:spacing w:after="200" w:line="276" w:lineRule="auto"/>
              <w:contextualSpacing/>
              <w:jc w:val="both"/>
              <w:rPr>
                <w:rFonts w:eastAsia="PMingLiU" w:cs="Arial"/>
                <w:b/>
                <w:sz w:val="22"/>
                <w:szCs w:val="22"/>
                <w:lang w:val="en-US" w:eastAsia="zh-TW"/>
              </w:rPr>
            </w:pPr>
            <w:r w:rsidRPr="00025E1C">
              <w:rPr>
                <w:rFonts w:eastAsia="PMingLiU" w:cs="Arial"/>
                <w:b/>
                <w:sz w:val="22"/>
                <w:szCs w:val="22"/>
                <w:lang w:val="en-US" w:eastAsia="zh-TW"/>
              </w:rPr>
              <w:t xml:space="preserve"> Should the forward approach be based on data from the day prior to the trigger only or a number of days or months prior to the trigger? If the latter, how many days or months? Please specifically consider 5 trading days, 10 trading days, 1 month and 3 months but also indicate whether a different length is most appropriate and explain why.</w:t>
            </w:r>
          </w:p>
          <w:p w:rsidR="00025E1C" w:rsidRPr="00025E1C" w:rsidRDefault="00025E1C" w:rsidP="00025E1C">
            <w:pPr>
              <w:spacing w:after="200" w:line="276" w:lineRule="auto"/>
              <w:jc w:val="both"/>
              <w:rPr>
                <w:rFonts w:ascii="Calibri" w:eastAsia="PMingLiU" w:hAnsi="Calibri" w:cs="Arial"/>
                <w:sz w:val="24"/>
                <w:szCs w:val="24"/>
                <w:lang w:val="en-US" w:eastAsia="zh-TW"/>
              </w:rPr>
            </w:pPr>
            <w:r w:rsidRPr="00025E1C">
              <w:rPr>
                <w:rFonts w:ascii="Calibri" w:eastAsia="PMingLiU" w:hAnsi="Calibri" w:cs="Arial"/>
                <w:sz w:val="24"/>
                <w:szCs w:val="24"/>
                <w:lang w:val="en-US" w:eastAsia="zh-TW"/>
              </w:rPr>
              <w:t xml:space="preserve">Spot references on a forward curve include market expectations till maturity. Therefore we consider as adequate to use them. However we agree that an average on a limited period is a prudent approach to avoid to translate into the spread adjustment an abnormal observation. We believe that 1 month is appropriate. </w:t>
            </w:r>
          </w:p>
          <w:p w:rsidR="00025E1C" w:rsidRPr="00025E1C" w:rsidRDefault="00025E1C" w:rsidP="00025E1C">
            <w:pPr>
              <w:numPr>
                <w:ilvl w:val="0"/>
                <w:numId w:val="9"/>
              </w:numPr>
              <w:spacing w:after="200" w:line="276" w:lineRule="auto"/>
              <w:contextualSpacing/>
              <w:jc w:val="both"/>
              <w:rPr>
                <w:rFonts w:eastAsia="PMingLiU" w:cs="Arial"/>
                <w:b/>
                <w:sz w:val="22"/>
                <w:szCs w:val="22"/>
                <w:lang w:val="en-US" w:eastAsia="zh-TW"/>
              </w:rPr>
            </w:pPr>
            <w:r w:rsidRPr="00025E1C">
              <w:rPr>
                <w:rFonts w:eastAsia="PMingLiU" w:cs="Arial"/>
                <w:b/>
                <w:sz w:val="22"/>
                <w:szCs w:val="22"/>
                <w:lang w:val="en-US" w:eastAsia="zh-TW"/>
              </w:rPr>
              <w:t xml:space="preserve"> What is the appropriate length of the forward spread curve? Please specifically consider 30 years, 40 years, 50 years and 60 years but also indicate whether a different length is more appropriate and explain why.</w:t>
            </w:r>
          </w:p>
          <w:p w:rsidR="00025E1C" w:rsidRPr="00025E1C" w:rsidRDefault="00025E1C" w:rsidP="00025E1C">
            <w:pPr>
              <w:spacing w:after="200" w:line="276" w:lineRule="auto"/>
              <w:jc w:val="both"/>
              <w:rPr>
                <w:rFonts w:ascii="Calibri" w:eastAsia="PMingLiU" w:hAnsi="Calibri" w:cs="Arial"/>
                <w:sz w:val="24"/>
                <w:szCs w:val="24"/>
                <w:lang w:val="en-US" w:eastAsia="zh-TW"/>
              </w:rPr>
            </w:pPr>
            <w:r w:rsidRPr="00025E1C">
              <w:rPr>
                <w:rFonts w:ascii="Calibri" w:eastAsia="PMingLiU" w:hAnsi="Calibri" w:cs="Arial"/>
                <w:sz w:val="24"/>
                <w:szCs w:val="24"/>
                <w:lang w:val="en-US" w:eastAsia="zh-TW"/>
              </w:rPr>
              <w:t>Liquidity tends to diminish with longer maturities. We are satisfied that the spread curve stops at 30 years.</w:t>
            </w:r>
          </w:p>
          <w:p w:rsidR="00025E1C" w:rsidRPr="00025E1C" w:rsidRDefault="00025E1C" w:rsidP="00025E1C">
            <w:pPr>
              <w:numPr>
                <w:ilvl w:val="0"/>
                <w:numId w:val="9"/>
              </w:numPr>
              <w:spacing w:after="200" w:line="276" w:lineRule="auto"/>
              <w:contextualSpacing/>
              <w:jc w:val="both"/>
              <w:rPr>
                <w:rFonts w:eastAsia="PMingLiU" w:cs="Arial"/>
                <w:b/>
                <w:sz w:val="22"/>
                <w:szCs w:val="22"/>
                <w:lang w:val="en-US" w:eastAsia="zh-TW"/>
              </w:rPr>
            </w:pPr>
            <w:r w:rsidRPr="00025E1C">
              <w:rPr>
                <w:rFonts w:eastAsia="PMingLiU" w:cs="Arial"/>
                <w:b/>
                <w:sz w:val="22"/>
                <w:szCs w:val="22"/>
                <w:lang w:val="en-US" w:eastAsia="zh-TW"/>
              </w:rPr>
              <w:t>Would it be acceptable to use data for cleared transactions only when using the forward approach to calculate the spread adjustment? If so, how should the differential between central counterparties (CCPs) be addressed?</w:t>
            </w:r>
          </w:p>
          <w:p w:rsidR="00025E1C" w:rsidRPr="00025E1C" w:rsidRDefault="00025E1C" w:rsidP="00025E1C">
            <w:pPr>
              <w:spacing w:after="200" w:line="276" w:lineRule="auto"/>
              <w:jc w:val="both"/>
              <w:rPr>
                <w:rFonts w:ascii="Calibri" w:eastAsia="PMingLiU" w:hAnsi="Calibri" w:cs="Arial"/>
                <w:sz w:val="24"/>
                <w:szCs w:val="24"/>
                <w:lang w:val="en-US" w:eastAsia="zh-TW"/>
              </w:rPr>
            </w:pPr>
            <w:r w:rsidRPr="00025E1C">
              <w:rPr>
                <w:rFonts w:ascii="Calibri" w:eastAsia="PMingLiU" w:hAnsi="Calibri" w:cs="Arial"/>
                <w:sz w:val="24"/>
                <w:szCs w:val="24"/>
                <w:lang w:val="en-US" w:eastAsia="zh-TW"/>
              </w:rPr>
              <w:t>Using only cleared transactions reduces the scope of the sample and the relevance of the data. It furthermore introduces a discussion on the differential between CCPs which appears to us to be very sensitive and delicate an issue. We fear that ISDA’s responsibility be engaged in the process of ranking/rating CCPs. Thus, we do not support the suggestion to use centrally cleared transactions only.</w:t>
            </w:r>
          </w:p>
          <w:p w:rsidR="00025E1C" w:rsidRPr="00025E1C" w:rsidRDefault="00025E1C" w:rsidP="00025E1C">
            <w:pPr>
              <w:spacing w:after="200" w:line="276" w:lineRule="auto"/>
              <w:jc w:val="both"/>
              <w:rPr>
                <w:rFonts w:eastAsia="PMingLiU" w:cs="Arial"/>
                <w:b/>
                <w:sz w:val="22"/>
                <w:szCs w:val="22"/>
                <w:lang w:val="en-US" w:eastAsia="zh-TW"/>
              </w:rPr>
            </w:pPr>
            <w:r w:rsidRPr="00025E1C">
              <w:rPr>
                <w:rFonts w:eastAsia="PMingLiU" w:cs="Arial"/>
                <w:b/>
                <w:sz w:val="22"/>
                <w:szCs w:val="22"/>
                <w:lang w:val="en-US" w:eastAsia="zh-TW"/>
              </w:rPr>
              <w:t>o Historical Mean/Median Approach</w:t>
            </w:r>
          </w:p>
          <w:p w:rsidR="00025E1C" w:rsidRPr="00025E1C" w:rsidRDefault="00025E1C" w:rsidP="00025E1C">
            <w:pPr>
              <w:numPr>
                <w:ilvl w:val="0"/>
                <w:numId w:val="10"/>
              </w:numPr>
              <w:spacing w:after="200" w:line="276" w:lineRule="auto"/>
              <w:contextualSpacing/>
              <w:jc w:val="both"/>
              <w:rPr>
                <w:rFonts w:eastAsia="PMingLiU" w:cs="Arial"/>
                <w:b/>
                <w:sz w:val="22"/>
                <w:szCs w:val="22"/>
                <w:lang w:val="en-US" w:eastAsia="zh-TW"/>
              </w:rPr>
            </w:pPr>
            <w:r w:rsidRPr="00025E1C">
              <w:rPr>
                <w:rFonts w:eastAsia="PMingLiU" w:cs="Arial"/>
                <w:b/>
                <w:sz w:val="22"/>
                <w:szCs w:val="22"/>
                <w:lang w:val="en-US" w:eastAsia="zh-TW"/>
              </w:rPr>
              <w:t>What is the appropriate historical static lookback period? Please specifically consider 5 years and 10 years but also indicate whether a different time period is most appropriate and explain why.</w:t>
            </w:r>
          </w:p>
          <w:p w:rsidR="00025E1C" w:rsidRPr="00025E1C" w:rsidRDefault="00025E1C" w:rsidP="00025E1C">
            <w:pPr>
              <w:spacing w:after="200" w:line="276" w:lineRule="auto"/>
              <w:jc w:val="both"/>
              <w:rPr>
                <w:rFonts w:ascii="Calibri" w:eastAsia="PMingLiU" w:hAnsi="Calibri" w:cs="Arial"/>
                <w:sz w:val="24"/>
                <w:szCs w:val="24"/>
                <w:lang w:val="en-US" w:eastAsia="zh-TW"/>
              </w:rPr>
            </w:pPr>
            <w:r w:rsidRPr="00025E1C">
              <w:rPr>
                <w:rFonts w:ascii="Calibri" w:eastAsia="PMingLiU" w:hAnsi="Calibri" w:cs="Arial"/>
                <w:sz w:val="24"/>
                <w:szCs w:val="24"/>
                <w:lang w:val="en-US" w:eastAsia="zh-TW"/>
              </w:rPr>
              <w:t>The longer the look-back period, the better to dilute the impact of exceptional observations without eliminating them. But practical reasons may suggest not to extend the period too much. Thus, a 10 year period would seem, at first sight, appropriate. However, it is questionable that 2009/2018 is. We suggest to extend the period of observation to 15 or 20 years and compute mean and median on different sub-periods, for example 5 years, to judge whether there is sufficient stability in the spread before fixing it. Alternatively we could suggest to aggregate 2 or 3 different periods of 5 or 3 years representing different interest rate contexts and thus reducing the impact of the recent QE policy developed by central banks.</w:t>
            </w:r>
          </w:p>
          <w:p w:rsidR="00025E1C" w:rsidRPr="00025E1C" w:rsidRDefault="00025E1C" w:rsidP="00025E1C">
            <w:pPr>
              <w:numPr>
                <w:ilvl w:val="0"/>
                <w:numId w:val="10"/>
              </w:numPr>
              <w:spacing w:after="200" w:line="276" w:lineRule="auto"/>
              <w:contextualSpacing/>
              <w:jc w:val="both"/>
              <w:rPr>
                <w:rFonts w:eastAsia="PMingLiU" w:cs="Arial"/>
                <w:b/>
                <w:sz w:val="22"/>
                <w:szCs w:val="22"/>
                <w:lang w:val="en-US" w:eastAsia="zh-TW"/>
              </w:rPr>
            </w:pPr>
            <w:r w:rsidRPr="00025E1C">
              <w:rPr>
                <w:rFonts w:eastAsia="PMingLiU" w:cs="Arial"/>
                <w:b/>
                <w:sz w:val="22"/>
                <w:szCs w:val="22"/>
                <w:lang w:val="en-US" w:eastAsia="zh-TW"/>
              </w:rPr>
              <w:t>Should the calculation be based on the mean or the median spot spread between the IBOR and the adjusted RFR? Please explain why.</w:t>
            </w:r>
          </w:p>
          <w:p w:rsidR="00025E1C" w:rsidRPr="00025E1C" w:rsidRDefault="00025E1C" w:rsidP="00025E1C">
            <w:pPr>
              <w:spacing w:after="200" w:line="276" w:lineRule="auto"/>
              <w:jc w:val="both"/>
              <w:rPr>
                <w:rFonts w:ascii="Calibri" w:eastAsia="PMingLiU" w:hAnsi="Calibri" w:cs="Arial"/>
                <w:sz w:val="24"/>
                <w:szCs w:val="24"/>
                <w:lang w:val="en-US" w:eastAsia="zh-TW"/>
              </w:rPr>
            </w:pPr>
            <w:r w:rsidRPr="00025E1C">
              <w:rPr>
                <w:rFonts w:ascii="Calibri" w:eastAsia="PMingLiU" w:hAnsi="Calibri" w:cs="Arial"/>
                <w:sz w:val="24"/>
                <w:szCs w:val="24"/>
                <w:lang w:val="en-US" w:eastAsia="zh-TW"/>
              </w:rPr>
              <w:t>We have no clear cut opinion on the choice between Median or Mean. Keeping in mind that we do not want to have different approaches for different IBORs it turns to be more theoretical a question. The difference between Mean and Median somehow expresses the degree of fragmentation  of the market between smaller and larger entities.</w:t>
            </w:r>
          </w:p>
          <w:p w:rsidR="00025E1C" w:rsidRPr="00025E1C" w:rsidRDefault="00025E1C" w:rsidP="00025E1C">
            <w:pPr>
              <w:spacing w:after="200" w:line="276" w:lineRule="auto"/>
              <w:jc w:val="both"/>
              <w:rPr>
                <w:rFonts w:eastAsia="PMingLiU" w:cs="Arial"/>
                <w:b/>
                <w:sz w:val="22"/>
                <w:szCs w:val="22"/>
                <w:lang w:val="en-US" w:eastAsia="zh-TW"/>
              </w:rPr>
            </w:pPr>
            <w:r w:rsidRPr="00025E1C">
              <w:rPr>
                <w:rFonts w:eastAsia="PMingLiU" w:cs="Arial"/>
                <w:b/>
                <w:sz w:val="22"/>
                <w:szCs w:val="22"/>
                <w:lang w:val="en-US" w:eastAsia="zh-TW"/>
              </w:rPr>
              <w:t>o Spot-Spread Approach</w:t>
            </w:r>
          </w:p>
          <w:p w:rsidR="00025E1C" w:rsidRPr="00025E1C" w:rsidRDefault="00025E1C" w:rsidP="00025E1C">
            <w:pPr>
              <w:spacing w:after="200" w:line="276" w:lineRule="auto"/>
              <w:jc w:val="both"/>
              <w:rPr>
                <w:rFonts w:eastAsia="PMingLiU" w:cs="Arial"/>
                <w:b/>
                <w:sz w:val="22"/>
                <w:szCs w:val="22"/>
                <w:lang w:val="en-US" w:eastAsia="zh-TW"/>
              </w:rPr>
            </w:pPr>
            <w:r w:rsidRPr="00025E1C">
              <w:rPr>
                <w:rFonts w:eastAsia="PMingLiU" w:cs="Arial"/>
                <w:b/>
                <w:sz w:val="22"/>
                <w:szCs w:val="22"/>
                <w:lang w:val="en-US" w:eastAsia="zh-TW"/>
              </w:rPr>
              <w:t>Should the spot-spread approach be based on data from the day prior to the trigger only or, alternatively, some number of days prior to the trigger? If the latter, how many days prior to the trigger should this be? Please specifically consider 5 trading days, 10 trading days and 1 month, but also indicate whether a different time period is most appropriate and explain why.</w:t>
            </w:r>
          </w:p>
          <w:p w:rsidR="00025E1C" w:rsidRPr="00025E1C" w:rsidRDefault="00025E1C" w:rsidP="00025E1C">
            <w:pPr>
              <w:spacing w:after="200" w:line="276" w:lineRule="auto"/>
              <w:jc w:val="both"/>
              <w:rPr>
                <w:rFonts w:ascii="Calibri" w:eastAsia="PMingLiU" w:hAnsi="Calibri" w:cs="Arial"/>
                <w:sz w:val="24"/>
                <w:szCs w:val="24"/>
                <w:lang w:val="en-US" w:eastAsia="zh-TW"/>
              </w:rPr>
            </w:pPr>
            <w:r w:rsidRPr="00025E1C">
              <w:rPr>
                <w:rFonts w:ascii="Calibri" w:eastAsia="PMingLiU" w:hAnsi="Calibri" w:cs="Arial"/>
                <w:sz w:val="24"/>
                <w:szCs w:val="24"/>
                <w:lang w:val="en-US" w:eastAsia="zh-TW"/>
              </w:rPr>
              <w:t>We recommend a 1 month period. We consider it reaches a good balance between the instantaneous reference that “spot “ implies and the need to avoid unrepresentative data.</w:t>
            </w:r>
          </w:p>
          <w:p w:rsidR="00025E1C" w:rsidRPr="00025E1C" w:rsidRDefault="00025E1C" w:rsidP="00025E1C">
            <w:pPr>
              <w:spacing w:after="200" w:line="276" w:lineRule="auto"/>
              <w:jc w:val="both"/>
              <w:rPr>
                <w:rFonts w:eastAsia="PMingLiU" w:cs="Arial"/>
                <w:b/>
                <w:sz w:val="22"/>
                <w:szCs w:val="22"/>
                <w:lang w:val="en-US" w:eastAsia="zh-TW"/>
              </w:rPr>
            </w:pPr>
            <w:r w:rsidRPr="00025E1C">
              <w:rPr>
                <w:rFonts w:eastAsia="PMingLiU" w:cs="Arial"/>
                <w:b/>
                <w:sz w:val="22"/>
                <w:szCs w:val="22"/>
                <w:lang w:val="en-US" w:eastAsia="zh-TW"/>
              </w:rPr>
              <w:t>General</w:t>
            </w:r>
          </w:p>
          <w:p w:rsidR="00025E1C" w:rsidRPr="00025E1C" w:rsidRDefault="00025E1C" w:rsidP="00025E1C">
            <w:pPr>
              <w:spacing w:after="200" w:line="276" w:lineRule="auto"/>
              <w:jc w:val="both"/>
              <w:rPr>
                <w:rFonts w:ascii="Calibri" w:eastAsia="PMingLiU" w:hAnsi="Calibri" w:cs="Arial"/>
                <w:sz w:val="24"/>
                <w:szCs w:val="24"/>
                <w:lang w:val="en-US" w:eastAsia="zh-TW"/>
              </w:rPr>
            </w:pPr>
            <w:r w:rsidRPr="00025E1C">
              <w:rPr>
                <w:rFonts w:ascii="Calibri" w:eastAsia="PMingLiU" w:hAnsi="Calibri" w:cs="Arial"/>
                <w:sz w:val="24"/>
                <w:szCs w:val="24"/>
                <w:lang w:val="en-US" w:eastAsia="zh-TW"/>
              </w:rPr>
              <w:t xml:space="preserve">As a first and general comment, we would like to underline the importance to consider that the issue of substitution of new indices to the IBOR reference is not limited to the valuation of derivatives. We appreciate and totally support ISDA initiative to address the point without waiting. However our answers are conditioned by the fact that as asset managers we use IBORs in other circumstances as well, as benchmark for funds or through the detention of floating rate bonds and notes referring to IBORs for example. Consequently we will </w:t>
            </w:r>
            <w:proofErr w:type="spellStart"/>
            <w:r w:rsidRPr="00025E1C">
              <w:rPr>
                <w:rFonts w:ascii="Calibri" w:eastAsia="PMingLiU" w:hAnsi="Calibri" w:cs="Arial"/>
                <w:sz w:val="24"/>
                <w:szCs w:val="24"/>
                <w:lang w:val="en-US" w:eastAsia="zh-TW"/>
              </w:rPr>
              <w:t>favour</w:t>
            </w:r>
            <w:proofErr w:type="spellEnd"/>
            <w:r w:rsidRPr="00025E1C">
              <w:rPr>
                <w:rFonts w:ascii="Calibri" w:eastAsia="PMingLiU" w:hAnsi="Calibri" w:cs="Arial"/>
                <w:sz w:val="24"/>
                <w:szCs w:val="24"/>
                <w:lang w:val="en-US" w:eastAsia="zh-TW"/>
              </w:rPr>
              <w:t xml:space="preserve"> an approach that has a chance to also apply to these other situations.  </w:t>
            </w:r>
          </w:p>
          <w:p w:rsidR="00025E1C" w:rsidRPr="00025E1C" w:rsidRDefault="00025E1C" w:rsidP="00025E1C">
            <w:pPr>
              <w:spacing w:after="200" w:line="276" w:lineRule="auto"/>
              <w:jc w:val="both"/>
              <w:rPr>
                <w:rFonts w:ascii="Calibri" w:eastAsia="PMingLiU" w:hAnsi="Calibri" w:cs="Arial"/>
                <w:sz w:val="24"/>
                <w:szCs w:val="24"/>
                <w:lang w:val="en-US" w:eastAsia="zh-TW"/>
              </w:rPr>
            </w:pPr>
            <w:r w:rsidRPr="00025E1C">
              <w:rPr>
                <w:rFonts w:ascii="Calibri" w:eastAsia="PMingLiU" w:hAnsi="Calibri" w:cs="Arial"/>
                <w:sz w:val="24"/>
                <w:szCs w:val="24"/>
                <w:lang w:val="en-US" w:eastAsia="zh-TW"/>
              </w:rPr>
              <w:t>Our second general comment relates to the possibility to use futures and/or OIS markets to build reliable fallback references. We think that these markets will develop very rapidly and be particularly active, so that they should be considered as an alternative.</w:t>
            </w:r>
          </w:p>
          <w:p w:rsidR="00025E1C" w:rsidRPr="00025E1C" w:rsidRDefault="00025E1C" w:rsidP="00025E1C">
            <w:pPr>
              <w:spacing w:after="200" w:line="276" w:lineRule="auto"/>
              <w:jc w:val="both"/>
              <w:rPr>
                <w:rFonts w:eastAsia="PMingLiU" w:cs="Arial"/>
                <w:b/>
                <w:sz w:val="22"/>
                <w:szCs w:val="22"/>
                <w:lang w:val="en-US" w:eastAsia="zh-TW"/>
              </w:rPr>
            </w:pPr>
            <w:r w:rsidRPr="00025E1C">
              <w:rPr>
                <w:rFonts w:eastAsia="PMingLiU" w:cs="Arial"/>
                <w:b/>
                <w:sz w:val="22"/>
                <w:szCs w:val="22"/>
                <w:lang w:val="en-US" w:eastAsia="zh-TW"/>
              </w:rPr>
              <w:t>• How important or unimportant is it for the fallbacks to be approximately present-value neutral at the time of trigger? Please explain why.</w:t>
            </w:r>
          </w:p>
          <w:p w:rsidR="00025E1C" w:rsidRPr="00025E1C" w:rsidRDefault="00025E1C" w:rsidP="00025E1C">
            <w:pPr>
              <w:spacing w:after="200" w:line="276" w:lineRule="auto"/>
              <w:jc w:val="both"/>
              <w:rPr>
                <w:rFonts w:ascii="Calibri" w:eastAsia="PMingLiU" w:hAnsi="Calibri" w:cs="Arial"/>
                <w:sz w:val="24"/>
                <w:szCs w:val="24"/>
                <w:lang w:val="en-US" w:eastAsia="zh-TW"/>
              </w:rPr>
            </w:pPr>
            <w:r w:rsidRPr="00025E1C">
              <w:rPr>
                <w:rFonts w:ascii="Calibri" w:eastAsia="PMingLiU" w:hAnsi="Calibri" w:cs="Arial"/>
                <w:sz w:val="24"/>
                <w:szCs w:val="24"/>
                <w:lang w:val="en-US" w:eastAsia="zh-TW"/>
              </w:rPr>
              <w:t>To avoid a potential cliff effect we judge as very important that the transition to the fallback provisions when triggered does not create large present value discrepancies. Neutrality is in our view paramount. Asset managers value the assets they have under management daily and continuously monitor the risks involved and any disruption in value will result in an alert. Eventually, it may create difficulties with investors that will question the reason behind the change in value.</w:t>
            </w:r>
          </w:p>
          <w:p w:rsidR="00025E1C" w:rsidRPr="00025E1C" w:rsidRDefault="00025E1C" w:rsidP="00025E1C">
            <w:pPr>
              <w:spacing w:after="200" w:line="276" w:lineRule="auto"/>
              <w:jc w:val="both"/>
              <w:rPr>
                <w:rFonts w:eastAsia="PMingLiU" w:cs="Arial"/>
                <w:b/>
                <w:sz w:val="22"/>
                <w:szCs w:val="22"/>
                <w:lang w:val="en-US" w:eastAsia="zh-TW"/>
              </w:rPr>
            </w:pPr>
            <w:r w:rsidRPr="00025E1C">
              <w:rPr>
                <w:rFonts w:eastAsia="PMingLiU" w:cs="Arial"/>
                <w:b/>
                <w:sz w:val="22"/>
                <w:szCs w:val="22"/>
                <w:lang w:val="en-US" w:eastAsia="zh-TW"/>
              </w:rPr>
              <w:t>• How important or unimportant is it for the fallback rates to be available in advance of the accrual period. Alternative, is setting in arrears acceptable? Please explain why or why not.</w:t>
            </w:r>
          </w:p>
          <w:p w:rsidR="00025E1C" w:rsidRPr="00025E1C" w:rsidRDefault="00025E1C" w:rsidP="00025E1C">
            <w:pPr>
              <w:spacing w:after="200" w:line="276" w:lineRule="auto"/>
              <w:jc w:val="both"/>
              <w:rPr>
                <w:rFonts w:ascii="Calibri" w:eastAsia="PMingLiU" w:hAnsi="Calibri" w:cs="Arial"/>
                <w:sz w:val="24"/>
                <w:szCs w:val="24"/>
                <w:lang w:val="en-US" w:eastAsia="zh-TW"/>
              </w:rPr>
            </w:pPr>
            <w:r w:rsidRPr="00025E1C">
              <w:rPr>
                <w:rFonts w:ascii="Calibri" w:eastAsia="PMingLiU" w:hAnsi="Calibri" w:cs="Arial"/>
                <w:sz w:val="24"/>
                <w:szCs w:val="24"/>
                <w:lang w:val="en-US" w:eastAsia="zh-TW"/>
              </w:rPr>
              <w:t xml:space="preserve">We have a long experience with references where the final amount was not disclosed before the end of the period of accrual. Not knowing the fallback rate in advance is workable provided there is a limited delay for back offices to integrate updated data. Conversely, we are not intellectually satisfied to use past reference based on a compounded setting in advance rate. </w:t>
            </w:r>
          </w:p>
          <w:p w:rsidR="00025E1C" w:rsidRPr="00025E1C" w:rsidRDefault="00025E1C" w:rsidP="00025E1C">
            <w:pPr>
              <w:spacing w:after="200" w:line="276" w:lineRule="auto"/>
              <w:jc w:val="both"/>
              <w:rPr>
                <w:rFonts w:eastAsia="PMingLiU" w:cs="Arial"/>
                <w:b/>
                <w:sz w:val="22"/>
                <w:szCs w:val="22"/>
                <w:lang w:val="en-US" w:eastAsia="zh-TW"/>
              </w:rPr>
            </w:pPr>
            <w:r w:rsidRPr="00025E1C">
              <w:rPr>
                <w:rFonts w:eastAsia="PMingLiU" w:cs="Arial"/>
                <w:b/>
                <w:sz w:val="22"/>
                <w:szCs w:val="22"/>
                <w:lang w:val="en-US" w:eastAsia="zh-TW"/>
              </w:rPr>
              <w:t>• How important or unimportant is it for the fallback rates to be wholly (or mostly) convexity free? Please explain why or why not.</w:t>
            </w:r>
          </w:p>
          <w:p w:rsidR="00025E1C" w:rsidRPr="00025E1C" w:rsidRDefault="00025E1C" w:rsidP="00025E1C">
            <w:pPr>
              <w:spacing w:after="200" w:line="276" w:lineRule="auto"/>
              <w:jc w:val="both"/>
              <w:rPr>
                <w:rFonts w:ascii="Calibri" w:eastAsia="PMingLiU" w:hAnsi="Calibri" w:cs="Arial"/>
                <w:sz w:val="24"/>
                <w:szCs w:val="24"/>
                <w:lang w:val="en-US" w:eastAsia="zh-TW"/>
              </w:rPr>
            </w:pPr>
            <w:r w:rsidRPr="00025E1C">
              <w:rPr>
                <w:rFonts w:ascii="Calibri" w:eastAsia="PMingLiU" w:hAnsi="Calibri" w:cs="Arial"/>
                <w:sz w:val="24"/>
                <w:szCs w:val="24"/>
                <w:lang w:val="en-US" w:eastAsia="zh-TW"/>
              </w:rPr>
              <w:t>One could suggest that the adjustment for convexity be dealt with through the spread adjustment. We believe, though, that it is reasonable to keep a 2 step approach as suggested by ISDA and introduce a spread adjustment that will not include convexity considerations. The spread should be more relevant if independent of the compounding effect that varies with the level of interest rates. As a conclusion, we rate as important the capacity for the fallback rates to be convexity free (to the extent possible).</w:t>
            </w:r>
          </w:p>
          <w:p w:rsidR="00025E1C" w:rsidRPr="00025E1C" w:rsidRDefault="00025E1C" w:rsidP="00025E1C">
            <w:pPr>
              <w:spacing w:after="200" w:line="276" w:lineRule="auto"/>
              <w:rPr>
                <w:rFonts w:ascii="Calibri" w:eastAsia="PMingLiU" w:hAnsi="Calibri" w:cs="Arial"/>
                <w:i/>
                <w:sz w:val="24"/>
                <w:szCs w:val="24"/>
                <w:lang w:val="en-US" w:eastAsia="zh-TW"/>
              </w:rPr>
            </w:pPr>
            <w:r w:rsidRPr="00025E1C">
              <w:rPr>
                <w:rFonts w:ascii="Calibri" w:eastAsia="PMingLiU" w:hAnsi="Calibri" w:cs="Arial"/>
                <w:i/>
                <w:sz w:val="24"/>
                <w:szCs w:val="24"/>
                <w:lang w:val="en-US" w:eastAsia="zh-TW"/>
              </w:rPr>
              <w:t>Contact at Amundi:</w:t>
            </w:r>
            <w:r w:rsidRPr="00025E1C">
              <w:rPr>
                <w:rFonts w:ascii="Calibri" w:eastAsia="PMingLiU" w:hAnsi="Calibri" w:cs="Arial"/>
                <w:i/>
                <w:sz w:val="24"/>
                <w:szCs w:val="24"/>
                <w:lang w:val="en-US" w:eastAsia="zh-TW"/>
              </w:rPr>
              <w:br/>
              <w:t>Frédéric BOMPAIRE, public affairs</w:t>
            </w:r>
            <w:r w:rsidRPr="00025E1C">
              <w:rPr>
                <w:rFonts w:ascii="Calibri" w:eastAsia="PMingLiU" w:hAnsi="Calibri" w:cs="Arial"/>
                <w:i/>
                <w:sz w:val="24"/>
                <w:szCs w:val="24"/>
                <w:lang w:val="en-US" w:eastAsia="zh-TW"/>
              </w:rPr>
              <w:br/>
              <w:t xml:space="preserve">+33(0)1 7637 9144 </w:t>
            </w:r>
            <w:hyperlink r:id="rId9" w:history="1">
              <w:r w:rsidRPr="00025E1C">
                <w:rPr>
                  <w:rFonts w:ascii="Calibri" w:eastAsia="PMingLiU" w:hAnsi="Calibri" w:cs="Arial"/>
                  <w:i/>
                  <w:color w:val="0000FF"/>
                  <w:sz w:val="24"/>
                  <w:szCs w:val="24"/>
                  <w:u w:val="single"/>
                  <w:lang w:val="en-US" w:eastAsia="zh-TW"/>
                </w:rPr>
                <w:t>frederic.bompaire@amundi.com</w:t>
              </w:r>
            </w:hyperlink>
            <w:r w:rsidRPr="00025E1C">
              <w:rPr>
                <w:rFonts w:ascii="Calibri" w:eastAsia="PMingLiU" w:hAnsi="Calibri" w:cs="Arial"/>
                <w:i/>
                <w:sz w:val="24"/>
                <w:szCs w:val="24"/>
                <w:lang w:val="en-US" w:eastAsia="zh-TW"/>
              </w:rPr>
              <w:t xml:space="preserve"> </w:t>
            </w:r>
            <w:r w:rsidRPr="00025E1C">
              <w:rPr>
                <w:rFonts w:ascii="Calibri" w:eastAsia="PMingLiU" w:hAnsi="Calibri" w:cs="Arial"/>
                <w:i/>
                <w:sz w:val="24"/>
                <w:szCs w:val="24"/>
                <w:lang w:val="en-US" w:eastAsia="zh-TW"/>
              </w:rPr>
              <w:br/>
            </w:r>
          </w:p>
          <w:p w:rsidR="00894750" w:rsidRDefault="00894750">
            <w:pPr>
              <w:rPr>
                <w:lang w:val="en-US" w:bidi="x-none"/>
              </w:rPr>
            </w:pPr>
          </w:p>
          <w:p w:rsidR="000132CB" w:rsidRDefault="000132CB">
            <w:pPr>
              <w:rPr>
                <w:lang w:val="en-US" w:bidi="x-none"/>
              </w:rPr>
            </w:pPr>
          </w:p>
          <w:p w:rsidR="000132CB" w:rsidRPr="008A69C5" w:rsidRDefault="000132CB">
            <w:pPr>
              <w:rPr>
                <w:lang w:val="en-US" w:bidi="x-none"/>
              </w:rPr>
            </w:pPr>
          </w:p>
        </w:tc>
      </w:tr>
      <w:tr w:rsidR="00894750" w:rsidRPr="00025E1C" w:rsidTr="008A69C5">
        <w:trPr>
          <w:trHeight w:hRule="exact" w:val="216"/>
        </w:trPr>
        <w:tc>
          <w:tcPr>
            <w:tcW w:w="8386" w:type="dxa"/>
            <w:gridSpan w:val="2"/>
          </w:tcPr>
          <w:p w:rsidR="00894750" w:rsidRPr="00056244" w:rsidRDefault="00894750">
            <w:pPr>
              <w:rPr>
                <w:sz w:val="22"/>
                <w:szCs w:val="22"/>
                <w:lang w:val="en-US" w:bidi="x-none"/>
              </w:rPr>
            </w:pPr>
          </w:p>
        </w:tc>
      </w:tr>
    </w:tbl>
    <w:p w:rsidR="00F0338F" w:rsidRPr="00056244" w:rsidRDefault="00F0338F" w:rsidP="00F0338F">
      <w:pPr>
        <w:rPr>
          <w:vanish/>
          <w:sz w:val="22"/>
          <w:szCs w:val="22"/>
        </w:rPr>
      </w:pPr>
    </w:p>
    <w:tbl>
      <w:tblPr>
        <w:tblW w:w="7126" w:type="dxa"/>
        <w:tblLayout w:type="fixed"/>
        <w:tblCellMar>
          <w:left w:w="0" w:type="dxa"/>
          <w:right w:w="0" w:type="dxa"/>
        </w:tblCellMar>
        <w:tblLook w:val="00A0" w:firstRow="1" w:lastRow="0" w:firstColumn="1" w:lastColumn="0" w:noHBand="0" w:noVBand="0"/>
      </w:tblPr>
      <w:tblGrid>
        <w:gridCol w:w="7126"/>
      </w:tblGrid>
      <w:tr w:rsidR="00894750" w:rsidRPr="00056244" w:rsidTr="00987480">
        <w:trPr>
          <w:trHeight w:hRule="exact" w:val="1932"/>
        </w:trPr>
        <w:tc>
          <w:tcPr>
            <w:tcW w:w="7126" w:type="dxa"/>
            <w:vAlign w:val="bottom"/>
          </w:tcPr>
          <w:p w:rsidR="00897CDD" w:rsidRPr="00642797" w:rsidRDefault="00897CDD" w:rsidP="00987480">
            <w:pPr>
              <w:framePr w:w="7088" w:h="57" w:wrap="notBeside" w:vAnchor="page" w:hAnchor="page" w:x="713" w:y="14536" w:anchorLock="1"/>
              <w:spacing w:line="240" w:lineRule="auto"/>
              <w:rPr>
                <w:color w:val="00235D"/>
                <w:sz w:val="16"/>
                <w:szCs w:val="16"/>
                <w:lang w:bidi="x-none"/>
              </w:rPr>
            </w:pPr>
            <w:r w:rsidRPr="00642797">
              <w:rPr>
                <w:color w:val="00235D"/>
                <w:sz w:val="16"/>
                <w:szCs w:val="16"/>
                <w:lang w:bidi="x-none"/>
              </w:rPr>
              <w:t xml:space="preserve">Siège social : 90, boulevard Pasteur - 75015 Paris - France </w:t>
            </w:r>
          </w:p>
          <w:p w:rsidR="00897CDD" w:rsidRPr="00642797" w:rsidRDefault="00897CDD" w:rsidP="00987480">
            <w:pPr>
              <w:framePr w:w="7088" w:h="57" w:wrap="notBeside" w:vAnchor="page" w:hAnchor="page" w:x="713" w:y="14536" w:anchorLock="1"/>
              <w:spacing w:line="240" w:lineRule="auto"/>
              <w:rPr>
                <w:color w:val="00235D"/>
                <w:sz w:val="16"/>
                <w:szCs w:val="16"/>
                <w:lang w:bidi="x-none"/>
              </w:rPr>
            </w:pPr>
            <w:r w:rsidRPr="00642797">
              <w:rPr>
                <w:color w:val="00235D"/>
                <w:sz w:val="16"/>
                <w:szCs w:val="16"/>
                <w:lang w:bidi="x-none"/>
              </w:rPr>
              <w:t>Adresse postale : Amundi - 90, boulevard Pasteur - CS 21564 - 75730 Paris Cedex 15 - France</w:t>
            </w:r>
          </w:p>
          <w:p w:rsidR="00894750" w:rsidRPr="00642797" w:rsidRDefault="00897CDD" w:rsidP="00987480">
            <w:pPr>
              <w:pStyle w:val="Adressepieddepage"/>
              <w:framePr w:w="7088" w:wrap="notBeside" w:x="713" w:y="14536"/>
              <w:rPr>
                <w:szCs w:val="16"/>
              </w:rPr>
            </w:pPr>
            <w:r w:rsidRPr="00642797">
              <w:rPr>
                <w:szCs w:val="16"/>
              </w:rPr>
              <w:t>Tél. : +33 (0)1 76 33 30 30 - amundi.com</w:t>
            </w:r>
          </w:p>
          <w:p w:rsidR="00894750" w:rsidRPr="00642797" w:rsidRDefault="00894750" w:rsidP="00987480">
            <w:pPr>
              <w:framePr w:w="7088" w:h="57" w:wrap="notBeside" w:vAnchor="page" w:hAnchor="page" w:x="713" w:y="14536" w:anchorLock="1"/>
              <w:spacing w:line="60" w:lineRule="exact"/>
              <w:rPr>
                <w:color w:val="00235D"/>
                <w:sz w:val="16"/>
                <w:szCs w:val="16"/>
                <w:lang w:bidi="x-none"/>
              </w:rPr>
            </w:pPr>
          </w:p>
          <w:p w:rsidR="00894750" w:rsidRPr="00056244" w:rsidRDefault="005B06B4" w:rsidP="00987480">
            <w:pPr>
              <w:pStyle w:val="Capitaletrfrences"/>
              <w:framePr w:w="7088" w:wrap="notBeside" w:x="713" w:y="14536"/>
              <w:rPr>
                <w:sz w:val="22"/>
                <w:szCs w:val="22"/>
              </w:rPr>
            </w:pPr>
            <w:r w:rsidRPr="00642797">
              <w:rPr>
                <w:sz w:val="16"/>
                <w:szCs w:val="16"/>
              </w:rPr>
              <w:t xml:space="preserve">Société Anonyme au capital de 1 086 262 605 </w:t>
            </w:r>
            <w:r w:rsidR="00897CDD" w:rsidRPr="00642797">
              <w:rPr>
                <w:sz w:val="16"/>
                <w:szCs w:val="16"/>
              </w:rPr>
              <w:t xml:space="preserve">euros - 437 574 452 RCS Paris - Société de Gestion </w:t>
            </w:r>
            <w:r w:rsidR="00897CDD" w:rsidRPr="00642797">
              <w:rPr>
                <w:sz w:val="16"/>
                <w:szCs w:val="16"/>
              </w:rPr>
              <w:br/>
              <w:t>de Portefeuille agréée par l’AMF (Autorité des Marchés Financiers) n° GP 04000036</w:t>
            </w:r>
            <w:r w:rsidR="00894750" w:rsidRPr="00D167FC">
              <w:rPr>
                <w:sz w:val="18"/>
                <w:szCs w:val="18"/>
              </w:rPr>
              <w:fldChar w:fldCharType="begin">
                <w:ffData>
                  <w:name w:val="Texte43"/>
                  <w:enabled/>
                  <w:calcOnExit w:val="0"/>
                  <w:textInput>
                    <w:default w:val="."/>
                  </w:textInput>
                </w:ffData>
              </w:fldChar>
            </w:r>
            <w:bookmarkStart w:id="0" w:name="Texte43"/>
            <w:r w:rsidR="00894750" w:rsidRPr="00D167FC">
              <w:rPr>
                <w:sz w:val="18"/>
                <w:szCs w:val="18"/>
              </w:rPr>
              <w:instrText xml:space="preserve"> FORMTEXT </w:instrText>
            </w:r>
            <w:r w:rsidR="00894750" w:rsidRPr="00D167FC">
              <w:rPr>
                <w:sz w:val="18"/>
                <w:szCs w:val="18"/>
              </w:rPr>
            </w:r>
            <w:r w:rsidR="00894750" w:rsidRPr="00D167FC">
              <w:rPr>
                <w:sz w:val="18"/>
                <w:szCs w:val="18"/>
              </w:rPr>
              <w:fldChar w:fldCharType="separate"/>
            </w:r>
            <w:r w:rsidR="00894750" w:rsidRPr="00D167FC">
              <w:rPr>
                <w:noProof/>
                <w:sz w:val="18"/>
                <w:szCs w:val="18"/>
              </w:rPr>
              <w:t>.</w:t>
            </w:r>
            <w:r w:rsidR="00894750" w:rsidRPr="00D167FC">
              <w:rPr>
                <w:sz w:val="18"/>
                <w:szCs w:val="18"/>
              </w:rPr>
              <w:fldChar w:fldCharType="end"/>
            </w:r>
            <w:bookmarkEnd w:id="0"/>
          </w:p>
        </w:tc>
      </w:tr>
    </w:tbl>
    <w:p w:rsidR="00025E1C" w:rsidRPr="006A1CC1" w:rsidRDefault="00191839" w:rsidP="00330922">
      <w:pPr>
        <w:spacing w:line="240" w:lineRule="auto"/>
        <w:jc w:val="both"/>
        <w:rPr>
          <w:rFonts w:ascii="Calibri" w:hAnsi="Calibri"/>
          <w:sz w:val="22"/>
          <w:szCs w:val="22"/>
          <w:lang w:val="en-US"/>
        </w:rPr>
      </w:pPr>
      <w:r w:rsidRPr="006A1CC1">
        <w:rPr>
          <w:rFonts w:ascii="Calibri" w:hAnsi="Calibri"/>
          <w:sz w:val="22"/>
          <w:szCs w:val="22"/>
          <w:lang w:val="en-US"/>
        </w:rPr>
        <w:t>Amundi is Europe’s largest asset manager by assets under management and ranks in the top 10 globally. It manages more than 1.470 trillion euros of assets across six main investment hubs. Amundi offers its clients in Europe, Asia-Pacific, the Middle East and the Americas a wealth of market expertise and a full range of capabilities across the active, passive and real assets investment universes. Clients also have access to a complete set of services and tools. Headquartered in Paris, and listed since November 2015, Amundi is also the 1st asset manager in Europe by market capitalization. Thanks to its unique research capabilities and the skills of close to 4,500 team members and market experts based in 37 countries, Amundi provides retail, institutional and corporate clients with innovative investment strategies and solutions tailored to their needs, targeted outcomes and risk profiles.</w:t>
      </w:r>
    </w:p>
    <w:p w:rsidR="00191839" w:rsidRPr="006A1CC1" w:rsidRDefault="00191839" w:rsidP="00330922">
      <w:pPr>
        <w:spacing w:line="240" w:lineRule="auto"/>
        <w:jc w:val="both"/>
        <w:rPr>
          <w:rFonts w:ascii="Calibri" w:hAnsi="Calibri"/>
          <w:sz w:val="22"/>
          <w:szCs w:val="22"/>
          <w:lang w:val="en-US"/>
        </w:rPr>
      </w:pPr>
    </w:p>
    <w:p w:rsidR="00330922" w:rsidRPr="006A1CC1" w:rsidRDefault="00330922" w:rsidP="00310226">
      <w:pPr>
        <w:spacing w:after="60" w:line="240" w:lineRule="auto"/>
        <w:jc w:val="both"/>
        <w:rPr>
          <w:rFonts w:ascii="Calibri" w:hAnsi="Calibri"/>
          <w:sz w:val="22"/>
          <w:szCs w:val="22"/>
          <w:lang w:val="en-US"/>
        </w:rPr>
      </w:pPr>
      <w:r w:rsidRPr="006A1CC1">
        <w:rPr>
          <w:rFonts w:ascii="Calibri" w:hAnsi="Calibri"/>
          <w:sz w:val="22"/>
          <w:szCs w:val="22"/>
          <w:lang w:val="en-US"/>
        </w:rPr>
        <w:t xml:space="preserve">For Amundi, MMFs represent a significant proportion of the business, close to 10% of </w:t>
      </w:r>
      <w:proofErr w:type="spellStart"/>
      <w:r w:rsidRPr="006A1CC1">
        <w:rPr>
          <w:rFonts w:ascii="Calibri" w:hAnsi="Calibri"/>
          <w:sz w:val="22"/>
          <w:szCs w:val="22"/>
          <w:lang w:val="en-US"/>
        </w:rPr>
        <w:t>AuM</w:t>
      </w:r>
      <w:proofErr w:type="spellEnd"/>
      <w:r w:rsidRPr="006A1CC1">
        <w:rPr>
          <w:rFonts w:ascii="Calibri" w:hAnsi="Calibri"/>
          <w:sz w:val="22"/>
          <w:szCs w:val="22"/>
          <w:lang w:val="en-US"/>
        </w:rPr>
        <w:t xml:space="preserve">, and we are probably the largest asset manager for Euro denominated VNAV MMFs. </w:t>
      </w:r>
      <w:r w:rsidR="00B413D8" w:rsidRPr="006A1CC1">
        <w:rPr>
          <w:rFonts w:ascii="Calibri" w:hAnsi="Calibri"/>
          <w:sz w:val="22"/>
          <w:szCs w:val="22"/>
          <w:lang w:val="en-US"/>
        </w:rPr>
        <w:t xml:space="preserve">We </w:t>
      </w:r>
      <w:r w:rsidR="00C476F3" w:rsidRPr="006A1CC1">
        <w:rPr>
          <w:rFonts w:ascii="Calibri" w:hAnsi="Calibri"/>
          <w:sz w:val="22"/>
          <w:szCs w:val="22"/>
          <w:lang w:val="en-US"/>
        </w:rPr>
        <w:t xml:space="preserve">are thankful for </w:t>
      </w:r>
      <w:r w:rsidRPr="006A1CC1">
        <w:rPr>
          <w:rFonts w:ascii="Calibri" w:hAnsi="Calibri"/>
          <w:sz w:val="22"/>
          <w:szCs w:val="22"/>
          <w:lang w:val="en-US"/>
        </w:rPr>
        <w:t>ESMA</w:t>
      </w:r>
      <w:r w:rsidR="00C476F3" w:rsidRPr="006A1CC1">
        <w:rPr>
          <w:rFonts w:ascii="Calibri" w:hAnsi="Calibri"/>
          <w:sz w:val="22"/>
          <w:szCs w:val="22"/>
          <w:lang w:val="en-US"/>
        </w:rPr>
        <w:t xml:space="preserve"> to open </w:t>
      </w:r>
      <w:r w:rsidRPr="006A1CC1">
        <w:rPr>
          <w:rFonts w:ascii="Calibri" w:hAnsi="Calibri"/>
          <w:sz w:val="22"/>
          <w:szCs w:val="22"/>
          <w:lang w:val="en-US"/>
        </w:rPr>
        <w:t>a consultation prior to publishing its guidelines concerning reporting as foreseen in MMF Regulation. Il allows us to provide some feedback on the operational challenges that reporting create</w:t>
      </w:r>
      <w:r w:rsidR="0044240C">
        <w:rPr>
          <w:rFonts w:ascii="Calibri" w:hAnsi="Calibri"/>
          <w:sz w:val="22"/>
          <w:szCs w:val="22"/>
          <w:lang w:val="en-US"/>
        </w:rPr>
        <w:t>s</w:t>
      </w:r>
      <w:r w:rsidRPr="006A1CC1">
        <w:rPr>
          <w:rFonts w:ascii="Calibri" w:hAnsi="Calibri"/>
          <w:sz w:val="22"/>
          <w:szCs w:val="22"/>
          <w:lang w:val="en-US"/>
        </w:rPr>
        <w:t xml:space="preserve"> for us.</w:t>
      </w:r>
      <w:r w:rsidR="00C476F3" w:rsidRPr="006A1CC1">
        <w:rPr>
          <w:rFonts w:ascii="Calibri" w:hAnsi="Calibri"/>
          <w:sz w:val="22"/>
          <w:szCs w:val="22"/>
          <w:lang w:val="en-US"/>
        </w:rPr>
        <w:t xml:space="preserve"> </w:t>
      </w:r>
      <w:r w:rsidRPr="006A1CC1">
        <w:rPr>
          <w:rFonts w:ascii="Calibri" w:hAnsi="Calibri"/>
          <w:sz w:val="22"/>
          <w:szCs w:val="22"/>
          <w:lang w:val="en-US"/>
        </w:rPr>
        <w:t xml:space="preserve">We </w:t>
      </w:r>
      <w:r w:rsidR="0044240C">
        <w:rPr>
          <w:rFonts w:ascii="Calibri" w:hAnsi="Calibri"/>
          <w:sz w:val="22"/>
          <w:szCs w:val="22"/>
          <w:lang w:val="en-US"/>
        </w:rPr>
        <w:t>take the</w:t>
      </w:r>
      <w:r w:rsidR="00B413D8" w:rsidRPr="006A1CC1">
        <w:rPr>
          <w:rFonts w:ascii="Calibri" w:hAnsi="Calibri"/>
          <w:sz w:val="22"/>
          <w:szCs w:val="22"/>
          <w:lang w:val="en-US"/>
        </w:rPr>
        <w:t xml:space="preserve"> opportunity</w:t>
      </w:r>
      <w:r w:rsidRPr="006A1CC1">
        <w:rPr>
          <w:rFonts w:ascii="Calibri" w:hAnsi="Calibri"/>
          <w:sz w:val="22"/>
          <w:szCs w:val="22"/>
          <w:lang w:val="en-US"/>
        </w:rPr>
        <w:t xml:space="preserve"> of this introduction</w:t>
      </w:r>
      <w:r w:rsidR="00B413D8" w:rsidRPr="006A1CC1">
        <w:rPr>
          <w:rFonts w:ascii="Calibri" w:hAnsi="Calibri"/>
          <w:sz w:val="22"/>
          <w:szCs w:val="22"/>
          <w:lang w:val="en-US"/>
        </w:rPr>
        <w:t xml:space="preserve"> to reiterate our</w:t>
      </w:r>
      <w:r w:rsidRPr="006A1CC1">
        <w:rPr>
          <w:rFonts w:ascii="Calibri" w:hAnsi="Calibri"/>
          <w:sz w:val="22"/>
          <w:szCs w:val="22"/>
          <w:lang w:val="en-US"/>
        </w:rPr>
        <w:t xml:space="preserve"> main</w:t>
      </w:r>
      <w:r w:rsidR="00B413D8" w:rsidRPr="006A1CC1">
        <w:rPr>
          <w:rFonts w:ascii="Calibri" w:hAnsi="Calibri"/>
          <w:sz w:val="22"/>
          <w:szCs w:val="22"/>
          <w:lang w:val="en-US"/>
        </w:rPr>
        <w:t xml:space="preserve"> concern</w:t>
      </w:r>
      <w:r w:rsidRPr="006A1CC1">
        <w:rPr>
          <w:rFonts w:ascii="Calibri" w:hAnsi="Calibri"/>
          <w:sz w:val="22"/>
          <w:szCs w:val="22"/>
          <w:lang w:val="en-US"/>
        </w:rPr>
        <w:t>s</w:t>
      </w:r>
      <w:r w:rsidR="00B413D8" w:rsidRPr="006A1CC1">
        <w:rPr>
          <w:rFonts w:ascii="Calibri" w:hAnsi="Calibri"/>
          <w:sz w:val="22"/>
          <w:szCs w:val="22"/>
          <w:lang w:val="en-US"/>
        </w:rPr>
        <w:t xml:space="preserve"> about</w:t>
      </w:r>
      <w:r w:rsidRPr="006A1CC1">
        <w:rPr>
          <w:rFonts w:ascii="Calibri" w:hAnsi="Calibri"/>
          <w:sz w:val="22"/>
          <w:szCs w:val="22"/>
          <w:lang w:val="en-US"/>
        </w:rPr>
        <w:t xml:space="preserve"> reporting issues in the EU regulatory framework.</w:t>
      </w:r>
    </w:p>
    <w:p w:rsidR="00C0062A" w:rsidRPr="006A1CC1" w:rsidRDefault="00C0062A" w:rsidP="00330922">
      <w:pPr>
        <w:pStyle w:val="Paragraphedeliste"/>
        <w:numPr>
          <w:ilvl w:val="0"/>
          <w:numId w:val="13"/>
        </w:numPr>
        <w:spacing w:line="240" w:lineRule="auto"/>
        <w:jc w:val="both"/>
        <w:rPr>
          <w:rFonts w:ascii="Calibri" w:hAnsi="Calibri"/>
          <w:sz w:val="22"/>
          <w:szCs w:val="22"/>
          <w:lang w:val="en-US"/>
        </w:rPr>
      </w:pPr>
      <w:r w:rsidRPr="006A1CC1">
        <w:rPr>
          <w:rFonts w:ascii="Calibri" w:hAnsi="Calibri"/>
          <w:sz w:val="22"/>
          <w:szCs w:val="22"/>
          <w:lang w:val="en-US"/>
        </w:rPr>
        <w:t>First, the multiplication of reporting requirements spe</w:t>
      </w:r>
      <w:r w:rsidR="00F321DF">
        <w:rPr>
          <w:rFonts w:ascii="Calibri" w:hAnsi="Calibri"/>
          <w:sz w:val="22"/>
          <w:szCs w:val="22"/>
          <w:lang w:val="en-US"/>
        </w:rPr>
        <w:t>cific to each regulation has le</w:t>
      </w:r>
      <w:r w:rsidRPr="006A1CC1">
        <w:rPr>
          <w:rFonts w:ascii="Calibri" w:hAnsi="Calibri"/>
          <w:sz w:val="22"/>
          <w:szCs w:val="22"/>
          <w:lang w:val="en-US"/>
        </w:rPr>
        <w:t xml:space="preserve">d to a </w:t>
      </w:r>
      <w:r w:rsidRPr="006A1CC1">
        <w:rPr>
          <w:rFonts w:ascii="Calibri" w:hAnsi="Calibri"/>
          <w:b/>
          <w:sz w:val="22"/>
          <w:szCs w:val="22"/>
          <w:lang w:val="en-US"/>
        </w:rPr>
        <w:t>heavy burden</w:t>
      </w:r>
      <w:r w:rsidRPr="006A1CC1">
        <w:rPr>
          <w:rFonts w:ascii="Calibri" w:hAnsi="Calibri"/>
          <w:sz w:val="22"/>
          <w:szCs w:val="22"/>
          <w:lang w:val="en-US"/>
        </w:rPr>
        <w:t xml:space="preserve"> for asset managers that do</w:t>
      </w:r>
      <w:r w:rsidR="0044240C">
        <w:rPr>
          <w:rFonts w:ascii="Calibri" w:hAnsi="Calibri"/>
          <w:sz w:val="22"/>
          <w:szCs w:val="22"/>
          <w:lang w:val="en-US"/>
        </w:rPr>
        <w:t>es</w:t>
      </w:r>
      <w:r w:rsidRPr="006A1CC1">
        <w:rPr>
          <w:rFonts w:ascii="Calibri" w:hAnsi="Calibri"/>
          <w:sz w:val="22"/>
          <w:szCs w:val="22"/>
          <w:lang w:val="en-US"/>
        </w:rPr>
        <w:t xml:space="preserve"> not always seem proportionate.  It appears that</w:t>
      </w:r>
      <w:r w:rsidR="00CD5ADF" w:rsidRPr="006A1CC1">
        <w:rPr>
          <w:rFonts w:ascii="Calibri" w:hAnsi="Calibri"/>
          <w:sz w:val="22"/>
          <w:szCs w:val="22"/>
          <w:lang w:val="en-US"/>
        </w:rPr>
        <w:t xml:space="preserve"> we</w:t>
      </w:r>
      <w:r w:rsidR="0044240C">
        <w:rPr>
          <w:rFonts w:ascii="Calibri" w:hAnsi="Calibri"/>
          <w:sz w:val="22"/>
          <w:szCs w:val="22"/>
          <w:lang w:val="en-US"/>
        </w:rPr>
        <w:t>,</w:t>
      </w:r>
      <w:r w:rsidR="00CD5ADF" w:rsidRPr="006A1CC1">
        <w:rPr>
          <w:rFonts w:ascii="Calibri" w:hAnsi="Calibri"/>
          <w:sz w:val="22"/>
          <w:szCs w:val="22"/>
          <w:lang w:val="en-US"/>
        </w:rPr>
        <w:t xml:space="preserve"> as</w:t>
      </w:r>
      <w:r w:rsidRPr="006A1CC1">
        <w:rPr>
          <w:rFonts w:ascii="Calibri" w:hAnsi="Calibri"/>
          <w:sz w:val="22"/>
          <w:szCs w:val="22"/>
          <w:lang w:val="en-US"/>
        </w:rPr>
        <w:t xml:space="preserve"> </w:t>
      </w:r>
      <w:r w:rsidR="00CD5ADF" w:rsidRPr="006A1CC1">
        <w:rPr>
          <w:rFonts w:ascii="Calibri" w:hAnsi="Calibri"/>
          <w:sz w:val="22"/>
          <w:szCs w:val="22"/>
          <w:lang w:val="en-US"/>
        </w:rPr>
        <w:t>an</w:t>
      </w:r>
      <w:r w:rsidRPr="006A1CC1">
        <w:rPr>
          <w:rFonts w:ascii="Calibri" w:hAnsi="Calibri"/>
          <w:sz w:val="22"/>
          <w:szCs w:val="22"/>
          <w:lang w:val="en-US"/>
        </w:rPr>
        <w:t xml:space="preserve"> industry</w:t>
      </w:r>
      <w:r w:rsidR="0044240C">
        <w:rPr>
          <w:rFonts w:ascii="Calibri" w:hAnsi="Calibri"/>
          <w:sz w:val="22"/>
          <w:szCs w:val="22"/>
          <w:lang w:val="en-US"/>
        </w:rPr>
        <w:t>,</w:t>
      </w:r>
      <w:r w:rsidRPr="006A1CC1">
        <w:rPr>
          <w:rFonts w:ascii="Calibri" w:hAnsi="Calibri"/>
          <w:sz w:val="22"/>
          <w:szCs w:val="22"/>
          <w:lang w:val="en-US"/>
        </w:rPr>
        <w:t xml:space="preserve"> transfer a lot of data on our management companies (AIFMD) our products (</w:t>
      </w:r>
      <w:r w:rsidR="008E2E89" w:rsidRPr="006A1CC1">
        <w:rPr>
          <w:rFonts w:ascii="Calibri" w:hAnsi="Calibri"/>
          <w:sz w:val="22"/>
          <w:szCs w:val="22"/>
          <w:lang w:val="en-US"/>
        </w:rPr>
        <w:t xml:space="preserve">under </w:t>
      </w:r>
      <w:r w:rsidRPr="006A1CC1">
        <w:rPr>
          <w:rFonts w:ascii="Calibri" w:hAnsi="Calibri"/>
          <w:sz w:val="22"/>
          <w:szCs w:val="22"/>
          <w:lang w:val="en-US"/>
        </w:rPr>
        <w:t>UCITS and AIFM Directives</w:t>
      </w:r>
      <w:r w:rsidR="00187AF6" w:rsidRPr="006A1CC1">
        <w:rPr>
          <w:rFonts w:ascii="Calibri" w:hAnsi="Calibri"/>
          <w:sz w:val="22"/>
          <w:szCs w:val="22"/>
          <w:lang w:val="en-US"/>
        </w:rPr>
        <w:t xml:space="preserve"> and MMF Regulation</w:t>
      </w:r>
      <w:r w:rsidRPr="006A1CC1">
        <w:rPr>
          <w:rFonts w:ascii="Calibri" w:hAnsi="Calibri"/>
          <w:sz w:val="22"/>
          <w:szCs w:val="22"/>
          <w:lang w:val="en-US"/>
        </w:rPr>
        <w:t xml:space="preserve">), our operations (EMIR, SFTR, MIFIR), our </w:t>
      </w:r>
      <w:r w:rsidR="008E2E89" w:rsidRPr="006A1CC1">
        <w:rPr>
          <w:rFonts w:ascii="Calibri" w:hAnsi="Calibri"/>
          <w:sz w:val="22"/>
          <w:szCs w:val="22"/>
          <w:lang w:val="en-US"/>
        </w:rPr>
        <w:t>relationship with clients</w:t>
      </w:r>
      <w:r w:rsidR="00187AF6" w:rsidRPr="006A1CC1">
        <w:rPr>
          <w:rFonts w:ascii="Calibri" w:hAnsi="Calibri"/>
          <w:sz w:val="22"/>
          <w:szCs w:val="22"/>
          <w:lang w:val="en-US"/>
        </w:rPr>
        <w:t xml:space="preserve"> (MIFID) that overlap and are not all directly useful to regulators</w:t>
      </w:r>
      <w:r w:rsidR="008E2E89" w:rsidRPr="006A1CC1">
        <w:rPr>
          <w:rFonts w:ascii="Calibri" w:hAnsi="Calibri"/>
          <w:sz w:val="22"/>
          <w:szCs w:val="22"/>
          <w:lang w:val="en-US"/>
        </w:rPr>
        <w:t>,</w:t>
      </w:r>
      <w:r w:rsidR="00187AF6" w:rsidRPr="006A1CC1">
        <w:rPr>
          <w:rFonts w:ascii="Calibri" w:hAnsi="Calibri"/>
          <w:sz w:val="22"/>
          <w:szCs w:val="22"/>
          <w:lang w:val="en-US"/>
        </w:rPr>
        <w:t xml:space="preserve"> who confess they are not equipped to process them</w:t>
      </w:r>
      <w:r w:rsidR="008E2E89" w:rsidRPr="006A1CC1">
        <w:rPr>
          <w:rFonts w:ascii="Calibri" w:hAnsi="Calibri"/>
          <w:sz w:val="22"/>
          <w:szCs w:val="22"/>
          <w:lang w:val="en-US"/>
        </w:rPr>
        <w:t xml:space="preserve"> all</w:t>
      </w:r>
      <w:r w:rsidR="00187AF6" w:rsidRPr="006A1CC1">
        <w:rPr>
          <w:rFonts w:ascii="Calibri" w:hAnsi="Calibri"/>
          <w:sz w:val="22"/>
          <w:szCs w:val="22"/>
          <w:lang w:val="en-US"/>
        </w:rPr>
        <w:t>.</w:t>
      </w:r>
    </w:p>
    <w:p w:rsidR="00187AF6" w:rsidRPr="006A1CC1" w:rsidRDefault="00187AF6" w:rsidP="00330922">
      <w:pPr>
        <w:pStyle w:val="Paragraphedeliste"/>
        <w:numPr>
          <w:ilvl w:val="0"/>
          <w:numId w:val="13"/>
        </w:numPr>
        <w:spacing w:line="240" w:lineRule="auto"/>
        <w:jc w:val="both"/>
        <w:rPr>
          <w:rFonts w:ascii="Calibri" w:hAnsi="Calibri"/>
          <w:sz w:val="22"/>
          <w:szCs w:val="22"/>
          <w:lang w:val="en-US"/>
        </w:rPr>
      </w:pPr>
      <w:r w:rsidRPr="006A1CC1">
        <w:rPr>
          <w:rFonts w:ascii="Calibri" w:hAnsi="Calibri"/>
          <w:sz w:val="22"/>
          <w:szCs w:val="22"/>
          <w:lang w:val="en-US"/>
        </w:rPr>
        <w:t xml:space="preserve">Second, with a view to smoothen the reporting exercise, we continue to believe that the set-up of a </w:t>
      </w:r>
      <w:r w:rsidRPr="006A1CC1">
        <w:rPr>
          <w:rFonts w:ascii="Calibri" w:hAnsi="Calibri"/>
          <w:b/>
          <w:sz w:val="22"/>
          <w:szCs w:val="22"/>
          <w:lang w:val="en-US"/>
        </w:rPr>
        <w:t>central hub</w:t>
      </w:r>
      <w:r w:rsidR="008E2E89" w:rsidRPr="006A1CC1">
        <w:rPr>
          <w:rFonts w:ascii="Calibri" w:hAnsi="Calibri"/>
          <w:b/>
          <w:sz w:val="22"/>
          <w:szCs w:val="22"/>
          <w:lang w:val="en-US"/>
        </w:rPr>
        <w:t>,</w:t>
      </w:r>
      <w:r w:rsidRPr="006A1CC1">
        <w:rPr>
          <w:rFonts w:ascii="Calibri" w:hAnsi="Calibri"/>
          <w:sz w:val="22"/>
          <w:szCs w:val="22"/>
          <w:lang w:val="en-US"/>
        </w:rPr>
        <w:t xml:space="preserve"> where we would deposit all data required by law and regulation and </w:t>
      </w:r>
      <w:r w:rsidR="008E2E89" w:rsidRPr="006A1CC1">
        <w:rPr>
          <w:rFonts w:ascii="Calibri" w:hAnsi="Calibri"/>
          <w:sz w:val="22"/>
          <w:szCs w:val="22"/>
          <w:lang w:val="en-US"/>
        </w:rPr>
        <w:t xml:space="preserve">make them </w:t>
      </w:r>
      <w:r w:rsidRPr="006A1CC1">
        <w:rPr>
          <w:rFonts w:ascii="Calibri" w:hAnsi="Calibri"/>
          <w:sz w:val="22"/>
          <w:szCs w:val="22"/>
          <w:lang w:val="en-US"/>
        </w:rPr>
        <w:t xml:space="preserve">accessible to authorized authorities for their </w:t>
      </w:r>
      <w:r w:rsidR="008E2E89" w:rsidRPr="006A1CC1">
        <w:rPr>
          <w:rFonts w:ascii="Calibri" w:hAnsi="Calibri"/>
          <w:sz w:val="22"/>
          <w:szCs w:val="22"/>
          <w:lang w:val="en-US"/>
        </w:rPr>
        <w:t>needs,</w:t>
      </w:r>
      <w:r w:rsidRPr="006A1CC1">
        <w:rPr>
          <w:rFonts w:ascii="Calibri" w:hAnsi="Calibri"/>
          <w:sz w:val="22"/>
          <w:szCs w:val="22"/>
          <w:lang w:val="en-US"/>
        </w:rPr>
        <w:t xml:space="preserve"> would facilitate work and enhance efficiency on both sides.</w:t>
      </w:r>
    </w:p>
    <w:p w:rsidR="00187AF6" w:rsidRPr="006A1CC1" w:rsidRDefault="00CD5ADF" w:rsidP="008E2E89">
      <w:pPr>
        <w:pStyle w:val="Paragraphedeliste"/>
        <w:numPr>
          <w:ilvl w:val="0"/>
          <w:numId w:val="13"/>
        </w:numPr>
        <w:spacing w:line="240" w:lineRule="auto"/>
        <w:jc w:val="both"/>
        <w:rPr>
          <w:rFonts w:ascii="Calibri" w:hAnsi="Calibri"/>
          <w:sz w:val="22"/>
          <w:szCs w:val="22"/>
          <w:lang w:val="en-US"/>
        </w:rPr>
      </w:pPr>
      <w:r w:rsidRPr="006A1CC1">
        <w:rPr>
          <w:rFonts w:ascii="Calibri" w:hAnsi="Calibri"/>
          <w:sz w:val="22"/>
          <w:szCs w:val="22"/>
          <w:lang w:val="en-US"/>
        </w:rPr>
        <w:t>Third, a</w:t>
      </w:r>
      <w:r w:rsidR="00187AF6" w:rsidRPr="006A1CC1">
        <w:rPr>
          <w:rFonts w:ascii="Calibri" w:hAnsi="Calibri"/>
          <w:sz w:val="22"/>
          <w:szCs w:val="22"/>
          <w:lang w:val="en-US"/>
        </w:rPr>
        <w:t xml:space="preserve"> minima we suggest that all repo</w:t>
      </w:r>
      <w:r w:rsidR="008E2E89" w:rsidRPr="006A1CC1">
        <w:rPr>
          <w:rFonts w:ascii="Calibri" w:hAnsi="Calibri"/>
          <w:sz w:val="22"/>
          <w:szCs w:val="22"/>
          <w:lang w:val="en-US"/>
        </w:rPr>
        <w:t>rting be separated in two parts : (</w:t>
      </w:r>
      <w:proofErr w:type="spellStart"/>
      <w:r w:rsidR="008E2E89" w:rsidRPr="006A1CC1">
        <w:rPr>
          <w:rFonts w:ascii="Calibri" w:hAnsi="Calibri"/>
          <w:sz w:val="22"/>
          <w:szCs w:val="22"/>
          <w:lang w:val="en-US"/>
        </w:rPr>
        <w:t>i</w:t>
      </w:r>
      <w:proofErr w:type="spellEnd"/>
      <w:r w:rsidR="008E2E89" w:rsidRPr="006A1CC1">
        <w:rPr>
          <w:rFonts w:ascii="Calibri" w:hAnsi="Calibri"/>
          <w:sz w:val="22"/>
          <w:szCs w:val="22"/>
          <w:lang w:val="en-US"/>
        </w:rPr>
        <w:t>)</w:t>
      </w:r>
      <w:r w:rsidR="00187AF6" w:rsidRPr="006A1CC1">
        <w:rPr>
          <w:rFonts w:ascii="Calibri" w:hAnsi="Calibri"/>
          <w:sz w:val="22"/>
          <w:szCs w:val="22"/>
          <w:lang w:val="en-US"/>
        </w:rPr>
        <w:t xml:space="preserve"> one, the </w:t>
      </w:r>
      <w:r w:rsidR="00187AF6" w:rsidRPr="006A1CC1">
        <w:rPr>
          <w:rFonts w:ascii="Calibri" w:hAnsi="Calibri"/>
          <w:b/>
          <w:sz w:val="22"/>
          <w:szCs w:val="22"/>
          <w:lang w:val="en-US"/>
        </w:rPr>
        <w:t xml:space="preserve">common identification </w:t>
      </w:r>
      <w:r w:rsidR="008E2E89" w:rsidRPr="006A1CC1">
        <w:rPr>
          <w:rFonts w:ascii="Calibri" w:hAnsi="Calibri"/>
          <w:b/>
          <w:sz w:val="22"/>
          <w:szCs w:val="22"/>
          <w:lang w:val="en-US"/>
        </w:rPr>
        <w:t>data</w:t>
      </w:r>
      <w:r w:rsidR="00D50E13">
        <w:rPr>
          <w:rFonts w:ascii="Calibri" w:hAnsi="Calibri"/>
          <w:b/>
          <w:sz w:val="22"/>
          <w:szCs w:val="22"/>
          <w:lang w:val="en-US"/>
        </w:rPr>
        <w:t xml:space="preserve"> and global characteristics of funds</w:t>
      </w:r>
      <w:r w:rsidR="00187AF6" w:rsidRPr="006A1CC1">
        <w:rPr>
          <w:rFonts w:ascii="Calibri" w:hAnsi="Calibri"/>
          <w:sz w:val="22"/>
          <w:szCs w:val="22"/>
          <w:lang w:val="en-US"/>
        </w:rPr>
        <w:t xml:space="preserve">, concerning </w:t>
      </w:r>
      <w:r w:rsidR="00311C49" w:rsidRPr="006A1CC1">
        <w:rPr>
          <w:rFonts w:ascii="Calibri" w:hAnsi="Calibri"/>
          <w:sz w:val="22"/>
          <w:szCs w:val="22"/>
          <w:lang w:val="en-US"/>
        </w:rPr>
        <w:t>information</w:t>
      </w:r>
      <w:r w:rsidR="00187AF6" w:rsidRPr="006A1CC1">
        <w:rPr>
          <w:rFonts w:ascii="Calibri" w:hAnsi="Calibri"/>
          <w:sz w:val="22"/>
          <w:szCs w:val="22"/>
          <w:lang w:val="en-US"/>
        </w:rPr>
        <w:t xml:space="preserve"> on </w:t>
      </w:r>
      <w:r w:rsidR="0044240C">
        <w:rPr>
          <w:rFonts w:ascii="Calibri" w:hAnsi="Calibri"/>
          <w:sz w:val="22"/>
          <w:szCs w:val="22"/>
          <w:lang w:val="en-US"/>
        </w:rPr>
        <w:t>each</w:t>
      </w:r>
      <w:r w:rsidR="00187AF6" w:rsidRPr="006A1CC1">
        <w:rPr>
          <w:rFonts w:ascii="Calibri" w:hAnsi="Calibri"/>
          <w:sz w:val="22"/>
          <w:szCs w:val="22"/>
          <w:lang w:val="en-US"/>
        </w:rPr>
        <w:t xml:space="preserve"> fund and its actors</w:t>
      </w:r>
      <w:r w:rsidR="00311C49" w:rsidRPr="006A1CC1">
        <w:rPr>
          <w:rFonts w:ascii="Calibri" w:hAnsi="Calibri"/>
          <w:sz w:val="22"/>
          <w:szCs w:val="22"/>
          <w:lang w:val="en-US"/>
        </w:rPr>
        <w:t xml:space="preserve"> (</w:t>
      </w:r>
      <w:r w:rsidR="00187AF6" w:rsidRPr="006A1CC1">
        <w:rPr>
          <w:rFonts w:ascii="Calibri" w:hAnsi="Calibri"/>
          <w:sz w:val="22"/>
          <w:szCs w:val="22"/>
          <w:lang w:val="en-US"/>
        </w:rPr>
        <w:t>asset manager and depositary</w:t>
      </w:r>
      <w:r w:rsidR="00311C49" w:rsidRPr="006A1CC1">
        <w:rPr>
          <w:rFonts w:ascii="Calibri" w:hAnsi="Calibri"/>
          <w:sz w:val="22"/>
          <w:szCs w:val="22"/>
          <w:lang w:val="en-US"/>
        </w:rPr>
        <w:t>…)</w:t>
      </w:r>
      <w:r w:rsidR="00187AF6" w:rsidRPr="006A1CC1">
        <w:rPr>
          <w:rFonts w:ascii="Calibri" w:hAnsi="Calibri"/>
          <w:sz w:val="22"/>
          <w:szCs w:val="22"/>
          <w:lang w:val="en-US"/>
        </w:rPr>
        <w:t>, which should be declared and updated once</w:t>
      </w:r>
      <w:r w:rsidR="008E2E89" w:rsidRPr="006A1CC1">
        <w:rPr>
          <w:rFonts w:ascii="Calibri" w:hAnsi="Calibri"/>
          <w:sz w:val="22"/>
          <w:szCs w:val="22"/>
          <w:lang w:val="en-US"/>
        </w:rPr>
        <w:t xml:space="preserve"> and apply</w:t>
      </w:r>
      <w:r w:rsidR="00187AF6" w:rsidRPr="006A1CC1">
        <w:rPr>
          <w:rFonts w:ascii="Calibri" w:hAnsi="Calibri"/>
          <w:sz w:val="22"/>
          <w:szCs w:val="22"/>
          <w:lang w:val="en-US"/>
        </w:rPr>
        <w:t xml:space="preserve"> for all the different reporting</w:t>
      </w:r>
      <w:r w:rsidR="00311C49" w:rsidRPr="006A1CC1">
        <w:rPr>
          <w:rFonts w:ascii="Calibri" w:hAnsi="Calibri"/>
          <w:sz w:val="22"/>
          <w:szCs w:val="22"/>
          <w:lang w:val="en-US"/>
        </w:rPr>
        <w:t xml:space="preserve"> requirements on a shared basis </w:t>
      </w:r>
      <w:r w:rsidR="00187AF6" w:rsidRPr="006A1CC1">
        <w:rPr>
          <w:rFonts w:ascii="Calibri" w:hAnsi="Calibri"/>
          <w:sz w:val="22"/>
          <w:szCs w:val="22"/>
          <w:lang w:val="en-US"/>
        </w:rPr>
        <w:t>and</w:t>
      </w:r>
      <w:r w:rsidR="008E2E89" w:rsidRPr="006A1CC1">
        <w:rPr>
          <w:rFonts w:ascii="Calibri" w:hAnsi="Calibri"/>
          <w:sz w:val="22"/>
          <w:szCs w:val="22"/>
          <w:lang w:val="en-US"/>
        </w:rPr>
        <w:t xml:space="preserve"> (ii)</w:t>
      </w:r>
      <w:r w:rsidR="00187AF6" w:rsidRPr="006A1CC1">
        <w:rPr>
          <w:rFonts w:ascii="Calibri" w:hAnsi="Calibri"/>
          <w:sz w:val="22"/>
          <w:szCs w:val="22"/>
          <w:lang w:val="en-US"/>
        </w:rPr>
        <w:t xml:space="preserve"> a second part covering </w:t>
      </w:r>
      <w:r w:rsidR="00187AF6" w:rsidRPr="006A1CC1">
        <w:rPr>
          <w:rFonts w:ascii="Calibri" w:hAnsi="Calibri"/>
          <w:b/>
          <w:sz w:val="22"/>
          <w:szCs w:val="22"/>
          <w:lang w:val="en-US"/>
        </w:rPr>
        <w:t>data specific</w:t>
      </w:r>
      <w:r w:rsidR="00187AF6" w:rsidRPr="006A1CC1">
        <w:rPr>
          <w:rFonts w:ascii="Calibri" w:hAnsi="Calibri"/>
          <w:sz w:val="22"/>
          <w:szCs w:val="22"/>
          <w:lang w:val="en-US"/>
        </w:rPr>
        <w:t xml:space="preserve"> to each regulation. </w:t>
      </w:r>
      <w:r w:rsidR="00311C49" w:rsidRPr="006A1CC1">
        <w:rPr>
          <w:rFonts w:ascii="Calibri" w:hAnsi="Calibri"/>
          <w:sz w:val="22"/>
          <w:szCs w:val="22"/>
          <w:lang w:val="en-US"/>
        </w:rPr>
        <w:t xml:space="preserve">In this second part, it should be encouraged to avoid duplicative and </w:t>
      </w:r>
      <w:r w:rsidR="008E2E89" w:rsidRPr="006A1CC1">
        <w:rPr>
          <w:rFonts w:ascii="Calibri" w:hAnsi="Calibri"/>
          <w:sz w:val="22"/>
          <w:szCs w:val="22"/>
          <w:lang w:val="en-US"/>
        </w:rPr>
        <w:t>marginally</w:t>
      </w:r>
      <w:r w:rsidR="00311C49" w:rsidRPr="006A1CC1">
        <w:rPr>
          <w:rFonts w:ascii="Calibri" w:hAnsi="Calibri"/>
          <w:sz w:val="22"/>
          <w:szCs w:val="22"/>
          <w:lang w:val="en-US"/>
        </w:rPr>
        <w:t xml:space="preserve"> different requirements.</w:t>
      </w:r>
    </w:p>
    <w:p w:rsidR="00311C49" w:rsidRPr="006A1CC1" w:rsidRDefault="00311C49" w:rsidP="00330922">
      <w:pPr>
        <w:pStyle w:val="Paragraphedeliste"/>
        <w:numPr>
          <w:ilvl w:val="0"/>
          <w:numId w:val="13"/>
        </w:numPr>
        <w:spacing w:line="240" w:lineRule="auto"/>
        <w:jc w:val="both"/>
        <w:rPr>
          <w:rFonts w:ascii="Calibri" w:hAnsi="Calibri"/>
          <w:sz w:val="22"/>
          <w:szCs w:val="22"/>
          <w:lang w:val="en-US"/>
        </w:rPr>
      </w:pPr>
      <w:r w:rsidRPr="006A1CC1">
        <w:rPr>
          <w:rFonts w:ascii="Calibri" w:hAnsi="Calibri"/>
          <w:sz w:val="22"/>
          <w:szCs w:val="22"/>
          <w:lang w:val="en-US"/>
        </w:rPr>
        <w:lastRenderedPageBreak/>
        <w:t>Fourth</w:t>
      </w:r>
      <w:r w:rsidR="00C476F3" w:rsidRPr="006A1CC1">
        <w:rPr>
          <w:rFonts w:ascii="Calibri" w:hAnsi="Calibri"/>
          <w:sz w:val="22"/>
          <w:szCs w:val="22"/>
          <w:lang w:val="en-US"/>
        </w:rPr>
        <w:t xml:space="preserve">, </w:t>
      </w:r>
      <w:r w:rsidR="00C0062A" w:rsidRPr="006A1CC1">
        <w:rPr>
          <w:rFonts w:ascii="Calibri" w:hAnsi="Calibri"/>
          <w:b/>
          <w:sz w:val="22"/>
          <w:szCs w:val="22"/>
          <w:lang w:val="en-US"/>
        </w:rPr>
        <w:t>consistency</w:t>
      </w:r>
      <w:r w:rsidR="00C0062A" w:rsidRPr="006A1CC1">
        <w:rPr>
          <w:rFonts w:ascii="Calibri" w:hAnsi="Calibri"/>
          <w:sz w:val="22"/>
          <w:szCs w:val="22"/>
          <w:lang w:val="en-US"/>
        </w:rPr>
        <w:t xml:space="preserve"> </w:t>
      </w:r>
      <w:r w:rsidR="008E2E89" w:rsidRPr="006A1CC1">
        <w:rPr>
          <w:rFonts w:ascii="Calibri" w:hAnsi="Calibri"/>
          <w:sz w:val="22"/>
          <w:szCs w:val="22"/>
          <w:lang w:val="en-US"/>
        </w:rPr>
        <w:t>:</w:t>
      </w:r>
      <w:r w:rsidR="00C0062A" w:rsidRPr="006A1CC1">
        <w:rPr>
          <w:rFonts w:ascii="Calibri" w:hAnsi="Calibri"/>
          <w:sz w:val="22"/>
          <w:szCs w:val="22"/>
          <w:lang w:val="en-US"/>
        </w:rPr>
        <w:t xml:space="preserve"> the way to populate a field with the same </w:t>
      </w:r>
      <w:r w:rsidR="000B4225">
        <w:rPr>
          <w:rFonts w:ascii="Calibri" w:hAnsi="Calibri"/>
          <w:sz w:val="22"/>
          <w:szCs w:val="22"/>
          <w:lang w:val="en-US"/>
        </w:rPr>
        <w:t>title</w:t>
      </w:r>
      <w:r w:rsidR="00C0062A" w:rsidRPr="006A1CC1">
        <w:rPr>
          <w:rFonts w:ascii="Calibri" w:hAnsi="Calibri"/>
          <w:sz w:val="22"/>
          <w:szCs w:val="22"/>
          <w:lang w:val="en-US"/>
        </w:rPr>
        <w:t xml:space="preserve"> should be totally identical for all regulations. It implies</w:t>
      </w:r>
      <w:r w:rsidR="008E2E89" w:rsidRPr="006A1CC1">
        <w:rPr>
          <w:rFonts w:ascii="Calibri" w:hAnsi="Calibri"/>
          <w:sz w:val="22"/>
          <w:szCs w:val="22"/>
          <w:lang w:val="en-US"/>
        </w:rPr>
        <w:t>,</w:t>
      </w:r>
      <w:r w:rsidR="00C0062A" w:rsidRPr="006A1CC1">
        <w:rPr>
          <w:rFonts w:ascii="Calibri" w:hAnsi="Calibri"/>
          <w:sz w:val="22"/>
          <w:szCs w:val="22"/>
          <w:lang w:val="en-US"/>
        </w:rPr>
        <w:t xml:space="preserve"> on the one hand</w:t>
      </w:r>
      <w:r w:rsidR="008E2E89" w:rsidRPr="006A1CC1">
        <w:rPr>
          <w:rFonts w:ascii="Calibri" w:hAnsi="Calibri"/>
          <w:sz w:val="22"/>
          <w:szCs w:val="22"/>
          <w:lang w:val="en-US"/>
        </w:rPr>
        <w:t>,</w:t>
      </w:r>
      <w:r w:rsidR="00C0062A" w:rsidRPr="006A1CC1">
        <w:rPr>
          <w:rFonts w:ascii="Calibri" w:hAnsi="Calibri"/>
          <w:sz w:val="22"/>
          <w:szCs w:val="22"/>
          <w:lang w:val="en-US"/>
        </w:rPr>
        <w:t xml:space="preserve"> that the same appellation applies for the same data and</w:t>
      </w:r>
      <w:r w:rsidR="008E2E89" w:rsidRPr="006A1CC1">
        <w:rPr>
          <w:rFonts w:ascii="Calibri" w:hAnsi="Calibri"/>
          <w:sz w:val="22"/>
          <w:szCs w:val="22"/>
          <w:lang w:val="en-US"/>
        </w:rPr>
        <w:t>,</w:t>
      </w:r>
      <w:r w:rsidR="00C0062A" w:rsidRPr="006A1CC1">
        <w:rPr>
          <w:rFonts w:ascii="Calibri" w:hAnsi="Calibri"/>
          <w:sz w:val="22"/>
          <w:szCs w:val="22"/>
          <w:lang w:val="en-US"/>
        </w:rPr>
        <w:t xml:space="preserve"> on the other hand</w:t>
      </w:r>
      <w:r w:rsidR="008E2E89" w:rsidRPr="006A1CC1">
        <w:rPr>
          <w:rFonts w:ascii="Calibri" w:hAnsi="Calibri"/>
          <w:sz w:val="22"/>
          <w:szCs w:val="22"/>
          <w:lang w:val="en-US"/>
        </w:rPr>
        <w:t>,</w:t>
      </w:r>
      <w:r w:rsidR="00C0062A" w:rsidRPr="006A1CC1">
        <w:rPr>
          <w:rFonts w:ascii="Calibri" w:hAnsi="Calibri"/>
          <w:sz w:val="22"/>
          <w:szCs w:val="22"/>
          <w:lang w:val="en-US"/>
        </w:rPr>
        <w:t xml:space="preserve"> that a choice be made to ask for the same data for similar fields wh</w:t>
      </w:r>
      <w:r w:rsidR="008E2E89" w:rsidRPr="006A1CC1">
        <w:rPr>
          <w:rFonts w:ascii="Calibri" w:hAnsi="Calibri"/>
          <w:sz w:val="22"/>
          <w:szCs w:val="22"/>
          <w:lang w:val="en-US"/>
        </w:rPr>
        <w:t>ich</w:t>
      </w:r>
      <w:r w:rsidR="00C0062A" w:rsidRPr="006A1CC1">
        <w:rPr>
          <w:rFonts w:ascii="Calibri" w:hAnsi="Calibri"/>
          <w:sz w:val="22"/>
          <w:szCs w:val="22"/>
          <w:lang w:val="en-US"/>
        </w:rPr>
        <w:t xml:space="preserve"> have the same goal. For example, we think that funds should be identified uniquely by their LEI and that any other reference to national registers or data providers’ codes be</w:t>
      </w:r>
      <w:r w:rsidR="00D50E13">
        <w:rPr>
          <w:rFonts w:ascii="Calibri" w:hAnsi="Calibri"/>
          <w:sz w:val="22"/>
          <w:szCs w:val="22"/>
          <w:lang w:val="en-US"/>
        </w:rPr>
        <w:t xml:space="preserve"> purely</w:t>
      </w:r>
      <w:r w:rsidR="00C0062A" w:rsidRPr="006A1CC1">
        <w:rPr>
          <w:rFonts w:ascii="Calibri" w:hAnsi="Calibri"/>
          <w:sz w:val="22"/>
          <w:szCs w:val="22"/>
          <w:lang w:val="en-US"/>
        </w:rPr>
        <w:t xml:space="preserve"> </w:t>
      </w:r>
      <w:r w:rsidR="00D50E13">
        <w:rPr>
          <w:rFonts w:ascii="Calibri" w:hAnsi="Calibri"/>
          <w:sz w:val="22"/>
          <w:szCs w:val="22"/>
          <w:lang w:val="en-US"/>
        </w:rPr>
        <w:t xml:space="preserve">optional </w:t>
      </w:r>
      <w:r w:rsidR="00C0062A" w:rsidRPr="006A1CC1">
        <w:rPr>
          <w:rFonts w:ascii="Calibri" w:hAnsi="Calibri"/>
          <w:sz w:val="22"/>
          <w:szCs w:val="22"/>
          <w:lang w:val="en-US"/>
        </w:rPr>
        <w:t>: one unique code to grant an immediate and unambiguous identification.</w:t>
      </w:r>
    </w:p>
    <w:p w:rsidR="00311C49" w:rsidRPr="006A1CC1" w:rsidRDefault="00311C49" w:rsidP="00330922">
      <w:pPr>
        <w:pStyle w:val="Paragraphedeliste"/>
        <w:numPr>
          <w:ilvl w:val="0"/>
          <w:numId w:val="13"/>
        </w:numPr>
        <w:spacing w:line="240" w:lineRule="auto"/>
        <w:jc w:val="both"/>
        <w:rPr>
          <w:rFonts w:ascii="Calibri" w:hAnsi="Calibri"/>
          <w:sz w:val="22"/>
          <w:szCs w:val="22"/>
          <w:lang w:val="en-US"/>
        </w:rPr>
      </w:pPr>
      <w:r w:rsidRPr="006A1CC1">
        <w:rPr>
          <w:rFonts w:ascii="Calibri" w:hAnsi="Calibri"/>
          <w:sz w:val="22"/>
          <w:szCs w:val="22"/>
          <w:lang w:val="en-US"/>
        </w:rPr>
        <w:t xml:space="preserve">Fifth, and last of these introductory remarks, </w:t>
      </w:r>
      <w:proofErr w:type="spellStart"/>
      <w:r w:rsidRPr="006A1CC1">
        <w:rPr>
          <w:rFonts w:ascii="Calibri" w:hAnsi="Calibri"/>
          <w:b/>
          <w:sz w:val="22"/>
          <w:szCs w:val="22"/>
          <w:lang w:val="en-US"/>
        </w:rPr>
        <w:t>harmonisation</w:t>
      </w:r>
      <w:proofErr w:type="spellEnd"/>
      <w:r w:rsidRPr="006A1CC1">
        <w:rPr>
          <w:rFonts w:ascii="Calibri" w:hAnsi="Calibri"/>
          <w:b/>
          <w:sz w:val="22"/>
          <w:szCs w:val="22"/>
          <w:lang w:val="en-US"/>
        </w:rPr>
        <w:t xml:space="preserve"> </w:t>
      </w:r>
      <w:r w:rsidRPr="006A1CC1">
        <w:rPr>
          <w:rFonts w:ascii="Calibri" w:hAnsi="Calibri"/>
          <w:sz w:val="22"/>
          <w:szCs w:val="22"/>
          <w:lang w:val="en-US"/>
        </w:rPr>
        <w:t>should be reinforced among Member States to avoid diverging interpretations that result in non</w:t>
      </w:r>
      <w:r w:rsidR="00160E01" w:rsidRPr="006A1CC1">
        <w:rPr>
          <w:rFonts w:ascii="Calibri" w:hAnsi="Calibri"/>
          <w:sz w:val="22"/>
          <w:szCs w:val="22"/>
          <w:lang w:val="en-US"/>
        </w:rPr>
        <w:t>-</w:t>
      </w:r>
      <w:r w:rsidRPr="006A1CC1">
        <w:rPr>
          <w:rFonts w:ascii="Calibri" w:hAnsi="Calibri"/>
          <w:sz w:val="22"/>
          <w:szCs w:val="22"/>
          <w:lang w:val="en-US"/>
        </w:rPr>
        <w:t xml:space="preserve">homogeneous reporting of the same field depending whether the fund is domiciled in Austria or in Luxemburg for example. We urge ESMA to focus on the </w:t>
      </w:r>
      <w:proofErr w:type="spellStart"/>
      <w:r w:rsidRPr="006A1CC1">
        <w:rPr>
          <w:rFonts w:ascii="Calibri" w:hAnsi="Calibri"/>
          <w:sz w:val="22"/>
          <w:szCs w:val="22"/>
          <w:lang w:val="en-US"/>
        </w:rPr>
        <w:t>harmonisation</w:t>
      </w:r>
      <w:proofErr w:type="spellEnd"/>
      <w:r w:rsidRPr="006A1CC1">
        <w:rPr>
          <w:rFonts w:ascii="Calibri" w:hAnsi="Calibri"/>
          <w:sz w:val="22"/>
          <w:szCs w:val="22"/>
          <w:lang w:val="en-US"/>
        </w:rPr>
        <w:t xml:space="preserve"> of reporting throughout the EU.</w:t>
      </w:r>
    </w:p>
    <w:p w:rsidR="00311C49" w:rsidRPr="006A1CC1" w:rsidRDefault="00311C49" w:rsidP="00311C49">
      <w:pPr>
        <w:spacing w:line="240" w:lineRule="auto"/>
        <w:jc w:val="both"/>
        <w:rPr>
          <w:rFonts w:ascii="Calibri" w:hAnsi="Calibri"/>
          <w:sz w:val="22"/>
          <w:szCs w:val="22"/>
          <w:lang w:val="en-US"/>
        </w:rPr>
      </w:pPr>
    </w:p>
    <w:p w:rsidR="00C476F3" w:rsidRDefault="00311C49" w:rsidP="00311C49">
      <w:pPr>
        <w:spacing w:line="240" w:lineRule="auto"/>
        <w:jc w:val="both"/>
        <w:rPr>
          <w:rFonts w:ascii="Calibri" w:hAnsi="Calibri"/>
          <w:sz w:val="22"/>
          <w:szCs w:val="22"/>
          <w:lang w:val="en-US"/>
        </w:rPr>
      </w:pPr>
      <w:r w:rsidRPr="006A1CC1">
        <w:rPr>
          <w:rFonts w:ascii="Calibri" w:hAnsi="Calibri"/>
          <w:sz w:val="22"/>
          <w:szCs w:val="22"/>
          <w:lang w:val="en-US"/>
        </w:rPr>
        <w:t>We now turn to the specific question of the consultation paper.</w:t>
      </w:r>
      <w:r w:rsidR="00C476F3" w:rsidRPr="006A1CC1">
        <w:rPr>
          <w:rFonts w:ascii="Calibri" w:hAnsi="Calibri"/>
          <w:sz w:val="22"/>
          <w:szCs w:val="22"/>
          <w:lang w:val="en-US"/>
        </w:rPr>
        <w:br/>
      </w:r>
    </w:p>
    <w:p w:rsidR="006A1CC1" w:rsidRPr="006A1CC1" w:rsidRDefault="006A1CC1" w:rsidP="00311C49">
      <w:pPr>
        <w:spacing w:line="240" w:lineRule="auto"/>
        <w:jc w:val="both"/>
        <w:rPr>
          <w:rFonts w:ascii="Calibri" w:hAnsi="Calibri"/>
          <w:sz w:val="22"/>
          <w:szCs w:val="22"/>
          <w:lang w:val="en-US"/>
        </w:rPr>
      </w:pPr>
    </w:p>
    <w:p w:rsidR="00B413D8" w:rsidRDefault="00C476F3" w:rsidP="00C476F3">
      <w:pPr>
        <w:spacing w:line="276" w:lineRule="auto"/>
        <w:jc w:val="center"/>
        <w:rPr>
          <w:rFonts w:ascii="Calibri" w:eastAsia="PMingLiU" w:hAnsi="Calibri" w:cs="Arial"/>
          <w:b/>
          <w:sz w:val="24"/>
          <w:szCs w:val="24"/>
          <w:lang w:val="en-US" w:eastAsia="zh-TW"/>
        </w:rPr>
      </w:pPr>
      <w:r>
        <w:rPr>
          <w:rFonts w:ascii="Calibri" w:eastAsia="PMingLiU" w:hAnsi="Calibri" w:cs="Arial"/>
          <w:b/>
          <w:sz w:val="24"/>
          <w:szCs w:val="24"/>
          <w:lang w:val="en-US" w:eastAsia="zh-TW"/>
        </w:rPr>
        <w:t xml:space="preserve">X  </w:t>
      </w:r>
      <w:proofErr w:type="spellStart"/>
      <w:r>
        <w:rPr>
          <w:rFonts w:ascii="Calibri" w:eastAsia="PMingLiU" w:hAnsi="Calibri" w:cs="Arial"/>
          <w:b/>
          <w:sz w:val="24"/>
          <w:szCs w:val="24"/>
          <w:lang w:val="en-US" w:eastAsia="zh-TW"/>
        </w:rPr>
        <w:t>x</w:t>
      </w:r>
      <w:proofErr w:type="spellEnd"/>
      <w:r>
        <w:rPr>
          <w:rFonts w:ascii="Calibri" w:eastAsia="PMingLiU" w:hAnsi="Calibri" w:cs="Arial"/>
          <w:b/>
          <w:sz w:val="24"/>
          <w:szCs w:val="24"/>
          <w:lang w:val="en-US" w:eastAsia="zh-TW"/>
        </w:rPr>
        <w:t xml:space="preserve">  </w:t>
      </w:r>
      <w:proofErr w:type="spellStart"/>
      <w:r>
        <w:rPr>
          <w:rFonts w:ascii="Calibri" w:eastAsia="PMingLiU" w:hAnsi="Calibri" w:cs="Arial"/>
          <w:b/>
          <w:sz w:val="24"/>
          <w:szCs w:val="24"/>
          <w:lang w:val="en-US" w:eastAsia="zh-TW"/>
        </w:rPr>
        <w:t>X</w:t>
      </w:r>
      <w:proofErr w:type="spellEnd"/>
    </w:p>
    <w:p w:rsidR="00310226" w:rsidRDefault="00310226" w:rsidP="00310226">
      <w:pPr>
        <w:spacing w:line="276" w:lineRule="auto"/>
        <w:rPr>
          <w:rFonts w:ascii="Calibri" w:eastAsia="PMingLiU" w:hAnsi="Calibri" w:cs="Arial"/>
          <w:b/>
          <w:sz w:val="24"/>
          <w:szCs w:val="24"/>
          <w:lang w:val="en-US" w:eastAsia="zh-TW"/>
        </w:rPr>
      </w:pPr>
    </w:p>
    <w:p w:rsidR="006A1CC1" w:rsidRDefault="006A1CC1" w:rsidP="00310226">
      <w:pPr>
        <w:spacing w:line="276" w:lineRule="auto"/>
        <w:rPr>
          <w:rFonts w:ascii="Calibri" w:eastAsia="PMingLiU" w:hAnsi="Calibri" w:cs="Arial"/>
          <w:b/>
          <w:sz w:val="24"/>
          <w:szCs w:val="24"/>
          <w:lang w:val="en-US" w:eastAsia="zh-TW"/>
        </w:rPr>
      </w:pPr>
    </w:p>
    <w:p w:rsidR="00310226" w:rsidRPr="00310226" w:rsidRDefault="00310226" w:rsidP="004C0ED7">
      <w:pPr>
        <w:spacing w:line="240" w:lineRule="auto"/>
        <w:jc w:val="both"/>
        <w:rPr>
          <w:rFonts w:ascii="Calibri" w:eastAsia="PMingLiU" w:hAnsi="Calibri" w:cs="Arial"/>
          <w:b/>
          <w:bCs/>
          <w:sz w:val="24"/>
          <w:szCs w:val="24"/>
          <w:lang w:val="en-US" w:eastAsia="zh-TW"/>
        </w:rPr>
      </w:pPr>
      <w:r w:rsidRPr="00310226">
        <w:rPr>
          <w:rFonts w:ascii="Calibri" w:eastAsia="PMingLiU" w:hAnsi="Calibri" w:cs="Arial"/>
          <w:b/>
          <w:bCs/>
          <w:sz w:val="24"/>
          <w:szCs w:val="24"/>
          <w:lang w:val="en-US" w:eastAsia="zh-TW"/>
        </w:rPr>
        <w:t>Q1 Are you of the view that there could be merits for managers of MMFs subject to</w:t>
      </w:r>
    </w:p>
    <w:p w:rsidR="00310226" w:rsidRPr="00310226" w:rsidRDefault="00310226" w:rsidP="004C0ED7">
      <w:pPr>
        <w:spacing w:line="240" w:lineRule="auto"/>
        <w:jc w:val="both"/>
        <w:rPr>
          <w:rFonts w:ascii="Calibri" w:eastAsia="PMingLiU" w:hAnsi="Calibri" w:cs="Arial"/>
          <w:b/>
          <w:bCs/>
          <w:sz w:val="24"/>
          <w:szCs w:val="24"/>
          <w:lang w:val="en-US" w:eastAsia="zh-TW"/>
        </w:rPr>
      </w:pPr>
      <w:r w:rsidRPr="00310226">
        <w:rPr>
          <w:rFonts w:ascii="Calibri" w:eastAsia="PMingLiU" w:hAnsi="Calibri" w:cs="Arial"/>
          <w:b/>
          <w:bCs/>
          <w:sz w:val="24"/>
          <w:szCs w:val="24"/>
          <w:lang w:val="en-US" w:eastAsia="zh-TW"/>
        </w:rPr>
        <w:t>yearly reporting in accordance with article 37(1) of the MMF Regulation to report</w:t>
      </w:r>
    </w:p>
    <w:p w:rsidR="00310226" w:rsidRPr="00310226" w:rsidRDefault="00310226" w:rsidP="004C0ED7">
      <w:pPr>
        <w:spacing w:line="240" w:lineRule="auto"/>
        <w:jc w:val="both"/>
        <w:rPr>
          <w:rFonts w:ascii="Calibri" w:eastAsia="PMingLiU" w:hAnsi="Calibri" w:cs="Arial"/>
          <w:b/>
          <w:bCs/>
          <w:sz w:val="24"/>
          <w:szCs w:val="24"/>
          <w:lang w:val="en-US" w:eastAsia="zh-TW"/>
        </w:rPr>
      </w:pPr>
      <w:r w:rsidRPr="00310226">
        <w:rPr>
          <w:rFonts w:ascii="Calibri" w:eastAsia="PMingLiU" w:hAnsi="Calibri" w:cs="Arial"/>
          <w:b/>
          <w:bCs/>
          <w:sz w:val="24"/>
          <w:szCs w:val="24"/>
          <w:lang w:val="en-US" w:eastAsia="zh-TW"/>
        </w:rPr>
        <w:t>on a quarterly basis so that their corresponding operational process is less</w:t>
      </w:r>
    </w:p>
    <w:p w:rsidR="00310226" w:rsidRDefault="00310226" w:rsidP="004C0ED7">
      <w:pPr>
        <w:spacing w:line="240" w:lineRule="auto"/>
        <w:jc w:val="both"/>
        <w:rPr>
          <w:rFonts w:ascii="Calibri" w:eastAsia="PMingLiU" w:hAnsi="Calibri" w:cs="Arial"/>
          <w:b/>
          <w:bCs/>
          <w:sz w:val="24"/>
          <w:szCs w:val="24"/>
          <w:lang w:val="en-US" w:eastAsia="zh-TW"/>
        </w:rPr>
      </w:pPr>
      <w:r w:rsidRPr="00310226">
        <w:rPr>
          <w:rFonts w:ascii="Calibri" w:eastAsia="PMingLiU" w:hAnsi="Calibri" w:cs="Arial"/>
          <w:b/>
          <w:bCs/>
          <w:sz w:val="24"/>
          <w:szCs w:val="24"/>
          <w:lang w:val="en-US" w:eastAsia="zh-TW"/>
        </w:rPr>
        <w:t>burdensome?</w:t>
      </w:r>
    </w:p>
    <w:p w:rsidR="00A36036" w:rsidRDefault="00FE2EBF" w:rsidP="004C0ED7">
      <w:pPr>
        <w:spacing w:line="240" w:lineRule="auto"/>
        <w:jc w:val="both"/>
        <w:rPr>
          <w:rFonts w:ascii="Calibri" w:eastAsia="PMingLiU" w:hAnsi="Calibri" w:cs="Arial"/>
          <w:bCs/>
          <w:sz w:val="22"/>
          <w:szCs w:val="22"/>
          <w:lang w:val="en-US" w:eastAsia="zh-TW"/>
        </w:rPr>
      </w:pPr>
      <w:r>
        <w:rPr>
          <w:rFonts w:ascii="Calibri" w:eastAsia="PMingLiU" w:hAnsi="Calibri" w:cs="Arial"/>
          <w:bCs/>
          <w:sz w:val="22"/>
          <w:szCs w:val="22"/>
          <w:lang w:val="en-US" w:eastAsia="zh-TW"/>
        </w:rPr>
        <w:t>Amundi finds it helpful to open an option for quarterly reporting data relating to funds that are required to report yearly. For some asset managers it will be easier to organize a standardized process and report all MMFs on a quarterly basis without checking whether they exceed or not the 100 million threshold. We therefore support that quarterly reporting be offered as a voluntary and not mandatory alternative.</w:t>
      </w:r>
    </w:p>
    <w:p w:rsidR="004C0ED7" w:rsidRDefault="004C0ED7" w:rsidP="004C0ED7">
      <w:pPr>
        <w:spacing w:line="240" w:lineRule="auto"/>
        <w:jc w:val="both"/>
        <w:rPr>
          <w:rFonts w:ascii="Calibri" w:eastAsia="PMingLiU" w:hAnsi="Calibri" w:cs="Arial"/>
          <w:bCs/>
          <w:sz w:val="22"/>
          <w:szCs w:val="22"/>
          <w:lang w:val="en-US" w:eastAsia="zh-TW"/>
        </w:rPr>
      </w:pPr>
    </w:p>
    <w:p w:rsidR="00310226" w:rsidRPr="00310226" w:rsidRDefault="00310226" w:rsidP="004C0ED7">
      <w:pPr>
        <w:spacing w:line="240" w:lineRule="auto"/>
        <w:jc w:val="both"/>
        <w:rPr>
          <w:rFonts w:ascii="Calibri" w:eastAsia="PMingLiU" w:hAnsi="Calibri" w:cs="Arial"/>
          <w:b/>
          <w:bCs/>
          <w:sz w:val="24"/>
          <w:szCs w:val="24"/>
          <w:lang w:val="en-US" w:eastAsia="zh-TW"/>
        </w:rPr>
      </w:pPr>
      <w:r w:rsidRPr="00310226">
        <w:rPr>
          <w:rFonts w:ascii="Calibri" w:eastAsia="PMingLiU" w:hAnsi="Calibri" w:cs="Arial"/>
          <w:b/>
          <w:bCs/>
          <w:sz w:val="24"/>
          <w:szCs w:val="24"/>
          <w:lang w:val="en-US" w:eastAsia="zh-TW"/>
        </w:rPr>
        <w:t>Q2 Do you identify potential situations in which managers of MMFs do not have any</w:t>
      </w:r>
    </w:p>
    <w:p w:rsidR="00310226" w:rsidRPr="00310226" w:rsidRDefault="00310226" w:rsidP="004C0ED7">
      <w:pPr>
        <w:spacing w:line="240" w:lineRule="auto"/>
        <w:jc w:val="both"/>
        <w:rPr>
          <w:rFonts w:ascii="Calibri" w:eastAsia="PMingLiU" w:hAnsi="Calibri" w:cs="Arial"/>
          <w:b/>
          <w:bCs/>
          <w:sz w:val="24"/>
          <w:szCs w:val="24"/>
          <w:lang w:val="en-US" w:eastAsia="zh-TW"/>
        </w:rPr>
      </w:pPr>
      <w:r w:rsidRPr="00310226">
        <w:rPr>
          <w:rFonts w:ascii="Calibri" w:eastAsia="PMingLiU" w:hAnsi="Calibri" w:cs="Arial"/>
          <w:b/>
          <w:bCs/>
          <w:sz w:val="24"/>
          <w:szCs w:val="24"/>
          <w:lang w:val="en-US" w:eastAsia="zh-TW"/>
        </w:rPr>
        <w:t>information to report on MMFs other than those listed above (e.g. certain types</w:t>
      </w:r>
    </w:p>
    <w:p w:rsidR="00310226" w:rsidRDefault="00310226" w:rsidP="004C0ED7">
      <w:pPr>
        <w:spacing w:line="240" w:lineRule="auto"/>
        <w:jc w:val="both"/>
        <w:rPr>
          <w:rFonts w:ascii="Calibri" w:eastAsia="PMingLiU" w:hAnsi="Calibri" w:cs="Arial"/>
          <w:b/>
          <w:bCs/>
          <w:sz w:val="24"/>
          <w:szCs w:val="24"/>
          <w:lang w:val="en-US" w:eastAsia="zh-TW"/>
        </w:rPr>
      </w:pPr>
      <w:r w:rsidRPr="00310226">
        <w:rPr>
          <w:rFonts w:ascii="Calibri" w:eastAsia="PMingLiU" w:hAnsi="Calibri" w:cs="Arial"/>
          <w:b/>
          <w:bCs/>
          <w:sz w:val="24"/>
          <w:szCs w:val="24"/>
          <w:lang w:val="en-US" w:eastAsia="zh-TW"/>
        </w:rPr>
        <w:t>of situations of liquidation of the MMF)?</w:t>
      </w:r>
    </w:p>
    <w:p w:rsidR="004C0ED7" w:rsidRDefault="00FE2EBF" w:rsidP="004C0ED7">
      <w:pPr>
        <w:spacing w:line="240" w:lineRule="auto"/>
        <w:jc w:val="both"/>
        <w:rPr>
          <w:rFonts w:ascii="Calibri" w:eastAsia="PMingLiU" w:hAnsi="Calibri" w:cs="Arial"/>
          <w:bCs/>
          <w:sz w:val="22"/>
          <w:szCs w:val="22"/>
          <w:lang w:val="en-US" w:eastAsia="zh-TW"/>
        </w:rPr>
      </w:pPr>
      <w:r>
        <w:rPr>
          <w:rFonts w:ascii="Calibri" w:eastAsia="PMingLiU" w:hAnsi="Calibri" w:cs="Arial"/>
          <w:bCs/>
          <w:sz w:val="22"/>
          <w:szCs w:val="22"/>
          <w:lang w:val="en-US" w:eastAsia="zh-TW"/>
        </w:rPr>
        <w:t>No, w</w:t>
      </w:r>
      <w:r w:rsidRPr="00FE2EBF">
        <w:rPr>
          <w:rFonts w:ascii="Calibri" w:eastAsia="PMingLiU" w:hAnsi="Calibri" w:cs="Arial"/>
          <w:bCs/>
          <w:sz w:val="22"/>
          <w:szCs w:val="22"/>
          <w:lang w:val="en-US" w:eastAsia="zh-TW"/>
        </w:rPr>
        <w:t xml:space="preserve">e </w:t>
      </w:r>
      <w:r>
        <w:rPr>
          <w:rFonts w:ascii="Calibri" w:eastAsia="PMingLiU" w:hAnsi="Calibri" w:cs="Arial"/>
          <w:bCs/>
          <w:sz w:val="22"/>
          <w:szCs w:val="22"/>
          <w:lang w:val="en-US" w:eastAsia="zh-TW"/>
        </w:rPr>
        <w:t>do not foresee any other situation than the period between authorization (that triggers reporting) and effective launch of a MMF (that implies initial subscriptions) where a fund would not have any information to report.</w:t>
      </w:r>
    </w:p>
    <w:p w:rsidR="00FE2EBF" w:rsidRPr="00FE2EBF" w:rsidRDefault="00FE2EBF" w:rsidP="004C0ED7">
      <w:pPr>
        <w:spacing w:line="240" w:lineRule="auto"/>
        <w:jc w:val="both"/>
        <w:rPr>
          <w:rFonts w:ascii="Calibri" w:eastAsia="PMingLiU" w:hAnsi="Calibri" w:cs="Arial"/>
          <w:bCs/>
          <w:sz w:val="22"/>
          <w:szCs w:val="22"/>
          <w:lang w:val="en-US" w:eastAsia="zh-TW"/>
        </w:rPr>
      </w:pPr>
    </w:p>
    <w:p w:rsidR="00310226" w:rsidRPr="00310226" w:rsidRDefault="00310226" w:rsidP="004C0ED7">
      <w:pPr>
        <w:spacing w:line="240" w:lineRule="auto"/>
        <w:jc w:val="both"/>
        <w:rPr>
          <w:rFonts w:ascii="Calibri" w:eastAsia="PMingLiU" w:hAnsi="Calibri" w:cs="Arial"/>
          <w:b/>
          <w:bCs/>
          <w:sz w:val="24"/>
          <w:szCs w:val="24"/>
          <w:lang w:val="en-US" w:eastAsia="zh-TW"/>
        </w:rPr>
      </w:pPr>
      <w:r w:rsidRPr="00310226">
        <w:rPr>
          <w:rFonts w:ascii="Calibri" w:eastAsia="PMingLiU" w:hAnsi="Calibri" w:cs="Arial"/>
          <w:b/>
          <w:bCs/>
          <w:sz w:val="24"/>
          <w:szCs w:val="24"/>
          <w:lang w:val="en-US" w:eastAsia="zh-TW"/>
        </w:rPr>
        <w:t>Q3 Do you agree that the MMF Guidelines could specify which sources should be</w:t>
      </w:r>
    </w:p>
    <w:p w:rsidR="00310226" w:rsidRPr="00310226" w:rsidRDefault="00310226" w:rsidP="004C0ED7">
      <w:pPr>
        <w:spacing w:line="240" w:lineRule="auto"/>
        <w:jc w:val="both"/>
        <w:rPr>
          <w:rFonts w:ascii="Calibri" w:eastAsia="PMingLiU" w:hAnsi="Calibri" w:cs="Arial"/>
          <w:b/>
          <w:bCs/>
          <w:sz w:val="24"/>
          <w:szCs w:val="24"/>
          <w:lang w:val="en-US" w:eastAsia="zh-TW"/>
        </w:rPr>
      </w:pPr>
      <w:r w:rsidRPr="00310226">
        <w:rPr>
          <w:rFonts w:ascii="Calibri" w:eastAsia="PMingLiU" w:hAnsi="Calibri" w:cs="Arial"/>
          <w:b/>
          <w:bCs/>
          <w:sz w:val="24"/>
          <w:szCs w:val="24"/>
          <w:lang w:val="en-US" w:eastAsia="zh-TW"/>
        </w:rPr>
        <w:t>used by managers of MMFs if the base currency is not included in the list of</w:t>
      </w:r>
    </w:p>
    <w:p w:rsidR="00310226" w:rsidRPr="00310226" w:rsidRDefault="00310226" w:rsidP="004C0ED7">
      <w:pPr>
        <w:spacing w:line="240" w:lineRule="auto"/>
        <w:jc w:val="both"/>
        <w:rPr>
          <w:rFonts w:ascii="Calibri" w:eastAsia="PMingLiU" w:hAnsi="Calibri" w:cs="Arial"/>
          <w:b/>
          <w:bCs/>
          <w:sz w:val="24"/>
          <w:szCs w:val="24"/>
          <w:lang w:val="en-US" w:eastAsia="zh-TW"/>
        </w:rPr>
      </w:pPr>
      <w:r w:rsidRPr="00310226">
        <w:rPr>
          <w:rFonts w:ascii="Calibri" w:eastAsia="PMingLiU" w:hAnsi="Calibri" w:cs="Arial"/>
          <w:b/>
          <w:bCs/>
          <w:sz w:val="24"/>
          <w:szCs w:val="24"/>
          <w:lang w:val="en-US" w:eastAsia="zh-TW"/>
        </w:rPr>
        <w:t>currencies for which the ECB provides an exchange rate? If yes, which sources</w:t>
      </w:r>
    </w:p>
    <w:p w:rsidR="00310226" w:rsidRDefault="00310226" w:rsidP="004C0ED7">
      <w:pPr>
        <w:spacing w:line="240" w:lineRule="auto"/>
        <w:jc w:val="both"/>
        <w:rPr>
          <w:rFonts w:ascii="Calibri" w:eastAsia="PMingLiU" w:hAnsi="Calibri" w:cs="Arial"/>
          <w:b/>
          <w:bCs/>
          <w:sz w:val="24"/>
          <w:szCs w:val="24"/>
          <w:lang w:val="en-US" w:eastAsia="zh-TW"/>
        </w:rPr>
      </w:pPr>
      <w:r w:rsidRPr="00310226">
        <w:rPr>
          <w:rFonts w:ascii="Calibri" w:eastAsia="PMingLiU" w:hAnsi="Calibri" w:cs="Arial"/>
          <w:b/>
          <w:bCs/>
          <w:sz w:val="24"/>
          <w:szCs w:val="24"/>
          <w:lang w:val="en-US" w:eastAsia="zh-TW"/>
        </w:rPr>
        <w:t>should be used in your view?</w:t>
      </w:r>
    </w:p>
    <w:p w:rsidR="00CD5ADF" w:rsidRDefault="00FE2EBF" w:rsidP="004C0ED7">
      <w:pPr>
        <w:spacing w:line="240" w:lineRule="auto"/>
        <w:jc w:val="both"/>
        <w:rPr>
          <w:rFonts w:ascii="Calibri" w:eastAsia="PMingLiU" w:hAnsi="Calibri" w:cs="Arial"/>
          <w:bCs/>
          <w:sz w:val="22"/>
          <w:szCs w:val="22"/>
          <w:lang w:val="en-US" w:eastAsia="zh-TW"/>
        </w:rPr>
      </w:pPr>
      <w:r>
        <w:rPr>
          <w:rFonts w:ascii="Calibri" w:eastAsia="PMingLiU" w:hAnsi="Calibri" w:cs="Arial"/>
          <w:bCs/>
          <w:sz w:val="22"/>
          <w:szCs w:val="22"/>
          <w:lang w:val="en-US" w:eastAsia="zh-TW"/>
        </w:rPr>
        <w:t>No, we oppose the idea to be prescriptive. We would like to align with current practice under AIFMD where the same situation may arise. Amundi refers</w:t>
      </w:r>
      <w:r w:rsidR="00CD5ADF">
        <w:rPr>
          <w:rFonts w:ascii="Calibri" w:eastAsia="PMingLiU" w:hAnsi="Calibri" w:cs="Arial"/>
          <w:bCs/>
          <w:sz w:val="22"/>
          <w:szCs w:val="22"/>
          <w:lang w:val="en-US" w:eastAsia="zh-TW"/>
        </w:rPr>
        <w:t>,</w:t>
      </w:r>
      <w:r>
        <w:rPr>
          <w:rFonts w:ascii="Calibri" w:eastAsia="PMingLiU" w:hAnsi="Calibri" w:cs="Arial"/>
          <w:bCs/>
          <w:sz w:val="22"/>
          <w:szCs w:val="22"/>
          <w:lang w:val="en-US" w:eastAsia="zh-TW"/>
        </w:rPr>
        <w:t xml:space="preserve"> for currencies not covered by the ECB data</w:t>
      </w:r>
      <w:r w:rsidR="00CD5ADF">
        <w:rPr>
          <w:rFonts w:ascii="Calibri" w:eastAsia="PMingLiU" w:hAnsi="Calibri" w:cs="Arial"/>
          <w:bCs/>
          <w:sz w:val="22"/>
          <w:szCs w:val="22"/>
          <w:lang w:val="en-US" w:eastAsia="zh-TW"/>
        </w:rPr>
        <w:t>,</w:t>
      </w:r>
      <w:r>
        <w:rPr>
          <w:rFonts w:ascii="Calibri" w:eastAsia="PMingLiU" w:hAnsi="Calibri" w:cs="Arial"/>
          <w:bCs/>
          <w:sz w:val="22"/>
          <w:szCs w:val="22"/>
          <w:lang w:val="en-US" w:eastAsia="zh-TW"/>
        </w:rPr>
        <w:t xml:space="preserve"> to a data provider. We think that </w:t>
      </w:r>
      <w:r w:rsidR="00CD5ADF">
        <w:rPr>
          <w:rFonts w:ascii="Calibri" w:eastAsia="PMingLiU" w:hAnsi="Calibri" w:cs="Arial"/>
          <w:bCs/>
          <w:sz w:val="22"/>
          <w:szCs w:val="22"/>
          <w:lang w:val="en-US" w:eastAsia="zh-TW"/>
        </w:rPr>
        <w:t>it is an adequate solution and we are totally transparent vis à vis Authorities on the source we use. However, we would not like to be dependent on this source and wish to keep the possibility to change for</w:t>
      </w:r>
      <w:r w:rsidR="0044240C">
        <w:rPr>
          <w:rFonts w:ascii="Calibri" w:eastAsia="PMingLiU" w:hAnsi="Calibri" w:cs="Arial"/>
          <w:bCs/>
          <w:sz w:val="22"/>
          <w:szCs w:val="22"/>
          <w:lang w:val="en-US" w:eastAsia="zh-TW"/>
        </w:rPr>
        <w:t xml:space="preserve"> a</w:t>
      </w:r>
      <w:r w:rsidR="00CD5ADF">
        <w:rPr>
          <w:rFonts w:ascii="Calibri" w:eastAsia="PMingLiU" w:hAnsi="Calibri" w:cs="Arial"/>
          <w:bCs/>
          <w:sz w:val="22"/>
          <w:szCs w:val="22"/>
          <w:lang w:val="en-US" w:eastAsia="zh-TW"/>
        </w:rPr>
        <w:t xml:space="preserve"> more convenient, better or cheaper possibility. We can imagine that open-source data of quality might be proposed by official institutions or professional associations and want to be able to adopt them.</w:t>
      </w:r>
    </w:p>
    <w:p w:rsidR="00CD5ADF" w:rsidRPr="00FE2EBF" w:rsidRDefault="00CD5ADF" w:rsidP="004C0ED7">
      <w:pPr>
        <w:spacing w:line="240" w:lineRule="auto"/>
        <w:jc w:val="both"/>
        <w:rPr>
          <w:rFonts w:ascii="Calibri" w:eastAsia="PMingLiU" w:hAnsi="Calibri" w:cs="Arial"/>
          <w:bCs/>
          <w:sz w:val="22"/>
          <w:szCs w:val="22"/>
          <w:lang w:val="en-US" w:eastAsia="zh-TW"/>
        </w:rPr>
      </w:pPr>
    </w:p>
    <w:p w:rsidR="00310226" w:rsidRPr="00310226" w:rsidRDefault="00310226" w:rsidP="004C0ED7">
      <w:pPr>
        <w:spacing w:line="240" w:lineRule="auto"/>
        <w:jc w:val="both"/>
        <w:rPr>
          <w:rFonts w:ascii="Calibri" w:eastAsia="PMingLiU" w:hAnsi="Calibri" w:cs="Arial"/>
          <w:b/>
          <w:bCs/>
          <w:sz w:val="24"/>
          <w:szCs w:val="24"/>
          <w:lang w:val="en-US" w:eastAsia="zh-TW"/>
        </w:rPr>
      </w:pPr>
      <w:r w:rsidRPr="00310226">
        <w:rPr>
          <w:rFonts w:ascii="Calibri" w:eastAsia="PMingLiU" w:hAnsi="Calibri" w:cs="Arial"/>
          <w:b/>
          <w:bCs/>
          <w:sz w:val="24"/>
          <w:szCs w:val="24"/>
          <w:lang w:val="en-US" w:eastAsia="zh-TW"/>
        </w:rPr>
        <w:lastRenderedPageBreak/>
        <w:t>Q4 Do you identify any other issue that would need to be specified in relation to the</w:t>
      </w:r>
    </w:p>
    <w:p w:rsidR="00310226" w:rsidRDefault="00310226" w:rsidP="004C0ED7">
      <w:pPr>
        <w:spacing w:line="240" w:lineRule="auto"/>
        <w:jc w:val="both"/>
        <w:rPr>
          <w:rFonts w:ascii="Calibri" w:eastAsia="PMingLiU" w:hAnsi="Calibri" w:cs="Arial"/>
          <w:b/>
          <w:bCs/>
          <w:sz w:val="24"/>
          <w:szCs w:val="24"/>
          <w:lang w:val="en-US" w:eastAsia="zh-TW"/>
        </w:rPr>
      </w:pPr>
      <w:r w:rsidRPr="00310226">
        <w:rPr>
          <w:rFonts w:ascii="Calibri" w:eastAsia="PMingLiU" w:hAnsi="Calibri" w:cs="Arial"/>
          <w:b/>
          <w:bCs/>
          <w:sz w:val="24"/>
          <w:szCs w:val="24"/>
          <w:lang w:val="en-US" w:eastAsia="zh-TW"/>
        </w:rPr>
        <w:t>above section on “general principles” of the reporting template?</w:t>
      </w:r>
    </w:p>
    <w:p w:rsidR="00CD5ADF" w:rsidRDefault="00CD5ADF" w:rsidP="004C0ED7">
      <w:pPr>
        <w:spacing w:line="240" w:lineRule="auto"/>
        <w:jc w:val="both"/>
        <w:rPr>
          <w:rFonts w:ascii="Calibri" w:eastAsia="PMingLiU" w:hAnsi="Calibri" w:cs="Arial"/>
          <w:b/>
          <w:bCs/>
          <w:sz w:val="24"/>
          <w:szCs w:val="24"/>
          <w:lang w:val="en-US" w:eastAsia="zh-TW"/>
        </w:rPr>
      </w:pPr>
      <w:r>
        <w:rPr>
          <w:rFonts w:ascii="Calibri" w:eastAsia="PMingLiU" w:hAnsi="Calibri" w:cs="Arial"/>
          <w:bCs/>
          <w:sz w:val="22"/>
          <w:szCs w:val="22"/>
          <w:lang w:val="en-US" w:eastAsia="zh-TW"/>
        </w:rPr>
        <w:t>Yes, it is important for us that authorities keep in mind the following points when considering reporting:</w:t>
      </w:r>
    </w:p>
    <w:p w:rsidR="00CD5ADF" w:rsidRDefault="00D50E13" w:rsidP="00CD5ADF">
      <w:pPr>
        <w:pStyle w:val="Paragraphedeliste"/>
        <w:numPr>
          <w:ilvl w:val="0"/>
          <w:numId w:val="13"/>
        </w:numPr>
        <w:spacing w:line="240" w:lineRule="auto"/>
        <w:jc w:val="both"/>
        <w:rPr>
          <w:rFonts w:asciiTheme="majorHAnsi" w:hAnsiTheme="majorHAnsi"/>
          <w:sz w:val="22"/>
          <w:szCs w:val="22"/>
          <w:lang w:val="en-US"/>
        </w:rPr>
      </w:pPr>
      <w:r w:rsidRPr="006A1CC1">
        <w:rPr>
          <w:rFonts w:ascii="Calibri" w:hAnsi="Calibri"/>
          <w:sz w:val="22"/>
          <w:szCs w:val="22"/>
          <w:lang w:val="en-US"/>
        </w:rPr>
        <w:t>First, the multiplication of reporting requirements spe</w:t>
      </w:r>
      <w:r>
        <w:rPr>
          <w:rFonts w:ascii="Calibri" w:hAnsi="Calibri"/>
          <w:sz w:val="22"/>
          <w:szCs w:val="22"/>
          <w:lang w:val="en-US"/>
        </w:rPr>
        <w:t>cific to each regulation has le</w:t>
      </w:r>
      <w:r w:rsidRPr="006A1CC1">
        <w:rPr>
          <w:rFonts w:ascii="Calibri" w:hAnsi="Calibri"/>
          <w:sz w:val="22"/>
          <w:szCs w:val="22"/>
          <w:lang w:val="en-US"/>
        </w:rPr>
        <w:t xml:space="preserve">d to a </w:t>
      </w:r>
      <w:r w:rsidRPr="006A1CC1">
        <w:rPr>
          <w:rFonts w:ascii="Calibri" w:hAnsi="Calibri"/>
          <w:b/>
          <w:sz w:val="22"/>
          <w:szCs w:val="22"/>
          <w:lang w:val="en-US"/>
        </w:rPr>
        <w:t>heavy burden</w:t>
      </w:r>
      <w:r w:rsidRPr="006A1CC1">
        <w:rPr>
          <w:rFonts w:ascii="Calibri" w:hAnsi="Calibri"/>
          <w:sz w:val="22"/>
          <w:szCs w:val="22"/>
          <w:lang w:val="en-US"/>
        </w:rPr>
        <w:t xml:space="preserve"> for asset managers that do</w:t>
      </w:r>
      <w:r w:rsidR="0044240C">
        <w:rPr>
          <w:rFonts w:ascii="Calibri" w:hAnsi="Calibri"/>
          <w:sz w:val="22"/>
          <w:szCs w:val="22"/>
          <w:lang w:val="en-US"/>
        </w:rPr>
        <w:t>es</w:t>
      </w:r>
      <w:r w:rsidRPr="006A1CC1">
        <w:rPr>
          <w:rFonts w:ascii="Calibri" w:hAnsi="Calibri"/>
          <w:sz w:val="22"/>
          <w:szCs w:val="22"/>
          <w:lang w:val="en-US"/>
        </w:rPr>
        <w:t xml:space="preserve"> not always seem proportionate.  It appears that we</w:t>
      </w:r>
      <w:r w:rsidR="0044240C">
        <w:rPr>
          <w:rFonts w:ascii="Calibri" w:hAnsi="Calibri"/>
          <w:sz w:val="22"/>
          <w:szCs w:val="22"/>
          <w:lang w:val="en-US"/>
        </w:rPr>
        <w:t>,</w:t>
      </w:r>
      <w:r w:rsidRPr="006A1CC1">
        <w:rPr>
          <w:rFonts w:ascii="Calibri" w:hAnsi="Calibri"/>
          <w:sz w:val="22"/>
          <w:szCs w:val="22"/>
          <w:lang w:val="en-US"/>
        </w:rPr>
        <w:t xml:space="preserve"> as an industry</w:t>
      </w:r>
      <w:r w:rsidR="0044240C">
        <w:rPr>
          <w:rFonts w:ascii="Calibri" w:hAnsi="Calibri"/>
          <w:sz w:val="22"/>
          <w:szCs w:val="22"/>
          <w:lang w:val="en-US"/>
        </w:rPr>
        <w:t>,</w:t>
      </w:r>
      <w:r w:rsidRPr="006A1CC1">
        <w:rPr>
          <w:rFonts w:ascii="Calibri" w:hAnsi="Calibri"/>
          <w:sz w:val="22"/>
          <w:szCs w:val="22"/>
          <w:lang w:val="en-US"/>
        </w:rPr>
        <w:t xml:space="preserve"> transfer a lot of data on our management companies (AIFMD) our products (under UCITS and AIFM Directives and MMF Regulation), our operations (EMIR, SFTR, MIFIR), our relationship with clients (MIFID) that overlap and are not all directly useful to regulators, who confess they are not equipped to process them all</w:t>
      </w:r>
      <w:r w:rsidR="00CD5ADF">
        <w:rPr>
          <w:rFonts w:asciiTheme="majorHAnsi" w:hAnsiTheme="majorHAnsi"/>
          <w:sz w:val="22"/>
          <w:szCs w:val="22"/>
          <w:lang w:val="en-US"/>
        </w:rPr>
        <w:t>.</w:t>
      </w:r>
    </w:p>
    <w:p w:rsidR="00CD5ADF" w:rsidRDefault="00CD5ADF" w:rsidP="00CD5ADF">
      <w:pPr>
        <w:pStyle w:val="Paragraphedeliste"/>
        <w:numPr>
          <w:ilvl w:val="0"/>
          <w:numId w:val="13"/>
        </w:numPr>
        <w:spacing w:line="240" w:lineRule="auto"/>
        <w:jc w:val="both"/>
        <w:rPr>
          <w:rFonts w:asciiTheme="majorHAnsi" w:hAnsiTheme="majorHAnsi"/>
          <w:sz w:val="22"/>
          <w:szCs w:val="22"/>
          <w:lang w:val="en-US"/>
        </w:rPr>
      </w:pPr>
      <w:r>
        <w:rPr>
          <w:rFonts w:asciiTheme="majorHAnsi" w:hAnsiTheme="majorHAnsi"/>
          <w:sz w:val="22"/>
          <w:szCs w:val="22"/>
          <w:lang w:val="en-US"/>
        </w:rPr>
        <w:t xml:space="preserve">Second, with a view to smoothen the reporting exercise, we continue to believe that the set-up of a </w:t>
      </w:r>
      <w:r w:rsidRPr="00187AF6">
        <w:rPr>
          <w:rFonts w:asciiTheme="majorHAnsi" w:hAnsiTheme="majorHAnsi"/>
          <w:b/>
          <w:sz w:val="22"/>
          <w:szCs w:val="22"/>
          <w:lang w:val="en-US"/>
        </w:rPr>
        <w:t>central hub</w:t>
      </w:r>
      <w:r w:rsidR="008E2E89">
        <w:rPr>
          <w:rFonts w:asciiTheme="majorHAnsi" w:hAnsiTheme="majorHAnsi"/>
          <w:b/>
          <w:sz w:val="22"/>
          <w:szCs w:val="22"/>
          <w:lang w:val="en-US"/>
        </w:rPr>
        <w:t>,</w:t>
      </w:r>
      <w:r>
        <w:rPr>
          <w:rFonts w:asciiTheme="majorHAnsi" w:hAnsiTheme="majorHAnsi"/>
          <w:sz w:val="22"/>
          <w:szCs w:val="22"/>
          <w:lang w:val="en-US"/>
        </w:rPr>
        <w:t xml:space="preserve"> where we would deposit all data required by law and regulation and </w:t>
      </w:r>
      <w:r w:rsidR="008E2E89">
        <w:rPr>
          <w:rFonts w:asciiTheme="majorHAnsi" w:hAnsiTheme="majorHAnsi"/>
          <w:sz w:val="22"/>
          <w:szCs w:val="22"/>
          <w:lang w:val="en-US"/>
        </w:rPr>
        <w:t xml:space="preserve">make them </w:t>
      </w:r>
      <w:r>
        <w:rPr>
          <w:rFonts w:asciiTheme="majorHAnsi" w:hAnsiTheme="majorHAnsi"/>
          <w:sz w:val="22"/>
          <w:szCs w:val="22"/>
          <w:lang w:val="en-US"/>
        </w:rPr>
        <w:t xml:space="preserve">accessible to authorized authorities for their </w:t>
      </w:r>
      <w:r w:rsidR="008E2E89">
        <w:rPr>
          <w:rFonts w:asciiTheme="majorHAnsi" w:hAnsiTheme="majorHAnsi"/>
          <w:sz w:val="22"/>
          <w:szCs w:val="22"/>
          <w:lang w:val="en-US"/>
        </w:rPr>
        <w:t>needs,</w:t>
      </w:r>
      <w:r>
        <w:rPr>
          <w:rFonts w:asciiTheme="majorHAnsi" w:hAnsiTheme="majorHAnsi"/>
          <w:sz w:val="22"/>
          <w:szCs w:val="22"/>
          <w:lang w:val="en-US"/>
        </w:rPr>
        <w:t xml:space="preserve"> would facilitate work and enhance efficiency</w:t>
      </w:r>
      <w:r w:rsidRPr="00187AF6">
        <w:rPr>
          <w:rFonts w:asciiTheme="majorHAnsi" w:hAnsiTheme="majorHAnsi"/>
          <w:sz w:val="22"/>
          <w:szCs w:val="22"/>
          <w:lang w:val="en-US"/>
        </w:rPr>
        <w:t xml:space="preserve"> </w:t>
      </w:r>
      <w:r>
        <w:rPr>
          <w:rFonts w:asciiTheme="majorHAnsi" w:hAnsiTheme="majorHAnsi"/>
          <w:sz w:val="22"/>
          <w:szCs w:val="22"/>
          <w:lang w:val="en-US"/>
        </w:rPr>
        <w:t>on both sides.</w:t>
      </w:r>
    </w:p>
    <w:p w:rsidR="00CD5ADF" w:rsidRDefault="00CD5ADF" w:rsidP="00CD5ADF">
      <w:pPr>
        <w:pStyle w:val="Paragraphedeliste"/>
        <w:numPr>
          <w:ilvl w:val="0"/>
          <w:numId w:val="13"/>
        </w:numPr>
        <w:spacing w:line="240" w:lineRule="auto"/>
        <w:jc w:val="both"/>
        <w:rPr>
          <w:rFonts w:asciiTheme="majorHAnsi" w:hAnsiTheme="majorHAnsi"/>
          <w:sz w:val="22"/>
          <w:szCs w:val="22"/>
          <w:lang w:val="en-US"/>
        </w:rPr>
      </w:pPr>
      <w:r>
        <w:rPr>
          <w:rFonts w:asciiTheme="majorHAnsi" w:hAnsiTheme="majorHAnsi"/>
          <w:sz w:val="22"/>
          <w:szCs w:val="22"/>
          <w:lang w:val="en-US"/>
        </w:rPr>
        <w:t>Third, a minima we suggest that all reporting be separated in two parts:</w:t>
      </w:r>
      <w:r w:rsidR="008E2E89">
        <w:rPr>
          <w:rFonts w:asciiTheme="majorHAnsi" w:hAnsiTheme="majorHAnsi"/>
          <w:sz w:val="22"/>
          <w:szCs w:val="22"/>
          <w:lang w:val="en-US"/>
        </w:rPr>
        <w:t xml:space="preserve"> (</w:t>
      </w:r>
      <w:proofErr w:type="spellStart"/>
      <w:r w:rsidR="008E2E89">
        <w:rPr>
          <w:rFonts w:asciiTheme="majorHAnsi" w:hAnsiTheme="majorHAnsi"/>
          <w:sz w:val="22"/>
          <w:szCs w:val="22"/>
          <w:lang w:val="en-US"/>
        </w:rPr>
        <w:t>i</w:t>
      </w:r>
      <w:proofErr w:type="spellEnd"/>
      <w:r w:rsidR="008E2E89">
        <w:rPr>
          <w:rFonts w:asciiTheme="majorHAnsi" w:hAnsiTheme="majorHAnsi"/>
          <w:sz w:val="22"/>
          <w:szCs w:val="22"/>
          <w:lang w:val="en-US"/>
        </w:rPr>
        <w:t>)</w:t>
      </w:r>
      <w:r>
        <w:rPr>
          <w:rFonts w:asciiTheme="majorHAnsi" w:hAnsiTheme="majorHAnsi"/>
          <w:sz w:val="22"/>
          <w:szCs w:val="22"/>
          <w:lang w:val="en-US"/>
        </w:rPr>
        <w:t xml:space="preserve"> one, the </w:t>
      </w:r>
      <w:r w:rsidRPr="00187AF6">
        <w:rPr>
          <w:rFonts w:asciiTheme="majorHAnsi" w:hAnsiTheme="majorHAnsi"/>
          <w:b/>
          <w:sz w:val="22"/>
          <w:szCs w:val="22"/>
          <w:lang w:val="en-US"/>
        </w:rPr>
        <w:t xml:space="preserve">common identification </w:t>
      </w:r>
      <w:r w:rsidR="008E2E89" w:rsidRPr="00187AF6">
        <w:rPr>
          <w:rFonts w:asciiTheme="majorHAnsi" w:hAnsiTheme="majorHAnsi"/>
          <w:b/>
          <w:sz w:val="22"/>
          <w:szCs w:val="22"/>
          <w:lang w:val="en-US"/>
        </w:rPr>
        <w:t>data</w:t>
      </w:r>
      <w:r w:rsidR="00D50E13">
        <w:rPr>
          <w:rFonts w:asciiTheme="majorHAnsi" w:hAnsiTheme="majorHAnsi"/>
          <w:b/>
          <w:sz w:val="22"/>
          <w:szCs w:val="22"/>
          <w:lang w:val="en-US"/>
        </w:rPr>
        <w:t xml:space="preserve"> and global characteristics of funds</w:t>
      </w:r>
      <w:r>
        <w:rPr>
          <w:rFonts w:asciiTheme="majorHAnsi" w:hAnsiTheme="majorHAnsi"/>
          <w:sz w:val="22"/>
          <w:szCs w:val="22"/>
          <w:lang w:val="en-US"/>
        </w:rPr>
        <w:t xml:space="preserve">, concerning information on </w:t>
      </w:r>
      <w:r w:rsidR="000B4225">
        <w:rPr>
          <w:rFonts w:asciiTheme="majorHAnsi" w:hAnsiTheme="majorHAnsi"/>
          <w:sz w:val="22"/>
          <w:szCs w:val="22"/>
          <w:lang w:val="en-US"/>
        </w:rPr>
        <w:t>each</w:t>
      </w:r>
      <w:r>
        <w:rPr>
          <w:rFonts w:asciiTheme="majorHAnsi" w:hAnsiTheme="majorHAnsi"/>
          <w:sz w:val="22"/>
          <w:szCs w:val="22"/>
          <w:lang w:val="en-US"/>
        </w:rPr>
        <w:t xml:space="preserve"> fund and its actors (asset manager and depositary…), which should be declared and updated once </w:t>
      </w:r>
      <w:r w:rsidR="008E2E89">
        <w:rPr>
          <w:rFonts w:asciiTheme="majorHAnsi" w:hAnsiTheme="majorHAnsi"/>
          <w:sz w:val="22"/>
          <w:szCs w:val="22"/>
          <w:lang w:val="en-US"/>
        </w:rPr>
        <w:t xml:space="preserve">and apply </w:t>
      </w:r>
      <w:r>
        <w:rPr>
          <w:rFonts w:asciiTheme="majorHAnsi" w:hAnsiTheme="majorHAnsi"/>
          <w:sz w:val="22"/>
          <w:szCs w:val="22"/>
          <w:lang w:val="en-US"/>
        </w:rPr>
        <w:t>for all the different reporting requirements on a shared basis and</w:t>
      </w:r>
      <w:r w:rsidR="008E2E89">
        <w:rPr>
          <w:rFonts w:asciiTheme="majorHAnsi" w:hAnsiTheme="majorHAnsi"/>
          <w:sz w:val="22"/>
          <w:szCs w:val="22"/>
          <w:lang w:val="en-US"/>
        </w:rPr>
        <w:t xml:space="preserve"> (ii)</w:t>
      </w:r>
      <w:r>
        <w:rPr>
          <w:rFonts w:asciiTheme="majorHAnsi" w:hAnsiTheme="majorHAnsi"/>
          <w:sz w:val="22"/>
          <w:szCs w:val="22"/>
          <w:lang w:val="en-US"/>
        </w:rPr>
        <w:t xml:space="preserve"> a second part covering </w:t>
      </w:r>
      <w:r w:rsidRPr="00311C49">
        <w:rPr>
          <w:rFonts w:asciiTheme="majorHAnsi" w:hAnsiTheme="majorHAnsi"/>
          <w:b/>
          <w:sz w:val="22"/>
          <w:szCs w:val="22"/>
          <w:lang w:val="en-US"/>
        </w:rPr>
        <w:t>data specific</w:t>
      </w:r>
      <w:r>
        <w:rPr>
          <w:rFonts w:asciiTheme="majorHAnsi" w:hAnsiTheme="majorHAnsi"/>
          <w:sz w:val="22"/>
          <w:szCs w:val="22"/>
          <w:lang w:val="en-US"/>
        </w:rPr>
        <w:t xml:space="preserve"> to each regulation. In this second part, it should be encouraged to avoid duplicative and </w:t>
      </w:r>
      <w:r w:rsidR="008E2E89">
        <w:rPr>
          <w:rFonts w:asciiTheme="majorHAnsi" w:hAnsiTheme="majorHAnsi"/>
          <w:sz w:val="22"/>
          <w:szCs w:val="22"/>
          <w:lang w:val="en-US"/>
        </w:rPr>
        <w:t>marginally</w:t>
      </w:r>
      <w:r>
        <w:rPr>
          <w:rFonts w:asciiTheme="majorHAnsi" w:hAnsiTheme="majorHAnsi"/>
          <w:sz w:val="22"/>
          <w:szCs w:val="22"/>
          <w:lang w:val="en-US"/>
        </w:rPr>
        <w:t xml:space="preserve"> </w:t>
      </w:r>
      <w:r w:rsidR="008E2E89">
        <w:rPr>
          <w:rFonts w:asciiTheme="majorHAnsi" w:hAnsiTheme="majorHAnsi"/>
          <w:sz w:val="22"/>
          <w:szCs w:val="22"/>
          <w:lang w:val="en-US"/>
        </w:rPr>
        <w:t>different</w:t>
      </w:r>
      <w:r>
        <w:rPr>
          <w:rFonts w:asciiTheme="majorHAnsi" w:hAnsiTheme="majorHAnsi"/>
          <w:sz w:val="22"/>
          <w:szCs w:val="22"/>
          <w:lang w:val="en-US"/>
        </w:rPr>
        <w:t xml:space="preserve"> requirements.</w:t>
      </w:r>
    </w:p>
    <w:p w:rsidR="00CD5ADF" w:rsidRDefault="00CD5ADF" w:rsidP="00CD5ADF">
      <w:pPr>
        <w:pStyle w:val="Paragraphedeliste"/>
        <w:numPr>
          <w:ilvl w:val="0"/>
          <w:numId w:val="13"/>
        </w:numPr>
        <w:spacing w:line="240" w:lineRule="auto"/>
        <w:jc w:val="both"/>
        <w:rPr>
          <w:rFonts w:asciiTheme="majorHAnsi" w:hAnsiTheme="majorHAnsi"/>
          <w:sz w:val="22"/>
          <w:szCs w:val="22"/>
          <w:lang w:val="en-US"/>
        </w:rPr>
      </w:pPr>
      <w:r>
        <w:rPr>
          <w:rFonts w:asciiTheme="majorHAnsi" w:hAnsiTheme="majorHAnsi"/>
          <w:sz w:val="22"/>
          <w:szCs w:val="22"/>
          <w:lang w:val="en-US"/>
        </w:rPr>
        <w:t>Fourth</w:t>
      </w:r>
      <w:r w:rsidRPr="00330922">
        <w:rPr>
          <w:rFonts w:asciiTheme="majorHAnsi" w:hAnsiTheme="majorHAnsi"/>
          <w:sz w:val="22"/>
          <w:szCs w:val="22"/>
          <w:lang w:val="en-US"/>
        </w:rPr>
        <w:t xml:space="preserve">, </w:t>
      </w:r>
      <w:r w:rsidRPr="00C0062A">
        <w:rPr>
          <w:rFonts w:asciiTheme="majorHAnsi" w:hAnsiTheme="majorHAnsi"/>
          <w:b/>
          <w:sz w:val="22"/>
          <w:szCs w:val="22"/>
          <w:lang w:val="en-US"/>
        </w:rPr>
        <w:t>consistency</w:t>
      </w:r>
      <w:r w:rsidR="008E2E89">
        <w:rPr>
          <w:rFonts w:asciiTheme="majorHAnsi" w:hAnsiTheme="majorHAnsi"/>
          <w:sz w:val="22"/>
          <w:szCs w:val="22"/>
          <w:lang w:val="en-US"/>
        </w:rPr>
        <w:t xml:space="preserve">: </w:t>
      </w:r>
      <w:r>
        <w:rPr>
          <w:rFonts w:asciiTheme="majorHAnsi" w:hAnsiTheme="majorHAnsi"/>
          <w:sz w:val="22"/>
          <w:szCs w:val="22"/>
          <w:lang w:val="en-US"/>
        </w:rPr>
        <w:t xml:space="preserve">the way to populate a field with the same </w:t>
      </w:r>
      <w:r w:rsidR="000B4225">
        <w:rPr>
          <w:rFonts w:asciiTheme="majorHAnsi" w:hAnsiTheme="majorHAnsi"/>
          <w:sz w:val="22"/>
          <w:szCs w:val="22"/>
          <w:lang w:val="en-US"/>
        </w:rPr>
        <w:t xml:space="preserve">title </w:t>
      </w:r>
      <w:r>
        <w:rPr>
          <w:rFonts w:asciiTheme="majorHAnsi" w:hAnsiTheme="majorHAnsi"/>
          <w:sz w:val="22"/>
          <w:szCs w:val="22"/>
          <w:lang w:val="en-US"/>
        </w:rPr>
        <w:t>should be totally identical for all regulations. It implies</w:t>
      </w:r>
      <w:r w:rsidR="00160E01">
        <w:rPr>
          <w:rFonts w:asciiTheme="majorHAnsi" w:hAnsiTheme="majorHAnsi"/>
          <w:sz w:val="22"/>
          <w:szCs w:val="22"/>
          <w:lang w:val="en-US"/>
        </w:rPr>
        <w:t>,</w:t>
      </w:r>
      <w:r>
        <w:rPr>
          <w:rFonts w:asciiTheme="majorHAnsi" w:hAnsiTheme="majorHAnsi"/>
          <w:sz w:val="22"/>
          <w:szCs w:val="22"/>
          <w:lang w:val="en-US"/>
        </w:rPr>
        <w:t xml:space="preserve"> on the one hand</w:t>
      </w:r>
      <w:r w:rsidR="00160E01">
        <w:rPr>
          <w:rFonts w:asciiTheme="majorHAnsi" w:hAnsiTheme="majorHAnsi"/>
          <w:sz w:val="22"/>
          <w:szCs w:val="22"/>
          <w:lang w:val="en-US"/>
        </w:rPr>
        <w:t>,</w:t>
      </w:r>
      <w:r>
        <w:rPr>
          <w:rFonts w:asciiTheme="majorHAnsi" w:hAnsiTheme="majorHAnsi"/>
          <w:sz w:val="22"/>
          <w:szCs w:val="22"/>
          <w:lang w:val="en-US"/>
        </w:rPr>
        <w:t xml:space="preserve"> that the same appellation applies for the same data and</w:t>
      </w:r>
      <w:r w:rsidR="00160E01">
        <w:rPr>
          <w:rFonts w:asciiTheme="majorHAnsi" w:hAnsiTheme="majorHAnsi"/>
          <w:sz w:val="22"/>
          <w:szCs w:val="22"/>
          <w:lang w:val="en-US"/>
        </w:rPr>
        <w:t>,</w:t>
      </w:r>
      <w:r>
        <w:rPr>
          <w:rFonts w:asciiTheme="majorHAnsi" w:hAnsiTheme="majorHAnsi"/>
          <w:sz w:val="22"/>
          <w:szCs w:val="22"/>
          <w:lang w:val="en-US"/>
        </w:rPr>
        <w:t xml:space="preserve"> on the other hand</w:t>
      </w:r>
      <w:r w:rsidR="00160E01">
        <w:rPr>
          <w:rFonts w:asciiTheme="majorHAnsi" w:hAnsiTheme="majorHAnsi"/>
          <w:sz w:val="22"/>
          <w:szCs w:val="22"/>
          <w:lang w:val="en-US"/>
        </w:rPr>
        <w:t>,</w:t>
      </w:r>
      <w:r>
        <w:rPr>
          <w:rFonts w:asciiTheme="majorHAnsi" w:hAnsiTheme="majorHAnsi"/>
          <w:sz w:val="22"/>
          <w:szCs w:val="22"/>
          <w:lang w:val="en-US"/>
        </w:rPr>
        <w:t xml:space="preserve"> that a choice be made to ask for the same data for similar </w:t>
      </w:r>
      <w:r w:rsidR="00160E01">
        <w:rPr>
          <w:rFonts w:asciiTheme="majorHAnsi" w:hAnsiTheme="majorHAnsi"/>
          <w:sz w:val="22"/>
          <w:szCs w:val="22"/>
          <w:lang w:val="en-US"/>
        </w:rPr>
        <w:t xml:space="preserve">fields which </w:t>
      </w:r>
      <w:r>
        <w:rPr>
          <w:rFonts w:asciiTheme="majorHAnsi" w:hAnsiTheme="majorHAnsi"/>
          <w:sz w:val="22"/>
          <w:szCs w:val="22"/>
          <w:lang w:val="en-US"/>
        </w:rPr>
        <w:t xml:space="preserve">have the same goal. For example, we think that funds should be identified uniquely by their LEI and that any other reference to national registers or data providers’ codes be </w:t>
      </w:r>
      <w:r w:rsidR="000B4225">
        <w:rPr>
          <w:rFonts w:asciiTheme="majorHAnsi" w:hAnsiTheme="majorHAnsi"/>
          <w:sz w:val="22"/>
          <w:szCs w:val="22"/>
          <w:lang w:val="en-US"/>
        </w:rPr>
        <w:t xml:space="preserve">purely optional </w:t>
      </w:r>
      <w:r>
        <w:rPr>
          <w:rFonts w:asciiTheme="majorHAnsi" w:hAnsiTheme="majorHAnsi"/>
          <w:sz w:val="22"/>
          <w:szCs w:val="22"/>
          <w:lang w:val="en-US"/>
        </w:rPr>
        <w:t>: one unique code to grant an immediate and unambiguous identification.</w:t>
      </w:r>
    </w:p>
    <w:p w:rsidR="00CD5ADF" w:rsidRDefault="00CD5ADF" w:rsidP="00CD5ADF">
      <w:pPr>
        <w:pStyle w:val="Paragraphedeliste"/>
        <w:numPr>
          <w:ilvl w:val="0"/>
          <w:numId w:val="13"/>
        </w:numPr>
        <w:spacing w:line="240" w:lineRule="auto"/>
        <w:jc w:val="both"/>
        <w:rPr>
          <w:rFonts w:asciiTheme="majorHAnsi" w:hAnsiTheme="majorHAnsi"/>
          <w:sz w:val="22"/>
          <w:szCs w:val="22"/>
          <w:lang w:val="en-US"/>
        </w:rPr>
      </w:pPr>
      <w:r>
        <w:rPr>
          <w:rFonts w:asciiTheme="majorHAnsi" w:hAnsiTheme="majorHAnsi"/>
          <w:sz w:val="22"/>
          <w:szCs w:val="22"/>
          <w:lang w:val="en-US"/>
        </w:rPr>
        <w:t xml:space="preserve">Fifth, </w:t>
      </w:r>
      <w:proofErr w:type="spellStart"/>
      <w:r w:rsidRPr="00311C49">
        <w:rPr>
          <w:rFonts w:asciiTheme="majorHAnsi" w:hAnsiTheme="majorHAnsi"/>
          <w:b/>
          <w:sz w:val="22"/>
          <w:szCs w:val="22"/>
          <w:lang w:val="en-US"/>
        </w:rPr>
        <w:t>harmonisation</w:t>
      </w:r>
      <w:proofErr w:type="spellEnd"/>
      <w:r>
        <w:rPr>
          <w:rFonts w:asciiTheme="majorHAnsi" w:hAnsiTheme="majorHAnsi"/>
          <w:b/>
          <w:sz w:val="22"/>
          <w:szCs w:val="22"/>
          <w:lang w:val="en-US"/>
        </w:rPr>
        <w:t xml:space="preserve"> </w:t>
      </w:r>
      <w:r>
        <w:rPr>
          <w:rFonts w:asciiTheme="majorHAnsi" w:hAnsiTheme="majorHAnsi"/>
          <w:sz w:val="22"/>
          <w:szCs w:val="22"/>
          <w:lang w:val="en-US"/>
        </w:rPr>
        <w:t>should be reinforced among Member States to avoid diverging interpretations that result in non</w:t>
      </w:r>
      <w:r w:rsidR="00160E01">
        <w:rPr>
          <w:rFonts w:asciiTheme="majorHAnsi" w:hAnsiTheme="majorHAnsi"/>
          <w:sz w:val="22"/>
          <w:szCs w:val="22"/>
          <w:lang w:val="en-US"/>
        </w:rPr>
        <w:t>-</w:t>
      </w:r>
      <w:r>
        <w:rPr>
          <w:rFonts w:asciiTheme="majorHAnsi" w:hAnsiTheme="majorHAnsi"/>
          <w:sz w:val="22"/>
          <w:szCs w:val="22"/>
          <w:lang w:val="en-US"/>
        </w:rPr>
        <w:t xml:space="preserve">homogeneous reporting of the same field depending whether the fund is domiciled in Austria or in Luxemburg for example. We urge ESMA to focus on the </w:t>
      </w:r>
      <w:proofErr w:type="spellStart"/>
      <w:r>
        <w:rPr>
          <w:rFonts w:asciiTheme="majorHAnsi" w:hAnsiTheme="majorHAnsi"/>
          <w:sz w:val="22"/>
          <w:szCs w:val="22"/>
          <w:lang w:val="en-US"/>
        </w:rPr>
        <w:t>harmonisation</w:t>
      </w:r>
      <w:proofErr w:type="spellEnd"/>
      <w:r>
        <w:rPr>
          <w:rFonts w:asciiTheme="majorHAnsi" w:hAnsiTheme="majorHAnsi"/>
          <w:sz w:val="22"/>
          <w:szCs w:val="22"/>
          <w:lang w:val="en-US"/>
        </w:rPr>
        <w:t xml:space="preserve"> of reporting throughout the EU.</w:t>
      </w:r>
    </w:p>
    <w:p w:rsidR="004C0ED7" w:rsidRPr="00CD5ADF" w:rsidRDefault="004C0ED7" w:rsidP="004C0ED7">
      <w:pPr>
        <w:spacing w:line="240" w:lineRule="auto"/>
        <w:jc w:val="both"/>
        <w:rPr>
          <w:rFonts w:ascii="Calibri" w:eastAsia="PMingLiU" w:hAnsi="Calibri" w:cs="Arial"/>
          <w:bCs/>
          <w:sz w:val="22"/>
          <w:szCs w:val="22"/>
          <w:lang w:val="en-US" w:eastAsia="zh-TW"/>
        </w:rPr>
      </w:pPr>
    </w:p>
    <w:p w:rsidR="00310226" w:rsidRPr="00310226" w:rsidRDefault="00310226" w:rsidP="004C0ED7">
      <w:pPr>
        <w:spacing w:line="240" w:lineRule="auto"/>
        <w:jc w:val="both"/>
        <w:rPr>
          <w:rFonts w:ascii="Calibri" w:eastAsia="PMingLiU" w:hAnsi="Calibri" w:cs="Arial"/>
          <w:b/>
          <w:bCs/>
          <w:sz w:val="24"/>
          <w:szCs w:val="24"/>
          <w:lang w:val="en-US" w:eastAsia="zh-TW"/>
        </w:rPr>
      </w:pPr>
      <w:r w:rsidRPr="00310226">
        <w:rPr>
          <w:rFonts w:ascii="Calibri" w:eastAsia="PMingLiU" w:hAnsi="Calibri" w:cs="Arial"/>
          <w:b/>
          <w:bCs/>
          <w:sz w:val="24"/>
          <w:szCs w:val="24"/>
          <w:lang w:val="en-US" w:eastAsia="zh-TW"/>
        </w:rPr>
        <w:t>Q5 Do you agree that if an MMF is composed of different share classes that differ in</w:t>
      </w:r>
    </w:p>
    <w:p w:rsidR="00310226" w:rsidRPr="00310226" w:rsidRDefault="00310226" w:rsidP="004C0ED7">
      <w:pPr>
        <w:spacing w:line="240" w:lineRule="auto"/>
        <w:jc w:val="both"/>
        <w:rPr>
          <w:rFonts w:ascii="Calibri" w:eastAsia="PMingLiU" w:hAnsi="Calibri" w:cs="Arial"/>
          <w:b/>
          <w:bCs/>
          <w:sz w:val="24"/>
          <w:szCs w:val="24"/>
          <w:lang w:val="en-US" w:eastAsia="zh-TW"/>
        </w:rPr>
      </w:pPr>
      <w:r w:rsidRPr="00310226">
        <w:rPr>
          <w:rFonts w:ascii="Calibri" w:eastAsia="PMingLiU" w:hAnsi="Calibri" w:cs="Arial"/>
          <w:b/>
          <w:bCs/>
          <w:sz w:val="24"/>
          <w:szCs w:val="24"/>
          <w:lang w:val="en-US" w:eastAsia="zh-TW"/>
        </w:rPr>
        <w:t>relation to their base currency the base currency that should be included in field</w:t>
      </w:r>
    </w:p>
    <w:p w:rsidR="00310226" w:rsidRPr="00310226" w:rsidRDefault="00310226" w:rsidP="004C0ED7">
      <w:pPr>
        <w:spacing w:line="240" w:lineRule="auto"/>
        <w:jc w:val="both"/>
        <w:rPr>
          <w:rFonts w:ascii="Calibri" w:eastAsia="PMingLiU" w:hAnsi="Calibri" w:cs="Arial"/>
          <w:b/>
          <w:bCs/>
          <w:sz w:val="24"/>
          <w:szCs w:val="24"/>
          <w:lang w:val="en-US" w:eastAsia="zh-TW"/>
        </w:rPr>
      </w:pPr>
      <w:r w:rsidRPr="00310226">
        <w:rPr>
          <w:rFonts w:ascii="Calibri" w:eastAsia="PMingLiU" w:hAnsi="Calibri" w:cs="Arial"/>
          <w:b/>
          <w:bCs/>
          <w:sz w:val="24"/>
          <w:szCs w:val="24"/>
          <w:lang w:val="en-US" w:eastAsia="zh-TW"/>
        </w:rPr>
        <w:t>A.1.12 should be the base currency as specified in the accounting documents of</w:t>
      </w:r>
    </w:p>
    <w:p w:rsidR="00310226" w:rsidRPr="00310226" w:rsidRDefault="00310226" w:rsidP="004C0ED7">
      <w:pPr>
        <w:spacing w:line="240" w:lineRule="auto"/>
        <w:jc w:val="both"/>
        <w:rPr>
          <w:rFonts w:ascii="Calibri" w:eastAsia="PMingLiU" w:hAnsi="Calibri" w:cs="Arial"/>
          <w:b/>
          <w:bCs/>
          <w:sz w:val="24"/>
          <w:szCs w:val="24"/>
          <w:lang w:val="en-US" w:eastAsia="zh-TW"/>
        </w:rPr>
      </w:pPr>
      <w:r w:rsidRPr="00310226">
        <w:rPr>
          <w:rFonts w:ascii="Calibri" w:eastAsia="PMingLiU" w:hAnsi="Calibri" w:cs="Arial"/>
          <w:b/>
          <w:bCs/>
          <w:sz w:val="24"/>
          <w:szCs w:val="24"/>
          <w:lang w:val="en-US" w:eastAsia="zh-TW"/>
        </w:rPr>
        <w:t>the MMF or are you of the view that in that case the base currency of the largest</w:t>
      </w:r>
    </w:p>
    <w:p w:rsidR="00310226" w:rsidRPr="00310226" w:rsidRDefault="00310226" w:rsidP="004C0ED7">
      <w:pPr>
        <w:spacing w:line="240" w:lineRule="auto"/>
        <w:jc w:val="both"/>
        <w:rPr>
          <w:rFonts w:ascii="Calibri" w:eastAsia="PMingLiU" w:hAnsi="Calibri" w:cs="Arial"/>
          <w:b/>
          <w:bCs/>
          <w:sz w:val="24"/>
          <w:szCs w:val="24"/>
          <w:lang w:val="en-US" w:eastAsia="zh-TW"/>
        </w:rPr>
      </w:pPr>
      <w:r w:rsidRPr="00310226">
        <w:rPr>
          <w:rFonts w:ascii="Calibri" w:eastAsia="PMingLiU" w:hAnsi="Calibri" w:cs="Arial"/>
          <w:b/>
          <w:bCs/>
          <w:sz w:val="24"/>
          <w:szCs w:val="24"/>
          <w:lang w:val="en-US" w:eastAsia="zh-TW"/>
        </w:rPr>
        <w:t>share class should be included in field A.1.12? Would you see merit in aligning</w:t>
      </w:r>
    </w:p>
    <w:p w:rsidR="00310226" w:rsidRPr="00310226" w:rsidRDefault="00310226" w:rsidP="004C0ED7">
      <w:pPr>
        <w:spacing w:line="240" w:lineRule="auto"/>
        <w:jc w:val="both"/>
        <w:rPr>
          <w:rFonts w:ascii="Calibri" w:eastAsia="PMingLiU" w:hAnsi="Calibri" w:cs="Arial"/>
          <w:b/>
          <w:bCs/>
          <w:sz w:val="24"/>
          <w:szCs w:val="24"/>
          <w:lang w:val="en-US" w:eastAsia="zh-TW"/>
        </w:rPr>
      </w:pPr>
      <w:r w:rsidRPr="00310226">
        <w:rPr>
          <w:rFonts w:ascii="Calibri" w:eastAsia="PMingLiU" w:hAnsi="Calibri" w:cs="Arial"/>
          <w:b/>
          <w:bCs/>
          <w:sz w:val="24"/>
          <w:szCs w:val="24"/>
          <w:lang w:val="en-US" w:eastAsia="zh-TW"/>
        </w:rPr>
        <w:t>the inception date mentioned above in section X with the first reporting date, as</w:t>
      </w:r>
    </w:p>
    <w:p w:rsidR="00310226" w:rsidRDefault="00310226" w:rsidP="004C0ED7">
      <w:pPr>
        <w:spacing w:line="240" w:lineRule="auto"/>
        <w:jc w:val="both"/>
        <w:rPr>
          <w:rFonts w:ascii="Calibri" w:eastAsia="PMingLiU" w:hAnsi="Calibri" w:cs="Arial"/>
          <w:b/>
          <w:bCs/>
          <w:sz w:val="24"/>
          <w:szCs w:val="24"/>
          <w:lang w:val="en-US" w:eastAsia="zh-TW"/>
        </w:rPr>
      </w:pPr>
      <w:r w:rsidRPr="00310226">
        <w:rPr>
          <w:rFonts w:ascii="Calibri" w:eastAsia="PMingLiU" w:hAnsi="Calibri" w:cs="Arial"/>
          <w:b/>
          <w:bCs/>
          <w:sz w:val="24"/>
          <w:szCs w:val="24"/>
          <w:lang w:val="en-US" w:eastAsia="zh-TW"/>
        </w:rPr>
        <w:t>defined in section II?</w:t>
      </w:r>
    </w:p>
    <w:p w:rsidR="004C0ED7" w:rsidRDefault="00160E01" w:rsidP="004C0ED7">
      <w:pPr>
        <w:spacing w:line="240" w:lineRule="auto"/>
        <w:jc w:val="both"/>
        <w:rPr>
          <w:rFonts w:ascii="Calibri" w:eastAsia="PMingLiU" w:hAnsi="Calibri" w:cs="Arial"/>
          <w:bCs/>
          <w:sz w:val="22"/>
          <w:szCs w:val="22"/>
          <w:lang w:val="en-US" w:eastAsia="zh-TW"/>
        </w:rPr>
      </w:pPr>
      <w:r>
        <w:rPr>
          <w:rFonts w:ascii="Calibri" w:eastAsia="PMingLiU" w:hAnsi="Calibri" w:cs="Arial"/>
          <w:bCs/>
          <w:sz w:val="22"/>
          <w:szCs w:val="22"/>
          <w:lang w:val="en-US" w:eastAsia="zh-TW"/>
        </w:rPr>
        <w:t>In our view, the base currency is the currency</w:t>
      </w:r>
      <w:r w:rsidR="000B4225">
        <w:rPr>
          <w:rFonts w:ascii="Calibri" w:eastAsia="PMingLiU" w:hAnsi="Calibri" w:cs="Arial"/>
          <w:bCs/>
          <w:sz w:val="22"/>
          <w:szCs w:val="22"/>
          <w:lang w:val="en-US" w:eastAsia="zh-TW"/>
        </w:rPr>
        <w:t xml:space="preserve"> </w:t>
      </w:r>
      <w:r>
        <w:rPr>
          <w:rFonts w:ascii="Calibri" w:eastAsia="PMingLiU" w:hAnsi="Calibri" w:cs="Arial"/>
          <w:bCs/>
          <w:sz w:val="22"/>
          <w:szCs w:val="22"/>
          <w:lang w:val="en-US" w:eastAsia="zh-TW"/>
        </w:rPr>
        <w:t xml:space="preserve"> specified in the accounting documents : it results from a decision to hold it overtime as the reference for communication and reporting.</w:t>
      </w:r>
    </w:p>
    <w:p w:rsidR="00160E01" w:rsidRDefault="00160E01" w:rsidP="004C0ED7">
      <w:pPr>
        <w:spacing w:line="240" w:lineRule="auto"/>
        <w:jc w:val="both"/>
        <w:rPr>
          <w:rFonts w:ascii="Calibri" w:eastAsia="PMingLiU" w:hAnsi="Calibri" w:cs="Arial"/>
          <w:bCs/>
          <w:sz w:val="22"/>
          <w:szCs w:val="22"/>
          <w:lang w:val="en-US" w:eastAsia="zh-TW"/>
        </w:rPr>
      </w:pPr>
      <w:r>
        <w:rPr>
          <w:rFonts w:ascii="Calibri" w:eastAsia="PMingLiU" w:hAnsi="Calibri" w:cs="Arial"/>
          <w:bCs/>
          <w:sz w:val="22"/>
          <w:szCs w:val="22"/>
          <w:lang w:val="en-US" w:eastAsia="zh-TW"/>
        </w:rPr>
        <w:t>The authorization date is the date where the reporting is due a</w:t>
      </w:r>
      <w:r w:rsidR="00F321DF">
        <w:rPr>
          <w:rFonts w:ascii="Calibri" w:eastAsia="PMingLiU" w:hAnsi="Calibri" w:cs="Arial"/>
          <w:bCs/>
          <w:sz w:val="22"/>
          <w:szCs w:val="22"/>
          <w:lang w:val="en-US" w:eastAsia="zh-TW"/>
        </w:rPr>
        <w:t>n</w:t>
      </w:r>
      <w:r>
        <w:rPr>
          <w:rFonts w:ascii="Calibri" w:eastAsia="PMingLiU" w:hAnsi="Calibri" w:cs="Arial"/>
          <w:bCs/>
          <w:sz w:val="22"/>
          <w:szCs w:val="22"/>
          <w:lang w:val="en-US" w:eastAsia="zh-TW"/>
        </w:rPr>
        <w:t>d it should be the initial date in all reporting documents.</w:t>
      </w:r>
    </w:p>
    <w:p w:rsidR="00160E01" w:rsidRPr="00160E01" w:rsidRDefault="00160E01" w:rsidP="004C0ED7">
      <w:pPr>
        <w:spacing w:line="240" w:lineRule="auto"/>
        <w:jc w:val="both"/>
        <w:rPr>
          <w:rFonts w:ascii="Calibri" w:eastAsia="PMingLiU" w:hAnsi="Calibri" w:cs="Arial"/>
          <w:bCs/>
          <w:sz w:val="22"/>
          <w:szCs w:val="22"/>
          <w:lang w:val="en-US" w:eastAsia="zh-TW"/>
        </w:rPr>
      </w:pPr>
    </w:p>
    <w:p w:rsidR="00310226" w:rsidRPr="00310226" w:rsidRDefault="00310226" w:rsidP="004C0ED7">
      <w:pPr>
        <w:spacing w:line="240" w:lineRule="auto"/>
        <w:jc w:val="both"/>
        <w:rPr>
          <w:rFonts w:ascii="Calibri" w:eastAsia="PMingLiU" w:hAnsi="Calibri" w:cs="Arial"/>
          <w:b/>
          <w:bCs/>
          <w:sz w:val="24"/>
          <w:szCs w:val="24"/>
          <w:lang w:val="en-US" w:eastAsia="zh-TW"/>
        </w:rPr>
      </w:pPr>
      <w:r w:rsidRPr="00310226">
        <w:rPr>
          <w:rFonts w:ascii="Calibri" w:eastAsia="PMingLiU" w:hAnsi="Calibri" w:cs="Arial"/>
          <w:b/>
          <w:bCs/>
          <w:sz w:val="24"/>
          <w:szCs w:val="24"/>
          <w:lang w:val="en-US" w:eastAsia="zh-TW"/>
        </w:rPr>
        <w:t>Q6 Do you identify any other issue that would need to be specified in relation to the</w:t>
      </w:r>
    </w:p>
    <w:p w:rsidR="00310226" w:rsidRDefault="00310226" w:rsidP="004C0ED7">
      <w:pPr>
        <w:spacing w:line="240" w:lineRule="auto"/>
        <w:jc w:val="both"/>
        <w:rPr>
          <w:rFonts w:ascii="Calibri" w:eastAsia="PMingLiU" w:hAnsi="Calibri" w:cs="Arial"/>
          <w:b/>
          <w:bCs/>
          <w:sz w:val="24"/>
          <w:szCs w:val="24"/>
          <w:lang w:val="en-US" w:eastAsia="zh-TW"/>
        </w:rPr>
      </w:pPr>
      <w:r w:rsidRPr="00310226">
        <w:rPr>
          <w:rFonts w:ascii="Calibri" w:eastAsia="PMingLiU" w:hAnsi="Calibri" w:cs="Arial"/>
          <w:b/>
          <w:bCs/>
          <w:sz w:val="24"/>
          <w:szCs w:val="24"/>
          <w:lang w:val="en-US" w:eastAsia="zh-TW"/>
        </w:rPr>
        <w:t>above section on the block 1 of the reporting template?</w:t>
      </w:r>
    </w:p>
    <w:p w:rsidR="004C0ED7" w:rsidRDefault="00160E01" w:rsidP="004C0ED7">
      <w:pPr>
        <w:spacing w:line="240" w:lineRule="auto"/>
        <w:jc w:val="both"/>
        <w:rPr>
          <w:rFonts w:ascii="Calibri" w:eastAsia="PMingLiU" w:hAnsi="Calibri" w:cs="Arial"/>
          <w:bCs/>
          <w:sz w:val="22"/>
          <w:szCs w:val="22"/>
          <w:lang w:val="en-US" w:eastAsia="zh-TW"/>
        </w:rPr>
      </w:pPr>
      <w:r>
        <w:rPr>
          <w:rFonts w:ascii="Calibri" w:eastAsia="PMingLiU" w:hAnsi="Calibri" w:cs="Arial"/>
          <w:bCs/>
          <w:sz w:val="22"/>
          <w:szCs w:val="22"/>
          <w:lang w:val="en-US" w:eastAsia="zh-TW"/>
        </w:rPr>
        <w:t>No.</w:t>
      </w:r>
    </w:p>
    <w:p w:rsidR="00160E01" w:rsidRPr="00160E01" w:rsidRDefault="00160E01" w:rsidP="004C0ED7">
      <w:pPr>
        <w:spacing w:line="240" w:lineRule="auto"/>
        <w:jc w:val="both"/>
        <w:rPr>
          <w:rFonts w:ascii="Calibri" w:eastAsia="PMingLiU" w:hAnsi="Calibri" w:cs="Arial"/>
          <w:bCs/>
          <w:sz w:val="22"/>
          <w:szCs w:val="22"/>
          <w:lang w:val="en-US" w:eastAsia="zh-TW"/>
        </w:rPr>
      </w:pPr>
    </w:p>
    <w:p w:rsidR="00310226" w:rsidRPr="00310226" w:rsidRDefault="00310226" w:rsidP="004C0ED7">
      <w:pPr>
        <w:spacing w:line="240" w:lineRule="auto"/>
        <w:jc w:val="both"/>
        <w:rPr>
          <w:rFonts w:ascii="Calibri" w:eastAsia="PMingLiU" w:hAnsi="Calibri" w:cs="Arial"/>
          <w:b/>
          <w:bCs/>
          <w:sz w:val="24"/>
          <w:szCs w:val="24"/>
          <w:lang w:val="en-US" w:eastAsia="zh-TW"/>
        </w:rPr>
      </w:pPr>
      <w:r w:rsidRPr="00310226">
        <w:rPr>
          <w:rFonts w:ascii="Calibri" w:eastAsia="PMingLiU" w:hAnsi="Calibri" w:cs="Arial"/>
          <w:b/>
          <w:bCs/>
          <w:sz w:val="24"/>
          <w:szCs w:val="24"/>
          <w:lang w:val="en-US" w:eastAsia="zh-TW"/>
        </w:rPr>
        <w:t>Q7 Are you of the view that the abovementioned specification leaves too much room</w:t>
      </w:r>
    </w:p>
    <w:p w:rsidR="00310226" w:rsidRPr="00310226" w:rsidRDefault="00310226" w:rsidP="004C0ED7">
      <w:pPr>
        <w:spacing w:line="240" w:lineRule="auto"/>
        <w:jc w:val="both"/>
        <w:rPr>
          <w:rFonts w:ascii="Calibri" w:eastAsia="PMingLiU" w:hAnsi="Calibri" w:cs="Arial"/>
          <w:b/>
          <w:bCs/>
          <w:sz w:val="24"/>
          <w:szCs w:val="24"/>
          <w:lang w:val="en-US" w:eastAsia="zh-TW"/>
        </w:rPr>
      </w:pPr>
      <w:r w:rsidRPr="00310226">
        <w:rPr>
          <w:rFonts w:ascii="Calibri" w:eastAsia="PMingLiU" w:hAnsi="Calibri" w:cs="Arial"/>
          <w:b/>
          <w:bCs/>
          <w:sz w:val="24"/>
          <w:szCs w:val="24"/>
          <w:lang w:val="en-US" w:eastAsia="zh-TW"/>
        </w:rPr>
        <w:t>for interpretation and would lead to data that is not comparable? Are you of the</w:t>
      </w:r>
    </w:p>
    <w:p w:rsidR="00310226" w:rsidRPr="00310226" w:rsidRDefault="00310226" w:rsidP="004C0ED7">
      <w:pPr>
        <w:spacing w:line="240" w:lineRule="auto"/>
        <w:jc w:val="both"/>
        <w:rPr>
          <w:rFonts w:ascii="Calibri" w:eastAsia="PMingLiU" w:hAnsi="Calibri" w:cs="Arial"/>
          <w:b/>
          <w:bCs/>
          <w:sz w:val="24"/>
          <w:szCs w:val="24"/>
          <w:lang w:val="en-US" w:eastAsia="zh-TW"/>
        </w:rPr>
      </w:pPr>
      <w:r w:rsidRPr="00310226">
        <w:rPr>
          <w:rFonts w:ascii="Calibri" w:eastAsia="PMingLiU" w:hAnsi="Calibri" w:cs="Arial"/>
          <w:b/>
          <w:bCs/>
          <w:sz w:val="24"/>
          <w:szCs w:val="24"/>
          <w:lang w:val="en-US" w:eastAsia="zh-TW"/>
        </w:rPr>
        <w:t>view that settlement periods should be taken into account and that, as a</w:t>
      </w:r>
    </w:p>
    <w:p w:rsidR="00310226" w:rsidRPr="00310226" w:rsidRDefault="00310226" w:rsidP="004C0ED7">
      <w:pPr>
        <w:spacing w:line="240" w:lineRule="auto"/>
        <w:jc w:val="both"/>
        <w:rPr>
          <w:rFonts w:ascii="Calibri" w:eastAsia="PMingLiU" w:hAnsi="Calibri" w:cs="Arial"/>
          <w:b/>
          <w:bCs/>
          <w:i/>
          <w:iCs/>
          <w:sz w:val="24"/>
          <w:szCs w:val="24"/>
          <w:lang w:val="en-US" w:eastAsia="zh-TW"/>
        </w:rPr>
      </w:pPr>
      <w:r w:rsidRPr="00310226">
        <w:rPr>
          <w:rFonts w:ascii="Calibri" w:eastAsia="PMingLiU" w:hAnsi="Calibri" w:cs="Arial"/>
          <w:b/>
          <w:bCs/>
          <w:sz w:val="24"/>
          <w:szCs w:val="24"/>
          <w:lang w:val="en-US" w:eastAsia="zh-TW"/>
        </w:rPr>
        <w:t>consequence, the last part of the abovementioned specification (“</w:t>
      </w:r>
      <w:r w:rsidRPr="00310226">
        <w:rPr>
          <w:rFonts w:ascii="Calibri" w:eastAsia="PMingLiU" w:hAnsi="Calibri" w:cs="Arial"/>
          <w:b/>
          <w:bCs/>
          <w:i/>
          <w:iCs/>
          <w:sz w:val="24"/>
          <w:szCs w:val="24"/>
          <w:lang w:val="en-US" w:eastAsia="zh-TW"/>
        </w:rPr>
        <w:t>if it has as a</w:t>
      </w:r>
    </w:p>
    <w:p w:rsidR="00310226" w:rsidRDefault="00310226" w:rsidP="004C0ED7">
      <w:pPr>
        <w:spacing w:line="240" w:lineRule="auto"/>
        <w:jc w:val="both"/>
        <w:rPr>
          <w:rFonts w:ascii="Calibri" w:eastAsia="PMingLiU" w:hAnsi="Calibri" w:cs="Arial"/>
          <w:b/>
          <w:bCs/>
          <w:sz w:val="24"/>
          <w:szCs w:val="24"/>
          <w:lang w:val="en-US" w:eastAsia="zh-TW"/>
        </w:rPr>
      </w:pPr>
      <w:r w:rsidRPr="00310226">
        <w:rPr>
          <w:rFonts w:ascii="Calibri" w:eastAsia="PMingLiU" w:hAnsi="Calibri" w:cs="Arial"/>
          <w:b/>
          <w:bCs/>
          <w:i/>
          <w:iCs/>
          <w:sz w:val="24"/>
          <w:szCs w:val="24"/>
          <w:lang w:val="en-US" w:eastAsia="zh-TW"/>
        </w:rPr>
        <w:t>non-negligible impact on the liquidity profile of the MMF</w:t>
      </w:r>
      <w:r w:rsidRPr="00310226">
        <w:rPr>
          <w:rFonts w:ascii="Calibri" w:eastAsia="PMingLiU" w:hAnsi="Calibri" w:cs="Arial"/>
          <w:b/>
          <w:bCs/>
          <w:sz w:val="24"/>
          <w:szCs w:val="24"/>
          <w:lang w:val="en-US" w:eastAsia="zh-TW"/>
        </w:rPr>
        <w:t>”) should be removed?</w:t>
      </w:r>
    </w:p>
    <w:p w:rsidR="004C0ED7" w:rsidRDefault="00EF4D93" w:rsidP="004C0ED7">
      <w:pPr>
        <w:spacing w:line="240" w:lineRule="auto"/>
        <w:jc w:val="both"/>
        <w:rPr>
          <w:rFonts w:ascii="Calibri" w:eastAsia="PMingLiU" w:hAnsi="Calibri" w:cs="Arial"/>
          <w:sz w:val="22"/>
          <w:szCs w:val="22"/>
          <w:lang w:val="en-US" w:eastAsia="zh-TW"/>
        </w:rPr>
      </w:pPr>
      <w:r>
        <w:rPr>
          <w:rFonts w:ascii="Calibri" w:eastAsia="PMingLiU" w:hAnsi="Calibri" w:cs="Arial"/>
          <w:sz w:val="22"/>
          <w:szCs w:val="22"/>
          <w:lang w:val="en-US" w:eastAsia="zh-TW"/>
        </w:rPr>
        <w:t xml:space="preserve">It is important to have a common understanding of what liquidity effectively means. In that respect the proposed wording leaves room for different interpretations at national level. We </w:t>
      </w:r>
      <w:r w:rsidR="00F7544B">
        <w:rPr>
          <w:rFonts w:ascii="Calibri" w:eastAsia="PMingLiU" w:hAnsi="Calibri" w:cs="Arial"/>
          <w:sz w:val="22"/>
          <w:szCs w:val="22"/>
          <w:lang w:val="en-US" w:eastAsia="zh-TW"/>
        </w:rPr>
        <w:t>are satisfied that the guidelines include a recommendation for a prudent approach. In practice, we have setup a methodology that is documented and that has been presented to the AMF and shared with the auditors of the funds. We believe it is good practice and we suggest that ESMA keeps an eye to avoid that too lenient or too restrictive interpretations develop within the EU.</w:t>
      </w:r>
    </w:p>
    <w:p w:rsidR="00F7544B" w:rsidRDefault="00F7544B" w:rsidP="004C0ED7">
      <w:pPr>
        <w:spacing w:line="240" w:lineRule="auto"/>
        <w:jc w:val="both"/>
        <w:rPr>
          <w:rFonts w:ascii="Calibri" w:eastAsia="PMingLiU" w:hAnsi="Calibri" w:cs="Arial"/>
          <w:sz w:val="22"/>
          <w:szCs w:val="22"/>
          <w:lang w:val="en-US" w:eastAsia="zh-TW"/>
        </w:rPr>
      </w:pPr>
      <w:r>
        <w:rPr>
          <w:rFonts w:ascii="Calibri" w:eastAsia="PMingLiU" w:hAnsi="Calibri" w:cs="Arial"/>
          <w:sz w:val="22"/>
          <w:szCs w:val="22"/>
          <w:lang w:val="en-US" w:eastAsia="zh-TW"/>
        </w:rPr>
        <w:t>Liquidity refers to cash available for payments. It is necessary in this view to evaluate the liquidation time of an asset as the delay from decision to sell to effective reception of cash. At the moment the day is the common standard to appreciate the availability of cash, not intraday.</w:t>
      </w:r>
    </w:p>
    <w:p w:rsidR="00EF4D93" w:rsidRPr="00160E01" w:rsidRDefault="00EF4D93" w:rsidP="004C0ED7">
      <w:pPr>
        <w:spacing w:line="240" w:lineRule="auto"/>
        <w:jc w:val="both"/>
        <w:rPr>
          <w:rFonts w:ascii="Calibri" w:eastAsia="PMingLiU" w:hAnsi="Calibri" w:cs="Arial"/>
          <w:sz w:val="22"/>
          <w:szCs w:val="22"/>
          <w:lang w:val="en-US" w:eastAsia="zh-TW"/>
        </w:rPr>
      </w:pPr>
    </w:p>
    <w:p w:rsidR="00310226" w:rsidRPr="00310226" w:rsidRDefault="00310226" w:rsidP="004C0ED7">
      <w:pPr>
        <w:spacing w:line="240" w:lineRule="auto"/>
        <w:jc w:val="both"/>
        <w:rPr>
          <w:rFonts w:ascii="Calibri" w:eastAsia="PMingLiU" w:hAnsi="Calibri" w:cs="Arial"/>
          <w:b/>
          <w:bCs/>
          <w:sz w:val="24"/>
          <w:szCs w:val="24"/>
          <w:lang w:val="en-US" w:eastAsia="zh-TW"/>
        </w:rPr>
      </w:pPr>
      <w:r w:rsidRPr="00310226">
        <w:rPr>
          <w:rFonts w:ascii="Calibri" w:eastAsia="PMingLiU" w:hAnsi="Calibri" w:cs="Arial"/>
          <w:b/>
          <w:bCs/>
          <w:sz w:val="24"/>
          <w:szCs w:val="24"/>
          <w:lang w:val="en-US" w:eastAsia="zh-TW"/>
        </w:rPr>
        <w:t>Q8 Do you have any views in relation to the abovementioned formula on how to</w:t>
      </w:r>
    </w:p>
    <w:p w:rsidR="00310226" w:rsidRPr="00310226" w:rsidRDefault="00310226" w:rsidP="004C0ED7">
      <w:pPr>
        <w:spacing w:line="240" w:lineRule="auto"/>
        <w:jc w:val="both"/>
        <w:rPr>
          <w:rFonts w:ascii="Calibri" w:eastAsia="PMingLiU" w:hAnsi="Calibri" w:cs="Arial"/>
          <w:b/>
          <w:bCs/>
          <w:sz w:val="24"/>
          <w:szCs w:val="24"/>
          <w:lang w:val="en-US" w:eastAsia="zh-TW"/>
        </w:rPr>
      </w:pPr>
      <w:r w:rsidRPr="00310226">
        <w:rPr>
          <w:rFonts w:ascii="Calibri" w:eastAsia="PMingLiU" w:hAnsi="Calibri" w:cs="Arial"/>
          <w:b/>
          <w:bCs/>
          <w:sz w:val="24"/>
          <w:szCs w:val="24"/>
          <w:lang w:val="en-US" w:eastAsia="zh-TW"/>
        </w:rPr>
        <w:t>measure the monthly portfolio volatility or are you of the view that another</w:t>
      </w:r>
    </w:p>
    <w:p w:rsidR="00310226" w:rsidRDefault="00310226" w:rsidP="004C0ED7">
      <w:pPr>
        <w:spacing w:line="240" w:lineRule="auto"/>
        <w:jc w:val="both"/>
        <w:rPr>
          <w:rFonts w:ascii="Calibri" w:eastAsia="PMingLiU" w:hAnsi="Calibri" w:cs="Arial"/>
          <w:b/>
          <w:bCs/>
          <w:sz w:val="24"/>
          <w:szCs w:val="24"/>
          <w:lang w:val="en-US" w:eastAsia="zh-TW"/>
        </w:rPr>
      </w:pPr>
      <w:r w:rsidRPr="00310226">
        <w:rPr>
          <w:rFonts w:ascii="Calibri" w:eastAsia="PMingLiU" w:hAnsi="Calibri" w:cs="Arial"/>
          <w:b/>
          <w:bCs/>
          <w:sz w:val="24"/>
          <w:szCs w:val="24"/>
          <w:lang w:val="en-US" w:eastAsia="zh-TW"/>
        </w:rPr>
        <w:t>formula would be welcome?</w:t>
      </w:r>
    </w:p>
    <w:p w:rsidR="00DC1DED" w:rsidRDefault="00DC1DED" w:rsidP="004C0ED7">
      <w:pPr>
        <w:spacing w:line="240" w:lineRule="auto"/>
        <w:jc w:val="both"/>
        <w:rPr>
          <w:rFonts w:ascii="Calibri" w:eastAsia="PMingLiU" w:hAnsi="Calibri" w:cs="Arial"/>
          <w:bCs/>
          <w:sz w:val="22"/>
          <w:szCs w:val="22"/>
          <w:lang w:val="en-US" w:eastAsia="zh-TW"/>
        </w:rPr>
      </w:pPr>
      <w:r>
        <w:rPr>
          <w:rFonts w:ascii="Calibri" w:eastAsia="PMingLiU" w:hAnsi="Calibri" w:cs="Arial"/>
          <w:bCs/>
          <w:sz w:val="22"/>
          <w:szCs w:val="22"/>
          <w:lang w:val="en-US" w:eastAsia="zh-TW"/>
        </w:rPr>
        <w:t xml:space="preserve">We agree with the proposed formula. </w:t>
      </w:r>
      <w:r w:rsidR="000B4225">
        <w:rPr>
          <w:rFonts w:ascii="Calibri" w:eastAsia="PMingLiU" w:hAnsi="Calibri" w:cs="Arial"/>
          <w:bCs/>
          <w:sz w:val="22"/>
          <w:szCs w:val="22"/>
          <w:lang w:val="en-US" w:eastAsia="zh-TW"/>
        </w:rPr>
        <w:t>W</w:t>
      </w:r>
      <w:r>
        <w:rPr>
          <w:rFonts w:ascii="Calibri" w:eastAsia="PMingLiU" w:hAnsi="Calibri" w:cs="Arial"/>
          <w:bCs/>
          <w:sz w:val="22"/>
          <w:szCs w:val="22"/>
          <w:lang w:val="en-US" w:eastAsia="zh-TW"/>
        </w:rPr>
        <w:t>e note, however that it requires a minimum of 36 months to be calculated. In the meantime, there will be no figure to report. Consequently we believe that this field should be conditional, depending on the age of the MMF (less</w:t>
      </w:r>
      <w:r w:rsidRPr="00DC1DED">
        <w:rPr>
          <w:rFonts w:ascii="Calibri" w:eastAsia="PMingLiU" w:hAnsi="Calibri" w:cs="Arial"/>
          <w:bCs/>
          <w:sz w:val="22"/>
          <w:szCs w:val="22"/>
          <w:lang w:val="en-US" w:eastAsia="zh-TW"/>
        </w:rPr>
        <w:t xml:space="preserve"> </w:t>
      </w:r>
      <w:r>
        <w:rPr>
          <w:rFonts w:ascii="Calibri" w:eastAsia="PMingLiU" w:hAnsi="Calibri" w:cs="Arial"/>
          <w:bCs/>
          <w:sz w:val="22"/>
          <w:szCs w:val="22"/>
          <w:lang w:val="en-US" w:eastAsia="zh-TW"/>
        </w:rPr>
        <w:t>or more than 36 months)</w:t>
      </w:r>
    </w:p>
    <w:p w:rsidR="00F7544B" w:rsidRPr="00F7544B" w:rsidRDefault="00F7544B" w:rsidP="004C0ED7">
      <w:pPr>
        <w:spacing w:line="240" w:lineRule="auto"/>
        <w:jc w:val="both"/>
        <w:rPr>
          <w:rFonts w:ascii="Calibri" w:eastAsia="PMingLiU" w:hAnsi="Calibri" w:cs="Arial"/>
          <w:bCs/>
          <w:sz w:val="22"/>
          <w:szCs w:val="22"/>
          <w:lang w:val="en-US" w:eastAsia="zh-TW"/>
        </w:rPr>
      </w:pPr>
    </w:p>
    <w:p w:rsidR="00310226" w:rsidRPr="00310226" w:rsidRDefault="00310226" w:rsidP="004C0ED7">
      <w:pPr>
        <w:spacing w:line="240" w:lineRule="auto"/>
        <w:jc w:val="both"/>
        <w:rPr>
          <w:rFonts w:ascii="Calibri" w:eastAsia="PMingLiU" w:hAnsi="Calibri" w:cs="Arial"/>
          <w:b/>
          <w:bCs/>
          <w:sz w:val="24"/>
          <w:szCs w:val="24"/>
          <w:lang w:val="en-US" w:eastAsia="zh-TW"/>
        </w:rPr>
      </w:pPr>
      <w:r w:rsidRPr="00310226">
        <w:rPr>
          <w:rFonts w:ascii="Calibri" w:eastAsia="PMingLiU" w:hAnsi="Calibri" w:cs="Arial"/>
          <w:b/>
          <w:bCs/>
          <w:sz w:val="24"/>
          <w:szCs w:val="24"/>
          <w:lang w:val="en-US" w:eastAsia="zh-TW"/>
        </w:rPr>
        <w:t>Q9 Do you identify any other issue that would need to be specified in relation to the</w:t>
      </w:r>
    </w:p>
    <w:p w:rsidR="00310226" w:rsidRDefault="00310226" w:rsidP="004C0ED7">
      <w:pPr>
        <w:spacing w:line="240" w:lineRule="auto"/>
        <w:jc w:val="both"/>
        <w:rPr>
          <w:rFonts w:ascii="Calibri" w:eastAsia="PMingLiU" w:hAnsi="Calibri" w:cs="Arial"/>
          <w:b/>
          <w:bCs/>
          <w:sz w:val="24"/>
          <w:szCs w:val="24"/>
          <w:lang w:val="en-US" w:eastAsia="zh-TW"/>
        </w:rPr>
      </w:pPr>
      <w:r w:rsidRPr="00310226">
        <w:rPr>
          <w:rFonts w:ascii="Calibri" w:eastAsia="PMingLiU" w:hAnsi="Calibri" w:cs="Arial"/>
          <w:b/>
          <w:bCs/>
          <w:sz w:val="24"/>
          <w:szCs w:val="24"/>
          <w:lang w:val="en-US" w:eastAsia="zh-TW"/>
        </w:rPr>
        <w:t>above section on the block 2 of the reporting template?</w:t>
      </w:r>
    </w:p>
    <w:p w:rsidR="004C0ED7" w:rsidRDefault="00DC1DED" w:rsidP="004C0ED7">
      <w:pPr>
        <w:spacing w:line="240" w:lineRule="auto"/>
        <w:jc w:val="both"/>
        <w:rPr>
          <w:rFonts w:ascii="Calibri" w:eastAsia="PMingLiU" w:hAnsi="Calibri" w:cs="Arial"/>
          <w:bCs/>
          <w:sz w:val="22"/>
          <w:szCs w:val="22"/>
          <w:lang w:val="en-US" w:eastAsia="zh-TW"/>
        </w:rPr>
      </w:pPr>
      <w:r>
        <w:rPr>
          <w:rFonts w:ascii="Calibri" w:eastAsia="PMingLiU" w:hAnsi="Calibri" w:cs="Arial"/>
          <w:bCs/>
          <w:sz w:val="22"/>
          <w:szCs w:val="22"/>
          <w:lang w:val="en-US" w:eastAsia="zh-TW"/>
        </w:rPr>
        <w:t>No.</w:t>
      </w:r>
    </w:p>
    <w:p w:rsidR="00DC1DED" w:rsidRPr="00DC1DED" w:rsidRDefault="00DC1DED" w:rsidP="004C0ED7">
      <w:pPr>
        <w:spacing w:line="240" w:lineRule="auto"/>
        <w:jc w:val="both"/>
        <w:rPr>
          <w:rFonts w:ascii="Calibri" w:eastAsia="PMingLiU" w:hAnsi="Calibri" w:cs="Arial"/>
          <w:bCs/>
          <w:sz w:val="22"/>
          <w:szCs w:val="22"/>
          <w:lang w:val="en-US" w:eastAsia="zh-TW"/>
        </w:rPr>
      </w:pPr>
    </w:p>
    <w:p w:rsidR="00310226" w:rsidRPr="00310226" w:rsidRDefault="00310226" w:rsidP="004C0ED7">
      <w:pPr>
        <w:spacing w:line="240" w:lineRule="auto"/>
        <w:jc w:val="both"/>
        <w:rPr>
          <w:rFonts w:ascii="Calibri" w:eastAsia="PMingLiU" w:hAnsi="Calibri" w:cs="Arial"/>
          <w:b/>
          <w:bCs/>
          <w:sz w:val="24"/>
          <w:szCs w:val="24"/>
          <w:lang w:val="en-US" w:eastAsia="zh-TW"/>
        </w:rPr>
      </w:pPr>
      <w:r w:rsidRPr="00310226">
        <w:rPr>
          <w:rFonts w:ascii="Calibri" w:eastAsia="PMingLiU" w:hAnsi="Calibri" w:cs="Arial"/>
          <w:b/>
          <w:bCs/>
          <w:sz w:val="24"/>
          <w:szCs w:val="24"/>
          <w:lang w:val="en-US" w:eastAsia="zh-TW"/>
        </w:rPr>
        <w:t>Q10 Do you identify any other issue that would need to be specified in relation</w:t>
      </w:r>
    </w:p>
    <w:p w:rsidR="00310226" w:rsidRDefault="00310226" w:rsidP="004C0ED7">
      <w:pPr>
        <w:spacing w:line="240" w:lineRule="auto"/>
        <w:jc w:val="both"/>
        <w:rPr>
          <w:rFonts w:ascii="Calibri" w:eastAsia="PMingLiU" w:hAnsi="Calibri" w:cs="Arial"/>
          <w:b/>
          <w:bCs/>
          <w:sz w:val="24"/>
          <w:szCs w:val="24"/>
          <w:lang w:val="en-US" w:eastAsia="zh-TW"/>
        </w:rPr>
      </w:pPr>
      <w:r w:rsidRPr="00310226">
        <w:rPr>
          <w:rFonts w:ascii="Calibri" w:eastAsia="PMingLiU" w:hAnsi="Calibri" w:cs="Arial"/>
          <w:b/>
          <w:bCs/>
          <w:sz w:val="24"/>
          <w:szCs w:val="24"/>
          <w:lang w:val="en-US" w:eastAsia="zh-TW"/>
        </w:rPr>
        <w:t>to the above section on the block 3 of the reporting template?</w:t>
      </w:r>
    </w:p>
    <w:p w:rsidR="004C0ED7" w:rsidRDefault="00DC1DED" w:rsidP="004C0ED7">
      <w:pPr>
        <w:spacing w:line="240" w:lineRule="auto"/>
        <w:jc w:val="both"/>
        <w:rPr>
          <w:rFonts w:ascii="Calibri" w:eastAsia="PMingLiU" w:hAnsi="Calibri" w:cs="Arial"/>
          <w:bCs/>
          <w:sz w:val="22"/>
          <w:szCs w:val="22"/>
          <w:lang w:val="en-US" w:eastAsia="zh-TW"/>
        </w:rPr>
      </w:pPr>
      <w:r>
        <w:rPr>
          <w:rFonts w:ascii="Calibri" w:eastAsia="PMingLiU" w:hAnsi="Calibri" w:cs="Arial"/>
          <w:bCs/>
          <w:sz w:val="22"/>
          <w:szCs w:val="22"/>
          <w:lang w:val="en-US" w:eastAsia="zh-TW"/>
        </w:rPr>
        <w:t>The question of transversal stress tests for financial stability purpose that would be conducted for all funds with specified parameters defined by the regulator should be addressed. Is it the intent of ESMA to ask for such stress tests? Punctually or regularly? We see merits in such stress tests in terms of comparability both over time and cross border.</w:t>
      </w:r>
      <w:r w:rsidR="00B747D5">
        <w:rPr>
          <w:rFonts w:ascii="Calibri" w:eastAsia="PMingLiU" w:hAnsi="Calibri" w:cs="Arial"/>
          <w:bCs/>
          <w:sz w:val="22"/>
          <w:szCs w:val="22"/>
          <w:lang w:val="en-US" w:eastAsia="zh-TW"/>
        </w:rPr>
        <w:t xml:space="preserve"> But we continue to see stress tests as a risk management tool that should apply fund by fund and be determined by the management company according to the risk profile of each fund or family of funds. </w:t>
      </w:r>
    </w:p>
    <w:p w:rsidR="00B747D5" w:rsidRDefault="00B747D5" w:rsidP="004C0ED7">
      <w:pPr>
        <w:spacing w:line="240" w:lineRule="auto"/>
        <w:jc w:val="both"/>
        <w:rPr>
          <w:rFonts w:ascii="Calibri" w:eastAsia="PMingLiU" w:hAnsi="Calibri" w:cs="Arial"/>
          <w:bCs/>
          <w:sz w:val="22"/>
          <w:szCs w:val="22"/>
          <w:lang w:val="en-US" w:eastAsia="zh-TW"/>
        </w:rPr>
      </w:pPr>
      <w:r>
        <w:rPr>
          <w:rFonts w:ascii="Calibri" w:eastAsia="PMingLiU" w:hAnsi="Calibri" w:cs="Arial"/>
          <w:bCs/>
          <w:sz w:val="22"/>
          <w:szCs w:val="22"/>
          <w:lang w:val="en-US" w:eastAsia="zh-TW"/>
        </w:rPr>
        <w:t>With regard to employees schemes, where MMFs can be feeders or funds of funds, we would like to introduce a comment. In our view stress tests would be, for a feeder, a duplication of the stress tests of the master, except for the liability side. For a fund of funds</w:t>
      </w:r>
      <w:r w:rsidR="007111B1">
        <w:rPr>
          <w:rFonts w:ascii="Calibri" w:eastAsia="PMingLiU" w:hAnsi="Calibri" w:cs="Arial"/>
          <w:bCs/>
          <w:sz w:val="22"/>
          <w:szCs w:val="22"/>
          <w:lang w:val="en-US" w:eastAsia="zh-TW"/>
        </w:rPr>
        <w:t>, we should be entitled to rely on the result of the stress tests performed on each of the underlying MMFs.</w:t>
      </w:r>
      <w:r>
        <w:rPr>
          <w:rFonts w:ascii="Calibri" w:eastAsia="PMingLiU" w:hAnsi="Calibri" w:cs="Arial"/>
          <w:bCs/>
          <w:sz w:val="22"/>
          <w:szCs w:val="22"/>
          <w:lang w:val="en-US" w:eastAsia="zh-TW"/>
        </w:rPr>
        <w:t xml:space="preserve"> </w:t>
      </w:r>
      <w:r w:rsidR="000B4225">
        <w:rPr>
          <w:rFonts w:ascii="Calibri" w:eastAsia="PMingLiU" w:hAnsi="Calibri" w:cs="Arial"/>
          <w:bCs/>
          <w:sz w:val="22"/>
          <w:szCs w:val="22"/>
          <w:lang w:val="en-US" w:eastAsia="zh-TW"/>
        </w:rPr>
        <w:t>Speaking of employees schemes’ specific MMFs, we suggest to adapt their reporting time schedule and to grant them 45 days (and not 30) after the end of each quarter or year to report to the authority. A fund of funds needs extra time to receive and process data of each underlying MMF.</w:t>
      </w:r>
    </w:p>
    <w:p w:rsidR="00DC1DED" w:rsidRPr="00DC1DED" w:rsidRDefault="00DC1DED" w:rsidP="004C0ED7">
      <w:pPr>
        <w:spacing w:line="240" w:lineRule="auto"/>
        <w:jc w:val="both"/>
        <w:rPr>
          <w:rFonts w:ascii="Calibri" w:eastAsia="PMingLiU" w:hAnsi="Calibri" w:cs="Arial"/>
          <w:bCs/>
          <w:sz w:val="22"/>
          <w:szCs w:val="22"/>
          <w:lang w:val="en-US" w:eastAsia="zh-TW"/>
        </w:rPr>
      </w:pPr>
    </w:p>
    <w:p w:rsidR="00310226" w:rsidRPr="00310226" w:rsidRDefault="00310226" w:rsidP="004C0ED7">
      <w:pPr>
        <w:spacing w:line="240" w:lineRule="auto"/>
        <w:jc w:val="both"/>
        <w:rPr>
          <w:rFonts w:ascii="Calibri" w:eastAsia="PMingLiU" w:hAnsi="Calibri" w:cs="Arial"/>
          <w:b/>
          <w:bCs/>
          <w:sz w:val="24"/>
          <w:szCs w:val="24"/>
          <w:lang w:val="en-US" w:eastAsia="zh-TW"/>
        </w:rPr>
      </w:pPr>
      <w:r w:rsidRPr="00310226">
        <w:rPr>
          <w:rFonts w:ascii="Calibri" w:eastAsia="PMingLiU" w:hAnsi="Calibri" w:cs="Arial"/>
          <w:b/>
          <w:bCs/>
          <w:sz w:val="24"/>
          <w:szCs w:val="24"/>
          <w:lang w:val="en-US" w:eastAsia="zh-TW"/>
        </w:rPr>
        <w:t>Q11 With the respect to the CFI codes to be provided, do you identify any</w:t>
      </w:r>
    </w:p>
    <w:p w:rsidR="00310226" w:rsidRDefault="00310226" w:rsidP="004C0ED7">
      <w:pPr>
        <w:spacing w:line="240" w:lineRule="auto"/>
        <w:jc w:val="both"/>
        <w:rPr>
          <w:rFonts w:ascii="Calibri" w:eastAsia="PMingLiU" w:hAnsi="Calibri" w:cs="Arial"/>
          <w:b/>
          <w:bCs/>
          <w:sz w:val="24"/>
          <w:szCs w:val="24"/>
          <w:lang w:val="en-US" w:eastAsia="zh-TW"/>
        </w:rPr>
      </w:pPr>
      <w:r w:rsidRPr="00310226">
        <w:rPr>
          <w:rFonts w:ascii="Calibri" w:eastAsia="PMingLiU" w:hAnsi="Calibri" w:cs="Arial"/>
          <w:b/>
          <w:bCs/>
          <w:sz w:val="24"/>
          <w:szCs w:val="24"/>
          <w:lang w:val="en-US" w:eastAsia="zh-TW"/>
        </w:rPr>
        <w:t>eligible asset not included in the table in the Annex of the Guidelines?</w:t>
      </w:r>
    </w:p>
    <w:p w:rsidR="004C0ED7" w:rsidRDefault="007111B1" w:rsidP="004C0ED7">
      <w:pPr>
        <w:spacing w:line="240" w:lineRule="auto"/>
        <w:jc w:val="both"/>
        <w:rPr>
          <w:rFonts w:ascii="Calibri" w:eastAsia="PMingLiU" w:hAnsi="Calibri" w:cs="Arial"/>
          <w:bCs/>
          <w:sz w:val="22"/>
          <w:szCs w:val="22"/>
          <w:lang w:val="en-US" w:eastAsia="zh-TW"/>
        </w:rPr>
      </w:pPr>
      <w:r>
        <w:rPr>
          <w:rFonts w:ascii="Calibri" w:eastAsia="PMingLiU" w:hAnsi="Calibri" w:cs="Arial"/>
          <w:bCs/>
          <w:sz w:val="22"/>
          <w:szCs w:val="22"/>
          <w:lang w:val="en-US" w:eastAsia="zh-TW"/>
        </w:rPr>
        <w:t>No, we think CFI gives a g</w:t>
      </w:r>
      <w:r w:rsidR="00F321DF">
        <w:rPr>
          <w:rFonts w:ascii="Calibri" w:eastAsia="PMingLiU" w:hAnsi="Calibri" w:cs="Arial"/>
          <w:bCs/>
          <w:sz w:val="22"/>
          <w:szCs w:val="22"/>
          <w:lang w:val="en-US" w:eastAsia="zh-TW"/>
        </w:rPr>
        <w:t>o</w:t>
      </w:r>
      <w:r>
        <w:rPr>
          <w:rFonts w:ascii="Calibri" w:eastAsia="PMingLiU" w:hAnsi="Calibri" w:cs="Arial"/>
          <w:bCs/>
          <w:sz w:val="22"/>
          <w:szCs w:val="22"/>
          <w:lang w:val="en-US" w:eastAsia="zh-TW"/>
        </w:rPr>
        <w:t xml:space="preserve">od representation of financial instruments. </w:t>
      </w:r>
    </w:p>
    <w:p w:rsidR="007111B1" w:rsidRPr="007111B1" w:rsidRDefault="007111B1" w:rsidP="004C0ED7">
      <w:pPr>
        <w:spacing w:line="240" w:lineRule="auto"/>
        <w:jc w:val="both"/>
        <w:rPr>
          <w:rFonts w:ascii="Calibri" w:eastAsia="PMingLiU" w:hAnsi="Calibri" w:cs="Arial"/>
          <w:bCs/>
          <w:sz w:val="22"/>
          <w:szCs w:val="22"/>
          <w:lang w:val="en-US" w:eastAsia="zh-TW"/>
        </w:rPr>
      </w:pPr>
    </w:p>
    <w:p w:rsidR="00310226" w:rsidRPr="00310226" w:rsidRDefault="00310226" w:rsidP="004C0ED7">
      <w:pPr>
        <w:spacing w:line="240" w:lineRule="auto"/>
        <w:jc w:val="both"/>
        <w:rPr>
          <w:rFonts w:ascii="Calibri" w:eastAsia="PMingLiU" w:hAnsi="Calibri" w:cs="Arial"/>
          <w:b/>
          <w:bCs/>
          <w:sz w:val="24"/>
          <w:szCs w:val="24"/>
          <w:lang w:val="en-US" w:eastAsia="zh-TW"/>
        </w:rPr>
      </w:pPr>
      <w:r w:rsidRPr="00310226">
        <w:rPr>
          <w:rFonts w:ascii="Calibri" w:eastAsia="PMingLiU" w:hAnsi="Calibri" w:cs="Arial"/>
          <w:b/>
          <w:bCs/>
          <w:sz w:val="24"/>
          <w:szCs w:val="24"/>
          <w:lang w:val="en-US" w:eastAsia="zh-TW"/>
        </w:rPr>
        <w:t>Q12 Do you agree with the proposals of ESMA in relation to the domicile of the</w:t>
      </w:r>
    </w:p>
    <w:p w:rsidR="00310226" w:rsidRDefault="00310226" w:rsidP="004C0ED7">
      <w:pPr>
        <w:spacing w:line="240" w:lineRule="auto"/>
        <w:jc w:val="both"/>
        <w:rPr>
          <w:rFonts w:ascii="Calibri" w:eastAsia="PMingLiU" w:hAnsi="Calibri" w:cs="Arial"/>
          <w:b/>
          <w:bCs/>
          <w:sz w:val="24"/>
          <w:szCs w:val="24"/>
          <w:lang w:val="en-US" w:eastAsia="zh-TW"/>
        </w:rPr>
      </w:pPr>
      <w:r w:rsidRPr="00310226">
        <w:rPr>
          <w:rFonts w:ascii="Calibri" w:eastAsia="PMingLiU" w:hAnsi="Calibri" w:cs="Arial"/>
          <w:b/>
          <w:bCs/>
          <w:sz w:val="24"/>
          <w:szCs w:val="24"/>
          <w:lang w:val="en-US" w:eastAsia="zh-TW"/>
        </w:rPr>
        <w:t>abovementioned assets?</w:t>
      </w:r>
    </w:p>
    <w:p w:rsidR="004C0ED7" w:rsidRDefault="007111B1" w:rsidP="004C0ED7">
      <w:pPr>
        <w:spacing w:line="240" w:lineRule="auto"/>
        <w:jc w:val="both"/>
        <w:rPr>
          <w:rFonts w:ascii="Calibri" w:eastAsia="PMingLiU" w:hAnsi="Calibri" w:cs="Arial"/>
          <w:bCs/>
          <w:sz w:val="22"/>
          <w:szCs w:val="22"/>
          <w:lang w:val="en-US" w:eastAsia="zh-TW"/>
        </w:rPr>
      </w:pPr>
      <w:r>
        <w:rPr>
          <w:rFonts w:ascii="Calibri" w:eastAsia="PMingLiU" w:hAnsi="Calibri" w:cs="Arial"/>
          <w:bCs/>
          <w:sz w:val="22"/>
          <w:szCs w:val="22"/>
          <w:lang w:val="en-US" w:eastAsia="zh-TW"/>
        </w:rPr>
        <w:t>Yes, we have a doubt on what is understood in §64 about the nationality of the counterparty for financial derivative instruments when they are listed. We infer that the country of the CCP where central compensation takes place is what is expected as the correct answer.</w:t>
      </w:r>
    </w:p>
    <w:p w:rsidR="007111B1" w:rsidRDefault="007111B1" w:rsidP="004C0ED7">
      <w:pPr>
        <w:spacing w:line="240" w:lineRule="auto"/>
        <w:jc w:val="both"/>
        <w:rPr>
          <w:rFonts w:ascii="Calibri" w:eastAsia="PMingLiU" w:hAnsi="Calibri" w:cs="Arial"/>
          <w:bCs/>
          <w:sz w:val="22"/>
          <w:szCs w:val="22"/>
          <w:lang w:val="en-US" w:eastAsia="zh-TW"/>
        </w:rPr>
      </w:pPr>
    </w:p>
    <w:p w:rsidR="00310226" w:rsidRPr="00310226" w:rsidRDefault="00310226" w:rsidP="004C0ED7">
      <w:pPr>
        <w:spacing w:line="240" w:lineRule="auto"/>
        <w:jc w:val="both"/>
        <w:rPr>
          <w:rFonts w:ascii="Calibri" w:eastAsia="PMingLiU" w:hAnsi="Calibri" w:cs="Arial"/>
          <w:b/>
          <w:bCs/>
          <w:sz w:val="24"/>
          <w:szCs w:val="24"/>
          <w:lang w:val="en-US" w:eastAsia="zh-TW"/>
        </w:rPr>
      </w:pPr>
      <w:r w:rsidRPr="00310226">
        <w:rPr>
          <w:rFonts w:ascii="Calibri" w:eastAsia="PMingLiU" w:hAnsi="Calibri" w:cs="Arial"/>
          <w:b/>
          <w:bCs/>
          <w:sz w:val="24"/>
          <w:szCs w:val="24"/>
          <w:lang w:val="en-US" w:eastAsia="zh-TW"/>
        </w:rPr>
        <w:t>Q13 Do you agree that a category “</w:t>
      </w:r>
      <w:r w:rsidRPr="00310226">
        <w:rPr>
          <w:rFonts w:ascii="Calibri" w:eastAsia="PMingLiU" w:hAnsi="Calibri" w:cs="Arial"/>
          <w:b/>
          <w:bCs/>
          <w:i/>
          <w:iCs/>
          <w:sz w:val="24"/>
          <w:szCs w:val="24"/>
          <w:lang w:val="en-US" w:eastAsia="zh-TW"/>
        </w:rPr>
        <w:t>supranational/multiple</w:t>
      </w:r>
      <w:r w:rsidR="007111B1">
        <w:rPr>
          <w:rFonts w:ascii="Calibri" w:eastAsia="PMingLiU" w:hAnsi="Calibri" w:cs="Arial"/>
          <w:b/>
          <w:bCs/>
          <w:i/>
          <w:iCs/>
          <w:sz w:val="24"/>
          <w:szCs w:val="24"/>
          <w:lang w:val="en-US" w:eastAsia="zh-TW"/>
        </w:rPr>
        <w:t xml:space="preserve"> </w:t>
      </w:r>
      <w:r w:rsidRPr="00310226">
        <w:rPr>
          <w:rFonts w:ascii="Calibri" w:eastAsia="PMingLiU" w:hAnsi="Calibri" w:cs="Arial"/>
          <w:b/>
          <w:bCs/>
          <w:i/>
          <w:iCs/>
          <w:sz w:val="24"/>
          <w:szCs w:val="24"/>
          <w:lang w:val="en-US" w:eastAsia="zh-TW"/>
        </w:rPr>
        <w:t>regions</w:t>
      </w:r>
      <w:r w:rsidRPr="00310226">
        <w:rPr>
          <w:rFonts w:ascii="Calibri" w:eastAsia="PMingLiU" w:hAnsi="Calibri" w:cs="Arial"/>
          <w:b/>
          <w:bCs/>
          <w:sz w:val="24"/>
          <w:szCs w:val="24"/>
          <w:lang w:val="en-US" w:eastAsia="zh-TW"/>
        </w:rPr>
        <w:t>” should be</w:t>
      </w:r>
    </w:p>
    <w:p w:rsidR="00310226" w:rsidRPr="00310226" w:rsidRDefault="00310226" w:rsidP="004C0ED7">
      <w:pPr>
        <w:spacing w:line="240" w:lineRule="auto"/>
        <w:jc w:val="both"/>
        <w:rPr>
          <w:rFonts w:ascii="Calibri" w:eastAsia="PMingLiU" w:hAnsi="Calibri" w:cs="Arial"/>
          <w:b/>
          <w:bCs/>
          <w:sz w:val="24"/>
          <w:szCs w:val="24"/>
          <w:lang w:val="en-US" w:eastAsia="zh-TW"/>
        </w:rPr>
      </w:pPr>
      <w:r w:rsidRPr="00310226">
        <w:rPr>
          <w:rFonts w:ascii="Calibri" w:eastAsia="PMingLiU" w:hAnsi="Calibri" w:cs="Arial"/>
          <w:b/>
          <w:bCs/>
          <w:sz w:val="24"/>
          <w:szCs w:val="24"/>
          <w:lang w:val="en-US" w:eastAsia="zh-TW"/>
        </w:rPr>
        <w:t>included in the potential geographical areas to be chosen? If yes, could you</w:t>
      </w:r>
    </w:p>
    <w:p w:rsidR="00310226" w:rsidRDefault="00310226" w:rsidP="004C0ED7">
      <w:pPr>
        <w:spacing w:line="240" w:lineRule="auto"/>
        <w:jc w:val="both"/>
        <w:rPr>
          <w:rFonts w:ascii="Calibri" w:eastAsia="PMingLiU" w:hAnsi="Calibri" w:cs="Arial"/>
          <w:b/>
          <w:bCs/>
          <w:sz w:val="24"/>
          <w:szCs w:val="24"/>
          <w:lang w:val="en-US" w:eastAsia="zh-TW"/>
        </w:rPr>
      </w:pPr>
      <w:r w:rsidRPr="00310226">
        <w:rPr>
          <w:rFonts w:ascii="Calibri" w:eastAsia="PMingLiU" w:hAnsi="Calibri" w:cs="Arial"/>
          <w:b/>
          <w:bCs/>
          <w:sz w:val="24"/>
          <w:szCs w:val="24"/>
          <w:lang w:val="en-US" w:eastAsia="zh-TW"/>
        </w:rPr>
        <w:t>provide examples of assets for which you would choose that category?</w:t>
      </w:r>
    </w:p>
    <w:p w:rsidR="004C0ED7" w:rsidRDefault="007111B1" w:rsidP="004C0ED7">
      <w:pPr>
        <w:spacing w:line="240" w:lineRule="auto"/>
        <w:jc w:val="both"/>
        <w:rPr>
          <w:rFonts w:ascii="Calibri" w:eastAsia="PMingLiU" w:hAnsi="Calibri" w:cs="Arial"/>
          <w:bCs/>
          <w:sz w:val="22"/>
          <w:szCs w:val="22"/>
          <w:lang w:val="en-US" w:eastAsia="zh-TW"/>
        </w:rPr>
      </w:pPr>
      <w:r>
        <w:rPr>
          <w:rFonts w:ascii="Calibri" w:eastAsia="PMingLiU" w:hAnsi="Calibri" w:cs="Arial"/>
          <w:bCs/>
          <w:sz w:val="22"/>
          <w:szCs w:val="22"/>
          <w:lang w:val="en-US" w:eastAsia="zh-TW"/>
        </w:rPr>
        <w:t xml:space="preserve">Supranational is </w:t>
      </w:r>
      <w:r w:rsidR="00D71D65">
        <w:rPr>
          <w:rFonts w:ascii="Calibri" w:eastAsia="PMingLiU" w:hAnsi="Calibri" w:cs="Arial"/>
          <w:bCs/>
          <w:sz w:val="22"/>
          <w:szCs w:val="22"/>
          <w:lang w:val="en-US" w:eastAsia="zh-TW"/>
        </w:rPr>
        <w:t xml:space="preserve">common language and </w:t>
      </w:r>
      <w:r>
        <w:rPr>
          <w:rFonts w:ascii="Calibri" w:eastAsia="PMingLiU" w:hAnsi="Calibri" w:cs="Arial"/>
          <w:bCs/>
          <w:sz w:val="22"/>
          <w:szCs w:val="22"/>
          <w:lang w:val="en-US" w:eastAsia="zh-TW"/>
        </w:rPr>
        <w:t>self</w:t>
      </w:r>
      <w:r w:rsidR="00D71D65">
        <w:rPr>
          <w:rFonts w:ascii="Calibri" w:eastAsia="PMingLiU" w:hAnsi="Calibri" w:cs="Arial"/>
          <w:bCs/>
          <w:sz w:val="22"/>
          <w:szCs w:val="22"/>
          <w:lang w:val="en-US" w:eastAsia="zh-TW"/>
        </w:rPr>
        <w:t>-</w:t>
      </w:r>
      <w:r>
        <w:rPr>
          <w:rFonts w:ascii="Calibri" w:eastAsia="PMingLiU" w:hAnsi="Calibri" w:cs="Arial"/>
          <w:bCs/>
          <w:sz w:val="22"/>
          <w:szCs w:val="22"/>
          <w:lang w:val="en-US" w:eastAsia="zh-TW"/>
        </w:rPr>
        <w:t xml:space="preserve">explanatory </w:t>
      </w:r>
      <w:r w:rsidR="00D71D65">
        <w:rPr>
          <w:rFonts w:ascii="Calibri" w:eastAsia="PMingLiU" w:hAnsi="Calibri" w:cs="Arial"/>
          <w:bCs/>
          <w:sz w:val="22"/>
          <w:szCs w:val="22"/>
          <w:lang w:val="en-US" w:eastAsia="zh-TW"/>
        </w:rPr>
        <w:t>;</w:t>
      </w:r>
      <w:r>
        <w:rPr>
          <w:rFonts w:ascii="Calibri" w:eastAsia="PMingLiU" w:hAnsi="Calibri" w:cs="Arial"/>
          <w:bCs/>
          <w:sz w:val="22"/>
          <w:szCs w:val="22"/>
          <w:lang w:val="en-US" w:eastAsia="zh-TW"/>
        </w:rPr>
        <w:t xml:space="preserve"> examples are easy to provide</w:t>
      </w:r>
      <w:r w:rsidR="00D71D65">
        <w:rPr>
          <w:rFonts w:ascii="Calibri" w:eastAsia="PMingLiU" w:hAnsi="Calibri" w:cs="Arial"/>
          <w:bCs/>
          <w:sz w:val="22"/>
          <w:szCs w:val="22"/>
          <w:lang w:val="en-US" w:eastAsia="zh-TW"/>
        </w:rPr>
        <w:t>, since we work with such institutions as World bank or regional supranational entities in Africa, Asia… However, we do</w:t>
      </w:r>
      <w:r>
        <w:rPr>
          <w:rFonts w:ascii="Calibri" w:eastAsia="PMingLiU" w:hAnsi="Calibri" w:cs="Arial"/>
          <w:bCs/>
          <w:sz w:val="22"/>
          <w:szCs w:val="22"/>
          <w:lang w:val="en-US" w:eastAsia="zh-TW"/>
        </w:rPr>
        <w:t xml:space="preserve"> not have </w:t>
      </w:r>
      <w:r w:rsidR="00D71D65">
        <w:rPr>
          <w:rFonts w:ascii="Calibri" w:eastAsia="PMingLiU" w:hAnsi="Calibri" w:cs="Arial"/>
          <w:bCs/>
          <w:sz w:val="22"/>
          <w:szCs w:val="22"/>
          <w:lang w:val="en-US" w:eastAsia="zh-TW"/>
        </w:rPr>
        <w:t xml:space="preserve">a </w:t>
      </w:r>
      <w:r>
        <w:rPr>
          <w:rFonts w:ascii="Calibri" w:eastAsia="PMingLiU" w:hAnsi="Calibri" w:cs="Arial"/>
          <w:bCs/>
          <w:sz w:val="22"/>
          <w:szCs w:val="22"/>
          <w:lang w:val="en-US" w:eastAsia="zh-TW"/>
        </w:rPr>
        <w:t>clear view</w:t>
      </w:r>
      <w:r w:rsidR="00D71D65">
        <w:rPr>
          <w:rFonts w:ascii="Calibri" w:eastAsia="PMingLiU" w:hAnsi="Calibri" w:cs="Arial"/>
          <w:bCs/>
          <w:sz w:val="22"/>
          <w:szCs w:val="22"/>
          <w:lang w:val="en-US" w:eastAsia="zh-TW"/>
        </w:rPr>
        <w:t xml:space="preserve"> on “multiple regions”. A</w:t>
      </w:r>
      <w:r>
        <w:rPr>
          <w:rFonts w:ascii="Calibri" w:eastAsia="PMingLiU" w:hAnsi="Calibri" w:cs="Arial"/>
          <w:bCs/>
          <w:sz w:val="22"/>
          <w:szCs w:val="22"/>
          <w:lang w:val="en-US" w:eastAsia="zh-TW"/>
        </w:rPr>
        <w:t>ctually</w:t>
      </w:r>
      <w:r w:rsidR="000B4225">
        <w:rPr>
          <w:rFonts w:ascii="Calibri" w:eastAsia="PMingLiU" w:hAnsi="Calibri" w:cs="Arial"/>
          <w:bCs/>
          <w:sz w:val="22"/>
          <w:szCs w:val="22"/>
          <w:lang w:val="en-US" w:eastAsia="zh-TW"/>
        </w:rPr>
        <w:t xml:space="preserve">, </w:t>
      </w:r>
      <w:r>
        <w:rPr>
          <w:rFonts w:ascii="Calibri" w:eastAsia="PMingLiU" w:hAnsi="Calibri" w:cs="Arial"/>
          <w:bCs/>
          <w:sz w:val="22"/>
          <w:szCs w:val="22"/>
          <w:lang w:val="en-US" w:eastAsia="zh-TW"/>
        </w:rPr>
        <w:t xml:space="preserve">we think that it would be more appropriate to </w:t>
      </w:r>
      <w:r w:rsidR="00D71D65">
        <w:rPr>
          <w:rFonts w:ascii="Calibri" w:eastAsia="PMingLiU" w:hAnsi="Calibri" w:cs="Arial"/>
          <w:bCs/>
          <w:sz w:val="22"/>
          <w:szCs w:val="22"/>
          <w:lang w:val="en-US" w:eastAsia="zh-TW"/>
        </w:rPr>
        <w:t xml:space="preserve">use </w:t>
      </w:r>
      <w:r>
        <w:rPr>
          <w:rFonts w:ascii="Calibri" w:eastAsia="PMingLiU" w:hAnsi="Calibri" w:cs="Arial"/>
          <w:bCs/>
          <w:sz w:val="22"/>
          <w:szCs w:val="22"/>
          <w:lang w:val="en-US" w:eastAsia="zh-TW"/>
        </w:rPr>
        <w:t xml:space="preserve">“multiple countries” </w:t>
      </w:r>
      <w:r w:rsidR="00D71D65">
        <w:rPr>
          <w:rFonts w:ascii="Calibri" w:eastAsia="PMingLiU" w:hAnsi="Calibri" w:cs="Arial"/>
          <w:bCs/>
          <w:sz w:val="22"/>
          <w:szCs w:val="22"/>
          <w:lang w:val="en-US" w:eastAsia="zh-TW"/>
        </w:rPr>
        <w:t>instead of “multiple regions”</w:t>
      </w:r>
      <w:r>
        <w:rPr>
          <w:rFonts w:ascii="Calibri" w:eastAsia="PMingLiU" w:hAnsi="Calibri" w:cs="Arial"/>
          <w:bCs/>
          <w:sz w:val="22"/>
          <w:szCs w:val="22"/>
          <w:lang w:val="en-US" w:eastAsia="zh-TW"/>
        </w:rPr>
        <w:t xml:space="preserve"> </w:t>
      </w:r>
      <w:r w:rsidR="00D71D65">
        <w:rPr>
          <w:rFonts w:ascii="Calibri" w:eastAsia="PMingLiU" w:hAnsi="Calibri" w:cs="Arial"/>
          <w:bCs/>
          <w:sz w:val="22"/>
          <w:szCs w:val="22"/>
          <w:lang w:val="en-US" w:eastAsia="zh-TW"/>
        </w:rPr>
        <w:t>in order to restrict “supranational” to those entities that are based on an international treaty and cover</w:t>
      </w:r>
      <w:r w:rsidR="009B42A7">
        <w:rPr>
          <w:rFonts w:ascii="Calibri" w:eastAsia="PMingLiU" w:hAnsi="Calibri" w:cs="Arial"/>
          <w:bCs/>
          <w:sz w:val="22"/>
          <w:szCs w:val="22"/>
          <w:lang w:val="en-US" w:eastAsia="zh-TW"/>
        </w:rPr>
        <w:t xml:space="preserve"> with “multiple countries” </w:t>
      </w:r>
      <w:r w:rsidR="00D71D65">
        <w:rPr>
          <w:rFonts w:ascii="Calibri" w:eastAsia="PMingLiU" w:hAnsi="Calibri" w:cs="Arial"/>
          <w:bCs/>
          <w:sz w:val="22"/>
          <w:szCs w:val="22"/>
          <w:lang w:val="en-US" w:eastAsia="zh-TW"/>
        </w:rPr>
        <w:t xml:space="preserve"> those entities gathering bodies </w:t>
      </w:r>
      <w:r w:rsidR="009B42A7">
        <w:rPr>
          <w:rFonts w:ascii="Calibri" w:eastAsia="PMingLiU" w:hAnsi="Calibri" w:cs="Arial"/>
          <w:bCs/>
          <w:sz w:val="22"/>
          <w:szCs w:val="22"/>
          <w:lang w:val="en-US" w:eastAsia="zh-TW"/>
        </w:rPr>
        <w:t>with</w:t>
      </w:r>
      <w:r w:rsidR="00D71D65">
        <w:rPr>
          <w:rFonts w:ascii="Calibri" w:eastAsia="PMingLiU" w:hAnsi="Calibri" w:cs="Arial"/>
          <w:bCs/>
          <w:sz w:val="22"/>
          <w:szCs w:val="22"/>
          <w:lang w:val="en-US" w:eastAsia="zh-TW"/>
        </w:rPr>
        <w:t xml:space="preserve"> different </w:t>
      </w:r>
      <w:r w:rsidR="009B42A7">
        <w:rPr>
          <w:rFonts w:ascii="Calibri" w:eastAsia="PMingLiU" w:hAnsi="Calibri" w:cs="Arial"/>
          <w:bCs/>
          <w:sz w:val="22"/>
          <w:szCs w:val="22"/>
          <w:lang w:val="en-US" w:eastAsia="zh-TW"/>
        </w:rPr>
        <w:t>nationalities</w:t>
      </w:r>
      <w:r>
        <w:rPr>
          <w:rFonts w:ascii="Calibri" w:eastAsia="PMingLiU" w:hAnsi="Calibri" w:cs="Arial"/>
          <w:bCs/>
          <w:sz w:val="22"/>
          <w:szCs w:val="22"/>
          <w:lang w:val="en-US" w:eastAsia="zh-TW"/>
        </w:rPr>
        <w:t xml:space="preserve"> </w:t>
      </w:r>
      <w:r w:rsidR="00D71D65">
        <w:rPr>
          <w:rFonts w:ascii="Calibri" w:eastAsia="PMingLiU" w:hAnsi="Calibri" w:cs="Arial"/>
          <w:bCs/>
          <w:sz w:val="22"/>
          <w:szCs w:val="22"/>
          <w:lang w:val="en-US" w:eastAsia="zh-TW"/>
        </w:rPr>
        <w:t xml:space="preserve">without relying on a </w:t>
      </w:r>
      <w:proofErr w:type="spellStart"/>
      <w:r w:rsidR="00D71D65">
        <w:rPr>
          <w:rFonts w:ascii="Calibri" w:eastAsia="PMingLiU" w:hAnsi="Calibri" w:cs="Arial"/>
          <w:bCs/>
          <w:sz w:val="22"/>
          <w:szCs w:val="22"/>
          <w:lang w:val="en-US" w:eastAsia="zh-TW"/>
        </w:rPr>
        <w:t>recognised</w:t>
      </w:r>
      <w:proofErr w:type="spellEnd"/>
      <w:r w:rsidR="00D71D65">
        <w:rPr>
          <w:rFonts w:ascii="Calibri" w:eastAsia="PMingLiU" w:hAnsi="Calibri" w:cs="Arial"/>
          <w:bCs/>
          <w:sz w:val="22"/>
          <w:szCs w:val="22"/>
          <w:lang w:val="en-US" w:eastAsia="zh-TW"/>
        </w:rPr>
        <w:t xml:space="preserve"> international treaty.</w:t>
      </w:r>
    </w:p>
    <w:p w:rsidR="007111B1" w:rsidRPr="007111B1" w:rsidRDefault="007111B1" w:rsidP="004C0ED7">
      <w:pPr>
        <w:spacing w:line="240" w:lineRule="auto"/>
        <w:jc w:val="both"/>
        <w:rPr>
          <w:rFonts w:ascii="Calibri" w:eastAsia="PMingLiU" w:hAnsi="Calibri" w:cs="Arial"/>
          <w:bCs/>
          <w:sz w:val="22"/>
          <w:szCs w:val="22"/>
          <w:lang w:val="en-US" w:eastAsia="zh-TW"/>
        </w:rPr>
      </w:pPr>
    </w:p>
    <w:p w:rsidR="00310226" w:rsidRPr="00310226" w:rsidRDefault="00310226" w:rsidP="004C0ED7">
      <w:pPr>
        <w:spacing w:line="240" w:lineRule="auto"/>
        <w:jc w:val="both"/>
        <w:rPr>
          <w:rFonts w:ascii="Calibri" w:eastAsia="PMingLiU" w:hAnsi="Calibri" w:cs="Arial"/>
          <w:b/>
          <w:bCs/>
          <w:sz w:val="24"/>
          <w:szCs w:val="24"/>
          <w:lang w:val="en-US" w:eastAsia="zh-TW"/>
        </w:rPr>
      </w:pPr>
      <w:r w:rsidRPr="00310226">
        <w:rPr>
          <w:rFonts w:ascii="Calibri" w:eastAsia="PMingLiU" w:hAnsi="Calibri" w:cs="Arial"/>
          <w:b/>
          <w:bCs/>
          <w:sz w:val="24"/>
          <w:szCs w:val="24"/>
          <w:lang w:val="en-US" w:eastAsia="zh-TW"/>
        </w:rPr>
        <w:t>Q14 Do you agree that the clean price of the money market instrument (A.6.12),</w:t>
      </w:r>
    </w:p>
    <w:p w:rsidR="00310226" w:rsidRPr="00310226" w:rsidRDefault="00310226" w:rsidP="004C0ED7">
      <w:pPr>
        <w:spacing w:line="240" w:lineRule="auto"/>
        <w:jc w:val="both"/>
        <w:rPr>
          <w:rFonts w:ascii="Calibri" w:eastAsia="PMingLiU" w:hAnsi="Calibri" w:cs="Arial"/>
          <w:b/>
          <w:bCs/>
          <w:sz w:val="24"/>
          <w:szCs w:val="24"/>
          <w:lang w:val="en-US" w:eastAsia="zh-TW"/>
        </w:rPr>
      </w:pPr>
      <w:r w:rsidRPr="00310226">
        <w:rPr>
          <w:rFonts w:ascii="Calibri" w:eastAsia="PMingLiU" w:hAnsi="Calibri" w:cs="Arial"/>
          <w:b/>
          <w:bCs/>
          <w:sz w:val="24"/>
          <w:szCs w:val="24"/>
          <w:lang w:val="en-US" w:eastAsia="zh-TW"/>
        </w:rPr>
        <w:t>this field should always be reported in absolute terms (in monetary values, not</w:t>
      </w:r>
    </w:p>
    <w:p w:rsidR="00310226" w:rsidRPr="00310226" w:rsidRDefault="00310226" w:rsidP="004C0ED7">
      <w:pPr>
        <w:spacing w:line="240" w:lineRule="auto"/>
        <w:jc w:val="both"/>
        <w:rPr>
          <w:rFonts w:ascii="Calibri" w:eastAsia="PMingLiU" w:hAnsi="Calibri" w:cs="Arial"/>
          <w:b/>
          <w:bCs/>
          <w:sz w:val="24"/>
          <w:szCs w:val="24"/>
          <w:lang w:val="en-US" w:eastAsia="zh-TW"/>
        </w:rPr>
      </w:pPr>
      <w:r w:rsidRPr="00310226">
        <w:rPr>
          <w:rFonts w:ascii="Calibri" w:eastAsia="PMingLiU" w:hAnsi="Calibri" w:cs="Arial"/>
          <w:b/>
          <w:bCs/>
          <w:sz w:val="24"/>
          <w:szCs w:val="24"/>
          <w:lang w:val="en-US" w:eastAsia="zh-TW"/>
        </w:rPr>
        <w:t>in percentages)? Which of the 2 abovementioned options on the “base currency”</w:t>
      </w:r>
    </w:p>
    <w:p w:rsidR="00310226" w:rsidRPr="00310226" w:rsidRDefault="00310226" w:rsidP="004C0ED7">
      <w:pPr>
        <w:spacing w:line="240" w:lineRule="auto"/>
        <w:jc w:val="both"/>
        <w:rPr>
          <w:rFonts w:ascii="Calibri" w:eastAsia="PMingLiU" w:hAnsi="Calibri" w:cs="Arial"/>
          <w:b/>
          <w:bCs/>
          <w:sz w:val="24"/>
          <w:szCs w:val="24"/>
          <w:lang w:val="en-US" w:eastAsia="zh-TW"/>
        </w:rPr>
      </w:pPr>
      <w:r w:rsidRPr="00310226">
        <w:rPr>
          <w:rFonts w:ascii="Calibri" w:eastAsia="PMingLiU" w:hAnsi="Calibri" w:cs="Arial"/>
          <w:b/>
          <w:bCs/>
          <w:sz w:val="24"/>
          <w:szCs w:val="24"/>
          <w:lang w:val="en-US" w:eastAsia="zh-TW"/>
        </w:rPr>
        <w:t xml:space="preserve">mentioned in field A.6.13 would you </w:t>
      </w:r>
      <w:proofErr w:type="spellStart"/>
      <w:r w:rsidRPr="00310226">
        <w:rPr>
          <w:rFonts w:ascii="Calibri" w:eastAsia="PMingLiU" w:hAnsi="Calibri" w:cs="Arial"/>
          <w:b/>
          <w:bCs/>
          <w:sz w:val="24"/>
          <w:szCs w:val="24"/>
          <w:lang w:val="en-US" w:eastAsia="zh-TW"/>
        </w:rPr>
        <w:t>favour</w:t>
      </w:r>
      <w:proofErr w:type="spellEnd"/>
      <w:r w:rsidRPr="00310226">
        <w:rPr>
          <w:rFonts w:ascii="Calibri" w:eastAsia="PMingLiU" w:hAnsi="Calibri" w:cs="Arial"/>
          <w:b/>
          <w:bCs/>
          <w:sz w:val="24"/>
          <w:szCs w:val="24"/>
          <w:lang w:val="en-US" w:eastAsia="zh-TW"/>
        </w:rPr>
        <w:t>: currency of the asset or the currency</w:t>
      </w:r>
    </w:p>
    <w:p w:rsidR="00310226" w:rsidRDefault="00310226" w:rsidP="004C0ED7">
      <w:pPr>
        <w:spacing w:line="240" w:lineRule="auto"/>
        <w:jc w:val="both"/>
        <w:rPr>
          <w:rFonts w:ascii="Calibri" w:eastAsia="PMingLiU" w:hAnsi="Calibri" w:cs="Arial"/>
          <w:b/>
          <w:bCs/>
          <w:sz w:val="24"/>
          <w:szCs w:val="24"/>
          <w:lang w:val="en-US" w:eastAsia="zh-TW"/>
        </w:rPr>
      </w:pPr>
      <w:r w:rsidRPr="00310226">
        <w:rPr>
          <w:rFonts w:ascii="Calibri" w:eastAsia="PMingLiU" w:hAnsi="Calibri" w:cs="Arial"/>
          <w:b/>
          <w:bCs/>
          <w:sz w:val="24"/>
          <w:szCs w:val="24"/>
          <w:lang w:val="en-US" w:eastAsia="zh-TW"/>
        </w:rPr>
        <w:t>of the MMF?</w:t>
      </w:r>
    </w:p>
    <w:p w:rsidR="004C0ED7" w:rsidRDefault="00D71D65" w:rsidP="004C0ED7">
      <w:pPr>
        <w:spacing w:line="240" w:lineRule="auto"/>
        <w:jc w:val="both"/>
        <w:rPr>
          <w:rFonts w:ascii="Calibri" w:eastAsia="PMingLiU" w:hAnsi="Calibri" w:cs="Arial"/>
          <w:bCs/>
          <w:sz w:val="22"/>
          <w:szCs w:val="22"/>
          <w:lang w:val="en-US" w:eastAsia="zh-TW"/>
        </w:rPr>
      </w:pPr>
      <w:r>
        <w:rPr>
          <w:rFonts w:ascii="Calibri" w:eastAsia="PMingLiU" w:hAnsi="Calibri" w:cs="Arial"/>
          <w:bCs/>
          <w:sz w:val="22"/>
          <w:szCs w:val="22"/>
          <w:lang w:val="en-US" w:eastAsia="zh-TW"/>
        </w:rPr>
        <w:t>We agree, noting that the clean price expressed in currency will not include accrued interest (which is accounted for separately).</w:t>
      </w:r>
    </w:p>
    <w:p w:rsidR="00D71D65" w:rsidRDefault="00D71D65" w:rsidP="004C0ED7">
      <w:pPr>
        <w:spacing w:line="240" w:lineRule="auto"/>
        <w:jc w:val="both"/>
        <w:rPr>
          <w:rFonts w:ascii="Calibri" w:eastAsia="PMingLiU" w:hAnsi="Calibri" w:cs="Arial"/>
          <w:bCs/>
          <w:sz w:val="22"/>
          <w:szCs w:val="22"/>
          <w:lang w:val="en-US" w:eastAsia="zh-TW"/>
        </w:rPr>
      </w:pPr>
      <w:r>
        <w:rPr>
          <w:rFonts w:ascii="Calibri" w:eastAsia="PMingLiU" w:hAnsi="Calibri" w:cs="Arial"/>
          <w:bCs/>
          <w:sz w:val="22"/>
          <w:szCs w:val="22"/>
          <w:lang w:val="en-US" w:eastAsia="zh-TW"/>
        </w:rPr>
        <w:t>Accounting must be</w:t>
      </w:r>
      <w:r w:rsidR="00EC00DD">
        <w:rPr>
          <w:rFonts w:ascii="Calibri" w:eastAsia="PMingLiU" w:hAnsi="Calibri" w:cs="Arial"/>
          <w:bCs/>
          <w:sz w:val="22"/>
          <w:szCs w:val="22"/>
          <w:lang w:val="en-US" w:eastAsia="zh-TW"/>
        </w:rPr>
        <w:t xml:space="preserve"> in the currency of the MMF. The guidelines explain which exchange rate should be used to express the valuation in the base currency, i.e. the currency of the MMF.</w:t>
      </w:r>
    </w:p>
    <w:p w:rsidR="00D71D65" w:rsidRPr="00D71D65" w:rsidRDefault="00D71D65" w:rsidP="004C0ED7">
      <w:pPr>
        <w:spacing w:line="240" w:lineRule="auto"/>
        <w:jc w:val="both"/>
        <w:rPr>
          <w:rFonts w:ascii="Calibri" w:eastAsia="PMingLiU" w:hAnsi="Calibri" w:cs="Arial"/>
          <w:bCs/>
          <w:sz w:val="22"/>
          <w:szCs w:val="22"/>
          <w:lang w:val="en-US" w:eastAsia="zh-TW"/>
        </w:rPr>
      </w:pPr>
    </w:p>
    <w:p w:rsidR="00310226" w:rsidRPr="00310226" w:rsidRDefault="00310226" w:rsidP="004C0ED7">
      <w:pPr>
        <w:spacing w:line="240" w:lineRule="auto"/>
        <w:jc w:val="both"/>
        <w:rPr>
          <w:rFonts w:ascii="Calibri" w:eastAsia="PMingLiU" w:hAnsi="Calibri" w:cs="Arial"/>
          <w:b/>
          <w:bCs/>
          <w:sz w:val="24"/>
          <w:szCs w:val="24"/>
          <w:lang w:val="en-US" w:eastAsia="zh-TW"/>
        </w:rPr>
      </w:pPr>
      <w:r w:rsidRPr="00310226">
        <w:rPr>
          <w:rFonts w:ascii="Calibri" w:eastAsia="PMingLiU" w:hAnsi="Calibri" w:cs="Arial"/>
          <w:b/>
          <w:bCs/>
          <w:sz w:val="24"/>
          <w:szCs w:val="24"/>
          <w:lang w:val="en-US" w:eastAsia="zh-TW"/>
        </w:rPr>
        <w:t>Q15 With respect to fields A.6.23 to A.6.25, would you identify any cases where</w:t>
      </w:r>
    </w:p>
    <w:p w:rsidR="00310226" w:rsidRPr="00310226" w:rsidRDefault="00310226" w:rsidP="004C0ED7">
      <w:pPr>
        <w:spacing w:line="240" w:lineRule="auto"/>
        <w:jc w:val="both"/>
        <w:rPr>
          <w:rFonts w:ascii="Calibri" w:eastAsia="PMingLiU" w:hAnsi="Calibri" w:cs="Arial"/>
          <w:b/>
          <w:bCs/>
          <w:sz w:val="24"/>
          <w:szCs w:val="24"/>
          <w:lang w:val="en-US" w:eastAsia="zh-TW"/>
        </w:rPr>
      </w:pPr>
      <w:r w:rsidRPr="00310226">
        <w:rPr>
          <w:rFonts w:ascii="Calibri" w:eastAsia="PMingLiU" w:hAnsi="Calibri" w:cs="Arial"/>
          <w:b/>
          <w:bCs/>
          <w:sz w:val="24"/>
          <w:szCs w:val="24"/>
          <w:lang w:val="en-US" w:eastAsia="zh-TW"/>
        </w:rPr>
        <w:t xml:space="preserve">there is no sponsor of an eligible </w:t>
      </w:r>
      <w:proofErr w:type="spellStart"/>
      <w:r w:rsidRPr="00310226">
        <w:rPr>
          <w:rFonts w:ascii="Calibri" w:eastAsia="PMingLiU" w:hAnsi="Calibri" w:cs="Arial"/>
          <w:b/>
          <w:bCs/>
          <w:sz w:val="24"/>
          <w:szCs w:val="24"/>
          <w:lang w:val="en-US" w:eastAsia="zh-TW"/>
        </w:rPr>
        <w:t>securitisation</w:t>
      </w:r>
      <w:proofErr w:type="spellEnd"/>
      <w:r w:rsidRPr="00310226">
        <w:rPr>
          <w:rFonts w:ascii="Calibri" w:eastAsia="PMingLiU" w:hAnsi="Calibri" w:cs="Arial"/>
          <w:b/>
          <w:bCs/>
          <w:sz w:val="24"/>
          <w:szCs w:val="24"/>
          <w:lang w:val="en-US" w:eastAsia="zh-TW"/>
        </w:rPr>
        <w:t xml:space="preserve"> or asset backed commercial</w:t>
      </w:r>
    </w:p>
    <w:p w:rsidR="00310226" w:rsidRDefault="00310226" w:rsidP="004C0ED7">
      <w:pPr>
        <w:spacing w:line="240" w:lineRule="auto"/>
        <w:jc w:val="both"/>
        <w:rPr>
          <w:rFonts w:ascii="Calibri" w:eastAsia="PMingLiU" w:hAnsi="Calibri" w:cs="Arial"/>
          <w:b/>
          <w:bCs/>
          <w:sz w:val="24"/>
          <w:szCs w:val="24"/>
          <w:lang w:val="en-US" w:eastAsia="zh-TW"/>
        </w:rPr>
      </w:pPr>
      <w:r w:rsidRPr="00310226">
        <w:rPr>
          <w:rFonts w:ascii="Calibri" w:eastAsia="PMingLiU" w:hAnsi="Calibri" w:cs="Arial"/>
          <w:b/>
          <w:bCs/>
          <w:sz w:val="24"/>
          <w:szCs w:val="24"/>
          <w:lang w:val="en-US" w:eastAsia="zh-TW"/>
        </w:rPr>
        <w:t>paper?</w:t>
      </w:r>
    </w:p>
    <w:p w:rsidR="004C0ED7" w:rsidRDefault="00E91484" w:rsidP="004C0ED7">
      <w:pPr>
        <w:spacing w:line="240" w:lineRule="auto"/>
        <w:jc w:val="both"/>
        <w:rPr>
          <w:rFonts w:ascii="Calibri" w:eastAsia="PMingLiU" w:hAnsi="Calibri" w:cs="Arial"/>
          <w:bCs/>
          <w:sz w:val="22"/>
          <w:szCs w:val="22"/>
          <w:lang w:val="en-US" w:eastAsia="zh-TW"/>
        </w:rPr>
      </w:pPr>
      <w:r>
        <w:rPr>
          <w:rFonts w:ascii="Calibri" w:eastAsia="PMingLiU" w:hAnsi="Calibri" w:cs="Arial"/>
          <w:bCs/>
          <w:sz w:val="22"/>
          <w:szCs w:val="22"/>
          <w:lang w:val="en-US" w:eastAsia="zh-TW"/>
        </w:rPr>
        <w:t>Amundi includes the full support requirement in the criteria to make a securitization or ABCP eligible for a MMF. As a consequence, we do not invest if there is no sponsor.</w:t>
      </w:r>
    </w:p>
    <w:p w:rsidR="00E91484" w:rsidRPr="00EC00DD" w:rsidRDefault="00E91484" w:rsidP="004C0ED7">
      <w:pPr>
        <w:spacing w:line="240" w:lineRule="auto"/>
        <w:jc w:val="both"/>
        <w:rPr>
          <w:rFonts w:ascii="Calibri" w:eastAsia="PMingLiU" w:hAnsi="Calibri" w:cs="Arial"/>
          <w:bCs/>
          <w:sz w:val="22"/>
          <w:szCs w:val="22"/>
          <w:lang w:val="en-US" w:eastAsia="zh-TW"/>
        </w:rPr>
      </w:pPr>
    </w:p>
    <w:p w:rsidR="00310226" w:rsidRPr="00310226" w:rsidRDefault="00310226" w:rsidP="004C0ED7">
      <w:pPr>
        <w:spacing w:line="240" w:lineRule="auto"/>
        <w:jc w:val="both"/>
        <w:rPr>
          <w:rFonts w:ascii="Calibri" w:eastAsia="PMingLiU" w:hAnsi="Calibri" w:cs="Arial"/>
          <w:b/>
          <w:bCs/>
          <w:sz w:val="24"/>
          <w:szCs w:val="24"/>
          <w:lang w:val="en-US" w:eastAsia="zh-TW"/>
        </w:rPr>
      </w:pPr>
      <w:r w:rsidRPr="00310226">
        <w:rPr>
          <w:rFonts w:ascii="Calibri" w:eastAsia="PMingLiU" w:hAnsi="Calibri" w:cs="Arial"/>
          <w:b/>
          <w:bCs/>
          <w:sz w:val="24"/>
          <w:szCs w:val="24"/>
          <w:lang w:val="en-US" w:eastAsia="zh-TW"/>
        </w:rPr>
        <w:t>Q16 Do you identify other potential contract types that would need to be</w:t>
      </w:r>
    </w:p>
    <w:p w:rsidR="00310226" w:rsidRDefault="00310226" w:rsidP="004C0ED7">
      <w:pPr>
        <w:spacing w:line="240" w:lineRule="auto"/>
        <w:jc w:val="both"/>
        <w:rPr>
          <w:rFonts w:ascii="Calibri" w:eastAsia="PMingLiU" w:hAnsi="Calibri" w:cs="Arial"/>
          <w:b/>
          <w:bCs/>
          <w:sz w:val="24"/>
          <w:szCs w:val="24"/>
          <w:lang w:val="en-US" w:eastAsia="zh-TW"/>
        </w:rPr>
      </w:pPr>
      <w:r w:rsidRPr="00310226">
        <w:rPr>
          <w:rFonts w:ascii="Calibri" w:eastAsia="PMingLiU" w:hAnsi="Calibri" w:cs="Arial"/>
          <w:b/>
          <w:bCs/>
          <w:sz w:val="24"/>
          <w:szCs w:val="24"/>
          <w:lang w:val="en-US" w:eastAsia="zh-TW"/>
        </w:rPr>
        <w:t>included in the list above in relation to field A.6.39?</w:t>
      </w:r>
    </w:p>
    <w:p w:rsidR="004C0ED7" w:rsidRDefault="00E91484" w:rsidP="004C0ED7">
      <w:pPr>
        <w:spacing w:line="240" w:lineRule="auto"/>
        <w:jc w:val="both"/>
        <w:rPr>
          <w:rFonts w:ascii="Calibri" w:eastAsia="PMingLiU" w:hAnsi="Calibri" w:cs="Arial"/>
          <w:bCs/>
          <w:sz w:val="22"/>
          <w:szCs w:val="22"/>
          <w:lang w:val="en-US" w:eastAsia="zh-TW"/>
        </w:rPr>
      </w:pPr>
      <w:r>
        <w:rPr>
          <w:rFonts w:ascii="Calibri" w:eastAsia="PMingLiU" w:hAnsi="Calibri" w:cs="Arial"/>
          <w:bCs/>
          <w:sz w:val="22"/>
          <w:szCs w:val="22"/>
          <w:lang w:val="en-US" w:eastAsia="zh-TW"/>
        </w:rPr>
        <w:t xml:space="preserve">it is unclear when reading the list to decide where such transactions as Cross currency swaps  and FX forwards are to be classified. Is it in the generic SWAP and FORW categories? Why FX </w:t>
      </w:r>
      <w:r w:rsidR="00E8620C">
        <w:rPr>
          <w:rFonts w:ascii="Calibri" w:eastAsia="PMingLiU" w:hAnsi="Calibri" w:cs="Arial"/>
          <w:bCs/>
          <w:sz w:val="22"/>
          <w:szCs w:val="22"/>
          <w:lang w:val="en-US" w:eastAsia="zh-TW"/>
        </w:rPr>
        <w:t>Forwards are</w:t>
      </w:r>
      <w:r>
        <w:rPr>
          <w:rFonts w:ascii="Calibri" w:eastAsia="PMingLiU" w:hAnsi="Calibri" w:cs="Arial"/>
          <w:bCs/>
          <w:sz w:val="22"/>
          <w:szCs w:val="22"/>
          <w:lang w:val="en-US" w:eastAsia="zh-TW"/>
        </w:rPr>
        <w:t xml:space="preserve"> not identified when </w:t>
      </w:r>
      <w:r w:rsidR="00E8620C">
        <w:rPr>
          <w:rFonts w:ascii="Calibri" w:eastAsia="PMingLiU" w:hAnsi="Calibri" w:cs="Arial"/>
          <w:bCs/>
          <w:sz w:val="22"/>
          <w:szCs w:val="22"/>
          <w:lang w:val="en-US" w:eastAsia="zh-TW"/>
        </w:rPr>
        <w:t>FRAS and FWOS are ?</w:t>
      </w:r>
    </w:p>
    <w:p w:rsidR="00E91484" w:rsidRPr="00E91484" w:rsidRDefault="00E91484" w:rsidP="004C0ED7">
      <w:pPr>
        <w:spacing w:line="240" w:lineRule="auto"/>
        <w:jc w:val="both"/>
        <w:rPr>
          <w:rFonts w:ascii="Calibri" w:eastAsia="PMingLiU" w:hAnsi="Calibri" w:cs="Arial"/>
          <w:bCs/>
          <w:sz w:val="22"/>
          <w:szCs w:val="22"/>
          <w:lang w:val="en-US" w:eastAsia="zh-TW"/>
        </w:rPr>
      </w:pPr>
    </w:p>
    <w:p w:rsidR="00310226" w:rsidRPr="00310226" w:rsidRDefault="00310226" w:rsidP="004C0ED7">
      <w:pPr>
        <w:spacing w:line="240" w:lineRule="auto"/>
        <w:jc w:val="both"/>
        <w:rPr>
          <w:rFonts w:ascii="Calibri" w:eastAsia="PMingLiU" w:hAnsi="Calibri" w:cs="Arial"/>
          <w:b/>
          <w:bCs/>
          <w:sz w:val="24"/>
          <w:szCs w:val="24"/>
          <w:lang w:val="en-US" w:eastAsia="zh-TW"/>
        </w:rPr>
      </w:pPr>
      <w:r w:rsidRPr="00310226">
        <w:rPr>
          <w:rFonts w:ascii="Calibri" w:eastAsia="PMingLiU" w:hAnsi="Calibri" w:cs="Arial"/>
          <w:b/>
          <w:bCs/>
          <w:sz w:val="24"/>
          <w:szCs w:val="24"/>
          <w:lang w:val="en-US" w:eastAsia="zh-TW"/>
        </w:rPr>
        <w:t>Q17 Do you see merits in clarifying what should be the name of the underlying</w:t>
      </w:r>
    </w:p>
    <w:p w:rsidR="00310226" w:rsidRDefault="00310226" w:rsidP="004C0ED7">
      <w:pPr>
        <w:spacing w:line="240" w:lineRule="auto"/>
        <w:jc w:val="both"/>
        <w:rPr>
          <w:rFonts w:ascii="Calibri" w:eastAsia="PMingLiU" w:hAnsi="Calibri" w:cs="Arial"/>
          <w:b/>
          <w:bCs/>
          <w:sz w:val="24"/>
          <w:szCs w:val="24"/>
          <w:lang w:val="en-US" w:eastAsia="zh-TW"/>
        </w:rPr>
      </w:pPr>
      <w:r w:rsidRPr="00310226">
        <w:rPr>
          <w:rFonts w:ascii="Calibri" w:eastAsia="PMingLiU" w:hAnsi="Calibri" w:cs="Arial"/>
          <w:b/>
          <w:bCs/>
          <w:sz w:val="24"/>
          <w:szCs w:val="24"/>
          <w:lang w:val="en-US" w:eastAsia="zh-TW"/>
        </w:rPr>
        <w:t>as referred to in Field A.6.45? If yes, which specifications would you expect?</w:t>
      </w:r>
    </w:p>
    <w:p w:rsidR="004C0ED7" w:rsidRDefault="00E8620C" w:rsidP="004C0ED7">
      <w:pPr>
        <w:spacing w:line="240" w:lineRule="auto"/>
        <w:jc w:val="both"/>
        <w:rPr>
          <w:rFonts w:ascii="Calibri" w:eastAsia="PMingLiU" w:hAnsi="Calibri" w:cs="Arial"/>
          <w:bCs/>
          <w:sz w:val="22"/>
          <w:szCs w:val="22"/>
          <w:lang w:val="en-US" w:eastAsia="zh-TW"/>
        </w:rPr>
      </w:pPr>
      <w:r>
        <w:rPr>
          <w:rFonts w:ascii="Calibri" w:eastAsia="PMingLiU" w:hAnsi="Calibri" w:cs="Arial"/>
          <w:bCs/>
          <w:sz w:val="22"/>
          <w:szCs w:val="22"/>
          <w:lang w:val="en-US" w:eastAsia="zh-TW"/>
        </w:rPr>
        <w:t>No.</w:t>
      </w:r>
    </w:p>
    <w:p w:rsidR="00E8620C" w:rsidRPr="00E8620C" w:rsidRDefault="00E8620C" w:rsidP="004C0ED7">
      <w:pPr>
        <w:spacing w:line="240" w:lineRule="auto"/>
        <w:jc w:val="both"/>
        <w:rPr>
          <w:rFonts w:ascii="Calibri" w:eastAsia="PMingLiU" w:hAnsi="Calibri" w:cs="Arial"/>
          <w:bCs/>
          <w:sz w:val="22"/>
          <w:szCs w:val="22"/>
          <w:lang w:val="en-US" w:eastAsia="zh-TW"/>
        </w:rPr>
      </w:pPr>
    </w:p>
    <w:p w:rsidR="00310226" w:rsidRPr="00310226" w:rsidRDefault="00310226" w:rsidP="004C0ED7">
      <w:pPr>
        <w:spacing w:line="240" w:lineRule="auto"/>
        <w:jc w:val="both"/>
        <w:rPr>
          <w:rFonts w:ascii="Calibri" w:eastAsia="PMingLiU" w:hAnsi="Calibri" w:cs="Arial"/>
          <w:b/>
          <w:bCs/>
          <w:sz w:val="24"/>
          <w:szCs w:val="24"/>
          <w:lang w:val="en-US" w:eastAsia="zh-TW"/>
        </w:rPr>
      </w:pPr>
      <w:r w:rsidRPr="00310226">
        <w:rPr>
          <w:rFonts w:ascii="Calibri" w:eastAsia="PMingLiU" w:hAnsi="Calibri" w:cs="Arial"/>
          <w:b/>
          <w:bCs/>
          <w:sz w:val="24"/>
          <w:szCs w:val="24"/>
          <w:lang w:val="en-US" w:eastAsia="zh-TW"/>
        </w:rPr>
        <w:t>Q18 Are you of the view that ESMA should further specify what is meant by</w:t>
      </w:r>
    </w:p>
    <w:p w:rsidR="00310226" w:rsidRPr="00310226" w:rsidRDefault="00310226" w:rsidP="004C0ED7">
      <w:pPr>
        <w:spacing w:line="240" w:lineRule="auto"/>
        <w:jc w:val="both"/>
        <w:rPr>
          <w:rFonts w:ascii="Calibri" w:eastAsia="PMingLiU" w:hAnsi="Calibri" w:cs="Arial"/>
          <w:b/>
          <w:bCs/>
          <w:sz w:val="24"/>
          <w:szCs w:val="24"/>
          <w:lang w:val="en-US" w:eastAsia="zh-TW"/>
        </w:rPr>
      </w:pPr>
      <w:r w:rsidRPr="00310226">
        <w:rPr>
          <w:rFonts w:ascii="Calibri" w:eastAsia="PMingLiU" w:hAnsi="Calibri" w:cs="Arial"/>
          <w:b/>
          <w:bCs/>
          <w:sz w:val="24"/>
          <w:szCs w:val="24"/>
          <w:lang w:val="en-US" w:eastAsia="zh-TW"/>
        </w:rPr>
        <w:t>“exposure” in fields A.6.91 and A.6.92? If yes, which types of specifications</w:t>
      </w:r>
    </w:p>
    <w:p w:rsidR="00310226" w:rsidRDefault="00310226" w:rsidP="004C0ED7">
      <w:pPr>
        <w:spacing w:line="240" w:lineRule="auto"/>
        <w:jc w:val="both"/>
        <w:rPr>
          <w:rFonts w:ascii="Calibri" w:eastAsia="PMingLiU" w:hAnsi="Calibri" w:cs="Arial"/>
          <w:b/>
          <w:bCs/>
          <w:sz w:val="24"/>
          <w:szCs w:val="24"/>
          <w:lang w:val="en-US" w:eastAsia="zh-TW"/>
        </w:rPr>
      </w:pPr>
      <w:r w:rsidRPr="00310226">
        <w:rPr>
          <w:rFonts w:ascii="Calibri" w:eastAsia="PMingLiU" w:hAnsi="Calibri" w:cs="Arial"/>
          <w:b/>
          <w:bCs/>
          <w:sz w:val="24"/>
          <w:szCs w:val="24"/>
          <w:lang w:val="en-US" w:eastAsia="zh-TW"/>
        </w:rPr>
        <w:t>would you suggest?</w:t>
      </w:r>
    </w:p>
    <w:p w:rsidR="00783C09" w:rsidRDefault="00E8620C" w:rsidP="004C0ED7">
      <w:pPr>
        <w:spacing w:line="240" w:lineRule="auto"/>
        <w:jc w:val="both"/>
        <w:rPr>
          <w:rFonts w:ascii="Calibri" w:eastAsia="PMingLiU" w:hAnsi="Calibri" w:cs="Arial"/>
          <w:bCs/>
          <w:sz w:val="22"/>
          <w:szCs w:val="22"/>
          <w:lang w:val="en-US" w:eastAsia="zh-TW"/>
        </w:rPr>
      </w:pPr>
      <w:r>
        <w:rPr>
          <w:rFonts w:ascii="Calibri" w:eastAsia="PMingLiU" w:hAnsi="Calibri" w:cs="Arial"/>
          <w:bCs/>
          <w:sz w:val="22"/>
          <w:szCs w:val="22"/>
          <w:lang w:val="en-US" w:eastAsia="zh-TW"/>
        </w:rPr>
        <w:t>We ask ESMA to reconsider its position on Repos and Reverse Repos. Collateral is of the essence of these operations and should not be overlooked. Funds do not use reverse Repos in order to help banks finance their book</w:t>
      </w:r>
      <w:r w:rsidR="009B42A7">
        <w:rPr>
          <w:rFonts w:ascii="Calibri" w:eastAsia="PMingLiU" w:hAnsi="Calibri" w:cs="Arial"/>
          <w:bCs/>
          <w:sz w:val="22"/>
          <w:szCs w:val="22"/>
          <w:lang w:val="en-US" w:eastAsia="zh-TW"/>
        </w:rPr>
        <w:t>s</w:t>
      </w:r>
      <w:r>
        <w:rPr>
          <w:rFonts w:ascii="Calibri" w:eastAsia="PMingLiU" w:hAnsi="Calibri" w:cs="Arial"/>
          <w:bCs/>
          <w:sz w:val="22"/>
          <w:szCs w:val="22"/>
          <w:lang w:val="en-US" w:eastAsia="zh-TW"/>
        </w:rPr>
        <w:t xml:space="preserve">. No, they prefer to receive collateral through a Reverse Repo for the cash they send so as to better protect the interests of their client investors than through a deposit or the subscription of a CD (where the counterparty /credit risk is not mitigated). </w:t>
      </w:r>
      <w:r w:rsidR="00783C09">
        <w:rPr>
          <w:rFonts w:ascii="Calibri" w:eastAsia="PMingLiU" w:hAnsi="Calibri" w:cs="Arial"/>
          <w:bCs/>
          <w:sz w:val="22"/>
          <w:szCs w:val="22"/>
          <w:lang w:val="en-US" w:eastAsia="zh-TW"/>
        </w:rPr>
        <w:t>If collateral is not taken into consideration when reporting</w:t>
      </w:r>
      <w:r w:rsidR="009B42A7">
        <w:rPr>
          <w:rFonts w:ascii="Calibri" w:eastAsia="PMingLiU" w:hAnsi="Calibri" w:cs="Arial"/>
          <w:bCs/>
          <w:sz w:val="22"/>
          <w:szCs w:val="22"/>
          <w:lang w:val="en-US" w:eastAsia="zh-TW"/>
        </w:rPr>
        <w:t>,</w:t>
      </w:r>
      <w:r w:rsidR="00783C09">
        <w:rPr>
          <w:rFonts w:ascii="Calibri" w:eastAsia="PMingLiU" w:hAnsi="Calibri" w:cs="Arial"/>
          <w:bCs/>
          <w:sz w:val="22"/>
          <w:szCs w:val="22"/>
          <w:lang w:val="en-US" w:eastAsia="zh-TW"/>
        </w:rPr>
        <w:t xml:space="preserve"> authorities will get an erroneous perception of risk. We suggest that NCAs receive per type of transactions (master agreement) </w:t>
      </w:r>
      <w:r w:rsidR="009B42A7">
        <w:rPr>
          <w:rFonts w:ascii="Calibri" w:eastAsia="PMingLiU" w:hAnsi="Calibri" w:cs="Arial"/>
          <w:bCs/>
          <w:sz w:val="22"/>
          <w:szCs w:val="22"/>
          <w:lang w:val="en-US" w:eastAsia="zh-TW"/>
        </w:rPr>
        <w:t>(</w:t>
      </w:r>
      <w:proofErr w:type="spellStart"/>
      <w:r w:rsidR="009B42A7">
        <w:rPr>
          <w:rFonts w:ascii="Calibri" w:eastAsia="PMingLiU" w:hAnsi="Calibri" w:cs="Arial"/>
          <w:bCs/>
          <w:sz w:val="22"/>
          <w:szCs w:val="22"/>
          <w:lang w:val="en-US" w:eastAsia="zh-TW"/>
        </w:rPr>
        <w:t>i</w:t>
      </w:r>
      <w:proofErr w:type="spellEnd"/>
      <w:r w:rsidR="009B42A7">
        <w:rPr>
          <w:rFonts w:ascii="Calibri" w:eastAsia="PMingLiU" w:hAnsi="Calibri" w:cs="Arial"/>
          <w:bCs/>
          <w:sz w:val="22"/>
          <w:szCs w:val="22"/>
          <w:lang w:val="en-US" w:eastAsia="zh-TW"/>
        </w:rPr>
        <w:t xml:space="preserve">) </w:t>
      </w:r>
      <w:r w:rsidR="00783C09">
        <w:rPr>
          <w:rFonts w:ascii="Calibri" w:eastAsia="PMingLiU" w:hAnsi="Calibri" w:cs="Arial"/>
          <w:bCs/>
          <w:sz w:val="22"/>
          <w:szCs w:val="22"/>
          <w:lang w:val="en-US" w:eastAsia="zh-TW"/>
        </w:rPr>
        <w:t xml:space="preserve">a gross exposure, </w:t>
      </w:r>
      <w:r w:rsidR="009B42A7">
        <w:rPr>
          <w:rFonts w:ascii="Calibri" w:eastAsia="PMingLiU" w:hAnsi="Calibri" w:cs="Arial"/>
          <w:bCs/>
          <w:sz w:val="22"/>
          <w:szCs w:val="22"/>
          <w:lang w:val="en-US" w:eastAsia="zh-TW"/>
        </w:rPr>
        <w:t xml:space="preserve">(ii) </w:t>
      </w:r>
      <w:r w:rsidR="00783C09">
        <w:rPr>
          <w:rFonts w:ascii="Calibri" w:eastAsia="PMingLiU" w:hAnsi="Calibri" w:cs="Arial"/>
          <w:bCs/>
          <w:sz w:val="22"/>
          <w:szCs w:val="22"/>
          <w:lang w:val="en-US" w:eastAsia="zh-TW"/>
        </w:rPr>
        <w:t xml:space="preserve">the collateral received and </w:t>
      </w:r>
      <w:r w:rsidR="009B42A7">
        <w:rPr>
          <w:rFonts w:ascii="Calibri" w:eastAsia="PMingLiU" w:hAnsi="Calibri" w:cs="Arial"/>
          <w:bCs/>
          <w:sz w:val="22"/>
          <w:szCs w:val="22"/>
          <w:lang w:val="en-US" w:eastAsia="zh-TW"/>
        </w:rPr>
        <w:t xml:space="preserve">(iii) </w:t>
      </w:r>
      <w:r w:rsidR="00783C09">
        <w:rPr>
          <w:rFonts w:ascii="Calibri" w:eastAsia="PMingLiU" w:hAnsi="Calibri" w:cs="Arial"/>
          <w:bCs/>
          <w:sz w:val="22"/>
          <w:szCs w:val="22"/>
          <w:lang w:val="en-US" w:eastAsia="zh-TW"/>
        </w:rPr>
        <w:t xml:space="preserve">the resulting net exposure. This, though more complex, is the best way to be able to assess risk. All these amounts should be expressed in the base currency  (accounting currency) of the fund and collateral should be net of haircuts. </w:t>
      </w:r>
    </w:p>
    <w:p w:rsidR="00E8620C" w:rsidRPr="00E8620C" w:rsidRDefault="00E8620C" w:rsidP="004C0ED7">
      <w:pPr>
        <w:spacing w:line="240" w:lineRule="auto"/>
        <w:jc w:val="both"/>
        <w:rPr>
          <w:rFonts w:ascii="Calibri" w:eastAsia="PMingLiU" w:hAnsi="Calibri" w:cs="Arial"/>
          <w:bCs/>
          <w:sz w:val="22"/>
          <w:szCs w:val="22"/>
          <w:lang w:val="en-US" w:eastAsia="zh-TW"/>
        </w:rPr>
      </w:pPr>
    </w:p>
    <w:p w:rsidR="00310226" w:rsidRPr="00310226" w:rsidRDefault="00310226" w:rsidP="004C0ED7">
      <w:pPr>
        <w:spacing w:line="240" w:lineRule="auto"/>
        <w:jc w:val="both"/>
        <w:rPr>
          <w:rFonts w:ascii="Calibri" w:eastAsia="PMingLiU" w:hAnsi="Calibri" w:cs="Arial"/>
          <w:b/>
          <w:bCs/>
          <w:sz w:val="24"/>
          <w:szCs w:val="24"/>
          <w:lang w:val="en-US" w:eastAsia="zh-TW"/>
        </w:rPr>
      </w:pPr>
      <w:r w:rsidRPr="00310226">
        <w:rPr>
          <w:rFonts w:ascii="Calibri" w:eastAsia="PMingLiU" w:hAnsi="Calibri" w:cs="Arial"/>
          <w:b/>
          <w:bCs/>
          <w:sz w:val="24"/>
          <w:szCs w:val="24"/>
          <w:lang w:val="en-US" w:eastAsia="zh-TW"/>
        </w:rPr>
        <w:t>Q19 Do you identify any other issue that would need to be specified in relation</w:t>
      </w:r>
    </w:p>
    <w:p w:rsidR="00310226" w:rsidRDefault="00310226" w:rsidP="004C0ED7">
      <w:pPr>
        <w:spacing w:line="240" w:lineRule="auto"/>
        <w:jc w:val="both"/>
        <w:rPr>
          <w:rFonts w:ascii="Calibri" w:eastAsia="PMingLiU" w:hAnsi="Calibri" w:cs="Arial"/>
          <w:b/>
          <w:bCs/>
          <w:sz w:val="24"/>
          <w:szCs w:val="24"/>
          <w:lang w:val="en-US" w:eastAsia="zh-TW"/>
        </w:rPr>
      </w:pPr>
      <w:r w:rsidRPr="00310226">
        <w:rPr>
          <w:rFonts w:ascii="Calibri" w:eastAsia="PMingLiU" w:hAnsi="Calibri" w:cs="Arial"/>
          <w:b/>
          <w:bCs/>
          <w:sz w:val="24"/>
          <w:szCs w:val="24"/>
          <w:lang w:val="en-US" w:eastAsia="zh-TW"/>
        </w:rPr>
        <w:t>to the above section on the block 4 of the reporting template?</w:t>
      </w:r>
    </w:p>
    <w:p w:rsidR="00D462AC" w:rsidRDefault="00D462AC" w:rsidP="004C0ED7">
      <w:pPr>
        <w:spacing w:line="240" w:lineRule="auto"/>
        <w:jc w:val="both"/>
        <w:rPr>
          <w:rFonts w:ascii="Calibri" w:eastAsia="PMingLiU" w:hAnsi="Calibri" w:cs="Arial"/>
          <w:bCs/>
          <w:sz w:val="22"/>
          <w:szCs w:val="22"/>
          <w:lang w:val="en-US" w:eastAsia="zh-TW"/>
        </w:rPr>
      </w:pPr>
      <w:r>
        <w:rPr>
          <w:rFonts w:ascii="Calibri" w:eastAsia="PMingLiU" w:hAnsi="Calibri" w:cs="Arial"/>
          <w:bCs/>
          <w:sz w:val="22"/>
          <w:szCs w:val="22"/>
          <w:lang w:val="en-US" w:eastAsia="zh-TW"/>
        </w:rPr>
        <w:t>Yes, we want to answer to the second part of question 20 at this stage because it relates to Block 4 in our opinion.</w:t>
      </w:r>
    </w:p>
    <w:p w:rsidR="004C0ED7" w:rsidRDefault="00D462AC" w:rsidP="004C0ED7">
      <w:pPr>
        <w:spacing w:line="240" w:lineRule="auto"/>
        <w:jc w:val="both"/>
        <w:rPr>
          <w:rFonts w:ascii="Calibri" w:eastAsia="PMingLiU" w:hAnsi="Calibri" w:cs="Arial"/>
          <w:bCs/>
          <w:sz w:val="22"/>
          <w:szCs w:val="22"/>
          <w:lang w:val="en-US" w:eastAsia="zh-TW"/>
        </w:rPr>
      </w:pPr>
      <w:r>
        <w:rPr>
          <w:rFonts w:ascii="Calibri" w:eastAsia="PMingLiU" w:hAnsi="Calibri" w:cs="Arial"/>
          <w:bCs/>
          <w:sz w:val="22"/>
          <w:szCs w:val="22"/>
          <w:lang w:val="en-US" w:eastAsia="zh-TW"/>
        </w:rPr>
        <w:t>We know that it would be wonderful to add all positions in the portfolio of a MMF and check that it equals NAV. It is not the case. One of the key reason</w:t>
      </w:r>
      <w:r w:rsidR="009B42A7">
        <w:rPr>
          <w:rFonts w:ascii="Calibri" w:eastAsia="PMingLiU" w:hAnsi="Calibri" w:cs="Arial"/>
          <w:bCs/>
          <w:sz w:val="22"/>
          <w:szCs w:val="22"/>
          <w:lang w:val="en-US" w:eastAsia="zh-TW"/>
        </w:rPr>
        <w:t>s</w:t>
      </w:r>
      <w:r>
        <w:rPr>
          <w:rFonts w:ascii="Calibri" w:eastAsia="PMingLiU" w:hAnsi="Calibri" w:cs="Arial"/>
          <w:bCs/>
          <w:sz w:val="22"/>
          <w:szCs w:val="22"/>
          <w:lang w:val="en-US" w:eastAsia="zh-TW"/>
        </w:rPr>
        <w:t xml:space="preserve"> is that </w:t>
      </w:r>
      <w:r w:rsidR="000C2B46">
        <w:rPr>
          <w:rFonts w:ascii="Calibri" w:eastAsia="PMingLiU" w:hAnsi="Calibri" w:cs="Arial"/>
          <w:bCs/>
          <w:sz w:val="22"/>
          <w:szCs w:val="22"/>
          <w:lang w:val="en-US" w:eastAsia="zh-TW"/>
        </w:rPr>
        <w:t>when the administrator</w:t>
      </w:r>
      <w:r>
        <w:rPr>
          <w:rFonts w:ascii="Calibri" w:eastAsia="PMingLiU" w:hAnsi="Calibri" w:cs="Arial"/>
          <w:bCs/>
          <w:sz w:val="22"/>
          <w:szCs w:val="22"/>
          <w:lang w:val="en-US" w:eastAsia="zh-TW"/>
        </w:rPr>
        <w:t xml:space="preserve"> calculat</w:t>
      </w:r>
      <w:r w:rsidR="000C2B46">
        <w:rPr>
          <w:rFonts w:ascii="Calibri" w:eastAsia="PMingLiU" w:hAnsi="Calibri" w:cs="Arial"/>
          <w:bCs/>
          <w:sz w:val="22"/>
          <w:szCs w:val="22"/>
          <w:lang w:val="en-US" w:eastAsia="zh-TW"/>
        </w:rPr>
        <w:t>es</w:t>
      </w:r>
      <w:r>
        <w:rPr>
          <w:rFonts w:ascii="Calibri" w:eastAsia="PMingLiU" w:hAnsi="Calibri" w:cs="Arial"/>
          <w:bCs/>
          <w:sz w:val="22"/>
          <w:szCs w:val="22"/>
          <w:lang w:val="en-US" w:eastAsia="zh-TW"/>
        </w:rPr>
        <w:t xml:space="preserve"> the NAV</w:t>
      </w:r>
      <w:r w:rsidR="000C2B46">
        <w:rPr>
          <w:rFonts w:ascii="Calibri" w:eastAsia="PMingLiU" w:hAnsi="Calibri" w:cs="Arial"/>
          <w:bCs/>
          <w:sz w:val="22"/>
          <w:szCs w:val="22"/>
          <w:lang w:val="en-US" w:eastAsia="zh-TW"/>
        </w:rPr>
        <w:t>, it</w:t>
      </w:r>
      <w:r>
        <w:rPr>
          <w:rFonts w:ascii="Calibri" w:eastAsia="PMingLiU" w:hAnsi="Calibri" w:cs="Arial"/>
          <w:bCs/>
          <w:sz w:val="22"/>
          <w:szCs w:val="22"/>
          <w:lang w:val="en-US" w:eastAsia="zh-TW"/>
        </w:rPr>
        <w:t xml:space="preserve"> introduces accounting adjustments </w:t>
      </w:r>
      <w:r w:rsidR="000C2B46">
        <w:rPr>
          <w:rFonts w:ascii="Calibri" w:eastAsia="PMingLiU" w:hAnsi="Calibri" w:cs="Arial"/>
          <w:bCs/>
          <w:sz w:val="22"/>
          <w:szCs w:val="22"/>
          <w:lang w:val="en-US" w:eastAsia="zh-TW"/>
        </w:rPr>
        <w:t>at the level of the fund, among which costs and charges which are not linked to any specific position.</w:t>
      </w:r>
    </w:p>
    <w:p w:rsidR="00D462AC" w:rsidRPr="00D462AC" w:rsidRDefault="00D462AC" w:rsidP="004C0ED7">
      <w:pPr>
        <w:spacing w:line="240" w:lineRule="auto"/>
        <w:jc w:val="both"/>
        <w:rPr>
          <w:rFonts w:ascii="Calibri" w:eastAsia="PMingLiU" w:hAnsi="Calibri" w:cs="Arial"/>
          <w:bCs/>
          <w:sz w:val="22"/>
          <w:szCs w:val="22"/>
          <w:lang w:val="en-US" w:eastAsia="zh-TW"/>
        </w:rPr>
      </w:pPr>
    </w:p>
    <w:p w:rsidR="00310226" w:rsidRPr="00310226" w:rsidRDefault="00310226" w:rsidP="004C0ED7">
      <w:pPr>
        <w:spacing w:line="240" w:lineRule="auto"/>
        <w:jc w:val="both"/>
        <w:rPr>
          <w:rFonts w:ascii="Calibri" w:eastAsia="PMingLiU" w:hAnsi="Calibri" w:cs="Arial"/>
          <w:b/>
          <w:bCs/>
          <w:sz w:val="24"/>
          <w:szCs w:val="24"/>
          <w:lang w:val="en-US" w:eastAsia="zh-TW"/>
        </w:rPr>
      </w:pPr>
      <w:r w:rsidRPr="00310226">
        <w:rPr>
          <w:rFonts w:ascii="Calibri" w:eastAsia="PMingLiU" w:hAnsi="Calibri" w:cs="Arial"/>
          <w:b/>
          <w:bCs/>
          <w:sz w:val="24"/>
          <w:szCs w:val="24"/>
          <w:lang w:val="en-US" w:eastAsia="zh-TW"/>
        </w:rPr>
        <w:t>Q20 Do you identify any other issue that would need to be specified in relation</w:t>
      </w:r>
    </w:p>
    <w:p w:rsidR="00310226" w:rsidRPr="00310226" w:rsidRDefault="00310226" w:rsidP="004C0ED7">
      <w:pPr>
        <w:spacing w:line="240" w:lineRule="auto"/>
        <w:jc w:val="both"/>
        <w:rPr>
          <w:rFonts w:ascii="Calibri" w:eastAsia="PMingLiU" w:hAnsi="Calibri" w:cs="Arial"/>
          <w:b/>
          <w:bCs/>
          <w:sz w:val="24"/>
          <w:szCs w:val="24"/>
          <w:lang w:val="en-US" w:eastAsia="zh-TW"/>
        </w:rPr>
      </w:pPr>
      <w:r w:rsidRPr="00310226">
        <w:rPr>
          <w:rFonts w:ascii="Calibri" w:eastAsia="PMingLiU" w:hAnsi="Calibri" w:cs="Arial"/>
          <w:b/>
          <w:bCs/>
          <w:sz w:val="24"/>
          <w:szCs w:val="24"/>
          <w:lang w:val="en-US" w:eastAsia="zh-TW"/>
        </w:rPr>
        <w:t>to the above section on the block 5 of the reporting template? In particular, in</w:t>
      </w:r>
    </w:p>
    <w:p w:rsidR="00310226" w:rsidRPr="00310226" w:rsidRDefault="00310226" w:rsidP="004C0ED7">
      <w:pPr>
        <w:spacing w:line="240" w:lineRule="auto"/>
        <w:jc w:val="both"/>
        <w:rPr>
          <w:rFonts w:ascii="Calibri" w:eastAsia="PMingLiU" w:hAnsi="Calibri" w:cs="Arial"/>
          <w:b/>
          <w:bCs/>
          <w:sz w:val="24"/>
          <w:szCs w:val="24"/>
          <w:lang w:val="en-US" w:eastAsia="zh-TW"/>
        </w:rPr>
      </w:pPr>
      <w:r w:rsidRPr="00310226">
        <w:rPr>
          <w:rFonts w:ascii="Calibri" w:eastAsia="PMingLiU" w:hAnsi="Calibri" w:cs="Arial"/>
          <w:b/>
          <w:bCs/>
          <w:sz w:val="24"/>
          <w:szCs w:val="24"/>
          <w:lang w:val="en-US" w:eastAsia="zh-TW"/>
        </w:rPr>
        <w:t>your view, how would the NAV of the MMF compare to the sum of the values of</w:t>
      </w:r>
    </w:p>
    <w:p w:rsidR="00310226" w:rsidRPr="00310226" w:rsidRDefault="00310226" w:rsidP="004C0ED7">
      <w:pPr>
        <w:spacing w:line="240" w:lineRule="auto"/>
        <w:jc w:val="both"/>
        <w:rPr>
          <w:rFonts w:ascii="Calibri" w:eastAsia="PMingLiU" w:hAnsi="Calibri" w:cs="Arial"/>
          <w:b/>
          <w:bCs/>
          <w:sz w:val="24"/>
          <w:szCs w:val="24"/>
          <w:lang w:val="en-US" w:eastAsia="zh-TW"/>
        </w:rPr>
      </w:pPr>
      <w:r w:rsidRPr="00310226">
        <w:rPr>
          <w:rFonts w:ascii="Calibri" w:eastAsia="PMingLiU" w:hAnsi="Calibri" w:cs="Arial"/>
          <w:b/>
          <w:bCs/>
          <w:sz w:val="24"/>
          <w:szCs w:val="24"/>
          <w:lang w:val="en-US" w:eastAsia="zh-TW"/>
        </w:rPr>
        <w:t>the fields on total market values (and quantity) of money market instruments,</w:t>
      </w:r>
    </w:p>
    <w:p w:rsidR="00310226" w:rsidRPr="00310226" w:rsidRDefault="00310226" w:rsidP="004C0ED7">
      <w:pPr>
        <w:spacing w:line="240" w:lineRule="auto"/>
        <w:jc w:val="both"/>
        <w:rPr>
          <w:rFonts w:ascii="Calibri" w:eastAsia="PMingLiU" w:hAnsi="Calibri" w:cs="Arial"/>
          <w:b/>
          <w:bCs/>
          <w:sz w:val="24"/>
          <w:szCs w:val="24"/>
          <w:lang w:val="en-US" w:eastAsia="zh-TW"/>
        </w:rPr>
      </w:pPr>
      <w:proofErr w:type="spellStart"/>
      <w:r w:rsidRPr="00310226">
        <w:rPr>
          <w:rFonts w:ascii="Calibri" w:eastAsia="PMingLiU" w:hAnsi="Calibri" w:cs="Arial"/>
          <w:b/>
          <w:bCs/>
          <w:sz w:val="24"/>
          <w:szCs w:val="24"/>
          <w:lang w:val="en-US" w:eastAsia="zh-TW"/>
        </w:rPr>
        <w:t>securitisation</w:t>
      </w:r>
      <w:proofErr w:type="spellEnd"/>
      <w:r w:rsidRPr="00310226">
        <w:rPr>
          <w:rFonts w:ascii="Calibri" w:eastAsia="PMingLiU" w:hAnsi="Calibri" w:cs="Arial"/>
          <w:b/>
          <w:bCs/>
          <w:sz w:val="24"/>
          <w:szCs w:val="24"/>
          <w:lang w:val="en-US" w:eastAsia="zh-TW"/>
        </w:rPr>
        <w:t xml:space="preserve"> and ABCP, financial derivative instrument, unit or share of other</w:t>
      </w:r>
    </w:p>
    <w:p w:rsidR="00310226" w:rsidRPr="00310226" w:rsidRDefault="00310226" w:rsidP="004C0ED7">
      <w:pPr>
        <w:spacing w:line="240" w:lineRule="auto"/>
        <w:jc w:val="both"/>
        <w:rPr>
          <w:rFonts w:ascii="Calibri" w:eastAsia="PMingLiU" w:hAnsi="Calibri" w:cs="Arial"/>
          <w:b/>
          <w:bCs/>
          <w:sz w:val="24"/>
          <w:szCs w:val="24"/>
          <w:lang w:val="en-US" w:eastAsia="zh-TW"/>
        </w:rPr>
      </w:pPr>
      <w:r w:rsidRPr="00310226">
        <w:rPr>
          <w:rFonts w:ascii="Calibri" w:eastAsia="PMingLiU" w:hAnsi="Calibri" w:cs="Arial"/>
          <w:b/>
          <w:bCs/>
          <w:sz w:val="24"/>
          <w:szCs w:val="24"/>
          <w:lang w:val="en-US" w:eastAsia="zh-TW"/>
        </w:rPr>
        <w:t>MMF, deposit or ancillary liquid asset, repurchase agreement and reverse</w:t>
      </w:r>
    </w:p>
    <w:p w:rsidR="00310226" w:rsidRPr="00310226" w:rsidRDefault="00310226" w:rsidP="004C0ED7">
      <w:pPr>
        <w:spacing w:line="240" w:lineRule="auto"/>
        <w:jc w:val="both"/>
        <w:rPr>
          <w:rFonts w:ascii="Calibri" w:eastAsia="PMingLiU" w:hAnsi="Calibri" w:cs="Arial"/>
          <w:b/>
          <w:bCs/>
          <w:sz w:val="24"/>
          <w:szCs w:val="24"/>
          <w:lang w:val="en-US" w:eastAsia="zh-TW"/>
        </w:rPr>
      </w:pPr>
      <w:r w:rsidRPr="00310226">
        <w:rPr>
          <w:rFonts w:ascii="Calibri" w:eastAsia="PMingLiU" w:hAnsi="Calibri" w:cs="Arial"/>
          <w:b/>
          <w:bCs/>
          <w:sz w:val="24"/>
          <w:szCs w:val="24"/>
          <w:lang w:val="en-US" w:eastAsia="zh-TW"/>
        </w:rPr>
        <w:t>repurchase agreement (A.6.16 and A.6.11, A.6.34 and A.6.29, A.6.54, A.6.67 and</w:t>
      </w:r>
    </w:p>
    <w:p w:rsidR="00310226" w:rsidRPr="00310226" w:rsidRDefault="00310226" w:rsidP="004C0ED7">
      <w:pPr>
        <w:spacing w:line="240" w:lineRule="auto"/>
        <w:jc w:val="both"/>
        <w:rPr>
          <w:rFonts w:ascii="Calibri" w:eastAsia="PMingLiU" w:hAnsi="Calibri" w:cs="Arial"/>
          <w:b/>
          <w:bCs/>
          <w:i/>
          <w:iCs/>
          <w:sz w:val="24"/>
          <w:szCs w:val="24"/>
          <w:lang w:val="en-US" w:eastAsia="zh-TW"/>
        </w:rPr>
      </w:pPr>
      <w:r w:rsidRPr="00310226">
        <w:rPr>
          <w:rFonts w:ascii="Calibri" w:eastAsia="PMingLiU" w:hAnsi="Calibri" w:cs="Arial"/>
          <w:b/>
          <w:bCs/>
          <w:sz w:val="24"/>
          <w:szCs w:val="24"/>
          <w:lang w:val="en-US" w:eastAsia="zh-TW"/>
        </w:rPr>
        <w:t>A.6.69, A.6.80, A.6.91)? Do you have any comments on the table “</w:t>
      </w:r>
      <w:r w:rsidRPr="00310226">
        <w:rPr>
          <w:rFonts w:ascii="Calibri" w:eastAsia="PMingLiU" w:hAnsi="Calibri" w:cs="Arial"/>
          <w:b/>
          <w:bCs/>
          <w:i/>
          <w:iCs/>
          <w:sz w:val="24"/>
          <w:szCs w:val="24"/>
          <w:lang w:val="en-US" w:eastAsia="zh-TW"/>
        </w:rPr>
        <w:t>CFI codes for</w:t>
      </w:r>
    </w:p>
    <w:p w:rsidR="00310226" w:rsidRDefault="00310226" w:rsidP="004C0ED7">
      <w:pPr>
        <w:spacing w:line="240" w:lineRule="auto"/>
        <w:jc w:val="both"/>
        <w:rPr>
          <w:rFonts w:ascii="Calibri" w:eastAsia="PMingLiU" w:hAnsi="Calibri" w:cs="Arial"/>
          <w:b/>
          <w:bCs/>
          <w:sz w:val="24"/>
          <w:szCs w:val="24"/>
          <w:lang w:val="en-US" w:eastAsia="zh-TW"/>
        </w:rPr>
      </w:pPr>
      <w:r w:rsidRPr="00310226">
        <w:rPr>
          <w:rFonts w:ascii="Calibri" w:eastAsia="PMingLiU" w:hAnsi="Calibri" w:cs="Arial"/>
          <w:b/>
          <w:bCs/>
          <w:i/>
          <w:iCs/>
          <w:sz w:val="24"/>
          <w:szCs w:val="24"/>
          <w:lang w:val="en-US" w:eastAsia="zh-TW"/>
        </w:rPr>
        <w:t>eligible securities</w:t>
      </w:r>
      <w:r w:rsidRPr="00310226">
        <w:rPr>
          <w:rFonts w:ascii="Calibri" w:eastAsia="PMingLiU" w:hAnsi="Calibri" w:cs="Arial"/>
          <w:b/>
          <w:bCs/>
          <w:sz w:val="24"/>
          <w:szCs w:val="24"/>
          <w:lang w:val="en-US" w:eastAsia="zh-TW"/>
        </w:rPr>
        <w:t>” included in the annex of the Guidelines?</w:t>
      </w:r>
    </w:p>
    <w:p w:rsidR="004C0ED7" w:rsidRPr="00044591" w:rsidRDefault="000C2B46" w:rsidP="004C0ED7">
      <w:pPr>
        <w:spacing w:line="240" w:lineRule="auto"/>
        <w:jc w:val="both"/>
        <w:rPr>
          <w:rFonts w:ascii="Calibri" w:eastAsia="PMingLiU" w:hAnsi="Calibri" w:cs="Arial"/>
          <w:bCs/>
          <w:sz w:val="22"/>
          <w:szCs w:val="22"/>
          <w:lang w:val="en-US" w:eastAsia="zh-TW"/>
        </w:rPr>
      </w:pPr>
      <w:r w:rsidRPr="00044591">
        <w:rPr>
          <w:rFonts w:ascii="Calibri" w:eastAsia="PMingLiU" w:hAnsi="Calibri" w:cs="Arial"/>
          <w:bCs/>
          <w:sz w:val="22"/>
          <w:szCs w:val="22"/>
          <w:lang w:val="en-US" w:eastAsia="zh-TW"/>
        </w:rPr>
        <w:t>Please see Question 19 above for our answer to the second part of Question 20, which should be positioned as part of Question 19.</w:t>
      </w:r>
    </w:p>
    <w:p w:rsidR="001D1F61" w:rsidRPr="00044591" w:rsidRDefault="006E7B42" w:rsidP="004C0ED7">
      <w:pPr>
        <w:spacing w:line="240" w:lineRule="auto"/>
        <w:jc w:val="both"/>
        <w:rPr>
          <w:rFonts w:ascii="Calibri" w:eastAsia="PMingLiU" w:hAnsi="Calibri" w:cs="Arial"/>
          <w:bCs/>
          <w:sz w:val="22"/>
          <w:szCs w:val="22"/>
          <w:lang w:val="en-US" w:eastAsia="zh-TW"/>
        </w:rPr>
      </w:pPr>
      <w:r w:rsidRPr="00044591">
        <w:rPr>
          <w:rFonts w:ascii="Calibri" w:eastAsia="PMingLiU" w:hAnsi="Calibri" w:cs="Arial"/>
          <w:bCs/>
          <w:sz w:val="22"/>
          <w:szCs w:val="22"/>
          <w:lang w:val="en-US" w:eastAsia="zh-TW"/>
        </w:rPr>
        <w:t>On investor concentration, we appreciate that ESMA recognizes that the asset manager of</w:t>
      </w:r>
      <w:r w:rsidR="009B42A7">
        <w:rPr>
          <w:rFonts w:ascii="Calibri" w:eastAsia="PMingLiU" w:hAnsi="Calibri" w:cs="Arial"/>
          <w:bCs/>
          <w:sz w:val="22"/>
          <w:szCs w:val="22"/>
          <w:lang w:val="en-US" w:eastAsia="zh-TW"/>
        </w:rPr>
        <w:t xml:space="preserve"> a</w:t>
      </w:r>
      <w:r w:rsidRPr="00044591">
        <w:rPr>
          <w:rFonts w:ascii="Calibri" w:eastAsia="PMingLiU" w:hAnsi="Calibri" w:cs="Arial"/>
          <w:bCs/>
          <w:sz w:val="22"/>
          <w:szCs w:val="22"/>
          <w:lang w:val="en-US" w:eastAsia="zh-TW"/>
        </w:rPr>
        <w:t xml:space="preserve"> MMF may not have a clear knowledge of its holders and can rely on estimates. The statement in §76 is clear and we support this wording.</w:t>
      </w:r>
    </w:p>
    <w:p w:rsidR="00840146" w:rsidRPr="00044591" w:rsidRDefault="006E7B42" w:rsidP="004C0ED7">
      <w:pPr>
        <w:spacing w:line="240" w:lineRule="auto"/>
        <w:jc w:val="both"/>
        <w:rPr>
          <w:rFonts w:ascii="Calibri" w:eastAsia="PMingLiU" w:hAnsi="Calibri" w:cs="Arial"/>
          <w:bCs/>
          <w:sz w:val="22"/>
          <w:szCs w:val="22"/>
          <w:lang w:val="en-US" w:eastAsia="zh-TW"/>
        </w:rPr>
      </w:pPr>
      <w:r w:rsidRPr="00044591">
        <w:rPr>
          <w:rFonts w:ascii="Calibri" w:eastAsia="PMingLiU" w:hAnsi="Calibri" w:cs="Arial"/>
          <w:bCs/>
          <w:sz w:val="22"/>
          <w:szCs w:val="22"/>
          <w:lang w:val="en-US" w:eastAsia="zh-TW"/>
        </w:rPr>
        <w:t>With regard to the issuer</w:t>
      </w:r>
      <w:r w:rsidR="00D50E13">
        <w:rPr>
          <w:rFonts w:ascii="Calibri" w:eastAsia="PMingLiU" w:hAnsi="Calibri" w:cs="Arial"/>
          <w:bCs/>
          <w:sz w:val="22"/>
          <w:szCs w:val="22"/>
          <w:lang w:val="en-US" w:eastAsia="zh-TW"/>
        </w:rPr>
        <w:t>s’</w:t>
      </w:r>
      <w:r w:rsidRPr="00044591">
        <w:rPr>
          <w:rFonts w:ascii="Calibri" w:eastAsia="PMingLiU" w:hAnsi="Calibri" w:cs="Arial"/>
          <w:bCs/>
          <w:sz w:val="22"/>
          <w:szCs w:val="22"/>
          <w:lang w:val="en-US" w:eastAsia="zh-TW"/>
        </w:rPr>
        <w:t xml:space="preserve"> group taxonomy provided in §78 and the investor group breakdown in §</w:t>
      </w:r>
      <w:r w:rsidR="00840146" w:rsidRPr="00044591">
        <w:rPr>
          <w:rFonts w:ascii="Calibri" w:eastAsia="PMingLiU" w:hAnsi="Calibri" w:cs="Arial"/>
          <w:bCs/>
          <w:sz w:val="22"/>
          <w:szCs w:val="22"/>
          <w:lang w:val="en-US" w:eastAsia="zh-TW"/>
        </w:rPr>
        <w:t>80, we worry that they are not universally used and that it may be difficult to properly populate these fields. Currently, investors are classified from a marketing point of view, what is very useful for sales and compliance teams. It is a significant move to introduce a new classification and we suggest that optionality be introduced in this area. Furthermore</w:t>
      </w:r>
      <w:r w:rsidR="00820704">
        <w:rPr>
          <w:rFonts w:ascii="Calibri" w:eastAsia="PMingLiU" w:hAnsi="Calibri" w:cs="Arial"/>
          <w:bCs/>
          <w:sz w:val="22"/>
          <w:szCs w:val="22"/>
          <w:lang w:val="en-US" w:eastAsia="zh-TW"/>
        </w:rPr>
        <w:t>,</w:t>
      </w:r>
      <w:r w:rsidR="00840146" w:rsidRPr="00044591">
        <w:rPr>
          <w:rFonts w:ascii="Calibri" w:eastAsia="PMingLiU" w:hAnsi="Calibri" w:cs="Arial"/>
          <w:bCs/>
          <w:sz w:val="22"/>
          <w:szCs w:val="22"/>
          <w:lang w:val="en-US" w:eastAsia="zh-TW"/>
        </w:rPr>
        <w:t xml:space="preserve"> it is not clear why an issuers’ taxonomy should apply for holders of MMFs in parallel with an investor group breakdown that seems more relevant. May be the issuer</w:t>
      </w:r>
      <w:r w:rsidR="00D50E13">
        <w:rPr>
          <w:rFonts w:ascii="Calibri" w:eastAsia="PMingLiU" w:hAnsi="Calibri" w:cs="Arial"/>
          <w:bCs/>
          <w:sz w:val="22"/>
          <w:szCs w:val="22"/>
          <w:lang w:val="en-US" w:eastAsia="zh-TW"/>
        </w:rPr>
        <w:t>s’</w:t>
      </w:r>
      <w:r w:rsidR="00840146" w:rsidRPr="00044591">
        <w:rPr>
          <w:rFonts w:ascii="Calibri" w:eastAsia="PMingLiU" w:hAnsi="Calibri" w:cs="Arial"/>
          <w:bCs/>
          <w:sz w:val="22"/>
          <w:szCs w:val="22"/>
          <w:lang w:val="en-US" w:eastAsia="zh-TW"/>
        </w:rPr>
        <w:t xml:space="preserve"> group taxonomy </w:t>
      </w:r>
      <w:r w:rsidR="00820704">
        <w:rPr>
          <w:rFonts w:ascii="Calibri" w:eastAsia="PMingLiU" w:hAnsi="Calibri" w:cs="Arial"/>
          <w:bCs/>
          <w:sz w:val="22"/>
          <w:szCs w:val="22"/>
          <w:lang w:val="en-US" w:eastAsia="zh-TW"/>
        </w:rPr>
        <w:t>used under A</w:t>
      </w:r>
      <w:r w:rsidR="009B42A7">
        <w:rPr>
          <w:rFonts w:ascii="Calibri" w:eastAsia="PMingLiU" w:hAnsi="Calibri" w:cs="Arial"/>
          <w:bCs/>
          <w:sz w:val="22"/>
          <w:szCs w:val="22"/>
          <w:lang w:val="en-US" w:eastAsia="zh-TW"/>
        </w:rPr>
        <w:t>.</w:t>
      </w:r>
      <w:r w:rsidR="00820704">
        <w:rPr>
          <w:rFonts w:ascii="Calibri" w:eastAsia="PMingLiU" w:hAnsi="Calibri" w:cs="Arial"/>
          <w:bCs/>
          <w:sz w:val="22"/>
          <w:szCs w:val="22"/>
          <w:lang w:val="en-US" w:eastAsia="zh-TW"/>
        </w:rPr>
        <w:t>68</w:t>
      </w:r>
      <w:r w:rsidR="009B42A7">
        <w:rPr>
          <w:rFonts w:ascii="Calibri" w:eastAsia="PMingLiU" w:hAnsi="Calibri" w:cs="Arial"/>
          <w:bCs/>
          <w:sz w:val="22"/>
          <w:szCs w:val="22"/>
          <w:lang w:val="en-US" w:eastAsia="zh-TW"/>
        </w:rPr>
        <w:t>.</w:t>
      </w:r>
      <w:bookmarkStart w:id="1" w:name="_GoBack"/>
      <w:bookmarkEnd w:id="1"/>
      <w:r w:rsidR="00820704">
        <w:rPr>
          <w:rFonts w:ascii="Calibri" w:eastAsia="PMingLiU" w:hAnsi="Calibri" w:cs="Arial"/>
          <w:bCs/>
          <w:sz w:val="22"/>
          <w:szCs w:val="22"/>
          <w:lang w:val="en-US" w:eastAsia="zh-TW"/>
        </w:rPr>
        <w:t xml:space="preserve">6 to classify counterparties </w:t>
      </w:r>
      <w:r w:rsidR="00840146" w:rsidRPr="00044591">
        <w:rPr>
          <w:rFonts w:ascii="Calibri" w:eastAsia="PMingLiU" w:hAnsi="Calibri" w:cs="Arial"/>
          <w:bCs/>
          <w:sz w:val="22"/>
          <w:szCs w:val="22"/>
          <w:lang w:val="en-US" w:eastAsia="zh-TW"/>
        </w:rPr>
        <w:t>is</w:t>
      </w:r>
      <w:r w:rsidR="00820704">
        <w:rPr>
          <w:rFonts w:ascii="Calibri" w:eastAsia="PMingLiU" w:hAnsi="Calibri" w:cs="Arial"/>
          <w:bCs/>
          <w:sz w:val="22"/>
          <w:szCs w:val="22"/>
          <w:lang w:val="en-US" w:eastAsia="zh-TW"/>
        </w:rPr>
        <w:t xml:space="preserve"> not</w:t>
      </w:r>
      <w:r w:rsidR="00840146" w:rsidRPr="00044591">
        <w:rPr>
          <w:rFonts w:ascii="Calibri" w:eastAsia="PMingLiU" w:hAnsi="Calibri" w:cs="Arial"/>
          <w:bCs/>
          <w:sz w:val="22"/>
          <w:szCs w:val="22"/>
          <w:lang w:val="en-US" w:eastAsia="zh-TW"/>
        </w:rPr>
        <w:t xml:space="preserve"> supposed to apply to </w:t>
      </w:r>
      <w:r w:rsidR="00820704">
        <w:rPr>
          <w:rFonts w:ascii="Calibri" w:eastAsia="PMingLiU" w:hAnsi="Calibri" w:cs="Arial"/>
          <w:bCs/>
          <w:sz w:val="22"/>
          <w:szCs w:val="22"/>
          <w:lang w:val="en-US" w:eastAsia="zh-TW"/>
        </w:rPr>
        <w:t>investors and has been misplaced in the proposed guidelines</w:t>
      </w:r>
      <w:r w:rsidR="00840146" w:rsidRPr="00044591">
        <w:rPr>
          <w:rFonts w:ascii="Calibri" w:eastAsia="PMingLiU" w:hAnsi="Calibri" w:cs="Arial"/>
          <w:bCs/>
          <w:sz w:val="22"/>
          <w:szCs w:val="22"/>
          <w:lang w:val="en-US" w:eastAsia="zh-TW"/>
        </w:rPr>
        <w:t>. It is puzzling</w:t>
      </w:r>
      <w:r w:rsidR="00820704">
        <w:rPr>
          <w:rFonts w:ascii="Calibri" w:eastAsia="PMingLiU" w:hAnsi="Calibri" w:cs="Arial"/>
          <w:bCs/>
          <w:sz w:val="22"/>
          <w:szCs w:val="22"/>
          <w:lang w:val="en-US" w:eastAsia="zh-TW"/>
        </w:rPr>
        <w:t>, anyway,</w:t>
      </w:r>
      <w:r w:rsidR="00840146" w:rsidRPr="00044591">
        <w:rPr>
          <w:rFonts w:ascii="Calibri" w:eastAsia="PMingLiU" w:hAnsi="Calibri" w:cs="Arial"/>
          <w:bCs/>
          <w:sz w:val="22"/>
          <w:szCs w:val="22"/>
          <w:lang w:val="en-US" w:eastAsia="zh-TW"/>
        </w:rPr>
        <w:t xml:space="preserve"> to have these two lists in the same Block 5 –information on the liabilities.</w:t>
      </w:r>
      <w:r w:rsidR="00820704">
        <w:rPr>
          <w:rFonts w:ascii="Calibri" w:eastAsia="PMingLiU" w:hAnsi="Calibri" w:cs="Arial"/>
          <w:bCs/>
          <w:sz w:val="22"/>
          <w:szCs w:val="22"/>
          <w:lang w:val="en-US" w:eastAsia="zh-TW"/>
        </w:rPr>
        <w:t xml:space="preserve"> Since we would prefer not to have a mandatory list to comply with for investors, we tend to interpret the presence of 2 different breakdowns as an illustration of possible ways to populate field 7.3 and as a green light for other taxonomies. Is it the intent of ESMA?</w:t>
      </w:r>
    </w:p>
    <w:p w:rsidR="00CE4C33" w:rsidRPr="00044591" w:rsidRDefault="00840146" w:rsidP="004C0ED7">
      <w:pPr>
        <w:spacing w:line="240" w:lineRule="auto"/>
        <w:jc w:val="both"/>
        <w:rPr>
          <w:rFonts w:ascii="Calibri" w:eastAsia="PMingLiU" w:hAnsi="Calibri" w:cs="Arial"/>
          <w:bCs/>
          <w:sz w:val="22"/>
          <w:szCs w:val="22"/>
          <w:lang w:val="en-US" w:eastAsia="zh-TW"/>
        </w:rPr>
      </w:pPr>
      <w:r w:rsidRPr="00044591">
        <w:rPr>
          <w:rFonts w:ascii="Calibri" w:eastAsia="PMingLiU" w:hAnsi="Calibri" w:cs="Arial"/>
          <w:bCs/>
          <w:sz w:val="22"/>
          <w:szCs w:val="22"/>
          <w:lang w:val="en-US" w:eastAsia="zh-TW"/>
        </w:rPr>
        <w:t>Considering “Other arrangements for managing illiquid assets” we are not very comfortable with §82. First, MMFs are not allowed to invest in illiquid assets. Second, they are not allowed either to gain the support of a sponsor and that prevents them to consider specific arrangements for managing illiquid assets. Third</w:t>
      </w:r>
      <w:r w:rsidR="00CE4C33" w:rsidRPr="00044591">
        <w:rPr>
          <w:rFonts w:ascii="Calibri" w:eastAsia="PMingLiU" w:hAnsi="Calibri" w:cs="Arial"/>
          <w:bCs/>
          <w:sz w:val="22"/>
          <w:szCs w:val="22"/>
          <w:lang w:val="en-US" w:eastAsia="zh-TW"/>
        </w:rPr>
        <w:t>,</w:t>
      </w:r>
      <w:r w:rsidR="003D25A8">
        <w:rPr>
          <w:rFonts w:ascii="Calibri" w:eastAsia="PMingLiU" w:hAnsi="Calibri" w:cs="Arial"/>
          <w:bCs/>
          <w:sz w:val="22"/>
          <w:szCs w:val="22"/>
          <w:lang w:val="en-US" w:eastAsia="zh-TW"/>
        </w:rPr>
        <w:t xml:space="preserve"> field 7.7 reports the eventual use of liquidity management tools</w:t>
      </w:r>
      <w:r w:rsidR="00820704">
        <w:rPr>
          <w:rFonts w:ascii="Calibri" w:eastAsia="PMingLiU" w:hAnsi="Calibri" w:cs="Arial"/>
          <w:bCs/>
          <w:sz w:val="22"/>
          <w:szCs w:val="22"/>
          <w:lang w:val="en-US" w:eastAsia="zh-TW"/>
        </w:rPr>
        <w:t xml:space="preserve"> (LMT)</w:t>
      </w:r>
      <w:r w:rsidR="003D25A8">
        <w:rPr>
          <w:rFonts w:ascii="Calibri" w:eastAsia="PMingLiU" w:hAnsi="Calibri" w:cs="Arial"/>
          <w:bCs/>
          <w:sz w:val="22"/>
          <w:szCs w:val="22"/>
          <w:lang w:val="en-US" w:eastAsia="zh-TW"/>
        </w:rPr>
        <w:t xml:space="preserve"> such as gates, suspension of redemptions or liquidity fees not the management of illiquid assets. I</w:t>
      </w:r>
      <w:r w:rsidR="00820704">
        <w:rPr>
          <w:rFonts w:ascii="Calibri" w:eastAsia="PMingLiU" w:hAnsi="Calibri" w:cs="Arial"/>
          <w:bCs/>
          <w:sz w:val="22"/>
          <w:szCs w:val="22"/>
          <w:lang w:val="en-US" w:eastAsia="zh-TW"/>
        </w:rPr>
        <w:t>f</w:t>
      </w:r>
      <w:r w:rsidRPr="00044591">
        <w:rPr>
          <w:rFonts w:ascii="Calibri" w:eastAsia="PMingLiU" w:hAnsi="Calibri" w:cs="Arial"/>
          <w:bCs/>
          <w:sz w:val="22"/>
          <w:szCs w:val="22"/>
          <w:lang w:val="en-US" w:eastAsia="zh-TW"/>
        </w:rPr>
        <w:t xml:space="preserve"> </w:t>
      </w:r>
      <w:r w:rsidR="003D25A8">
        <w:rPr>
          <w:rFonts w:ascii="Calibri" w:eastAsia="PMingLiU" w:hAnsi="Calibri" w:cs="Arial"/>
          <w:bCs/>
          <w:sz w:val="22"/>
          <w:szCs w:val="22"/>
          <w:lang w:val="en-US" w:eastAsia="zh-TW"/>
        </w:rPr>
        <w:t>the additional field is</w:t>
      </w:r>
      <w:r w:rsidRPr="00044591">
        <w:rPr>
          <w:rFonts w:ascii="Calibri" w:eastAsia="PMingLiU" w:hAnsi="Calibri" w:cs="Arial"/>
          <w:bCs/>
          <w:sz w:val="22"/>
          <w:szCs w:val="22"/>
          <w:lang w:val="en-US" w:eastAsia="zh-TW"/>
        </w:rPr>
        <w:t xml:space="preserve"> a reference to</w:t>
      </w:r>
      <w:r w:rsidR="003D25A8">
        <w:rPr>
          <w:rFonts w:ascii="Calibri" w:eastAsia="PMingLiU" w:hAnsi="Calibri" w:cs="Arial"/>
          <w:bCs/>
          <w:sz w:val="22"/>
          <w:szCs w:val="22"/>
          <w:lang w:val="en-US" w:eastAsia="zh-TW"/>
        </w:rPr>
        <w:t xml:space="preserve"> other LMT</w:t>
      </w:r>
      <w:r w:rsidR="00820704">
        <w:rPr>
          <w:rFonts w:ascii="Calibri" w:eastAsia="PMingLiU" w:hAnsi="Calibri" w:cs="Arial"/>
          <w:bCs/>
          <w:sz w:val="22"/>
          <w:szCs w:val="22"/>
          <w:lang w:val="en-US" w:eastAsia="zh-TW"/>
        </w:rPr>
        <w:t>s</w:t>
      </w:r>
      <w:r w:rsidR="003D25A8">
        <w:rPr>
          <w:rFonts w:ascii="Calibri" w:eastAsia="PMingLiU" w:hAnsi="Calibri" w:cs="Arial"/>
          <w:bCs/>
          <w:sz w:val="22"/>
          <w:szCs w:val="22"/>
          <w:lang w:val="en-US" w:eastAsia="zh-TW"/>
        </w:rPr>
        <w:t xml:space="preserve"> it should be more explicit and a change in the wording is necessary to “other liquidity management tools”.</w:t>
      </w:r>
      <w:r w:rsidRPr="00044591">
        <w:rPr>
          <w:rFonts w:ascii="Calibri" w:eastAsia="PMingLiU" w:hAnsi="Calibri" w:cs="Arial"/>
          <w:bCs/>
          <w:sz w:val="22"/>
          <w:szCs w:val="22"/>
          <w:lang w:val="en-US" w:eastAsia="zh-TW"/>
        </w:rPr>
        <w:t xml:space="preserve"> </w:t>
      </w:r>
      <w:r w:rsidR="003D25A8">
        <w:rPr>
          <w:rFonts w:ascii="Calibri" w:eastAsia="PMingLiU" w:hAnsi="Calibri" w:cs="Arial"/>
          <w:bCs/>
          <w:sz w:val="22"/>
          <w:szCs w:val="22"/>
          <w:lang w:val="en-US" w:eastAsia="zh-TW"/>
        </w:rPr>
        <w:t xml:space="preserve">Fourth, if it alludes to </w:t>
      </w:r>
      <w:r w:rsidRPr="00044591">
        <w:rPr>
          <w:rFonts w:ascii="Calibri" w:eastAsia="PMingLiU" w:hAnsi="Calibri" w:cs="Arial"/>
          <w:bCs/>
          <w:sz w:val="22"/>
          <w:szCs w:val="22"/>
          <w:lang w:val="en-US" w:eastAsia="zh-TW"/>
        </w:rPr>
        <w:t>credit lines</w:t>
      </w:r>
      <w:r w:rsidR="00820704">
        <w:rPr>
          <w:rFonts w:ascii="Calibri" w:eastAsia="PMingLiU" w:hAnsi="Calibri" w:cs="Arial"/>
          <w:bCs/>
          <w:sz w:val="22"/>
          <w:szCs w:val="22"/>
          <w:lang w:val="en-US" w:eastAsia="zh-TW"/>
        </w:rPr>
        <w:t>,</w:t>
      </w:r>
      <w:r w:rsidRPr="00044591">
        <w:rPr>
          <w:rFonts w:ascii="Calibri" w:eastAsia="PMingLiU" w:hAnsi="Calibri" w:cs="Arial"/>
          <w:bCs/>
          <w:sz w:val="22"/>
          <w:szCs w:val="22"/>
          <w:lang w:val="en-US" w:eastAsia="zh-TW"/>
        </w:rPr>
        <w:t xml:space="preserve"> </w:t>
      </w:r>
      <w:r w:rsidR="003D25A8">
        <w:rPr>
          <w:rFonts w:ascii="Calibri" w:eastAsia="PMingLiU" w:hAnsi="Calibri" w:cs="Arial"/>
          <w:bCs/>
          <w:sz w:val="22"/>
          <w:szCs w:val="22"/>
          <w:lang w:val="en-US" w:eastAsia="zh-TW"/>
        </w:rPr>
        <w:t>they are</w:t>
      </w:r>
      <w:r w:rsidR="00CE4C33" w:rsidRPr="00044591">
        <w:rPr>
          <w:rFonts w:ascii="Calibri" w:eastAsia="PMingLiU" w:hAnsi="Calibri" w:cs="Arial"/>
          <w:bCs/>
          <w:sz w:val="22"/>
          <w:szCs w:val="22"/>
          <w:lang w:val="en-US" w:eastAsia="zh-TW"/>
        </w:rPr>
        <w:t xml:space="preserve"> in general signed as a facility at the hand of the management company and it could be misleading to link </w:t>
      </w:r>
      <w:r w:rsidR="003D25A8">
        <w:rPr>
          <w:rFonts w:ascii="Calibri" w:eastAsia="PMingLiU" w:hAnsi="Calibri" w:cs="Arial"/>
          <w:bCs/>
          <w:sz w:val="22"/>
          <w:szCs w:val="22"/>
          <w:lang w:val="en-US" w:eastAsia="zh-TW"/>
        </w:rPr>
        <w:t>them</w:t>
      </w:r>
      <w:r w:rsidR="00CE4C33" w:rsidRPr="00044591">
        <w:rPr>
          <w:rFonts w:ascii="Calibri" w:eastAsia="PMingLiU" w:hAnsi="Calibri" w:cs="Arial"/>
          <w:bCs/>
          <w:sz w:val="22"/>
          <w:szCs w:val="22"/>
          <w:lang w:val="en-US" w:eastAsia="zh-TW"/>
        </w:rPr>
        <w:t xml:space="preserve"> to a MMF. We </w:t>
      </w:r>
      <w:r w:rsidR="003D25A8">
        <w:rPr>
          <w:rFonts w:ascii="Calibri" w:eastAsia="PMingLiU" w:hAnsi="Calibri" w:cs="Arial"/>
          <w:bCs/>
          <w:sz w:val="22"/>
          <w:szCs w:val="22"/>
          <w:lang w:val="en-US" w:eastAsia="zh-TW"/>
        </w:rPr>
        <w:t>ask for some clarification.</w:t>
      </w:r>
    </w:p>
    <w:p w:rsidR="000C2B46" w:rsidRPr="004C0ED7" w:rsidRDefault="000C2B46" w:rsidP="004C0ED7">
      <w:pPr>
        <w:spacing w:line="240" w:lineRule="auto"/>
        <w:jc w:val="both"/>
        <w:rPr>
          <w:rFonts w:ascii="Calibri" w:eastAsia="PMingLiU" w:hAnsi="Calibri" w:cs="Arial"/>
          <w:bCs/>
          <w:sz w:val="24"/>
          <w:szCs w:val="24"/>
          <w:lang w:val="en-US" w:eastAsia="zh-TW"/>
        </w:rPr>
      </w:pPr>
    </w:p>
    <w:p w:rsidR="00310226" w:rsidRPr="00310226" w:rsidRDefault="00310226" w:rsidP="004C0ED7">
      <w:pPr>
        <w:spacing w:line="240" w:lineRule="auto"/>
        <w:jc w:val="both"/>
        <w:rPr>
          <w:rFonts w:ascii="Calibri" w:eastAsia="PMingLiU" w:hAnsi="Calibri" w:cs="Arial"/>
          <w:b/>
          <w:bCs/>
          <w:sz w:val="24"/>
          <w:szCs w:val="24"/>
          <w:lang w:val="en-US" w:eastAsia="zh-TW"/>
        </w:rPr>
      </w:pPr>
      <w:r w:rsidRPr="00310226">
        <w:rPr>
          <w:rFonts w:ascii="Calibri" w:eastAsia="PMingLiU" w:hAnsi="Calibri" w:cs="Arial"/>
          <w:b/>
          <w:bCs/>
          <w:sz w:val="24"/>
          <w:szCs w:val="24"/>
          <w:lang w:val="en-US" w:eastAsia="zh-TW"/>
        </w:rPr>
        <w:t>Q21 Do you identify any other issue that would need to be specified in relation</w:t>
      </w:r>
    </w:p>
    <w:p w:rsidR="00310226" w:rsidRDefault="00310226" w:rsidP="004C0ED7">
      <w:pPr>
        <w:spacing w:line="240" w:lineRule="auto"/>
        <w:jc w:val="both"/>
        <w:rPr>
          <w:rFonts w:ascii="Calibri" w:eastAsia="PMingLiU" w:hAnsi="Calibri" w:cs="Arial"/>
          <w:b/>
          <w:sz w:val="24"/>
          <w:szCs w:val="24"/>
          <w:lang w:val="en-US" w:eastAsia="zh-TW"/>
        </w:rPr>
      </w:pPr>
      <w:r w:rsidRPr="00310226">
        <w:rPr>
          <w:rFonts w:ascii="Calibri" w:eastAsia="PMingLiU" w:hAnsi="Calibri" w:cs="Arial"/>
          <w:b/>
          <w:bCs/>
          <w:sz w:val="24"/>
          <w:szCs w:val="24"/>
          <w:lang w:val="en-US" w:eastAsia="zh-TW"/>
        </w:rPr>
        <w:t>to the above section on the block 6 of the reporting template?</w:t>
      </w:r>
    </w:p>
    <w:p w:rsidR="00310226" w:rsidRPr="00044591" w:rsidRDefault="006E7B42" w:rsidP="00310226">
      <w:pPr>
        <w:spacing w:line="276" w:lineRule="auto"/>
        <w:jc w:val="both"/>
        <w:rPr>
          <w:rFonts w:ascii="Calibri" w:eastAsia="PMingLiU" w:hAnsi="Calibri" w:cs="Arial"/>
          <w:sz w:val="22"/>
          <w:szCs w:val="22"/>
          <w:lang w:val="en-US" w:eastAsia="zh-TW"/>
        </w:rPr>
      </w:pPr>
      <w:r w:rsidRPr="00044591">
        <w:rPr>
          <w:rFonts w:ascii="Calibri" w:eastAsia="PMingLiU" w:hAnsi="Calibri" w:cs="Arial"/>
          <w:sz w:val="22"/>
          <w:szCs w:val="22"/>
          <w:lang w:val="en-US" w:eastAsia="zh-TW"/>
        </w:rPr>
        <w:t>No.</w:t>
      </w:r>
    </w:p>
    <w:p w:rsidR="00310226" w:rsidRDefault="00310226" w:rsidP="00310226">
      <w:pPr>
        <w:spacing w:line="276" w:lineRule="auto"/>
        <w:rPr>
          <w:rFonts w:ascii="Calibri" w:eastAsia="PMingLiU" w:hAnsi="Calibri" w:cs="Arial"/>
          <w:b/>
          <w:sz w:val="24"/>
          <w:szCs w:val="24"/>
          <w:lang w:val="en-US" w:eastAsia="zh-TW"/>
        </w:rPr>
      </w:pPr>
    </w:p>
    <w:p w:rsidR="00923B4E" w:rsidRPr="00F321DF" w:rsidRDefault="00B850F4" w:rsidP="00923B4E">
      <w:pPr>
        <w:pStyle w:val="Paragraphedeliste"/>
        <w:spacing w:before="120" w:after="120" w:line="276" w:lineRule="auto"/>
        <w:ind w:left="0"/>
        <w:jc w:val="both"/>
        <w:rPr>
          <w:i/>
          <w:sz w:val="22"/>
          <w:szCs w:val="22"/>
          <w:lang w:val="en-US"/>
        </w:rPr>
      </w:pPr>
      <w:r w:rsidRPr="00F321DF">
        <w:rPr>
          <w:i/>
          <w:sz w:val="22"/>
          <w:szCs w:val="22"/>
          <w:u w:val="single"/>
          <w:lang w:val="en-US"/>
        </w:rPr>
        <w:t>Contact</w:t>
      </w:r>
      <w:r w:rsidR="00D32CC7" w:rsidRPr="00F321DF">
        <w:rPr>
          <w:i/>
          <w:sz w:val="22"/>
          <w:szCs w:val="22"/>
          <w:u w:val="single"/>
          <w:lang w:val="en-US"/>
        </w:rPr>
        <w:t>s</w:t>
      </w:r>
      <w:r w:rsidRPr="00F321DF">
        <w:rPr>
          <w:i/>
          <w:sz w:val="22"/>
          <w:szCs w:val="22"/>
          <w:u w:val="single"/>
          <w:lang w:val="en-US"/>
        </w:rPr>
        <w:t xml:space="preserve"> at Amundi:</w:t>
      </w:r>
      <w:r w:rsidRPr="00F321DF">
        <w:rPr>
          <w:i/>
          <w:sz w:val="22"/>
          <w:szCs w:val="22"/>
          <w:lang w:val="en-US"/>
        </w:rPr>
        <w:t xml:space="preserve">   </w:t>
      </w:r>
    </w:p>
    <w:p w:rsidR="00923B4E" w:rsidRPr="00F321DF" w:rsidRDefault="003D25A8" w:rsidP="00923B4E">
      <w:pPr>
        <w:pStyle w:val="Paragraphedeliste"/>
        <w:spacing w:before="120" w:after="120" w:line="276" w:lineRule="auto"/>
        <w:ind w:left="0"/>
        <w:jc w:val="both"/>
        <w:rPr>
          <w:i/>
          <w:sz w:val="22"/>
          <w:szCs w:val="22"/>
          <w:lang w:val="en-US"/>
        </w:rPr>
      </w:pPr>
      <w:r w:rsidRPr="00F321DF">
        <w:rPr>
          <w:i/>
          <w:sz w:val="22"/>
          <w:szCs w:val="22"/>
          <w:lang w:val="en-US"/>
        </w:rPr>
        <w:t>Olivier de Sesmaisons</w:t>
      </w:r>
      <w:r w:rsidRPr="00F321DF">
        <w:rPr>
          <w:i/>
          <w:sz w:val="22"/>
          <w:szCs w:val="22"/>
          <w:lang w:val="en-US"/>
        </w:rPr>
        <w:tab/>
      </w:r>
      <w:r w:rsidRPr="00F321DF">
        <w:rPr>
          <w:i/>
          <w:sz w:val="22"/>
          <w:szCs w:val="22"/>
          <w:lang w:val="en-US"/>
        </w:rPr>
        <w:tab/>
      </w:r>
      <w:r w:rsidRPr="00F321DF">
        <w:rPr>
          <w:i/>
          <w:sz w:val="22"/>
          <w:szCs w:val="22"/>
          <w:lang w:val="en-US"/>
        </w:rPr>
        <w:tab/>
      </w:r>
      <w:r w:rsidRPr="00F321DF">
        <w:rPr>
          <w:i/>
          <w:sz w:val="22"/>
          <w:szCs w:val="22"/>
          <w:lang w:val="en-US"/>
        </w:rPr>
        <w:tab/>
      </w:r>
      <w:r w:rsidR="00D32CC7" w:rsidRPr="00F321DF">
        <w:rPr>
          <w:i/>
          <w:sz w:val="22"/>
          <w:szCs w:val="22"/>
          <w:lang w:val="en-US"/>
        </w:rPr>
        <w:tab/>
        <w:t xml:space="preserve"> </w:t>
      </w:r>
      <w:r w:rsidR="00B850F4" w:rsidRPr="00F321DF">
        <w:rPr>
          <w:i/>
          <w:sz w:val="22"/>
          <w:szCs w:val="22"/>
          <w:lang w:val="en-US"/>
        </w:rPr>
        <w:t>Fr</w:t>
      </w:r>
      <w:r w:rsidR="00923B4E" w:rsidRPr="00F321DF">
        <w:rPr>
          <w:i/>
          <w:sz w:val="22"/>
          <w:szCs w:val="22"/>
          <w:lang w:val="en-US"/>
        </w:rPr>
        <w:t>édéric BOMPAIRE</w:t>
      </w:r>
    </w:p>
    <w:p w:rsidR="00923B4E" w:rsidRPr="003D25A8" w:rsidRDefault="003D25A8" w:rsidP="00923B4E">
      <w:pPr>
        <w:pStyle w:val="Paragraphedeliste"/>
        <w:spacing w:before="120" w:after="120" w:line="276" w:lineRule="auto"/>
        <w:ind w:left="0"/>
        <w:jc w:val="both"/>
        <w:rPr>
          <w:i/>
          <w:sz w:val="22"/>
          <w:szCs w:val="22"/>
          <w:lang w:val="en-US"/>
        </w:rPr>
      </w:pPr>
      <w:r w:rsidRPr="003D25A8">
        <w:rPr>
          <w:i/>
          <w:sz w:val="22"/>
          <w:szCs w:val="22"/>
          <w:lang w:val="en-US"/>
        </w:rPr>
        <w:t>Regulatory reporting</w:t>
      </w:r>
      <w:r w:rsidRPr="003D25A8">
        <w:rPr>
          <w:i/>
          <w:sz w:val="22"/>
          <w:szCs w:val="22"/>
          <w:lang w:val="en-US"/>
        </w:rPr>
        <w:tab/>
      </w:r>
      <w:r>
        <w:rPr>
          <w:i/>
          <w:sz w:val="22"/>
          <w:szCs w:val="22"/>
          <w:lang w:val="en-US"/>
        </w:rPr>
        <w:tab/>
      </w:r>
      <w:r>
        <w:rPr>
          <w:i/>
          <w:sz w:val="22"/>
          <w:szCs w:val="22"/>
          <w:lang w:val="en-US"/>
        </w:rPr>
        <w:tab/>
      </w:r>
      <w:r>
        <w:rPr>
          <w:i/>
          <w:sz w:val="22"/>
          <w:szCs w:val="22"/>
          <w:lang w:val="en-US"/>
        </w:rPr>
        <w:tab/>
      </w:r>
      <w:r>
        <w:rPr>
          <w:i/>
          <w:sz w:val="22"/>
          <w:szCs w:val="22"/>
          <w:lang w:val="en-US"/>
        </w:rPr>
        <w:tab/>
      </w:r>
      <w:r>
        <w:rPr>
          <w:i/>
          <w:sz w:val="22"/>
          <w:szCs w:val="22"/>
          <w:lang w:val="en-US"/>
        </w:rPr>
        <w:tab/>
      </w:r>
      <w:r w:rsidR="00D32CC7">
        <w:rPr>
          <w:i/>
          <w:sz w:val="22"/>
          <w:szCs w:val="22"/>
          <w:lang w:val="en-US"/>
        </w:rPr>
        <w:t xml:space="preserve"> </w:t>
      </w:r>
      <w:r w:rsidR="005E231D" w:rsidRPr="003D25A8">
        <w:rPr>
          <w:i/>
          <w:sz w:val="22"/>
          <w:szCs w:val="22"/>
          <w:lang w:val="en-US"/>
        </w:rPr>
        <w:t>Public A</w:t>
      </w:r>
      <w:r w:rsidR="00F52839" w:rsidRPr="003D25A8">
        <w:rPr>
          <w:i/>
          <w:sz w:val="22"/>
          <w:szCs w:val="22"/>
          <w:lang w:val="en-US"/>
        </w:rPr>
        <w:t>ffairs</w:t>
      </w:r>
    </w:p>
    <w:p w:rsidR="00B850F4" w:rsidRPr="003D25A8" w:rsidRDefault="009B42A7" w:rsidP="00923B4E">
      <w:pPr>
        <w:pStyle w:val="Paragraphedeliste"/>
        <w:spacing w:before="120" w:after="120" w:line="276" w:lineRule="auto"/>
        <w:ind w:left="0"/>
        <w:jc w:val="both"/>
        <w:rPr>
          <w:i/>
          <w:sz w:val="22"/>
          <w:szCs w:val="22"/>
          <w:lang w:val="en-US"/>
        </w:rPr>
      </w:pPr>
      <w:hyperlink r:id="rId10" w:history="1">
        <w:r w:rsidR="003D25A8" w:rsidRPr="003D25A8">
          <w:rPr>
            <w:rStyle w:val="Lienhypertexte"/>
            <w:i/>
            <w:lang w:val="en-US"/>
          </w:rPr>
          <w:t>olivier.desesmaisons@amundi.com</w:t>
        </w:r>
      </w:hyperlink>
      <w:r w:rsidR="003D25A8" w:rsidRPr="003D25A8">
        <w:rPr>
          <w:i/>
          <w:lang w:val="en-US"/>
        </w:rPr>
        <w:t xml:space="preserve"> </w:t>
      </w:r>
      <w:r w:rsidR="003D25A8" w:rsidRPr="003D25A8">
        <w:rPr>
          <w:lang w:val="en-US"/>
        </w:rPr>
        <w:t xml:space="preserve"> </w:t>
      </w:r>
      <w:r w:rsidR="003D25A8" w:rsidRPr="003D25A8">
        <w:rPr>
          <w:lang w:val="en-US"/>
        </w:rPr>
        <w:tab/>
      </w:r>
      <w:r w:rsidR="003D25A8">
        <w:rPr>
          <w:lang w:val="en-US"/>
        </w:rPr>
        <w:tab/>
      </w:r>
      <w:r w:rsidR="003D25A8">
        <w:rPr>
          <w:lang w:val="en-US"/>
        </w:rPr>
        <w:tab/>
      </w:r>
      <w:r w:rsidR="003D25A8">
        <w:rPr>
          <w:lang w:val="en-US"/>
        </w:rPr>
        <w:tab/>
      </w:r>
      <w:r w:rsidR="003D25A8" w:rsidRPr="003D25A8">
        <w:rPr>
          <w:lang w:val="en-US"/>
        </w:rPr>
        <w:t xml:space="preserve"> </w:t>
      </w:r>
      <w:hyperlink r:id="rId11" w:history="1">
        <w:r w:rsidR="00D32CC7" w:rsidRPr="0066668E">
          <w:rPr>
            <w:rStyle w:val="Lienhypertexte"/>
            <w:i/>
            <w:sz w:val="22"/>
            <w:szCs w:val="22"/>
            <w:lang w:val="en-US"/>
          </w:rPr>
          <w:t>frederic.bompaire@amundi.com</w:t>
        </w:r>
      </w:hyperlink>
      <w:r w:rsidR="00D32CC7">
        <w:rPr>
          <w:i/>
          <w:sz w:val="22"/>
          <w:szCs w:val="22"/>
          <w:lang w:val="en-US"/>
        </w:rPr>
        <w:t xml:space="preserve">  +33 (0)1 7633 0991</w:t>
      </w:r>
      <w:r w:rsidR="00D32CC7">
        <w:rPr>
          <w:i/>
          <w:sz w:val="22"/>
          <w:szCs w:val="22"/>
          <w:lang w:val="en-US"/>
        </w:rPr>
        <w:tab/>
      </w:r>
      <w:r w:rsidR="00D32CC7">
        <w:rPr>
          <w:i/>
          <w:sz w:val="22"/>
          <w:szCs w:val="22"/>
          <w:lang w:val="en-US"/>
        </w:rPr>
        <w:tab/>
      </w:r>
      <w:r w:rsidR="00D32CC7">
        <w:rPr>
          <w:i/>
          <w:sz w:val="22"/>
          <w:szCs w:val="22"/>
          <w:lang w:val="en-US"/>
        </w:rPr>
        <w:tab/>
      </w:r>
      <w:r w:rsidR="00D32CC7">
        <w:rPr>
          <w:i/>
          <w:sz w:val="22"/>
          <w:szCs w:val="22"/>
          <w:lang w:val="en-US"/>
        </w:rPr>
        <w:tab/>
      </w:r>
      <w:r w:rsidR="00D32CC7">
        <w:rPr>
          <w:i/>
          <w:sz w:val="22"/>
          <w:szCs w:val="22"/>
          <w:lang w:val="en-US"/>
        </w:rPr>
        <w:tab/>
      </w:r>
      <w:r w:rsidR="00D32CC7">
        <w:rPr>
          <w:i/>
          <w:sz w:val="22"/>
          <w:szCs w:val="22"/>
          <w:lang w:val="en-US"/>
        </w:rPr>
        <w:tab/>
      </w:r>
      <w:r w:rsidR="00B850F4" w:rsidRPr="003D25A8">
        <w:rPr>
          <w:i/>
          <w:sz w:val="22"/>
          <w:szCs w:val="22"/>
          <w:lang w:val="en-US"/>
        </w:rPr>
        <w:t>+33 (0)1 7637 9144</w:t>
      </w:r>
    </w:p>
    <w:sectPr w:rsidR="00B850F4" w:rsidRPr="003D25A8" w:rsidSect="00284B2C">
      <w:headerReference w:type="default" r:id="rId12"/>
      <w:footerReference w:type="default" r:id="rId13"/>
      <w:headerReference w:type="first" r:id="rId14"/>
      <w:footerReference w:type="first" r:id="rId15"/>
      <w:type w:val="continuous"/>
      <w:pgSz w:w="11906" w:h="16838"/>
      <w:pgMar w:top="1417" w:right="1417" w:bottom="1417" w:left="1417" w:header="567" w:footer="567" w:gutter="0"/>
      <w:cols w:space="709"/>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1B1" w:rsidRDefault="007111B1">
      <w:r>
        <w:separator/>
      </w:r>
    </w:p>
  </w:endnote>
  <w:endnote w:type="continuationSeparator" w:id="0">
    <w:p w:rsidR="007111B1" w:rsidRDefault="00711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8246068"/>
      <w:docPartObj>
        <w:docPartGallery w:val="Page Numbers (Bottom of Page)"/>
        <w:docPartUnique/>
      </w:docPartObj>
    </w:sdtPr>
    <w:sdtEndPr/>
    <w:sdtContent>
      <w:p w:rsidR="007111B1" w:rsidRDefault="007111B1">
        <w:pPr>
          <w:pStyle w:val="Pieddepage"/>
          <w:jc w:val="center"/>
        </w:pPr>
        <w:r>
          <w:fldChar w:fldCharType="begin"/>
        </w:r>
        <w:r>
          <w:instrText>PAGE   \* MERGEFORMAT</w:instrText>
        </w:r>
        <w:r>
          <w:fldChar w:fldCharType="separate"/>
        </w:r>
        <w:r w:rsidR="009B42A7">
          <w:rPr>
            <w:noProof/>
          </w:rPr>
          <w:t>7</w:t>
        </w:r>
        <w:r>
          <w:fldChar w:fldCharType="end"/>
        </w:r>
      </w:p>
    </w:sdtContent>
  </w:sdt>
  <w:p w:rsidR="007111B1" w:rsidRDefault="007111B1">
    <w:pPr>
      <w:pStyle w:val="Pieddepage"/>
      <w:tabs>
        <w:tab w:val="clear" w:pos="4536"/>
        <w:tab w:val="clear" w:pos="9072"/>
      </w:tabs>
      <w:spacing w:line="24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1B1" w:rsidRDefault="007111B1">
    <w:pPr>
      <w:pStyle w:val="Pieddepage"/>
      <w:tabs>
        <w:tab w:val="clear" w:pos="4536"/>
        <w:tab w:val="clear" w:pos="9072"/>
      </w:tabs>
      <w:spacing w:line="240" w:lineRule="exact"/>
    </w:pPr>
  </w:p>
  <w:p w:rsidR="007111B1" w:rsidRDefault="007111B1">
    <w:pPr>
      <w:pStyle w:val="Pieddepage"/>
      <w:tabs>
        <w:tab w:val="clear" w:pos="4536"/>
        <w:tab w:val="clear" w:pos="9072"/>
      </w:tabs>
      <w:spacing w:line="240" w:lineRule="exact"/>
    </w:pPr>
  </w:p>
  <w:p w:rsidR="007111B1" w:rsidRDefault="007111B1">
    <w:pPr>
      <w:pStyle w:val="Pieddepage"/>
      <w:tabs>
        <w:tab w:val="clear" w:pos="4536"/>
        <w:tab w:val="clear" w:pos="9072"/>
      </w:tabs>
      <w:spacing w:line="240" w:lineRule="exact"/>
    </w:pPr>
  </w:p>
  <w:p w:rsidR="007111B1" w:rsidRDefault="007111B1">
    <w:pPr>
      <w:pStyle w:val="Pieddepage"/>
      <w:tabs>
        <w:tab w:val="clear" w:pos="4536"/>
        <w:tab w:val="clear" w:pos="9072"/>
      </w:tabs>
      <w:spacing w:line="240" w:lineRule="exact"/>
    </w:pPr>
  </w:p>
  <w:p w:rsidR="007111B1" w:rsidRDefault="007111B1">
    <w:pPr>
      <w:pStyle w:val="Pieddepage"/>
      <w:tabs>
        <w:tab w:val="clear" w:pos="4536"/>
        <w:tab w:val="clear" w:pos="9072"/>
      </w:tabs>
      <w:spacing w:line="240" w:lineRule="exact"/>
    </w:pPr>
  </w:p>
  <w:p w:rsidR="007111B1" w:rsidRDefault="007111B1">
    <w:pPr>
      <w:pStyle w:val="Pieddepage"/>
      <w:tabs>
        <w:tab w:val="clear" w:pos="4536"/>
        <w:tab w:val="clear" w:pos="9072"/>
      </w:tabs>
      <w:spacing w:line="240" w:lineRule="exact"/>
    </w:pPr>
  </w:p>
  <w:p w:rsidR="007111B1" w:rsidRDefault="007111B1">
    <w:pPr>
      <w:pStyle w:val="Pieddepage"/>
      <w:tabs>
        <w:tab w:val="clear" w:pos="4536"/>
        <w:tab w:val="clear" w:pos="9072"/>
      </w:tabs>
      <w:spacing w:line="240" w:lineRule="exact"/>
    </w:pPr>
  </w:p>
  <w:p w:rsidR="007111B1" w:rsidRDefault="007111B1">
    <w:pPr>
      <w:pStyle w:val="Pieddepage"/>
      <w:tabs>
        <w:tab w:val="clear" w:pos="4536"/>
        <w:tab w:val="clear" w:pos="9072"/>
      </w:tabs>
      <w:spacing w:line="240" w:lineRule="exact"/>
    </w:pPr>
  </w:p>
  <w:p w:rsidR="007111B1" w:rsidRDefault="007111B1">
    <w:pPr>
      <w:pStyle w:val="Pieddepage"/>
      <w:tabs>
        <w:tab w:val="clear" w:pos="4536"/>
        <w:tab w:val="clear" w:pos="9072"/>
      </w:tabs>
      <w:spacing w:line="24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1B1" w:rsidRDefault="007111B1">
      <w:r>
        <w:separator/>
      </w:r>
    </w:p>
  </w:footnote>
  <w:footnote w:type="continuationSeparator" w:id="0">
    <w:p w:rsidR="007111B1" w:rsidRDefault="00711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1B1" w:rsidRDefault="007111B1">
    <w:pPr>
      <w:pStyle w:val="En-tte"/>
      <w:tabs>
        <w:tab w:val="clear" w:pos="4536"/>
        <w:tab w:val="clear" w:pos="9072"/>
      </w:tabs>
      <w:spacing w:line="240" w:lineRule="exact"/>
    </w:pPr>
    <w:r>
      <w:rPr>
        <w:noProof/>
        <w:lang w:val="en-US" w:eastAsia="zh-TW"/>
      </w:rPr>
      <w:drawing>
        <wp:anchor distT="0" distB="0" distL="114300" distR="114300" simplePos="0" relativeHeight="251662336" behindDoc="1" locked="0" layoutInCell="1" allowOverlap="1" wp14:anchorId="2EFEABB4" wp14:editId="7B0DD9F3">
          <wp:simplePos x="0" y="0"/>
          <wp:positionH relativeFrom="page">
            <wp:posOffset>280670</wp:posOffset>
          </wp:positionH>
          <wp:positionV relativeFrom="page">
            <wp:posOffset>259080</wp:posOffset>
          </wp:positionV>
          <wp:extent cx="1248410" cy="565785"/>
          <wp:effectExtent l="0" t="0" r="0" b="0"/>
          <wp:wrapThrough wrapText="bothSides">
            <wp:wrapPolygon edited="0">
              <wp:start x="0" y="0"/>
              <wp:lineTo x="0" y="20364"/>
              <wp:lineTo x="21095" y="20364"/>
              <wp:lineTo x="21095" y="0"/>
              <wp:lineTo x="0" y="0"/>
            </wp:wrapPolygon>
          </wp:wrapThrough>
          <wp:docPr id="3" name="Image 3" descr="Amundi_co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Amundi_compa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8410" cy="565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11B1" w:rsidRDefault="007111B1">
    <w:pPr>
      <w:pStyle w:val="En-tte"/>
      <w:tabs>
        <w:tab w:val="clear" w:pos="4536"/>
        <w:tab w:val="clear" w:pos="9072"/>
      </w:tabs>
      <w:spacing w:line="240" w:lineRule="exact"/>
    </w:pPr>
  </w:p>
  <w:p w:rsidR="007111B1" w:rsidRDefault="007111B1">
    <w:pPr>
      <w:pStyle w:val="En-tte"/>
      <w:tabs>
        <w:tab w:val="clear" w:pos="4536"/>
        <w:tab w:val="clear" w:pos="9072"/>
      </w:tabs>
      <w:spacing w:line="240" w:lineRule="exact"/>
    </w:pPr>
  </w:p>
  <w:p w:rsidR="007111B1" w:rsidRDefault="007111B1">
    <w:pPr>
      <w:pStyle w:val="En-tte"/>
      <w:tabs>
        <w:tab w:val="clear" w:pos="4536"/>
        <w:tab w:val="clear" w:pos="9072"/>
      </w:tabs>
      <w:spacing w:line="240" w:lineRule="exact"/>
    </w:pPr>
  </w:p>
  <w:p w:rsidR="007111B1" w:rsidRDefault="007111B1">
    <w:pPr>
      <w:pStyle w:val="En-tte"/>
      <w:tabs>
        <w:tab w:val="clear" w:pos="4536"/>
        <w:tab w:val="clear" w:pos="9072"/>
      </w:tabs>
      <w:spacing w:line="240" w:lineRule="exact"/>
    </w:pPr>
  </w:p>
  <w:p w:rsidR="007111B1" w:rsidRDefault="007111B1">
    <w:pPr>
      <w:pStyle w:val="En-tte"/>
      <w:tabs>
        <w:tab w:val="clear" w:pos="4536"/>
        <w:tab w:val="clear" w:pos="9072"/>
      </w:tabs>
      <w:spacing w:line="240" w:lineRule="exact"/>
    </w:pPr>
  </w:p>
  <w:p w:rsidR="007111B1" w:rsidRDefault="007111B1">
    <w:pPr>
      <w:pStyle w:val="En-tte"/>
      <w:tabs>
        <w:tab w:val="clear" w:pos="4536"/>
        <w:tab w:val="clear" w:pos="9072"/>
      </w:tabs>
      <w:spacing w:line="24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1B1" w:rsidRDefault="007111B1">
    <w:pPr>
      <w:pStyle w:val="En-tte"/>
      <w:tabs>
        <w:tab w:val="clear" w:pos="4536"/>
        <w:tab w:val="clear" w:pos="9072"/>
      </w:tabs>
      <w:spacing w:line="240" w:lineRule="exact"/>
    </w:pPr>
    <w:r>
      <w:rPr>
        <w:noProof/>
        <w:lang w:val="en-US" w:eastAsia="zh-TW"/>
      </w:rPr>
      <w:drawing>
        <wp:anchor distT="0" distB="0" distL="114300" distR="114300" simplePos="0" relativeHeight="251660288" behindDoc="1" locked="0" layoutInCell="1" allowOverlap="1" wp14:anchorId="5D6F3D01" wp14:editId="0F8447A0">
          <wp:simplePos x="0" y="0"/>
          <wp:positionH relativeFrom="page">
            <wp:posOffset>230505</wp:posOffset>
          </wp:positionH>
          <wp:positionV relativeFrom="page">
            <wp:posOffset>338455</wp:posOffset>
          </wp:positionV>
          <wp:extent cx="1764030" cy="799465"/>
          <wp:effectExtent l="0" t="0" r="0" b="0"/>
          <wp:wrapNone/>
          <wp:docPr id="5" name="Image 9" descr="Description : Amundi_co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Description : Amundi_compa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4030" cy="799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11B1" w:rsidRDefault="007111B1">
    <w:pPr>
      <w:pStyle w:val="En-tte"/>
      <w:tabs>
        <w:tab w:val="clear" w:pos="4536"/>
        <w:tab w:val="clear" w:pos="9072"/>
      </w:tabs>
      <w:spacing w:line="240" w:lineRule="exact"/>
    </w:pPr>
  </w:p>
  <w:p w:rsidR="007111B1" w:rsidRDefault="007111B1">
    <w:pPr>
      <w:pStyle w:val="En-tte"/>
      <w:tabs>
        <w:tab w:val="clear" w:pos="4536"/>
        <w:tab w:val="clear" w:pos="9072"/>
      </w:tabs>
      <w:spacing w:line="240" w:lineRule="exact"/>
    </w:pPr>
  </w:p>
  <w:p w:rsidR="007111B1" w:rsidRDefault="007111B1">
    <w:pPr>
      <w:pStyle w:val="En-tte"/>
      <w:tabs>
        <w:tab w:val="clear" w:pos="4536"/>
        <w:tab w:val="clear" w:pos="9072"/>
      </w:tabs>
      <w:spacing w:line="240" w:lineRule="exact"/>
    </w:pPr>
  </w:p>
  <w:p w:rsidR="007111B1" w:rsidRDefault="007111B1">
    <w:pPr>
      <w:pStyle w:val="En-tte"/>
      <w:tabs>
        <w:tab w:val="clear" w:pos="4536"/>
        <w:tab w:val="clear" w:pos="9072"/>
      </w:tabs>
      <w:spacing w:line="240" w:lineRule="exact"/>
    </w:pPr>
  </w:p>
  <w:p w:rsidR="007111B1" w:rsidRDefault="007111B1">
    <w:pPr>
      <w:pStyle w:val="En-tte"/>
      <w:tabs>
        <w:tab w:val="clear" w:pos="4536"/>
        <w:tab w:val="clear" w:pos="9072"/>
      </w:tabs>
      <w:spacing w:line="240" w:lineRule="exact"/>
    </w:pPr>
  </w:p>
  <w:p w:rsidR="007111B1" w:rsidRDefault="007111B1">
    <w:pPr>
      <w:pStyle w:val="En-tte"/>
      <w:tabs>
        <w:tab w:val="clear" w:pos="4536"/>
        <w:tab w:val="clear" w:pos="9072"/>
      </w:tabs>
      <w:spacing w:line="240" w:lineRule="exact"/>
    </w:pPr>
  </w:p>
  <w:p w:rsidR="007111B1" w:rsidRDefault="007111B1">
    <w:pPr>
      <w:pStyle w:val="En-tte"/>
      <w:tabs>
        <w:tab w:val="clear" w:pos="4536"/>
        <w:tab w:val="clear" w:pos="9072"/>
      </w:tabs>
      <w:spacing w:line="240" w:lineRule="exact"/>
    </w:pPr>
  </w:p>
  <w:p w:rsidR="007111B1" w:rsidRDefault="007111B1">
    <w:pPr>
      <w:pStyle w:val="En-tte"/>
      <w:tabs>
        <w:tab w:val="clear" w:pos="4536"/>
        <w:tab w:val="clear" w:pos="9072"/>
      </w:tabs>
      <w:spacing w:line="19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F665D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D87305"/>
    <w:multiLevelType w:val="hybridMultilevel"/>
    <w:tmpl w:val="3566E26E"/>
    <w:lvl w:ilvl="0" w:tplc="B330D350">
      <w:numFmt w:val="bullet"/>
      <w:lvlText w:val="-"/>
      <w:lvlJc w:val="left"/>
      <w:pPr>
        <w:ind w:left="720" w:hanging="360"/>
      </w:pPr>
      <w:rPr>
        <w:rFonts w:ascii="Calibri" w:eastAsia="PMingLiU"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AA3E3F"/>
    <w:multiLevelType w:val="hybridMultilevel"/>
    <w:tmpl w:val="6FAEEBE6"/>
    <w:lvl w:ilvl="0" w:tplc="EBCA3D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AF4F5A"/>
    <w:multiLevelType w:val="hybridMultilevel"/>
    <w:tmpl w:val="F1D63792"/>
    <w:lvl w:ilvl="0" w:tplc="040C000D">
      <w:start w:val="1"/>
      <w:numFmt w:val="bullet"/>
      <w:lvlText w:val=""/>
      <w:lvlJc w:val="left"/>
      <w:pPr>
        <w:ind w:left="788" w:hanging="360"/>
      </w:pPr>
      <w:rPr>
        <w:rFonts w:ascii="Wingdings" w:hAnsi="Wingdings"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4">
    <w:nsid w:val="20AF220E"/>
    <w:multiLevelType w:val="hybridMultilevel"/>
    <w:tmpl w:val="49F0E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E17CC2"/>
    <w:multiLevelType w:val="hybridMultilevel"/>
    <w:tmpl w:val="F086C6BA"/>
    <w:lvl w:ilvl="0" w:tplc="4CEED83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224B44B0"/>
    <w:multiLevelType w:val="hybridMultilevel"/>
    <w:tmpl w:val="98DCADC6"/>
    <w:lvl w:ilvl="0" w:tplc="25F203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AD4240"/>
    <w:multiLevelType w:val="hybridMultilevel"/>
    <w:tmpl w:val="7C1EF9F0"/>
    <w:lvl w:ilvl="0" w:tplc="0C463DE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F97FA9"/>
    <w:multiLevelType w:val="hybridMultilevel"/>
    <w:tmpl w:val="C6AE9D6C"/>
    <w:lvl w:ilvl="0" w:tplc="F68AB7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B720DD"/>
    <w:multiLevelType w:val="hybridMultilevel"/>
    <w:tmpl w:val="DE142B2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0">
    <w:nsid w:val="3BEC7D7C"/>
    <w:multiLevelType w:val="hybridMultilevel"/>
    <w:tmpl w:val="4BAA2894"/>
    <w:lvl w:ilvl="0" w:tplc="F97A6D98">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59436C"/>
    <w:multiLevelType w:val="hybridMultilevel"/>
    <w:tmpl w:val="B0EAAA50"/>
    <w:lvl w:ilvl="0" w:tplc="040C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B72E71"/>
    <w:multiLevelType w:val="hybridMultilevel"/>
    <w:tmpl w:val="A77851D4"/>
    <w:lvl w:ilvl="0" w:tplc="21B6CDE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5"/>
  </w:num>
  <w:num w:numId="5">
    <w:abstractNumId w:val="8"/>
  </w:num>
  <w:num w:numId="6">
    <w:abstractNumId w:val="10"/>
  </w:num>
  <w:num w:numId="7">
    <w:abstractNumId w:val="7"/>
  </w:num>
  <w:num w:numId="8">
    <w:abstractNumId w:val="12"/>
  </w:num>
  <w:num w:numId="9">
    <w:abstractNumId w:val="11"/>
  </w:num>
  <w:num w:numId="10">
    <w:abstractNumId w:val="3"/>
  </w:num>
  <w:num w:numId="11">
    <w:abstractNumId w:val="1"/>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E95"/>
    <w:rsid w:val="000132CB"/>
    <w:rsid w:val="000150F1"/>
    <w:rsid w:val="00025E1C"/>
    <w:rsid w:val="00033615"/>
    <w:rsid w:val="0003593F"/>
    <w:rsid w:val="00041245"/>
    <w:rsid w:val="00044591"/>
    <w:rsid w:val="00056244"/>
    <w:rsid w:val="0009467C"/>
    <w:rsid w:val="000B3C00"/>
    <w:rsid w:val="000B4225"/>
    <w:rsid w:val="000B5CFD"/>
    <w:rsid w:val="000C105E"/>
    <w:rsid w:val="000C2B46"/>
    <w:rsid w:val="000C79F0"/>
    <w:rsid w:val="000D71DF"/>
    <w:rsid w:val="000D7F17"/>
    <w:rsid w:val="000E3AC3"/>
    <w:rsid w:val="000E6929"/>
    <w:rsid w:val="000F0443"/>
    <w:rsid w:val="00103051"/>
    <w:rsid w:val="0014520A"/>
    <w:rsid w:val="00150E11"/>
    <w:rsid w:val="0015574D"/>
    <w:rsid w:val="00160E01"/>
    <w:rsid w:val="00162238"/>
    <w:rsid w:val="00171CA5"/>
    <w:rsid w:val="001766E2"/>
    <w:rsid w:val="00176F39"/>
    <w:rsid w:val="00177ECE"/>
    <w:rsid w:val="00187AF6"/>
    <w:rsid w:val="00191839"/>
    <w:rsid w:val="001945C8"/>
    <w:rsid w:val="001B632D"/>
    <w:rsid w:val="001C09BB"/>
    <w:rsid w:val="001D0653"/>
    <w:rsid w:val="001D1F61"/>
    <w:rsid w:val="001E225B"/>
    <w:rsid w:val="001E73B5"/>
    <w:rsid w:val="00223AE9"/>
    <w:rsid w:val="00223AFD"/>
    <w:rsid w:val="002250CE"/>
    <w:rsid w:val="00225301"/>
    <w:rsid w:val="00262063"/>
    <w:rsid w:val="00270B15"/>
    <w:rsid w:val="00284B2C"/>
    <w:rsid w:val="002A07E9"/>
    <w:rsid w:val="002A6896"/>
    <w:rsid w:val="002B182A"/>
    <w:rsid w:val="002B274A"/>
    <w:rsid w:val="002B6B9B"/>
    <w:rsid w:val="002C7D32"/>
    <w:rsid w:val="002D35D6"/>
    <w:rsid w:val="002F349C"/>
    <w:rsid w:val="00310226"/>
    <w:rsid w:val="00311C49"/>
    <w:rsid w:val="003155DF"/>
    <w:rsid w:val="00330922"/>
    <w:rsid w:val="00332028"/>
    <w:rsid w:val="00342F6E"/>
    <w:rsid w:val="00345DC7"/>
    <w:rsid w:val="003507CD"/>
    <w:rsid w:val="003625E4"/>
    <w:rsid w:val="00386178"/>
    <w:rsid w:val="003957BB"/>
    <w:rsid w:val="003B1FA6"/>
    <w:rsid w:val="003C4987"/>
    <w:rsid w:val="003D2507"/>
    <w:rsid w:val="003D25A8"/>
    <w:rsid w:val="003F1407"/>
    <w:rsid w:val="003F7282"/>
    <w:rsid w:val="00400DA5"/>
    <w:rsid w:val="004019E2"/>
    <w:rsid w:val="00401AF5"/>
    <w:rsid w:val="0041142C"/>
    <w:rsid w:val="00412A7C"/>
    <w:rsid w:val="00415CB0"/>
    <w:rsid w:val="0041636A"/>
    <w:rsid w:val="00422C78"/>
    <w:rsid w:val="00422F6C"/>
    <w:rsid w:val="0044240C"/>
    <w:rsid w:val="0044677B"/>
    <w:rsid w:val="00452908"/>
    <w:rsid w:val="0047470D"/>
    <w:rsid w:val="004951F7"/>
    <w:rsid w:val="0049649A"/>
    <w:rsid w:val="004A0BAF"/>
    <w:rsid w:val="004B0D30"/>
    <w:rsid w:val="004B65B1"/>
    <w:rsid w:val="004C0ED7"/>
    <w:rsid w:val="004C3466"/>
    <w:rsid w:val="004C5DB8"/>
    <w:rsid w:val="004C65AA"/>
    <w:rsid w:val="004D10A0"/>
    <w:rsid w:val="004D5FD5"/>
    <w:rsid w:val="004E2AE2"/>
    <w:rsid w:val="004F3992"/>
    <w:rsid w:val="00502703"/>
    <w:rsid w:val="00536081"/>
    <w:rsid w:val="005371AA"/>
    <w:rsid w:val="00541973"/>
    <w:rsid w:val="005441F3"/>
    <w:rsid w:val="00556337"/>
    <w:rsid w:val="005630A2"/>
    <w:rsid w:val="00587BD5"/>
    <w:rsid w:val="00592AE0"/>
    <w:rsid w:val="005A43BC"/>
    <w:rsid w:val="005B06B4"/>
    <w:rsid w:val="005C51D8"/>
    <w:rsid w:val="005C5E18"/>
    <w:rsid w:val="005D2D03"/>
    <w:rsid w:val="005E0E18"/>
    <w:rsid w:val="005E231D"/>
    <w:rsid w:val="005E3C70"/>
    <w:rsid w:val="005E3F76"/>
    <w:rsid w:val="00600568"/>
    <w:rsid w:val="00602814"/>
    <w:rsid w:val="00603C63"/>
    <w:rsid w:val="00612AF5"/>
    <w:rsid w:val="00631CD6"/>
    <w:rsid w:val="00633CD8"/>
    <w:rsid w:val="00642797"/>
    <w:rsid w:val="006A1CC1"/>
    <w:rsid w:val="006B600F"/>
    <w:rsid w:val="006C3C70"/>
    <w:rsid w:val="006E565F"/>
    <w:rsid w:val="006E7B42"/>
    <w:rsid w:val="006F5A74"/>
    <w:rsid w:val="007111B1"/>
    <w:rsid w:val="007166FE"/>
    <w:rsid w:val="00722E3F"/>
    <w:rsid w:val="00753CA0"/>
    <w:rsid w:val="00770E95"/>
    <w:rsid w:val="00775657"/>
    <w:rsid w:val="00780E11"/>
    <w:rsid w:val="00783C09"/>
    <w:rsid w:val="00787213"/>
    <w:rsid w:val="007965BF"/>
    <w:rsid w:val="007A5297"/>
    <w:rsid w:val="007B4652"/>
    <w:rsid w:val="007D135B"/>
    <w:rsid w:val="007D3EFF"/>
    <w:rsid w:val="007D5352"/>
    <w:rsid w:val="007D715A"/>
    <w:rsid w:val="007F2A40"/>
    <w:rsid w:val="0080174F"/>
    <w:rsid w:val="00804DB4"/>
    <w:rsid w:val="00820704"/>
    <w:rsid w:val="00833F87"/>
    <w:rsid w:val="00840146"/>
    <w:rsid w:val="00845876"/>
    <w:rsid w:val="008568F8"/>
    <w:rsid w:val="00872C2E"/>
    <w:rsid w:val="00873C08"/>
    <w:rsid w:val="0088486F"/>
    <w:rsid w:val="00892450"/>
    <w:rsid w:val="0089428B"/>
    <w:rsid w:val="00894750"/>
    <w:rsid w:val="00897CDD"/>
    <w:rsid w:val="008A2B71"/>
    <w:rsid w:val="008A35ED"/>
    <w:rsid w:val="008A69C5"/>
    <w:rsid w:val="008B09DB"/>
    <w:rsid w:val="008D06E8"/>
    <w:rsid w:val="008E1B8D"/>
    <w:rsid w:val="008E2E89"/>
    <w:rsid w:val="008E4900"/>
    <w:rsid w:val="009220A8"/>
    <w:rsid w:val="00923B4E"/>
    <w:rsid w:val="009319F4"/>
    <w:rsid w:val="0093355B"/>
    <w:rsid w:val="00935AD9"/>
    <w:rsid w:val="00945B7C"/>
    <w:rsid w:val="009738E4"/>
    <w:rsid w:val="00987480"/>
    <w:rsid w:val="009933AD"/>
    <w:rsid w:val="009B0FCB"/>
    <w:rsid w:val="009B1925"/>
    <w:rsid w:val="009B42A7"/>
    <w:rsid w:val="009B5A0E"/>
    <w:rsid w:val="009B62AD"/>
    <w:rsid w:val="009D2B1D"/>
    <w:rsid w:val="009D5751"/>
    <w:rsid w:val="009E3F08"/>
    <w:rsid w:val="009E7E5D"/>
    <w:rsid w:val="00A06995"/>
    <w:rsid w:val="00A13F58"/>
    <w:rsid w:val="00A36036"/>
    <w:rsid w:val="00A4199D"/>
    <w:rsid w:val="00A546E7"/>
    <w:rsid w:val="00A57F17"/>
    <w:rsid w:val="00A80EBD"/>
    <w:rsid w:val="00A81F97"/>
    <w:rsid w:val="00AA2A63"/>
    <w:rsid w:val="00AA54F1"/>
    <w:rsid w:val="00AF1F5D"/>
    <w:rsid w:val="00B011E2"/>
    <w:rsid w:val="00B04527"/>
    <w:rsid w:val="00B21ED8"/>
    <w:rsid w:val="00B260C2"/>
    <w:rsid w:val="00B413D8"/>
    <w:rsid w:val="00B43C31"/>
    <w:rsid w:val="00B52044"/>
    <w:rsid w:val="00B53678"/>
    <w:rsid w:val="00B658A0"/>
    <w:rsid w:val="00B70C16"/>
    <w:rsid w:val="00B747D5"/>
    <w:rsid w:val="00B850F4"/>
    <w:rsid w:val="00B86FA7"/>
    <w:rsid w:val="00B93176"/>
    <w:rsid w:val="00BB541B"/>
    <w:rsid w:val="00BD1EEA"/>
    <w:rsid w:val="00BD53DB"/>
    <w:rsid w:val="00BF599F"/>
    <w:rsid w:val="00C0062A"/>
    <w:rsid w:val="00C008ED"/>
    <w:rsid w:val="00C027B5"/>
    <w:rsid w:val="00C0751E"/>
    <w:rsid w:val="00C2074B"/>
    <w:rsid w:val="00C24012"/>
    <w:rsid w:val="00C32D2F"/>
    <w:rsid w:val="00C34034"/>
    <w:rsid w:val="00C476F3"/>
    <w:rsid w:val="00C75462"/>
    <w:rsid w:val="00C846E7"/>
    <w:rsid w:val="00C84B7C"/>
    <w:rsid w:val="00C94062"/>
    <w:rsid w:val="00CD0B86"/>
    <w:rsid w:val="00CD47D6"/>
    <w:rsid w:val="00CD5ADF"/>
    <w:rsid w:val="00CD6174"/>
    <w:rsid w:val="00CE4C33"/>
    <w:rsid w:val="00CF7863"/>
    <w:rsid w:val="00D167FC"/>
    <w:rsid w:val="00D170EA"/>
    <w:rsid w:val="00D24540"/>
    <w:rsid w:val="00D32CC7"/>
    <w:rsid w:val="00D46083"/>
    <w:rsid w:val="00D462AC"/>
    <w:rsid w:val="00D50E13"/>
    <w:rsid w:val="00D51F55"/>
    <w:rsid w:val="00D65D89"/>
    <w:rsid w:val="00D71D65"/>
    <w:rsid w:val="00DC053C"/>
    <w:rsid w:val="00DC1DED"/>
    <w:rsid w:val="00DF6A82"/>
    <w:rsid w:val="00DF6D67"/>
    <w:rsid w:val="00E03D81"/>
    <w:rsid w:val="00E232FC"/>
    <w:rsid w:val="00E24D72"/>
    <w:rsid w:val="00E260AE"/>
    <w:rsid w:val="00E3364B"/>
    <w:rsid w:val="00E56759"/>
    <w:rsid w:val="00E608E5"/>
    <w:rsid w:val="00E72738"/>
    <w:rsid w:val="00E84B05"/>
    <w:rsid w:val="00E8620C"/>
    <w:rsid w:val="00E91484"/>
    <w:rsid w:val="00EB1AE2"/>
    <w:rsid w:val="00EC00DD"/>
    <w:rsid w:val="00EC540A"/>
    <w:rsid w:val="00ED4AEB"/>
    <w:rsid w:val="00EF4D93"/>
    <w:rsid w:val="00F0338F"/>
    <w:rsid w:val="00F05DDD"/>
    <w:rsid w:val="00F269D7"/>
    <w:rsid w:val="00F3106C"/>
    <w:rsid w:val="00F321DF"/>
    <w:rsid w:val="00F3473F"/>
    <w:rsid w:val="00F37588"/>
    <w:rsid w:val="00F37BEF"/>
    <w:rsid w:val="00F5044D"/>
    <w:rsid w:val="00F5059E"/>
    <w:rsid w:val="00F52839"/>
    <w:rsid w:val="00F57883"/>
    <w:rsid w:val="00F63C95"/>
    <w:rsid w:val="00F67AD7"/>
    <w:rsid w:val="00F709C3"/>
    <w:rsid w:val="00F7404C"/>
    <w:rsid w:val="00F7544B"/>
    <w:rsid w:val="00F75822"/>
    <w:rsid w:val="00F901CF"/>
    <w:rsid w:val="00FA0940"/>
    <w:rsid w:val="00FB0D25"/>
    <w:rsid w:val="00FB1454"/>
    <w:rsid w:val="00FC5A24"/>
    <w:rsid w:val="00FE2EBF"/>
    <w:rsid w:val="00FE335B"/>
    <w:rsid w:val="00FE37DE"/>
    <w:rsid w:val="00FF2F85"/>
    <w:rsid w:val="00FF394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atLeast"/>
    </w:pPr>
    <w:rPr>
      <w:rFonts w:ascii="Arial" w:hAnsi="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Signature">
    <w:name w:val="Signature"/>
    <w:basedOn w:val="Normal"/>
    <w:pPr>
      <w:ind w:left="4004"/>
    </w:pPr>
  </w:style>
  <w:style w:type="paragraph" w:customStyle="1" w:styleId="Nomdelafiliale">
    <w:name w:val="Nom de la filiale"/>
    <w:basedOn w:val="Normal"/>
    <w:rsid w:val="007E7A2A"/>
    <w:pPr>
      <w:framePr w:w="6237" w:h="57" w:wrap="notBeside" w:vAnchor="page" w:hAnchor="page" w:x="681" w:y="14856"/>
      <w:spacing w:line="216" w:lineRule="exact"/>
    </w:pPr>
    <w:rPr>
      <w:b/>
      <w:sz w:val="18"/>
    </w:rPr>
  </w:style>
  <w:style w:type="paragraph" w:customStyle="1" w:styleId="Adressepieddepage">
    <w:name w:val="Adresse pied de page"/>
    <w:basedOn w:val="Normal"/>
    <w:rsid w:val="00A40595"/>
    <w:pPr>
      <w:framePr w:w="6521" w:h="57" w:wrap="notBeside" w:vAnchor="page" w:hAnchor="page" w:x="681" w:y="14460" w:anchorLock="1"/>
      <w:spacing w:line="192" w:lineRule="exact"/>
    </w:pPr>
    <w:rPr>
      <w:color w:val="00235D"/>
      <w:sz w:val="16"/>
    </w:rPr>
  </w:style>
  <w:style w:type="paragraph" w:customStyle="1" w:styleId="Capitaletrfrences">
    <w:name w:val="Capital et références"/>
    <w:basedOn w:val="Adressepieddepage"/>
    <w:rsid w:val="007E7A2A"/>
    <w:pPr>
      <w:framePr w:wrap="notBeside"/>
      <w:spacing w:line="168" w:lineRule="exact"/>
    </w:pPr>
    <w:rPr>
      <w:sz w:val="14"/>
    </w:rPr>
  </w:style>
  <w:style w:type="character" w:customStyle="1" w:styleId="apple-converted-space">
    <w:name w:val="apple-converted-space"/>
    <w:basedOn w:val="Policepardfaut"/>
    <w:rsid w:val="002B182A"/>
  </w:style>
  <w:style w:type="paragraph" w:styleId="Paragraphedeliste">
    <w:name w:val="List Paragraph"/>
    <w:basedOn w:val="Normal"/>
    <w:uiPriority w:val="72"/>
    <w:rsid w:val="00F37BEF"/>
    <w:pPr>
      <w:ind w:left="720"/>
      <w:contextualSpacing/>
    </w:pPr>
  </w:style>
  <w:style w:type="character" w:customStyle="1" w:styleId="PieddepageCar">
    <w:name w:val="Pied de page Car"/>
    <w:basedOn w:val="Policepardfaut"/>
    <w:link w:val="Pieddepage"/>
    <w:uiPriority w:val="99"/>
    <w:rsid w:val="00F5059E"/>
    <w:rPr>
      <w:rFonts w:ascii="Arial" w:hAnsi="Arial"/>
    </w:rPr>
  </w:style>
  <w:style w:type="character" w:styleId="Lienhypertexte">
    <w:name w:val="Hyperlink"/>
    <w:basedOn w:val="Policepardfaut"/>
    <w:rsid w:val="00B850F4"/>
    <w:rPr>
      <w:color w:val="0000FF" w:themeColor="hyperlink"/>
      <w:u w:val="single"/>
    </w:rPr>
  </w:style>
  <w:style w:type="paragraph" w:styleId="Textedebulles">
    <w:name w:val="Balloon Text"/>
    <w:basedOn w:val="Normal"/>
    <w:link w:val="TextedebullesCar"/>
    <w:rsid w:val="000F0443"/>
    <w:pPr>
      <w:spacing w:line="240" w:lineRule="auto"/>
    </w:pPr>
    <w:rPr>
      <w:rFonts w:ascii="Tahoma" w:hAnsi="Tahoma" w:cs="Tahoma"/>
      <w:sz w:val="16"/>
      <w:szCs w:val="16"/>
    </w:rPr>
  </w:style>
  <w:style w:type="character" w:customStyle="1" w:styleId="TextedebullesCar">
    <w:name w:val="Texte de bulles Car"/>
    <w:basedOn w:val="Policepardfaut"/>
    <w:link w:val="Textedebulles"/>
    <w:rsid w:val="000F04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atLeast"/>
    </w:pPr>
    <w:rPr>
      <w:rFonts w:ascii="Arial" w:hAnsi="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Signature">
    <w:name w:val="Signature"/>
    <w:basedOn w:val="Normal"/>
    <w:pPr>
      <w:ind w:left="4004"/>
    </w:pPr>
  </w:style>
  <w:style w:type="paragraph" w:customStyle="1" w:styleId="Nomdelafiliale">
    <w:name w:val="Nom de la filiale"/>
    <w:basedOn w:val="Normal"/>
    <w:rsid w:val="007E7A2A"/>
    <w:pPr>
      <w:framePr w:w="6237" w:h="57" w:wrap="notBeside" w:vAnchor="page" w:hAnchor="page" w:x="681" w:y="14856"/>
      <w:spacing w:line="216" w:lineRule="exact"/>
    </w:pPr>
    <w:rPr>
      <w:b/>
      <w:sz w:val="18"/>
    </w:rPr>
  </w:style>
  <w:style w:type="paragraph" w:customStyle="1" w:styleId="Adressepieddepage">
    <w:name w:val="Adresse pied de page"/>
    <w:basedOn w:val="Normal"/>
    <w:rsid w:val="00A40595"/>
    <w:pPr>
      <w:framePr w:w="6521" w:h="57" w:wrap="notBeside" w:vAnchor="page" w:hAnchor="page" w:x="681" w:y="14460" w:anchorLock="1"/>
      <w:spacing w:line="192" w:lineRule="exact"/>
    </w:pPr>
    <w:rPr>
      <w:color w:val="00235D"/>
      <w:sz w:val="16"/>
    </w:rPr>
  </w:style>
  <w:style w:type="paragraph" w:customStyle="1" w:styleId="Capitaletrfrences">
    <w:name w:val="Capital et références"/>
    <w:basedOn w:val="Adressepieddepage"/>
    <w:rsid w:val="007E7A2A"/>
    <w:pPr>
      <w:framePr w:wrap="notBeside"/>
      <w:spacing w:line="168" w:lineRule="exact"/>
    </w:pPr>
    <w:rPr>
      <w:sz w:val="14"/>
    </w:rPr>
  </w:style>
  <w:style w:type="character" w:customStyle="1" w:styleId="apple-converted-space">
    <w:name w:val="apple-converted-space"/>
    <w:basedOn w:val="Policepardfaut"/>
    <w:rsid w:val="002B182A"/>
  </w:style>
  <w:style w:type="paragraph" w:styleId="Paragraphedeliste">
    <w:name w:val="List Paragraph"/>
    <w:basedOn w:val="Normal"/>
    <w:uiPriority w:val="72"/>
    <w:rsid w:val="00F37BEF"/>
    <w:pPr>
      <w:ind w:left="720"/>
      <w:contextualSpacing/>
    </w:pPr>
  </w:style>
  <w:style w:type="character" w:customStyle="1" w:styleId="PieddepageCar">
    <w:name w:val="Pied de page Car"/>
    <w:basedOn w:val="Policepardfaut"/>
    <w:link w:val="Pieddepage"/>
    <w:uiPriority w:val="99"/>
    <w:rsid w:val="00F5059E"/>
    <w:rPr>
      <w:rFonts w:ascii="Arial" w:hAnsi="Arial"/>
    </w:rPr>
  </w:style>
  <w:style w:type="character" w:styleId="Lienhypertexte">
    <w:name w:val="Hyperlink"/>
    <w:basedOn w:val="Policepardfaut"/>
    <w:rsid w:val="00B850F4"/>
    <w:rPr>
      <w:color w:val="0000FF" w:themeColor="hyperlink"/>
      <w:u w:val="single"/>
    </w:rPr>
  </w:style>
  <w:style w:type="paragraph" w:styleId="Textedebulles">
    <w:name w:val="Balloon Text"/>
    <w:basedOn w:val="Normal"/>
    <w:link w:val="TextedebullesCar"/>
    <w:rsid w:val="000F0443"/>
    <w:pPr>
      <w:spacing w:line="240" w:lineRule="auto"/>
    </w:pPr>
    <w:rPr>
      <w:rFonts w:ascii="Tahoma" w:hAnsi="Tahoma" w:cs="Tahoma"/>
      <w:sz w:val="16"/>
      <w:szCs w:val="16"/>
    </w:rPr>
  </w:style>
  <w:style w:type="character" w:customStyle="1" w:styleId="TextedebullesCar">
    <w:name w:val="Texte de bulles Car"/>
    <w:basedOn w:val="Policepardfaut"/>
    <w:link w:val="Textedebulles"/>
    <w:rsid w:val="000F04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655056">
      <w:bodyDiv w:val="1"/>
      <w:marLeft w:val="0"/>
      <w:marRight w:val="0"/>
      <w:marTop w:val="0"/>
      <w:marBottom w:val="0"/>
      <w:divBdr>
        <w:top w:val="none" w:sz="0" w:space="0" w:color="auto"/>
        <w:left w:val="none" w:sz="0" w:space="0" w:color="auto"/>
        <w:bottom w:val="none" w:sz="0" w:space="0" w:color="auto"/>
        <w:right w:val="none" w:sz="0" w:space="0" w:color="auto"/>
      </w:divBdr>
    </w:div>
    <w:div w:id="877398834">
      <w:bodyDiv w:val="1"/>
      <w:marLeft w:val="0"/>
      <w:marRight w:val="0"/>
      <w:marTop w:val="0"/>
      <w:marBottom w:val="0"/>
      <w:divBdr>
        <w:top w:val="none" w:sz="0" w:space="0" w:color="auto"/>
        <w:left w:val="none" w:sz="0" w:space="0" w:color="auto"/>
        <w:bottom w:val="none" w:sz="0" w:space="0" w:color="auto"/>
        <w:right w:val="none" w:sz="0" w:space="0" w:color="auto"/>
      </w:divBdr>
    </w:div>
    <w:div w:id="969212269">
      <w:bodyDiv w:val="1"/>
      <w:marLeft w:val="0"/>
      <w:marRight w:val="0"/>
      <w:marTop w:val="0"/>
      <w:marBottom w:val="0"/>
      <w:divBdr>
        <w:top w:val="none" w:sz="0" w:space="0" w:color="auto"/>
        <w:left w:val="none" w:sz="0" w:space="0" w:color="auto"/>
        <w:bottom w:val="none" w:sz="0" w:space="0" w:color="auto"/>
        <w:right w:val="none" w:sz="0" w:space="0" w:color="auto"/>
      </w:divBdr>
    </w:div>
    <w:div w:id="1211764784">
      <w:bodyDiv w:val="1"/>
      <w:marLeft w:val="0"/>
      <w:marRight w:val="0"/>
      <w:marTop w:val="0"/>
      <w:marBottom w:val="0"/>
      <w:divBdr>
        <w:top w:val="none" w:sz="0" w:space="0" w:color="auto"/>
        <w:left w:val="none" w:sz="0" w:space="0" w:color="auto"/>
        <w:bottom w:val="none" w:sz="0" w:space="0" w:color="auto"/>
        <w:right w:val="none" w:sz="0" w:space="0" w:color="auto"/>
      </w:divBdr>
      <w:divsChild>
        <w:div w:id="772701419">
          <w:marLeft w:val="0"/>
          <w:marRight w:val="0"/>
          <w:marTop w:val="0"/>
          <w:marBottom w:val="0"/>
          <w:divBdr>
            <w:top w:val="none" w:sz="0" w:space="0" w:color="auto"/>
            <w:left w:val="none" w:sz="0" w:space="0" w:color="auto"/>
            <w:bottom w:val="none" w:sz="0" w:space="0" w:color="auto"/>
            <w:right w:val="none" w:sz="0" w:space="0" w:color="auto"/>
          </w:divBdr>
          <w:divsChild>
            <w:div w:id="1242058572">
              <w:marLeft w:val="0"/>
              <w:marRight w:val="0"/>
              <w:marTop w:val="0"/>
              <w:marBottom w:val="0"/>
              <w:divBdr>
                <w:top w:val="none" w:sz="0" w:space="0" w:color="auto"/>
                <w:left w:val="none" w:sz="0" w:space="0" w:color="auto"/>
                <w:bottom w:val="none" w:sz="0" w:space="0" w:color="auto"/>
                <w:right w:val="none" w:sz="0" w:space="0" w:color="auto"/>
              </w:divBdr>
              <w:divsChild>
                <w:div w:id="1109012625">
                  <w:marLeft w:val="0"/>
                  <w:marRight w:val="0"/>
                  <w:marTop w:val="0"/>
                  <w:marBottom w:val="0"/>
                  <w:divBdr>
                    <w:top w:val="none" w:sz="0" w:space="0" w:color="auto"/>
                    <w:left w:val="none" w:sz="0" w:space="0" w:color="auto"/>
                    <w:bottom w:val="none" w:sz="0" w:space="0" w:color="auto"/>
                    <w:right w:val="none" w:sz="0" w:space="0" w:color="auto"/>
                  </w:divBdr>
                  <w:divsChild>
                    <w:div w:id="1804420496">
                      <w:marLeft w:val="0"/>
                      <w:marRight w:val="0"/>
                      <w:marTop w:val="0"/>
                      <w:marBottom w:val="0"/>
                      <w:divBdr>
                        <w:top w:val="none" w:sz="0" w:space="0" w:color="auto"/>
                        <w:left w:val="none" w:sz="0" w:space="0" w:color="auto"/>
                        <w:bottom w:val="none" w:sz="0" w:space="0" w:color="auto"/>
                        <w:right w:val="none" w:sz="0" w:space="0" w:color="auto"/>
                      </w:divBdr>
                      <w:divsChild>
                        <w:div w:id="608009628">
                          <w:marLeft w:val="0"/>
                          <w:marRight w:val="0"/>
                          <w:marTop w:val="0"/>
                          <w:marBottom w:val="0"/>
                          <w:divBdr>
                            <w:top w:val="none" w:sz="0" w:space="0" w:color="auto"/>
                            <w:left w:val="none" w:sz="0" w:space="0" w:color="auto"/>
                            <w:bottom w:val="none" w:sz="0" w:space="0" w:color="auto"/>
                            <w:right w:val="none" w:sz="0" w:space="0" w:color="auto"/>
                          </w:divBdr>
                          <w:divsChild>
                            <w:div w:id="109945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152125">
          <w:marLeft w:val="0"/>
          <w:marRight w:val="0"/>
          <w:marTop w:val="0"/>
          <w:marBottom w:val="0"/>
          <w:divBdr>
            <w:top w:val="none" w:sz="0" w:space="0" w:color="auto"/>
            <w:left w:val="none" w:sz="0" w:space="0" w:color="auto"/>
            <w:bottom w:val="none" w:sz="0" w:space="0" w:color="auto"/>
            <w:right w:val="none" w:sz="0" w:space="0" w:color="auto"/>
          </w:divBdr>
          <w:divsChild>
            <w:div w:id="665942496">
              <w:marLeft w:val="0"/>
              <w:marRight w:val="0"/>
              <w:marTop w:val="0"/>
              <w:marBottom w:val="0"/>
              <w:divBdr>
                <w:top w:val="none" w:sz="0" w:space="0" w:color="auto"/>
                <w:left w:val="none" w:sz="0" w:space="0" w:color="auto"/>
                <w:bottom w:val="none" w:sz="0" w:space="0" w:color="auto"/>
                <w:right w:val="none" w:sz="0" w:space="0" w:color="auto"/>
              </w:divBdr>
              <w:divsChild>
                <w:div w:id="1215698479">
                  <w:marLeft w:val="0"/>
                  <w:marRight w:val="0"/>
                  <w:marTop w:val="0"/>
                  <w:marBottom w:val="0"/>
                  <w:divBdr>
                    <w:top w:val="none" w:sz="0" w:space="0" w:color="auto"/>
                    <w:left w:val="none" w:sz="0" w:space="0" w:color="auto"/>
                    <w:bottom w:val="none" w:sz="0" w:space="0" w:color="auto"/>
                    <w:right w:val="none" w:sz="0" w:space="0" w:color="auto"/>
                  </w:divBdr>
                  <w:divsChild>
                    <w:div w:id="1984235506">
                      <w:marLeft w:val="0"/>
                      <w:marRight w:val="0"/>
                      <w:marTop w:val="0"/>
                      <w:marBottom w:val="0"/>
                      <w:divBdr>
                        <w:top w:val="none" w:sz="0" w:space="0" w:color="auto"/>
                        <w:left w:val="none" w:sz="0" w:space="0" w:color="auto"/>
                        <w:bottom w:val="none" w:sz="0" w:space="0" w:color="auto"/>
                        <w:right w:val="none" w:sz="0" w:space="0" w:color="auto"/>
                      </w:divBdr>
                      <w:divsChild>
                        <w:div w:id="965623502">
                          <w:marLeft w:val="0"/>
                          <w:marRight w:val="0"/>
                          <w:marTop w:val="0"/>
                          <w:marBottom w:val="0"/>
                          <w:divBdr>
                            <w:top w:val="none" w:sz="0" w:space="0" w:color="auto"/>
                            <w:left w:val="none" w:sz="0" w:space="0" w:color="auto"/>
                            <w:bottom w:val="none" w:sz="0" w:space="0" w:color="auto"/>
                            <w:right w:val="none" w:sz="0" w:space="0" w:color="auto"/>
                          </w:divBdr>
                          <w:divsChild>
                            <w:div w:id="181672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09079">
          <w:marLeft w:val="0"/>
          <w:marRight w:val="0"/>
          <w:marTop w:val="0"/>
          <w:marBottom w:val="0"/>
          <w:divBdr>
            <w:top w:val="none" w:sz="0" w:space="0" w:color="auto"/>
            <w:left w:val="none" w:sz="0" w:space="0" w:color="auto"/>
            <w:bottom w:val="none" w:sz="0" w:space="0" w:color="auto"/>
            <w:right w:val="none" w:sz="0" w:space="0" w:color="auto"/>
          </w:divBdr>
          <w:divsChild>
            <w:div w:id="1062294013">
              <w:marLeft w:val="0"/>
              <w:marRight w:val="0"/>
              <w:marTop w:val="0"/>
              <w:marBottom w:val="0"/>
              <w:divBdr>
                <w:top w:val="none" w:sz="0" w:space="0" w:color="auto"/>
                <w:left w:val="none" w:sz="0" w:space="0" w:color="auto"/>
                <w:bottom w:val="none" w:sz="0" w:space="0" w:color="auto"/>
                <w:right w:val="none" w:sz="0" w:space="0" w:color="auto"/>
              </w:divBdr>
              <w:divsChild>
                <w:div w:id="233856595">
                  <w:marLeft w:val="0"/>
                  <w:marRight w:val="0"/>
                  <w:marTop w:val="0"/>
                  <w:marBottom w:val="0"/>
                  <w:divBdr>
                    <w:top w:val="none" w:sz="0" w:space="0" w:color="auto"/>
                    <w:left w:val="none" w:sz="0" w:space="0" w:color="auto"/>
                    <w:bottom w:val="none" w:sz="0" w:space="0" w:color="auto"/>
                    <w:right w:val="none" w:sz="0" w:space="0" w:color="auto"/>
                  </w:divBdr>
                  <w:divsChild>
                    <w:div w:id="769620120">
                      <w:marLeft w:val="0"/>
                      <w:marRight w:val="0"/>
                      <w:marTop w:val="0"/>
                      <w:marBottom w:val="0"/>
                      <w:divBdr>
                        <w:top w:val="none" w:sz="0" w:space="0" w:color="auto"/>
                        <w:left w:val="none" w:sz="0" w:space="0" w:color="auto"/>
                        <w:bottom w:val="none" w:sz="0" w:space="0" w:color="auto"/>
                        <w:right w:val="none" w:sz="0" w:space="0" w:color="auto"/>
                      </w:divBdr>
                      <w:divsChild>
                        <w:div w:id="665135838">
                          <w:marLeft w:val="0"/>
                          <w:marRight w:val="0"/>
                          <w:marTop w:val="0"/>
                          <w:marBottom w:val="0"/>
                          <w:divBdr>
                            <w:top w:val="none" w:sz="0" w:space="0" w:color="auto"/>
                            <w:left w:val="none" w:sz="0" w:space="0" w:color="auto"/>
                            <w:bottom w:val="none" w:sz="0" w:space="0" w:color="auto"/>
                            <w:right w:val="none" w:sz="0" w:space="0" w:color="auto"/>
                          </w:divBdr>
                          <w:divsChild>
                            <w:div w:id="203687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rederic.bompaire@amundi.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olivier.desesmaisons@amundi.com" TargetMode="External"/><Relationship Id="rId4" Type="http://schemas.microsoft.com/office/2007/relationships/stylesWithEffects" Target="stylesWithEffects.xml"/><Relationship Id="rId9" Type="http://schemas.openxmlformats.org/officeDocument/2006/relationships/hyperlink" Target="mailto:frederic.bompaire@amundi.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94791-8C71-4815-B384-A7B4B501C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6037</Words>
  <Characters>30885</Characters>
  <Application>Microsoft Office Word</Application>
  <DocSecurity>0</DocSecurity>
  <Lines>257</Lines>
  <Paragraphs>73</Paragraphs>
  <ScaleCrop>false</ScaleCrop>
  <HeadingPairs>
    <vt:vector size="2" baseType="variant">
      <vt:variant>
        <vt:lpstr>Titre</vt:lpstr>
      </vt:variant>
      <vt:variant>
        <vt:i4>1</vt:i4>
      </vt:variant>
    </vt:vector>
  </HeadingPairs>
  <TitlesOfParts>
    <vt:vector size="1" baseType="lpstr">
      <vt:lpstr>AMUNDI</vt:lpstr>
    </vt:vector>
  </TitlesOfParts>
  <Company>AMUNDI-ITS</Company>
  <LinksUpToDate>false</LinksUpToDate>
  <CharactersWithSpaces>36849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AMUNDI</dc:title>
  <dc:creator>bompaire</dc:creator>
  <cp:lastModifiedBy>bompaire</cp:lastModifiedBy>
  <cp:revision>16</cp:revision>
  <cp:lastPrinted>2019-02-08T17:18:00Z</cp:lastPrinted>
  <dcterms:created xsi:type="dcterms:W3CDTF">2019-02-08T11:28:00Z</dcterms:created>
  <dcterms:modified xsi:type="dcterms:W3CDTF">2019-02-12T15:14:00Z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-1808881450</vt:i4>
  </property>
  <property fmtid="{D5CDD505-2E9C-101B-9397-08002B2CF9AE}" pid="3" name="_NewReviewCycle">
    <vt:lpwstr/>
  </property>
  <property fmtid="{D5CDD505-2E9C-101B-9397-08002B2CF9AE}" pid="4" name="_EmailSubject">
    <vt:lpwstr>Financial resources to support CCP resolution and the treatment of CCP equity in resolution</vt:lpwstr>
  </property>
  <property fmtid="{D5CDD505-2E9C-101B-9397-08002B2CF9AE}" pid="5" name="_AuthorEmail">
    <vt:lpwstr>frederic.bompaire@amundi.com</vt:lpwstr>
  </property>
  <property fmtid="{D5CDD505-2E9C-101B-9397-08002B2CF9AE}" pid="6" name="_AuthorEmailDisplayName">
    <vt:lpwstr>Bompaire Frederic (AMUNDI)</vt:lpwstr>
  </property>
  <property fmtid="{D5CDD505-2E9C-101B-9397-08002B2CF9AE}" pid="7" name="_PreviousAdHocReviewCycleID">
    <vt:i4>-1808881450</vt:i4>
  </property>
</Properties>
</file>