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01DF1" w14:textId="77777777" w:rsidR="00277D26" w:rsidRDefault="00277D26" w:rsidP="00A83BDB">
      <w:pPr>
        <w:pBdr>
          <w:top w:val="single" w:sz="4" w:space="1" w:color="auto"/>
          <w:left w:val="single" w:sz="4" w:space="4" w:color="auto"/>
          <w:bottom w:val="single" w:sz="4" w:space="1" w:color="auto"/>
          <w:right w:val="single" w:sz="4" w:space="4" w:color="auto"/>
        </w:pBdr>
        <w:jc w:val="both"/>
        <w:rPr>
          <w:rFonts w:asciiTheme="minorHAnsi" w:hAnsiTheme="minorHAnsi"/>
          <w:b/>
          <w:sz w:val="28"/>
        </w:rPr>
      </w:pPr>
    </w:p>
    <w:p w14:paraId="49401DF2" w14:textId="41BBC237" w:rsidR="005069D8" w:rsidRPr="00D47554" w:rsidRDefault="005069D8" w:rsidP="00A83BDB">
      <w:pPr>
        <w:pBdr>
          <w:top w:val="single" w:sz="4" w:space="1" w:color="auto"/>
          <w:left w:val="single" w:sz="4" w:space="4" w:color="auto"/>
          <w:bottom w:val="single" w:sz="4" w:space="1" w:color="auto"/>
          <w:right w:val="single" w:sz="4" w:space="4" w:color="auto"/>
        </w:pBdr>
        <w:jc w:val="center"/>
        <w:rPr>
          <w:rFonts w:asciiTheme="minorHAnsi" w:hAnsiTheme="minorHAnsi"/>
          <w:b/>
          <w:sz w:val="28"/>
        </w:rPr>
      </w:pPr>
      <w:r w:rsidRPr="00D47554">
        <w:rPr>
          <w:rFonts w:asciiTheme="minorHAnsi" w:hAnsiTheme="minorHAnsi"/>
          <w:b/>
          <w:sz w:val="28"/>
        </w:rPr>
        <w:t xml:space="preserve">Consultation Paper on the Draft guidelines on </w:t>
      </w:r>
      <w:r w:rsidR="00B80DE4" w:rsidRPr="00D47554">
        <w:rPr>
          <w:rFonts w:asciiTheme="minorHAnsi" w:hAnsiTheme="minorHAnsi"/>
          <w:b/>
          <w:sz w:val="28"/>
        </w:rPr>
        <w:t>the reporting to competent authorities under Art. 37 of the MMF Regulation</w:t>
      </w:r>
    </w:p>
    <w:p w14:paraId="49401DF3" w14:textId="77777777" w:rsidR="00277D26" w:rsidRPr="00D47554" w:rsidRDefault="00277D26" w:rsidP="00A83BDB">
      <w:pPr>
        <w:pBdr>
          <w:top w:val="single" w:sz="4" w:space="1" w:color="auto"/>
          <w:left w:val="single" w:sz="4" w:space="4" w:color="auto"/>
          <w:bottom w:val="single" w:sz="4" w:space="1" w:color="auto"/>
          <w:right w:val="single" w:sz="4" w:space="4" w:color="auto"/>
        </w:pBdr>
        <w:jc w:val="both"/>
        <w:rPr>
          <w:rFonts w:asciiTheme="minorHAnsi" w:hAnsiTheme="minorHAnsi"/>
          <w:b/>
          <w:sz w:val="28"/>
        </w:rPr>
      </w:pPr>
    </w:p>
    <w:p w14:paraId="49401DF4" w14:textId="77777777" w:rsidR="005069D8" w:rsidRPr="00D47554" w:rsidRDefault="005069D8" w:rsidP="00A83BDB">
      <w:pPr>
        <w:jc w:val="both"/>
        <w:rPr>
          <w:rFonts w:asciiTheme="minorHAnsi" w:hAnsiTheme="minorHAnsi"/>
          <w:b/>
          <w:sz w:val="24"/>
        </w:rPr>
      </w:pPr>
    </w:p>
    <w:p w14:paraId="49401DF5" w14:textId="24416A3C" w:rsidR="00F3417D" w:rsidRDefault="000C703E" w:rsidP="00A83BDB">
      <w:pPr>
        <w:pStyle w:val="Questionstyle"/>
        <w:rPr>
          <w:b/>
        </w:rPr>
      </w:pPr>
      <w:r w:rsidRPr="000C703E">
        <w:rPr>
          <w:b/>
        </w:rPr>
        <w:t>General comment.</w:t>
      </w:r>
    </w:p>
    <w:p w14:paraId="0DB96931" w14:textId="60B7F8EC" w:rsidR="00426085" w:rsidRDefault="00426085" w:rsidP="00A83BDB">
      <w:pPr>
        <w:jc w:val="both"/>
      </w:pPr>
      <w:r>
        <w:t>Assogestioni</w:t>
      </w:r>
      <w:r w:rsidR="009D0017" w:rsidRPr="00A1149D">
        <w:rPr>
          <w:rStyle w:val="Rimandonotaapidipagina"/>
          <w:rFonts w:ascii="Lucida Sans" w:hAnsi="Lucida Sans" w:cs="Arial"/>
          <w:lang w:val="en-US"/>
        </w:rPr>
        <w:footnoteReference w:id="1"/>
      </w:r>
      <w:r>
        <w:t xml:space="preserve">  welcomes the opportunity to respond to ESMA </w:t>
      </w:r>
      <w:r w:rsidR="004A2ADF">
        <w:t>D</w:t>
      </w:r>
      <w:r>
        <w:t xml:space="preserve">raft </w:t>
      </w:r>
      <w:r w:rsidR="004A2ADF">
        <w:t>guidelines on the reporting to competent authorities under art. 37 of the MMF Regulation</w:t>
      </w:r>
      <w:r>
        <w:t>.</w:t>
      </w:r>
    </w:p>
    <w:p w14:paraId="1D054376" w14:textId="77777777" w:rsidR="00426085" w:rsidRDefault="00426085" w:rsidP="00A83BDB">
      <w:pPr>
        <w:jc w:val="both"/>
      </w:pPr>
    </w:p>
    <w:p w14:paraId="5B05F840" w14:textId="07C4BBE6" w:rsidR="007035DB" w:rsidRDefault="00612609" w:rsidP="00A83BDB">
      <w:pPr>
        <w:jc w:val="both"/>
      </w:pPr>
      <w:r>
        <w:t>W</w:t>
      </w:r>
      <w:r w:rsidR="000C703E" w:rsidRPr="000C703E">
        <w:t xml:space="preserve">e believe that </w:t>
      </w:r>
      <w:r w:rsidR="007B0484">
        <w:t>d</w:t>
      </w:r>
      <w:r w:rsidR="007B0484" w:rsidRPr="007B52E0">
        <w:t xml:space="preserve">ata reporting should not be a costly exercise </w:t>
      </w:r>
      <w:r w:rsidR="007B0484">
        <w:t xml:space="preserve">and </w:t>
      </w:r>
      <w:r w:rsidR="000C703E" w:rsidRPr="000C703E">
        <w:t>it is essential to strike the right balance between having an appropriate level of information and reducing the administrative burdens</w:t>
      </w:r>
      <w:r w:rsidR="00DA136E">
        <w:t xml:space="preserve"> for MMF managers</w:t>
      </w:r>
      <w:r w:rsidR="000C703E" w:rsidRPr="000C703E">
        <w:t>.</w:t>
      </w:r>
      <w:r w:rsidR="002958D6">
        <w:t xml:space="preserve"> </w:t>
      </w:r>
      <w:r w:rsidR="00E71E91">
        <w:t>W</w:t>
      </w:r>
      <w:r w:rsidR="00E71E91">
        <w:t>e suggest keeping the reporting simple as much as possible</w:t>
      </w:r>
      <w:r w:rsidR="00E71E91">
        <w:t>.</w:t>
      </w:r>
    </w:p>
    <w:p w14:paraId="48369585" w14:textId="64253198" w:rsidR="00B32F47" w:rsidRDefault="003D5869" w:rsidP="00A83BDB">
      <w:pPr>
        <w:spacing w:before="120" w:after="120"/>
        <w:jc w:val="both"/>
      </w:pPr>
      <w:r>
        <w:t xml:space="preserve">In this </w:t>
      </w:r>
      <w:r w:rsidR="00B51FC8">
        <w:t>context</w:t>
      </w:r>
      <w:r>
        <w:t>,</w:t>
      </w:r>
      <w:r w:rsidR="004E5834">
        <w:t xml:space="preserve"> </w:t>
      </w:r>
      <w:r w:rsidR="00D44424">
        <w:t xml:space="preserve">it should be avoided that the </w:t>
      </w:r>
      <w:r w:rsidR="00D91E50">
        <w:t xml:space="preserve">reporting of the </w:t>
      </w:r>
      <w:r w:rsidR="00D44424">
        <w:t>MMF requires informat</w:t>
      </w:r>
      <w:r w:rsidR="00B07D3F">
        <w:t>ion that</w:t>
      </w:r>
      <w:r w:rsidR="00D91E50">
        <w:t xml:space="preserve"> may </w:t>
      </w:r>
      <w:r w:rsidR="00B07D3F">
        <w:t xml:space="preserve">not </w:t>
      </w:r>
      <w:r w:rsidR="00046A93">
        <w:t xml:space="preserve">be </w:t>
      </w:r>
      <w:r w:rsidR="00B07D3F">
        <w:t xml:space="preserve">a standard practise </w:t>
      </w:r>
      <w:r w:rsidR="00046A93">
        <w:t xml:space="preserve">in </w:t>
      </w:r>
      <w:r w:rsidR="00B43836">
        <w:t xml:space="preserve">the </w:t>
      </w:r>
      <w:r w:rsidR="006B168A">
        <w:t>MMF</w:t>
      </w:r>
      <w:r w:rsidR="00046A93">
        <w:t>’s</w:t>
      </w:r>
      <w:r w:rsidR="006B168A">
        <w:t xml:space="preserve"> </w:t>
      </w:r>
      <w:r w:rsidR="000F267A">
        <w:t xml:space="preserve">liquidity risk management. We refer to </w:t>
      </w:r>
      <w:r w:rsidR="00A1351C">
        <w:t>the drafted guidelines</w:t>
      </w:r>
      <w:r w:rsidR="002D1108">
        <w:t xml:space="preserve"> on the port</w:t>
      </w:r>
      <w:r w:rsidR="00E370AC">
        <w:t xml:space="preserve">folio liquidity profile </w:t>
      </w:r>
      <w:r w:rsidR="00CA3CAA">
        <w:t xml:space="preserve">in which </w:t>
      </w:r>
      <w:r w:rsidR="00A203DB">
        <w:t xml:space="preserve">the same approach </w:t>
      </w:r>
      <w:r w:rsidR="00645484">
        <w:t xml:space="preserve">used </w:t>
      </w:r>
      <w:r w:rsidR="00CA3CAA">
        <w:t xml:space="preserve">in the </w:t>
      </w:r>
      <w:r w:rsidR="00645484">
        <w:t>AIFM</w:t>
      </w:r>
      <w:r w:rsidR="00920692">
        <w:t>D</w:t>
      </w:r>
      <w:r w:rsidR="00645484">
        <w:t xml:space="preserve"> reporting framework is proposed</w:t>
      </w:r>
      <w:r w:rsidR="002A1714">
        <w:t xml:space="preserve">. </w:t>
      </w:r>
      <w:r w:rsidR="009E472E">
        <w:t xml:space="preserve">Considering the MMF characteristics </w:t>
      </w:r>
      <w:r w:rsidR="0000454E">
        <w:t xml:space="preserve">and the granular information </w:t>
      </w:r>
      <w:r w:rsidR="00920CC5">
        <w:t xml:space="preserve">available </w:t>
      </w:r>
      <w:r w:rsidR="00CA3CAA">
        <w:t xml:space="preserve">in </w:t>
      </w:r>
      <w:r w:rsidR="00920CC5">
        <w:t>the MMF report</w:t>
      </w:r>
      <w:r w:rsidR="00942B49">
        <w:t>ing</w:t>
      </w:r>
      <w:r w:rsidR="00920CC5">
        <w:t xml:space="preserve">, </w:t>
      </w:r>
      <w:r w:rsidR="002B455C" w:rsidRPr="00D47554">
        <w:t xml:space="preserve">the </w:t>
      </w:r>
      <w:r w:rsidR="00274E76">
        <w:t xml:space="preserve">time for liquidation of </w:t>
      </w:r>
      <w:r w:rsidR="0058579F">
        <w:t>MMF’s assets</w:t>
      </w:r>
      <w:r w:rsidR="00274E76">
        <w:t xml:space="preserve"> </w:t>
      </w:r>
      <w:r w:rsidR="002B455C">
        <w:t xml:space="preserve">should </w:t>
      </w:r>
      <w:r w:rsidR="002B455C" w:rsidRPr="00D47554">
        <w:t xml:space="preserve">reflect the </w:t>
      </w:r>
      <w:r w:rsidR="002B455C">
        <w:t>self-</w:t>
      </w:r>
      <w:r w:rsidR="002B455C" w:rsidRPr="00D47554">
        <w:t xml:space="preserve">assessment </w:t>
      </w:r>
      <w:r w:rsidR="002B455C">
        <w:t xml:space="preserve">made </w:t>
      </w:r>
      <w:r w:rsidR="002B455C" w:rsidRPr="00D47554">
        <w:t>of the MMF manager</w:t>
      </w:r>
      <w:r w:rsidR="00CD31A6">
        <w:t>,</w:t>
      </w:r>
      <w:r w:rsidR="002B455C">
        <w:t xml:space="preserve"> in line with its risk management procedure</w:t>
      </w:r>
      <w:r w:rsidR="00CD31A6">
        <w:t xml:space="preserve">, </w:t>
      </w:r>
      <w:r w:rsidR="00CE03DC">
        <w:t xml:space="preserve">rather than </w:t>
      </w:r>
      <w:r w:rsidR="00D315A4" w:rsidRPr="00D315A4">
        <w:t>be</w:t>
      </w:r>
      <w:r w:rsidR="00CE03DC">
        <w:t>ing</w:t>
      </w:r>
      <w:r w:rsidR="00D315A4" w:rsidRPr="00D315A4">
        <w:t xml:space="preserve"> assigned to a period only </w:t>
      </w:r>
      <w:r w:rsidR="002B2C4B" w:rsidRPr="00F40DAB">
        <w:t xml:space="preserve">(the shortest period during which such a position could reasonably be liquidated at or near </w:t>
      </w:r>
      <w:proofErr w:type="gramStart"/>
      <w:r w:rsidR="002B2C4B" w:rsidRPr="00F40DAB">
        <w:t>its</w:t>
      </w:r>
      <w:proofErr w:type="gramEnd"/>
      <w:r w:rsidR="002B2C4B" w:rsidRPr="00F40DAB">
        <w:t xml:space="preserve"> carrying value)</w:t>
      </w:r>
      <w:r w:rsidR="00511891" w:rsidRPr="00F40DAB">
        <w:t>.</w:t>
      </w:r>
      <w:r w:rsidR="00366841">
        <w:t xml:space="preserve"> </w:t>
      </w:r>
      <w:r w:rsidR="006C5AA5" w:rsidRPr="00835783">
        <w:t>Unlike the AIFMD framework, a full disclosure of all portfolio underlying that could be used by authorities to estimate, and compare, the liquidity profile of different MMFs is available under MMF framework.</w:t>
      </w:r>
    </w:p>
    <w:p w14:paraId="0C3FBFC1" w14:textId="444546D0" w:rsidR="00360779" w:rsidRPr="00D47554" w:rsidRDefault="00366841" w:rsidP="00A83BDB">
      <w:pPr>
        <w:spacing w:before="120" w:after="120"/>
        <w:jc w:val="both"/>
      </w:pPr>
      <w:r>
        <w:t xml:space="preserve">In a similar way, </w:t>
      </w:r>
      <w:r w:rsidR="00360779" w:rsidRPr="00D47554">
        <w:t xml:space="preserve">stress tests results </w:t>
      </w:r>
      <w:r w:rsidR="00FD1A8A">
        <w:t xml:space="preserve">should </w:t>
      </w:r>
      <w:r w:rsidR="00393754">
        <w:t xml:space="preserve">only </w:t>
      </w:r>
      <w:r w:rsidR="00360779" w:rsidRPr="00D47554">
        <w:t xml:space="preserve">be reported </w:t>
      </w:r>
      <w:r w:rsidR="00610411">
        <w:t>i</w:t>
      </w:r>
      <w:r w:rsidR="00360779" w:rsidRPr="00D47554">
        <w:t>n the reporting when carried</w:t>
      </w:r>
      <w:r w:rsidR="00FD1A8A">
        <w:t xml:space="preserve"> </w:t>
      </w:r>
      <w:r w:rsidR="0035592B">
        <w:t xml:space="preserve">out </w:t>
      </w:r>
      <w:r w:rsidR="00FD1A8A">
        <w:t xml:space="preserve">and the </w:t>
      </w:r>
      <w:r w:rsidR="00360779" w:rsidRPr="00D47554">
        <w:t xml:space="preserve">duplication of the same information should be avoided in subsequent reports. </w:t>
      </w:r>
      <w:r w:rsidR="004B462B">
        <w:t>This increases efficiency and reduces costs.</w:t>
      </w:r>
    </w:p>
    <w:p w14:paraId="103C6E00" w14:textId="6D60AF58" w:rsidR="006D5AEC" w:rsidRDefault="002A65FC" w:rsidP="00A83BDB">
      <w:pPr>
        <w:spacing w:before="120" w:after="120"/>
        <w:jc w:val="both"/>
      </w:pPr>
      <w:r>
        <w:t>W</w:t>
      </w:r>
      <w:r w:rsidR="00597116">
        <w:t xml:space="preserve">e </w:t>
      </w:r>
      <w:r w:rsidR="0021092A">
        <w:t xml:space="preserve">also </w:t>
      </w:r>
      <w:r w:rsidR="00597116">
        <w:t xml:space="preserve">invite ESMA to clarify </w:t>
      </w:r>
      <w:r w:rsidR="0021484B">
        <w:t>if</w:t>
      </w:r>
      <w:r w:rsidR="008E547E">
        <w:t xml:space="preserve">, and in case how, </w:t>
      </w:r>
      <w:r w:rsidR="00174F47">
        <w:t xml:space="preserve">the </w:t>
      </w:r>
      <w:r w:rsidR="00A702C5">
        <w:t>fie</w:t>
      </w:r>
      <w:r w:rsidR="00C6655F">
        <w:t>l</w:t>
      </w:r>
      <w:r w:rsidR="00A702C5">
        <w:t xml:space="preserve">d on the </w:t>
      </w:r>
      <w:r w:rsidR="002616D2">
        <w:t xml:space="preserve">internal </w:t>
      </w:r>
      <w:r w:rsidR="0021092A">
        <w:t xml:space="preserve">assessment of the </w:t>
      </w:r>
      <w:r w:rsidR="00174F47">
        <w:t>c</w:t>
      </w:r>
      <w:r w:rsidR="00160E02">
        <w:t xml:space="preserve">redit quality </w:t>
      </w:r>
      <w:r w:rsidR="00213778">
        <w:t xml:space="preserve">of </w:t>
      </w:r>
      <w:r w:rsidR="0021092A">
        <w:t xml:space="preserve">the </w:t>
      </w:r>
      <w:r w:rsidR="00C6655F">
        <w:t xml:space="preserve">money markets </w:t>
      </w:r>
      <w:r w:rsidR="00213778">
        <w:t xml:space="preserve">instruments </w:t>
      </w:r>
      <w:r w:rsidR="002616D2">
        <w:t xml:space="preserve">(A.6.19) </w:t>
      </w:r>
      <w:r w:rsidR="00F150E4">
        <w:t xml:space="preserve">in which </w:t>
      </w:r>
      <w:r w:rsidR="006D5AEC">
        <w:t>asset managers apply article 10(3) of MMFR</w:t>
      </w:r>
      <w:r w:rsidR="00F150E4">
        <w:t xml:space="preserve"> should be fulfilled</w:t>
      </w:r>
      <w:r w:rsidR="006D5AEC">
        <w:t>.</w:t>
      </w:r>
    </w:p>
    <w:p w14:paraId="628CBD79" w14:textId="54B9ED3E" w:rsidR="002060E6" w:rsidRDefault="002060E6" w:rsidP="00A83BDB">
      <w:pPr>
        <w:spacing w:before="120" w:after="120"/>
        <w:jc w:val="both"/>
      </w:pPr>
      <w:r>
        <w:t xml:space="preserve">Finally, </w:t>
      </w:r>
      <w:r w:rsidR="00E71E91">
        <w:t>a</w:t>
      </w:r>
      <w:r w:rsidR="00F8719D">
        <w:t xml:space="preserve">s there may be some issues </w:t>
      </w:r>
      <w:r w:rsidR="002E4D4F">
        <w:t>in the r</w:t>
      </w:r>
      <w:r>
        <w:t>eporting of collateral</w:t>
      </w:r>
      <w:r w:rsidR="002E4D4F">
        <w:t xml:space="preserve">, where </w:t>
      </w:r>
      <w:r>
        <w:t xml:space="preserve">no information on collateral could be available for the single trade (where the collateral is based on net exposure), we would invite ESMA considering the availability of information under EMIR and SFTR reporting. </w:t>
      </w:r>
    </w:p>
    <w:p w14:paraId="16AC47D4" w14:textId="77777777" w:rsidR="000C703E" w:rsidRPr="000C703E" w:rsidRDefault="000C703E" w:rsidP="00A83BDB">
      <w:pPr>
        <w:jc w:val="both"/>
      </w:pPr>
    </w:p>
    <w:p w14:paraId="4200D198" w14:textId="77777777" w:rsidR="001F50A5" w:rsidRPr="00D47554" w:rsidRDefault="001F50A5" w:rsidP="00A83BDB">
      <w:pPr>
        <w:pStyle w:val="Questionstyle"/>
      </w:pPr>
    </w:p>
    <w:p w14:paraId="49401DF6" w14:textId="57004FC3" w:rsidR="00F3417D" w:rsidRPr="00D47554" w:rsidRDefault="00F3417D" w:rsidP="00A83BDB">
      <w:pPr>
        <w:pStyle w:val="Questionstyle"/>
        <w:rPr>
          <w:b/>
        </w:rPr>
      </w:pPr>
      <w:r w:rsidRPr="00D47554">
        <w:rPr>
          <w:b/>
        </w:rPr>
        <w:t>Q1: Are you of the view that there could be merits for managers of MMFs subject to yearly reporting in accordance with article 37(1) of the MMF Regulation to report on a quarterly basis so that their corresponding operational process is less burdensome?</w:t>
      </w:r>
    </w:p>
    <w:p w14:paraId="69A5757E" w14:textId="40B1ABD6" w:rsidR="005E5E72" w:rsidRPr="00D47554" w:rsidRDefault="001F50A5" w:rsidP="00A83BDB">
      <w:pPr>
        <w:pStyle w:val="Questionstyle"/>
      </w:pPr>
      <w:r w:rsidRPr="00D47554">
        <w:t xml:space="preserve">Yes, </w:t>
      </w:r>
      <w:r w:rsidR="002E16F7" w:rsidRPr="00D47554">
        <w:t xml:space="preserve">we </w:t>
      </w:r>
      <w:r w:rsidR="00705F2B">
        <w:t xml:space="preserve">agree with </w:t>
      </w:r>
      <w:r w:rsidR="002E16F7" w:rsidRPr="00D47554">
        <w:t xml:space="preserve">giving the </w:t>
      </w:r>
      <w:r w:rsidR="008168BF" w:rsidRPr="00D47554">
        <w:t xml:space="preserve">opportunity </w:t>
      </w:r>
      <w:r w:rsidR="005E5E72" w:rsidRPr="00D47554">
        <w:t>for m</w:t>
      </w:r>
      <w:r w:rsidR="002264D7" w:rsidRPr="00D47554">
        <w:t xml:space="preserve">anager of MMFs subject to yearly reporting </w:t>
      </w:r>
      <w:r w:rsidR="00727D43" w:rsidRPr="00D47554">
        <w:t xml:space="preserve">to report on a quarterly basis. </w:t>
      </w:r>
      <w:r w:rsidR="009C5D0F" w:rsidRPr="00D47554">
        <w:t>In</w:t>
      </w:r>
      <w:r w:rsidR="00DB7940" w:rsidRPr="00D47554">
        <w:t xml:space="preserve"> fact</w:t>
      </w:r>
      <w:r w:rsidR="009C5D0F" w:rsidRPr="00D47554">
        <w:t>, the choice made, as an opportunity, could be changed during the life</w:t>
      </w:r>
      <w:r w:rsidR="006136C0" w:rsidRPr="00D47554">
        <w:t xml:space="preserve"> </w:t>
      </w:r>
      <w:r w:rsidR="009C5D0F" w:rsidRPr="00D47554">
        <w:t xml:space="preserve">of the MMF. </w:t>
      </w:r>
      <w:r w:rsidR="00086EE7" w:rsidRPr="00D47554">
        <w:t>For example,</w:t>
      </w:r>
      <w:r w:rsidR="001015E7" w:rsidRPr="00D47554">
        <w:t xml:space="preserve"> </w:t>
      </w:r>
      <w:r w:rsidR="00CA659D" w:rsidRPr="00D47554">
        <w:t xml:space="preserve">a </w:t>
      </w:r>
      <w:r w:rsidR="001015E7" w:rsidRPr="00D47554">
        <w:t xml:space="preserve">more frequent reporting could be less burdensome </w:t>
      </w:r>
      <w:r w:rsidR="00CA659D" w:rsidRPr="00D47554">
        <w:t xml:space="preserve">for an asset manager </w:t>
      </w:r>
      <w:r w:rsidR="00D560D8" w:rsidRPr="00D47554">
        <w:t xml:space="preserve">when the MMF assets are close to </w:t>
      </w:r>
      <w:r w:rsidR="00353581" w:rsidRPr="00D47554">
        <w:t>100 mil</w:t>
      </w:r>
      <w:r w:rsidR="00EC68FD" w:rsidRPr="00D47554">
        <w:t>l</w:t>
      </w:r>
      <w:r w:rsidR="00353581" w:rsidRPr="00D47554">
        <w:t xml:space="preserve">ion </w:t>
      </w:r>
      <w:r w:rsidR="00EC68FD" w:rsidRPr="00D47554">
        <w:t xml:space="preserve">and </w:t>
      </w:r>
      <w:r w:rsidR="00486C27" w:rsidRPr="00D47554">
        <w:t xml:space="preserve">it </w:t>
      </w:r>
      <w:r w:rsidR="00EC68FD" w:rsidRPr="00D47554">
        <w:t xml:space="preserve">would </w:t>
      </w:r>
      <w:r w:rsidR="00F410AA" w:rsidRPr="00D47554">
        <w:t xml:space="preserve">be </w:t>
      </w:r>
      <w:r w:rsidR="00486C27" w:rsidRPr="00D47554">
        <w:t xml:space="preserve">difficult </w:t>
      </w:r>
      <w:r w:rsidR="00CA659D" w:rsidRPr="00D47554">
        <w:t xml:space="preserve">to </w:t>
      </w:r>
      <w:r w:rsidR="00F410AA" w:rsidRPr="00D47554">
        <w:t>apply procedures</w:t>
      </w:r>
      <w:r w:rsidR="00943283" w:rsidRPr="00D47554">
        <w:t xml:space="preserve"> </w:t>
      </w:r>
      <w:r w:rsidR="00F410AA" w:rsidRPr="00D47554">
        <w:t xml:space="preserve">regarding changes </w:t>
      </w:r>
      <w:r w:rsidR="00486C27" w:rsidRPr="00D47554">
        <w:t xml:space="preserve">in </w:t>
      </w:r>
      <w:r w:rsidR="00FB15A3" w:rsidRPr="00D47554">
        <w:t>the reporting frequency</w:t>
      </w:r>
      <w:r w:rsidR="007F7829" w:rsidRPr="00D47554">
        <w:t xml:space="preserve">, </w:t>
      </w:r>
      <w:r w:rsidR="00486C27" w:rsidRPr="00D47554">
        <w:t>es</w:t>
      </w:r>
      <w:r w:rsidR="00782D5E" w:rsidRPr="00D47554">
        <w:t xml:space="preserve">pecially </w:t>
      </w:r>
      <w:r w:rsidR="0034407E" w:rsidRPr="00D47554">
        <w:t>when</w:t>
      </w:r>
      <w:r w:rsidR="007F7829" w:rsidRPr="00D47554">
        <w:t xml:space="preserve"> </w:t>
      </w:r>
      <w:r w:rsidR="00FB15A3" w:rsidRPr="00D47554">
        <w:t>in some quarter</w:t>
      </w:r>
      <w:r w:rsidR="007F7829" w:rsidRPr="00D47554">
        <w:t>s</w:t>
      </w:r>
      <w:r w:rsidR="00FB15A3" w:rsidRPr="00D47554">
        <w:t xml:space="preserve"> the MMF assets </w:t>
      </w:r>
      <w:r w:rsidR="00782D5E" w:rsidRPr="00D47554">
        <w:t xml:space="preserve">may </w:t>
      </w:r>
      <w:r w:rsidR="00FB15A3" w:rsidRPr="00D47554">
        <w:t>be below the threshold and in other quarter</w:t>
      </w:r>
      <w:r w:rsidR="007F7829" w:rsidRPr="00D47554">
        <w:t>s above.</w:t>
      </w:r>
      <w:r w:rsidR="002264D7" w:rsidRPr="00D47554">
        <w:t xml:space="preserve"> </w:t>
      </w:r>
      <w:r w:rsidR="00782D5E" w:rsidRPr="00D47554">
        <w:t xml:space="preserve">At </w:t>
      </w:r>
      <w:r w:rsidR="00782D5E" w:rsidRPr="00D47554">
        <w:lastRenderedPageBreak/>
        <w:t>a later stage</w:t>
      </w:r>
      <w:r w:rsidR="0027595B" w:rsidRPr="00D47554">
        <w:t xml:space="preserve">, the MMF asset manager </w:t>
      </w:r>
      <w:r w:rsidR="00D82DDC" w:rsidRPr="00D47554">
        <w:t xml:space="preserve">could </w:t>
      </w:r>
      <w:r w:rsidR="00474271" w:rsidRPr="00D47554">
        <w:t xml:space="preserve">consider changing </w:t>
      </w:r>
      <w:r w:rsidR="00543C00" w:rsidRPr="00D47554">
        <w:t xml:space="preserve">the </w:t>
      </w:r>
      <w:r w:rsidR="003476E9" w:rsidRPr="00D47554">
        <w:t xml:space="preserve">frequency to a yearly reporting </w:t>
      </w:r>
      <w:r w:rsidR="00E54C69" w:rsidRPr="00D47554">
        <w:t xml:space="preserve">in line with </w:t>
      </w:r>
      <w:r w:rsidR="00BB7BF6" w:rsidRPr="00D47554">
        <w:t xml:space="preserve">article 37(1). </w:t>
      </w:r>
    </w:p>
    <w:p w14:paraId="67402128" w14:textId="77777777" w:rsidR="00253DB5" w:rsidRPr="00D47554" w:rsidRDefault="00253DB5" w:rsidP="00A83BDB">
      <w:pPr>
        <w:jc w:val="both"/>
      </w:pPr>
    </w:p>
    <w:p w14:paraId="49401DF8" w14:textId="43FD6572" w:rsidR="000C5E93" w:rsidRPr="00D47554" w:rsidRDefault="00F3417D" w:rsidP="00A83BDB">
      <w:pPr>
        <w:pStyle w:val="Questionstyle"/>
        <w:rPr>
          <w:b/>
        </w:rPr>
      </w:pPr>
      <w:r w:rsidRPr="00D47554">
        <w:rPr>
          <w:b/>
        </w:rPr>
        <w:t>Q2: Do you identify potential situations in which managers of MMFs do not have any information to report on MMFs other than those listed above (e.g. certain types of situations of liquidation of the MMF?</w:t>
      </w:r>
      <w:r w:rsidR="005069D8" w:rsidRPr="00D47554">
        <w:rPr>
          <w:b/>
        </w:rPr>
        <w:t xml:space="preserve"> </w:t>
      </w:r>
    </w:p>
    <w:p w14:paraId="052AFCB5" w14:textId="6FB3C95E" w:rsidR="00B257BF" w:rsidRPr="00D47554" w:rsidRDefault="00166871" w:rsidP="00A83BDB">
      <w:pPr>
        <w:jc w:val="both"/>
      </w:pPr>
      <w:r w:rsidRPr="00D47554">
        <w:t>O</w:t>
      </w:r>
      <w:r w:rsidR="001B7D38" w:rsidRPr="00D47554">
        <w:t xml:space="preserve">ther potential situations in which managers of MMFs have </w:t>
      </w:r>
      <w:r w:rsidR="00147AD9" w:rsidRPr="00D47554">
        <w:t xml:space="preserve">not </w:t>
      </w:r>
      <w:r w:rsidR="001B7D38" w:rsidRPr="00D47554">
        <w:t>any information to report on MMFs could be</w:t>
      </w:r>
      <w:r w:rsidR="00860503" w:rsidRPr="00D47554">
        <w:t xml:space="preserve">: </w:t>
      </w:r>
    </w:p>
    <w:p w14:paraId="29ABFFC6" w14:textId="53849EEB" w:rsidR="001B7D38" w:rsidRPr="00D47554" w:rsidRDefault="00936B26" w:rsidP="00A83BDB">
      <w:pPr>
        <w:pStyle w:val="Paragrafoelenco"/>
        <w:numPr>
          <w:ilvl w:val="0"/>
          <w:numId w:val="27"/>
        </w:numPr>
        <w:jc w:val="both"/>
      </w:pPr>
      <w:r>
        <w:t>C</w:t>
      </w:r>
      <w:r w:rsidR="00147AD9" w:rsidRPr="00D47554">
        <w:t xml:space="preserve">hange </w:t>
      </w:r>
      <w:r w:rsidR="00233229" w:rsidRPr="00D47554">
        <w:t>the frequency</w:t>
      </w:r>
      <w:r w:rsidR="00085B3D" w:rsidRPr="00D47554">
        <w:t xml:space="preserve"> </w:t>
      </w:r>
      <w:r w:rsidR="001220FE" w:rsidRPr="00D47554">
        <w:t xml:space="preserve">from a quarterly reporting </w:t>
      </w:r>
      <w:r w:rsidR="00085B3D" w:rsidRPr="00D47554">
        <w:t>to a year</w:t>
      </w:r>
      <w:r w:rsidR="0055780C" w:rsidRPr="00D47554">
        <w:t>ly</w:t>
      </w:r>
      <w:r w:rsidR="00085B3D" w:rsidRPr="00D47554">
        <w:t xml:space="preserve"> reporting</w:t>
      </w:r>
      <w:r w:rsidR="008154D5" w:rsidRPr="00D47554">
        <w:t xml:space="preserve"> in line with article 37(1)</w:t>
      </w:r>
      <w:r w:rsidR="00D76496">
        <w:t>, not only for MMF</w:t>
      </w:r>
      <w:r w:rsidR="00A83BDB">
        <w:t>s</w:t>
      </w:r>
      <w:r w:rsidR="00D76496">
        <w:t xml:space="preserve"> passing below the threshold of 100 million EUR, but</w:t>
      </w:r>
      <w:r>
        <w:t xml:space="preserve"> also for </w:t>
      </w:r>
      <w:r w:rsidRPr="00D47554">
        <w:t>MMF</w:t>
      </w:r>
      <w:r w:rsidR="00A83BDB">
        <w:t>s</w:t>
      </w:r>
      <w:r w:rsidRPr="00D47554">
        <w:t xml:space="preserve"> whose assets are below 100 million but opt for a quarterly reporting.</w:t>
      </w:r>
    </w:p>
    <w:p w14:paraId="4C85428A" w14:textId="42A4097A" w:rsidR="004946A4" w:rsidRDefault="004946A4" w:rsidP="00A83BDB">
      <w:pPr>
        <w:jc w:val="both"/>
        <w:rPr>
          <w:b/>
        </w:rPr>
      </w:pPr>
    </w:p>
    <w:p w14:paraId="3E194963" w14:textId="77777777" w:rsidR="00255BFC" w:rsidRPr="00D47554" w:rsidRDefault="00255BFC" w:rsidP="00A83BDB">
      <w:pPr>
        <w:jc w:val="both"/>
        <w:rPr>
          <w:b/>
        </w:rPr>
      </w:pPr>
    </w:p>
    <w:p w14:paraId="49401DF9" w14:textId="62DE44AD" w:rsidR="00F3417D" w:rsidRPr="00D47554" w:rsidRDefault="00F3417D" w:rsidP="00A83BDB">
      <w:pPr>
        <w:jc w:val="both"/>
        <w:rPr>
          <w:b/>
        </w:rPr>
      </w:pPr>
      <w:r w:rsidRPr="00D47554">
        <w:rPr>
          <w:b/>
        </w:rPr>
        <w:t>Q3: Do you agree that the MMF Guidelines could specify which sources should be used by managers of MMFs if the base currency is not included in the list of currencies for which the ECB provides an exchange rate? If yes, which sources should be used in your view?</w:t>
      </w:r>
    </w:p>
    <w:p w14:paraId="49401DFA" w14:textId="78B6C05C" w:rsidR="00F3417D" w:rsidRPr="00D47554" w:rsidRDefault="001F5A6D" w:rsidP="00A83BDB">
      <w:pPr>
        <w:spacing w:before="120" w:after="120"/>
        <w:jc w:val="both"/>
      </w:pPr>
      <w:r>
        <w:t xml:space="preserve">We </w:t>
      </w:r>
      <w:r w:rsidRPr="001F5A6D">
        <w:t>support consistency with AIFMD where there is not specification of the sources that should be used if the base currency is not included in the list of currencies for which the ECB provides an exchange rate.</w:t>
      </w:r>
      <w:r w:rsidR="008E1EFA" w:rsidRPr="008E1EFA">
        <w:t xml:space="preserve"> </w:t>
      </w:r>
      <w:proofErr w:type="gramStart"/>
      <w:r w:rsidR="008E1EFA" w:rsidRPr="008E1EFA">
        <w:t>However</w:t>
      </w:r>
      <w:proofErr w:type="gramEnd"/>
      <w:r w:rsidR="008E1EFA" w:rsidRPr="008E1EFA">
        <w:t xml:space="preserve"> </w:t>
      </w:r>
      <w:r w:rsidR="008E1EFA">
        <w:t xml:space="preserve">we </w:t>
      </w:r>
      <w:r w:rsidR="008E1EFA" w:rsidRPr="008E1EFA">
        <w:t>would like to stress that it is important that asset managers are not subject from additional cost from reporting purposes, hence the sources should be typical market data providers that are already widely available.</w:t>
      </w:r>
    </w:p>
    <w:p w14:paraId="138D3831" w14:textId="77777777" w:rsidR="001B650A" w:rsidRPr="00D47554" w:rsidRDefault="001B650A" w:rsidP="00A83BDB">
      <w:pPr>
        <w:spacing w:before="120" w:after="120"/>
        <w:jc w:val="both"/>
        <w:rPr>
          <w:b/>
        </w:rPr>
      </w:pPr>
    </w:p>
    <w:p w14:paraId="49401DFB" w14:textId="2EDDF1AD" w:rsidR="00F3417D" w:rsidRPr="00D47554" w:rsidRDefault="00F3417D" w:rsidP="00A83BDB">
      <w:pPr>
        <w:spacing w:before="120" w:after="120"/>
        <w:jc w:val="both"/>
        <w:rPr>
          <w:b/>
        </w:rPr>
      </w:pPr>
      <w:r w:rsidRPr="00D47554">
        <w:rPr>
          <w:b/>
        </w:rPr>
        <w:t>Q4: Do you identify any other issue that would need to be specified in relation to the above section on “general principles” of the reporting template?</w:t>
      </w:r>
    </w:p>
    <w:p w14:paraId="7BC50902" w14:textId="2383A86F" w:rsidR="00455748" w:rsidRPr="00D47554" w:rsidRDefault="00455748" w:rsidP="00A83BDB">
      <w:pPr>
        <w:spacing w:before="120" w:after="120"/>
        <w:jc w:val="both"/>
      </w:pPr>
      <w:r w:rsidRPr="00D47554">
        <w:t>We have the following observations.</w:t>
      </w:r>
    </w:p>
    <w:p w14:paraId="1BD74368" w14:textId="10D0DD58" w:rsidR="00EE16C1" w:rsidRPr="00D47554" w:rsidRDefault="00BB2559" w:rsidP="00A83BDB">
      <w:pPr>
        <w:spacing w:before="120" w:after="120"/>
        <w:jc w:val="both"/>
      </w:pPr>
      <w:r w:rsidRPr="00D47554">
        <w:rPr>
          <w:u w:val="single"/>
        </w:rPr>
        <w:t>Possible c</w:t>
      </w:r>
      <w:r w:rsidR="00C2066E" w:rsidRPr="00D47554">
        <w:rPr>
          <w:u w:val="single"/>
        </w:rPr>
        <w:t>omments</w:t>
      </w:r>
      <w:r w:rsidR="00211C6D" w:rsidRPr="00D47554">
        <w:rPr>
          <w:u w:val="single"/>
        </w:rPr>
        <w:t xml:space="preserve"> on a reported element</w:t>
      </w:r>
      <w:r w:rsidR="00C2066E" w:rsidRPr="00D47554">
        <w:rPr>
          <w:u w:val="single"/>
        </w:rPr>
        <w:t>:</w:t>
      </w:r>
      <w:r w:rsidR="00C2066E" w:rsidRPr="00D47554">
        <w:t xml:space="preserve"> </w:t>
      </w:r>
      <w:r w:rsidR="00A82527" w:rsidRPr="00D47554">
        <w:t xml:space="preserve">In </w:t>
      </w:r>
      <w:r w:rsidR="00785594" w:rsidRPr="00D47554">
        <w:t xml:space="preserve">our </w:t>
      </w:r>
      <w:r w:rsidR="00705F2B">
        <w:t>prospective</w:t>
      </w:r>
      <w:r w:rsidR="00A82527" w:rsidRPr="00D47554">
        <w:t>,</w:t>
      </w:r>
      <w:r w:rsidR="00785594" w:rsidRPr="00D47554">
        <w:t xml:space="preserve"> </w:t>
      </w:r>
      <w:r w:rsidR="00AC5912" w:rsidRPr="00D47554">
        <w:t xml:space="preserve">the indication of possible </w:t>
      </w:r>
      <w:r w:rsidR="00CE34D7" w:rsidRPr="00D47554">
        <w:t>comment/</w:t>
      </w:r>
      <w:r w:rsidR="00AC5912" w:rsidRPr="00D47554">
        <w:t>assumption made to fulfil the reporting</w:t>
      </w:r>
      <w:r w:rsidR="00936E84" w:rsidRPr="00D47554">
        <w:t xml:space="preserve"> f</w:t>
      </w:r>
      <w:r w:rsidR="009202EB" w:rsidRPr="00D47554">
        <w:t xml:space="preserve">or the </w:t>
      </w:r>
      <w:r w:rsidR="00936E84" w:rsidRPr="00D47554">
        <w:t>quantitative information</w:t>
      </w:r>
      <w:r w:rsidR="00153638" w:rsidRPr="00D47554">
        <w:t xml:space="preserve"> should be limited as much as possible because it could have </w:t>
      </w:r>
      <w:r w:rsidR="00140CA0" w:rsidRPr="00D47554">
        <w:t xml:space="preserve">some side effects </w:t>
      </w:r>
      <w:r w:rsidR="00153638" w:rsidRPr="00D47554">
        <w:t>o</w:t>
      </w:r>
      <w:r w:rsidR="00140CA0" w:rsidRPr="00D47554">
        <w:t xml:space="preserve">n </w:t>
      </w:r>
      <w:r w:rsidR="00153638" w:rsidRPr="00D47554">
        <w:t xml:space="preserve">data </w:t>
      </w:r>
      <w:r w:rsidR="00140CA0" w:rsidRPr="00D47554">
        <w:t xml:space="preserve">quality. </w:t>
      </w:r>
      <w:r w:rsidR="00867F37" w:rsidRPr="00D47554">
        <w:t xml:space="preserve">In any case, </w:t>
      </w:r>
      <w:r w:rsidR="003D2E8D" w:rsidRPr="00D47554">
        <w:t xml:space="preserve">where comments are considered useful, we suggest </w:t>
      </w:r>
      <w:proofErr w:type="gramStart"/>
      <w:r w:rsidR="00705F2B">
        <w:t xml:space="preserve">to </w:t>
      </w:r>
      <w:r w:rsidR="00705F2B" w:rsidRPr="00D47554">
        <w:t>align</w:t>
      </w:r>
      <w:proofErr w:type="gramEnd"/>
      <w:r w:rsidR="00705F2B" w:rsidRPr="00D47554">
        <w:t xml:space="preserve"> </w:t>
      </w:r>
      <w:r w:rsidR="003D2E8D" w:rsidRPr="00D47554">
        <w:t xml:space="preserve">the reporting </w:t>
      </w:r>
      <w:r w:rsidR="000622CB" w:rsidRPr="00D47554">
        <w:t xml:space="preserve">to the </w:t>
      </w:r>
      <w:r w:rsidR="003D2E8D" w:rsidRPr="00D47554">
        <w:t>methodologies</w:t>
      </w:r>
      <w:r w:rsidR="003E697A" w:rsidRPr="00D47554">
        <w:t xml:space="preserve"> used in </w:t>
      </w:r>
      <w:r w:rsidR="009617F3" w:rsidRPr="00D47554">
        <w:t xml:space="preserve">the context of AIFMD </w:t>
      </w:r>
      <w:r w:rsidR="00F93544" w:rsidRPr="00D47554">
        <w:t>framework</w:t>
      </w:r>
      <w:r w:rsidR="009617F3" w:rsidRPr="00D47554">
        <w:t>, where</w:t>
      </w:r>
      <w:r w:rsidR="00D90593" w:rsidRPr="00D47554">
        <w:t xml:space="preserve">, instead of a </w:t>
      </w:r>
      <w:r w:rsidR="000152D8" w:rsidRPr="00D47554">
        <w:t>drop-down</w:t>
      </w:r>
      <w:r w:rsidR="00D90593" w:rsidRPr="00D47554">
        <w:t xml:space="preserve"> approach</w:t>
      </w:r>
      <w:r w:rsidR="006A1FC1" w:rsidRPr="00D47554">
        <w:t>,</w:t>
      </w:r>
      <w:r w:rsidR="00D90593" w:rsidRPr="00D47554">
        <w:t xml:space="preserve"> </w:t>
      </w:r>
      <w:r w:rsidR="00A64698" w:rsidRPr="00D47554">
        <w:t>two specific fields (ID 14 –</w:t>
      </w:r>
      <w:r w:rsidR="00F87511" w:rsidRPr="00D47554">
        <w:t xml:space="preserve">Question number for which assumption is provided </w:t>
      </w:r>
      <w:r w:rsidR="00A64698" w:rsidRPr="00D47554">
        <w:t>and ID 15</w:t>
      </w:r>
      <w:r w:rsidR="00F87511" w:rsidRPr="00D47554">
        <w:t xml:space="preserve"> – Assumption </w:t>
      </w:r>
      <w:r w:rsidR="00EE16C1" w:rsidRPr="00D47554">
        <w:t>description – free text)</w:t>
      </w:r>
      <w:r w:rsidR="006A1FC1" w:rsidRPr="00D47554">
        <w:t xml:space="preserve"> are </w:t>
      </w:r>
      <w:r w:rsidR="003E697A" w:rsidRPr="00D47554">
        <w:t>provided</w:t>
      </w:r>
      <w:r w:rsidR="00EE16C1" w:rsidRPr="00D47554">
        <w:t>.</w:t>
      </w:r>
      <w:r w:rsidR="00C47349" w:rsidRPr="00D47554">
        <w:t xml:space="preserve"> </w:t>
      </w:r>
      <w:r w:rsidR="00CA2D09" w:rsidRPr="00D47554">
        <w:t xml:space="preserve">The </w:t>
      </w:r>
      <w:r w:rsidR="003E697A" w:rsidRPr="00D47554">
        <w:t xml:space="preserve">possible </w:t>
      </w:r>
      <w:r w:rsidR="00CA2D09" w:rsidRPr="00D47554">
        <w:t>risk with a</w:t>
      </w:r>
      <w:r w:rsidR="007B53EF" w:rsidRPr="00D47554">
        <w:t xml:space="preserve"> </w:t>
      </w:r>
      <w:r w:rsidR="00C47349" w:rsidRPr="00D47554">
        <w:t xml:space="preserve">drop-down approach </w:t>
      </w:r>
      <w:r w:rsidR="00CA2D09" w:rsidRPr="00D47554">
        <w:t xml:space="preserve">is that the proposed </w:t>
      </w:r>
      <w:r w:rsidR="00533B44" w:rsidRPr="00D47554">
        <w:t xml:space="preserve">list may </w:t>
      </w:r>
      <w:r w:rsidR="007B53EF" w:rsidRPr="00D47554">
        <w:t xml:space="preserve">not </w:t>
      </w:r>
      <w:r w:rsidR="00533B44" w:rsidRPr="00D47554">
        <w:t xml:space="preserve">be </w:t>
      </w:r>
      <w:r w:rsidR="006F27F0" w:rsidRPr="00D47554">
        <w:t>exhaustive,</w:t>
      </w:r>
      <w:r w:rsidR="00CA2D09" w:rsidRPr="00D47554">
        <w:t xml:space="preserve"> and a free text should </w:t>
      </w:r>
      <w:r w:rsidR="00533B44" w:rsidRPr="00D47554">
        <w:t xml:space="preserve">be provided </w:t>
      </w:r>
      <w:r w:rsidR="00CA2D09" w:rsidRPr="00D47554">
        <w:t>in any case</w:t>
      </w:r>
      <w:r w:rsidR="007B53EF" w:rsidRPr="00D47554">
        <w:t>.</w:t>
      </w:r>
      <w:r w:rsidR="00857597" w:rsidRPr="00D47554">
        <w:t xml:space="preserve"> </w:t>
      </w:r>
    </w:p>
    <w:p w14:paraId="07A74741" w14:textId="77777777" w:rsidR="00534347" w:rsidRPr="00D47554" w:rsidRDefault="00534347" w:rsidP="00A83BDB">
      <w:pPr>
        <w:spacing w:before="120" w:after="120"/>
        <w:jc w:val="both"/>
      </w:pPr>
    </w:p>
    <w:p w14:paraId="49401DFD" w14:textId="6ED304D7" w:rsidR="00F3417D" w:rsidRPr="00D47554" w:rsidRDefault="00F3417D" w:rsidP="00A83BDB">
      <w:pPr>
        <w:spacing w:before="120" w:after="120"/>
        <w:jc w:val="both"/>
        <w:rPr>
          <w:b/>
        </w:rPr>
      </w:pPr>
      <w:r w:rsidRPr="00D47554">
        <w:rPr>
          <w:b/>
        </w:rPr>
        <w:t>Q5: Do you agree that if an MMF is composed of different share classes that differ in relation to their base currency the base currency that should be included in field A.1.12 should be the base currency as specified in the accounting documents of the MMF or are you of the view that in that case the base currency of the largest share class should be included in field A.1.12? Would you see merit in aligning the inception date mentioned above in section X with the first reporting date, as defined in section II?</w:t>
      </w:r>
    </w:p>
    <w:p w14:paraId="306DA4F7" w14:textId="4C753E7E" w:rsidR="00396174" w:rsidRPr="00D47554" w:rsidRDefault="00875DBD" w:rsidP="00A83BDB">
      <w:pPr>
        <w:spacing w:before="120" w:after="120"/>
        <w:jc w:val="both"/>
      </w:pPr>
      <w:r w:rsidRPr="00D47554">
        <w:t>R</w:t>
      </w:r>
      <w:r w:rsidR="0002065E" w:rsidRPr="00D47554">
        <w:t>egard</w:t>
      </w:r>
      <w:r w:rsidRPr="00D47554">
        <w:t>ing</w:t>
      </w:r>
      <w:r w:rsidR="0002065E" w:rsidRPr="00D47554">
        <w:t xml:space="preserve"> the base currency</w:t>
      </w:r>
      <w:r w:rsidR="008C7006" w:rsidRPr="00D47554">
        <w:t xml:space="preserve">, we agree that </w:t>
      </w:r>
      <w:r w:rsidR="002173B2" w:rsidRPr="00D47554">
        <w:t>the base currency that would be used is th</w:t>
      </w:r>
      <w:r w:rsidR="00D815E9" w:rsidRPr="00D47554">
        <w:t>e</w:t>
      </w:r>
      <w:r w:rsidR="002173B2" w:rsidRPr="00D47554">
        <w:t xml:space="preserve"> one specified in the </w:t>
      </w:r>
      <w:r w:rsidR="00D815E9" w:rsidRPr="00D47554">
        <w:t xml:space="preserve">MMF </w:t>
      </w:r>
      <w:r w:rsidR="002173B2" w:rsidRPr="00D47554">
        <w:t>accounting documents.</w:t>
      </w:r>
    </w:p>
    <w:p w14:paraId="07AD5176" w14:textId="14FC277C" w:rsidR="003F72EB" w:rsidRPr="00D47554" w:rsidRDefault="002173B2" w:rsidP="00A83BDB">
      <w:pPr>
        <w:spacing w:before="120" w:after="120"/>
        <w:jc w:val="both"/>
      </w:pPr>
      <w:r w:rsidRPr="00D47554">
        <w:t xml:space="preserve">With reference to </w:t>
      </w:r>
      <w:r w:rsidR="00652A72" w:rsidRPr="00D47554">
        <w:t>the “inception date”</w:t>
      </w:r>
      <w:r w:rsidR="00954216" w:rsidRPr="00D47554">
        <w:t>,</w:t>
      </w:r>
      <w:r w:rsidR="00652A72" w:rsidRPr="00D47554">
        <w:t xml:space="preserve"> </w:t>
      </w:r>
      <w:r w:rsidR="00954216" w:rsidRPr="00D47554">
        <w:t xml:space="preserve">it is understood </w:t>
      </w:r>
      <w:r w:rsidR="00D4758F" w:rsidRPr="00D47554">
        <w:t xml:space="preserve">that the inception date is the date </w:t>
      </w:r>
      <w:r w:rsidR="00586DB8" w:rsidRPr="00D47554">
        <w:t xml:space="preserve">when the “first” NAV is calculated, </w:t>
      </w:r>
      <w:r w:rsidR="00BF4AE5" w:rsidRPr="00D47554">
        <w:t>except for</w:t>
      </w:r>
      <w:r w:rsidR="00586DB8" w:rsidRPr="00D47554">
        <w:t xml:space="preserve"> </w:t>
      </w:r>
      <w:r w:rsidR="00B74F3C" w:rsidRPr="00D47554">
        <w:t>pre-</w:t>
      </w:r>
      <w:r w:rsidR="00586DB8" w:rsidRPr="00D47554">
        <w:t xml:space="preserve">existing fund </w:t>
      </w:r>
      <w:r w:rsidR="00B74F3C" w:rsidRPr="00D47554">
        <w:t xml:space="preserve">which has been granted the authorisation </w:t>
      </w:r>
      <w:r w:rsidR="00CA7B09" w:rsidRPr="00D47554">
        <w:t>under MMFR for which the inception date</w:t>
      </w:r>
      <w:r w:rsidR="00620E0C" w:rsidRPr="00D47554">
        <w:t xml:space="preserve"> </w:t>
      </w:r>
      <w:r w:rsidR="00CA7B09" w:rsidRPr="00D47554">
        <w:t>is the</w:t>
      </w:r>
      <w:r w:rsidR="00322A4F" w:rsidRPr="00D47554">
        <w:t xml:space="preserve"> authorisation</w:t>
      </w:r>
      <w:r w:rsidR="00073CF9" w:rsidRPr="00D47554">
        <w:t xml:space="preserve"> date</w:t>
      </w:r>
      <w:r w:rsidR="00322A4F" w:rsidRPr="00D47554">
        <w:t xml:space="preserve">. </w:t>
      </w:r>
      <w:r w:rsidR="003C1B8A" w:rsidRPr="00D47554">
        <w:t xml:space="preserve">Since </w:t>
      </w:r>
      <w:r w:rsidR="008C4BD9" w:rsidRPr="00D47554">
        <w:t>the inception date</w:t>
      </w:r>
      <w:r w:rsidR="002D208A" w:rsidRPr="00D47554">
        <w:t xml:space="preserve"> (calculation of the first NAV)</w:t>
      </w:r>
      <w:r w:rsidR="008C4BD9" w:rsidRPr="00D47554">
        <w:t xml:space="preserve"> </w:t>
      </w:r>
      <w:r w:rsidR="002D208A" w:rsidRPr="00D47554">
        <w:t xml:space="preserve">of a new fund </w:t>
      </w:r>
      <w:r w:rsidR="003C1B8A" w:rsidRPr="00D47554">
        <w:t xml:space="preserve">may </w:t>
      </w:r>
      <w:r w:rsidR="002D208A" w:rsidRPr="00D47554">
        <w:t xml:space="preserve">differ from </w:t>
      </w:r>
      <w:r w:rsidR="003C1B8A" w:rsidRPr="00D47554">
        <w:t xml:space="preserve">the date of </w:t>
      </w:r>
      <w:r w:rsidR="002D208A" w:rsidRPr="00D47554">
        <w:t xml:space="preserve">its </w:t>
      </w:r>
      <w:r w:rsidR="008E374C" w:rsidRPr="00D47554">
        <w:t xml:space="preserve">authorisation, with consequences </w:t>
      </w:r>
      <w:r w:rsidR="00913024" w:rsidRPr="00D47554">
        <w:t xml:space="preserve">on the time of the first </w:t>
      </w:r>
      <w:r w:rsidR="00636BF5" w:rsidRPr="00D47554">
        <w:t>report</w:t>
      </w:r>
      <w:r w:rsidR="00BF4AE5" w:rsidRPr="00D47554">
        <w:t>ing to be submitted</w:t>
      </w:r>
      <w:r w:rsidR="00636BF5" w:rsidRPr="00D47554">
        <w:t>, we</w:t>
      </w:r>
      <w:r w:rsidR="003F72EB" w:rsidRPr="00D47554">
        <w:t xml:space="preserve"> </w:t>
      </w:r>
      <w:r w:rsidR="008B3FD7" w:rsidRPr="00D47554">
        <w:t xml:space="preserve">do not support </w:t>
      </w:r>
      <w:r w:rsidR="00BB4721" w:rsidRPr="00D47554">
        <w:t xml:space="preserve">the </w:t>
      </w:r>
      <w:r w:rsidR="008B3FD7" w:rsidRPr="00D47554">
        <w:t>align</w:t>
      </w:r>
      <w:r w:rsidR="00BB4721" w:rsidRPr="00D47554">
        <w:t>ment of</w:t>
      </w:r>
      <w:r w:rsidR="008B3FD7" w:rsidRPr="00D47554">
        <w:t xml:space="preserve"> the inception date (</w:t>
      </w:r>
      <w:r w:rsidR="008C4BD9" w:rsidRPr="00D47554">
        <w:t xml:space="preserve">Section </w:t>
      </w:r>
      <w:r w:rsidR="008B3FD7" w:rsidRPr="00D47554">
        <w:t xml:space="preserve">X) with the first reporting </w:t>
      </w:r>
      <w:r w:rsidR="008B3FD7" w:rsidRPr="00D47554">
        <w:lastRenderedPageBreak/>
        <w:t>date</w:t>
      </w:r>
      <w:r w:rsidR="008C4BD9" w:rsidRPr="00D47554">
        <w:t xml:space="preserve"> (Section II)</w:t>
      </w:r>
      <w:r w:rsidR="00C45AB0" w:rsidRPr="00D47554">
        <w:t>. In</w:t>
      </w:r>
      <w:r w:rsidR="00BB4721" w:rsidRPr="00D47554">
        <w:t xml:space="preserve"> fact</w:t>
      </w:r>
      <w:r w:rsidR="00C45AB0" w:rsidRPr="00D47554">
        <w:t xml:space="preserve">, </w:t>
      </w:r>
      <w:r w:rsidR="00705F2B" w:rsidRPr="00D47554">
        <w:t xml:space="preserve">in line with Section </w:t>
      </w:r>
      <w:proofErr w:type="gramStart"/>
      <w:r w:rsidR="00705F2B" w:rsidRPr="00D47554">
        <w:t>II</w:t>
      </w:r>
      <w:r w:rsidR="00705F2B" w:rsidRPr="00D47554" w:rsidDel="00705F2B">
        <w:t xml:space="preserve"> </w:t>
      </w:r>
      <w:r w:rsidR="00C45AB0" w:rsidRPr="00D47554">
        <w:t>,</w:t>
      </w:r>
      <w:proofErr w:type="gramEnd"/>
      <w:r w:rsidR="00C45AB0" w:rsidRPr="00D47554">
        <w:t xml:space="preserve"> </w:t>
      </w:r>
      <w:r w:rsidR="00705F2B" w:rsidRPr="00D47554">
        <w:t>we support</w:t>
      </w:r>
      <w:r w:rsidR="00C45AB0" w:rsidRPr="00D47554">
        <w:t xml:space="preserve"> </w:t>
      </w:r>
      <w:r w:rsidR="008C4BD9" w:rsidRPr="00D47554">
        <w:t xml:space="preserve">that </w:t>
      </w:r>
      <w:r w:rsidR="00BB4721" w:rsidRPr="00D47554">
        <w:t xml:space="preserve">MMF </w:t>
      </w:r>
      <w:r w:rsidR="008C4BD9" w:rsidRPr="00D47554">
        <w:t xml:space="preserve">mangers should start reporting </w:t>
      </w:r>
      <w:r w:rsidR="00FB7143" w:rsidRPr="00D47554">
        <w:t xml:space="preserve">on </w:t>
      </w:r>
      <w:r w:rsidR="008C4BD9" w:rsidRPr="00D47554">
        <w:t>the authorisation data</w:t>
      </w:r>
      <w:r w:rsidR="00281AC9" w:rsidRPr="00D47554">
        <w:t xml:space="preserve"> (</w:t>
      </w:r>
      <w:r w:rsidR="00332D7E" w:rsidRPr="00D47554">
        <w:t xml:space="preserve">with a </w:t>
      </w:r>
      <w:r w:rsidR="00281AC9" w:rsidRPr="00D47554">
        <w:t>no reporting flag)</w:t>
      </w:r>
      <w:r w:rsidR="00C45AB0" w:rsidRPr="00D47554">
        <w:t xml:space="preserve"> even if </w:t>
      </w:r>
      <w:r w:rsidR="00260597" w:rsidRPr="00D47554">
        <w:t>the MMF has not been launched</w:t>
      </w:r>
      <w:r w:rsidR="008C4BD9" w:rsidRPr="00D47554">
        <w:t>.</w:t>
      </w:r>
    </w:p>
    <w:p w14:paraId="49401DFE" w14:textId="77777777" w:rsidR="00F3417D" w:rsidRPr="00D47554" w:rsidRDefault="00F3417D" w:rsidP="00A83BDB">
      <w:pPr>
        <w:spacing w:before="120" w:after="120"/>
        <w:jc w:val="both"/>
        <w:rPr>
          <w:b/>
        </w:rPr>
      </w:pPr>
    </w:p>
    <w:p w14:paraId="49401DFF" w14:textId="77777777" w:rsidR="00F3417D" w:rsidRPr="00D47554" w:rsidRDefault="00F3417D" w:rsidP="00A83BDB">
      <w:pPr>
        <w:spacing w:before="120" w:after="120"/>
        <w:jc w:val="both"/>
        <w:rPr>
          <w:b/>
        </w:rPr>
      </w:pPr>
      <w:r w:rsidRPr="00D47554">
        <w:rPr>
          <w:b/>
        </w:rPr>
        <w:t>Q6: Do you identify any other issue that would need to be specified in relation to the above section on the block 1 of the reporting template?</w:t>
      </w:r>
    </w:p>
    <w:p w14:paraId="43C9CE16" w14:textId="2BCCA0C6" w:rsidR="00FF42FC" w:rsidRPr="00D47554" w:rsidRDefault="00F15F1B" w:rsidP="00A83BDB">
      <w:pPr>
        <w:spacing w:before="120" w:after="120"/>
        <w:jc w:val="both"/>
      </w:pPr>
      <w:r w:rsidRPr="00D47554">
        <w:t xml:space="preserve">Regarding </w:t>
      </w:r>
      <w:r w:rsidR="00FF42FC" w:rsidRPr="00D47554">
        <w:t xml:space="preserve">section </w:t>
      </w:r>
      <w:r w:rsidR="00B60316" w:rsidRPr="00D47554">
        <w:t xml:space="preserve">XIV “Merge of an MMF” </w:t>
      </w:r>
      <w:r w:rsidR="004C1434" w:rsidRPr="00D47554">
        <w:t xml:space="preserve">we </w:t>
      </w:r>
      <w:r w:rsidR="00305E73" w:rsidRPr="00D47554">
        <w:t xml:space="preserve">have some comments on </w:t>
      </w:r>
      <w:r w:rsidR="0034337A" w:rsidRPr="00D47554">
        <w:t xml:space="preserve">par.64 </w:t>
      </w:r>
      <w:r w:rsidR="00FF42FC" w:rsidRPr="00D47554">
        <w:t>“</w:t>
      </w:r>
      <w:r w:rsidR="002C27BB" w:rsidRPr="00D47554">
        <w:rPr>
          <w:i/>
        </w:rPr>
        <w:t>M</w:t>
      </w:r>
      <w:r w:rsidR="00FF42FC" w:rsidRPr="00D47554">
        <w:rPr>
          <w:i/>
        </w:rPr>
        <w:t>anagers of MMFs should provide the last report of the MMF to their NCA not later than 30 days after the end of the</w:t>
      </w:r>
      <w:r w:rsidR="00636BF5" w:rsidRPr="00D47554">
        <w:rPr>
          <w:i/>
        </w:rPr>
        <w:t xml:space="preserve"> </w:t>
      </w:r>
      <w:r w:rsidR="00FF42FC" w:rsidRPr="00D47554">
        <w:rPr>
          <w:i/>
        </w:rPr>
        <w:t>quarter in which the MMF has been merged</w:t>
      </w:r>
      <w:r w:rsidR="00FF42FC" w:rsidRPr="00D47554">
        <w:t>”</w:t>
      </w:r>
      <w:r w:rsidRPr="00D47554">
        <w:t>.</w:t>
      </w:r>
    </w:p>
    <w:p w14:paraId="49401E00" w14:textId="71FFC8E4" w:rsidR="00F3417D" w:rsidRPr="00D47554" w:rsidRDefault="00DA33BE" w:rsidP="00A83BDB">
      <w:pPr>
        <w:spacing w:before="120" w:after="120"/>
        <w:jc w:val="both"/>
      </w:pPr>
      <w:r w:rsidRPr="00D47554">
        <w:t xml:space="preserve">We suggest </w:t>
      </w:r>
      <w:proofErr w:type="gramStart"/>
      <w:r w:rsidR="00705F2B">
        <w:t xml:space="preserve">to </w:t>
      </w:r>
      <w:r w:rsidR="00E1294B" w:rsidRPr="00D47554">
        <w:t>clarify</w:t>
      </w:r>
      <w:proofErr w:type="gramEnd"/>
      <w:r w:rsidR="008B7DCF">
        <w:t xml:space="preserve"> </w:t>
      </w:r>
      <w:r w:rsidRPr="00D47554">
        <w:t>if</w:t>
      </w:r>
      <w:r w:rsidR="00705F2B">
        <w:t>,</w:t>
      </w:r>
      <w:r w:rsidRPr="00D47554">
        <w:t xml:space="preserve"> </w:t>
      </w:r>
      <w:r w:rsidR="001E7329" w:rsidRPr="00D47554">
        <w:t>in case of merge</w:t>
      </w:r>
      <w:r w:rsidR="00B3420D" w:rsidRPr="00D47554">
        <w:t>r</w:t>
      </w:r>
      <w:r w:rsidR="001E7329" w:rsidRPr="00D47554">
        <w:t xml:space="preserve"> </w:t>
      </w:r>
      <w:r w:rsidRPr="00D47554">
        <w:t xml:space="preserve">of a MMF that has </w:t>
      </w:r>
      <w:r w:rsidR="0034337A" w:rsidRPr="00D47554">
        <w:t>a</w:t>
      </w:r>
      <w:r w:rsidRPr="00D47554">
        <w:t>n</w:t>
      </w:r>
      <w:r w:rsidR="0034337A" w:rsidRPr="00D47554">
        <w:t xml:space="preserve"> annual report (below threshold)</w:t>
      </w:r>
      <w:r w:rsidR="00CF3F62" w:rsidRPr="00D47554">
        <w:t>, it</w:t>
      </w:r>
      <w:r w:rsidRPr="00D47554">
        <w:t xml:space="preserve"> is</w:t>
      </w:r>
      <w:r w:rsidR="00CF3F62" w:rsidRPr="00D47554">
        <w:t xml:space="preserve"> </w:t>
      </w:r>
      <w:r w:rsidR="00E1294B" w:rsidRPr="00D47554">
        <w:t xml:space="preserve">correct </w:t>
      </w:r>
      <w:r w:rsidR="00B3420D" w:rsidRPr="00D47554">
        <w:t xml:space="preserve">to </w:t>
      </w:r>
      <w:r w:rsidR="00E1294B" w:rsidRPr="00D47554">
        <w:t>apply</w:t>
      </w:r>
      <w:r w:rsidR="008270A7" w:rsidRPr="00D47554">
        <w:t>,</w:t>
      </w:r>
      <w:r w:rsidR="00632902" w:rsidRPr="00D47554">
        <w:t xml:space="preserve"> </w:t>
      </w:r>
      <w:r w:rsidR="00FF0825" w:rsidRPr="00D47554">
        <w:t>for its final report</w:t>
      </w:r>
      <w:r w:rsidR="008270A7" w:rsidRPr="00D47554">
        <w:t>,</w:t>
      </w:r>
      <w:r w:rsidR="00FF0825" w:rsidRPr="00D47554">
        <w:t xml:space="preserve"> </w:t>
      </w:r>
      <w:r w:rsidR="00632902" w:rsidRPr="00D47554">
        <w:t xml:space="preserve">the rules of </w:t>
      </w:r>
      <w:r w:rsidR="00095E3C" w:rsidRPr="00D47554">
        <w:t>par.</w:t>
      </w:r>
      <w:r w:rsidR="00AE26C9" w:rsidRPr="00D47554">
        <w:t xml:space="preserve">34 </w:t>
      </w:r>
      <w:r w:rsidR="00641CAD" w:rsidRPr="00D47554">
        <w:t>(</w:t>
      </w:r>
      <w:r w:rsidR="00AE26C9" w:rsidRPr="00D47554">
        <w:t xml:space="preserve">procedures </w:t>
      </w:r>
      <w:r w:rsidR="00973CFC" w:rsidRPr="00D47554">
        <w:t xml:space="preserve">in case of “change” of reporting frequency </w:t>
      </w:r>
      <w:r w:rsidR="00AE26C9" w:rsidRPr="00D47554">
        <w:t>fr</w:t>
      </w:r>
      <w:r w:rsidR="00973CFC" w:rsidRPr="00D47554">
        <w:t xml:space="preserve">om a yearly reporting to </w:t>
      </w:r>
      <w:r w:rsidR="00FF0825" w:rsidRPr="00D47554">
        <w:t>a quarterly reporting</w:t>
      </w:r>
      <w:r w:rsidR="00641CAD" w:rsidRPr="00D47554">
        <w:t>)</w:t>
      </w:r>
      <w:r w:rsidR="00FF0825" w:rsidRPr="00D47554">
        <w:t xml:space="preserve">. </w:t>
      </w:r>
      <w:r w:rsidR="007C7D88" w:rsidRPr="00D47554">
        <w:t>For example, if the merge</w:t>
      </w:r>
      <w:r w:rsidR="00CE5038" w:rsidRPr="00D47554">
        <w:t>r</w:t>
      </w:r>
      <w:r w:rsidR="007C7D88" w:rsidRPr="00D47554">
        <w:t xml:space="preserve"> applies during Q2, </w:t>
      </w:r>
      <w:r w:rsidR="002E6276" w:rsidRPr="00D47554">
        <w:t xml:space="preserve">after 30 days from Q2 </w:t>
      </w:r>
      <w:r w:rsidR="00CE5038" w:rsidRPr="00D47554">
        <w:t xml:space="preserve">it </w:t>
      </w:r>
      <w:r w:rsidR="002E6276" w:rsidRPr="00D47554">
        <w:t>should be submitted to the competent Authority H1</w:t>
      </w:r>
      <w:r w:rsidR="00AF2369" w:rsidRPr="00D47554">
        <w:t xml:space="preserve"> (</w:t>
      </w:r>
      <w:r w:rsidR="00CE5038" w:rsidRPr="00D47554">
        <w:t xml:space="preserve">which </w:t>
      </w:r>
      <w:r w:rsidR="00AF2369" w:rsidRPr="00D47554">
        <w:t>cover</w:t>
      </w:r>
      <w:r w:rsidR="00CE5038" w:rsidRPr="00D47554">
        <w:t>s</w:t>
      </w:r>
      <w:r w:rsidR="00AF2369" w:rsidRPr="00D47554">
        <w:t xml:space="preserve"> the months </w:t>
      </w:r>
      <w:r w:rsidR="00614772" w:rsidRPr="00D47554">
        <w:t xml:space="preserve">from the beginning </w:t>
      </w:r>
      <w:r w:rsidR="00AF2369" w:rsidRPr="00D47554">
        <w:t>of the year</w:t>
      </w:r>
      <w:r w:rsidR="00EF7AD6" w:rsidRPr="00D47554">
        <w:t xml:space="preserve"> u</w:t>
      </w:r>
      <w:r w:rsidR="005F4B22" w:rsidRPr="00D47554">
        <w:t xml:space="preserve">p to </w:t>
      </w:r>
      <w:r w:rsidR="00EF7AD6" w:rsidRPr="00D47554">
        <w:t>the</w:t>
      </w:r>
      <w:r w:rsidR="005F4B22" w:rsidRPr="00D47554">
        <w:t xml:space="preserve"> merger </w:t>
      </w:r>
      <w:r w:rsidR="00EF7AD6" w:rsidRPr="00D47554">
        <w:t>date).</w:t>
      </w:r>
      <w:r w:rsidR="00AE26C9" w:rsidRPr="00D47554">
        <w:t xml:space="preserve"> </w:t>
      </w:r>
    </w:p>
    <w:p w14:paraId="032B69AD" w14:textId="3BB9FF21" w:rsidR="005B78B5" w:rsidRDefault="00D85FF7" w:rsidP="00A83BDB">
      <w:pPr>
        <w:spacing w:before="120" w:after="120"/>
        <w:jc w:val="both"/>
      </w:pPr>
      <w:r w:rsidRPr="00D85FF7">
        <w:t xml:space="preserve">In addition, we would like to request ESMA that field A.1.16 (ECB code - MFI ID code - of the manager of the MMF) should be marked as ‘optional’. This code is not used in practice and, in addition, not </w:t>
      </w:r>
      <w:proofErr w:type="gramStart"/>
      <w:r w:rsidRPr="00D85FF7">
        <w:t>sufficient</w:t>
      </w:r>
      <w:proofErr w:type="gramEnd"/>
      <w:r w:rsidRPr="00D85FF7">
        <w:t xml:space="preserve">. </w:t>
      </w:r>
      <w:proofErr w:type="gramStart"/>
      <w:r w:rsidRPr="00D85FF7">
        <w:t>In particular, ESMA</w:t>
      </w:r>
      <w:proofErr w:type="gramEnd"/>
      <w:r w:rsidRPr="00D85FF7">
        <w:t xml:space="preserve"> would be already able to identify the manager of the MMF through the LEI or the national code. However, from a data point of view, the practical procedure should be clarified where and how managers of MMF could request this code. </w:t>
      </w:r>
      <w:proofErr w:type="gramStart"/>
      <w:r w:rsidRPr="00D85FF7">
        <w:t>In particular, it</w:t>
      </w:r>
      <w:proofErr w:type="gramEnd"/>
      <w:r w:rsidRPr="00D85FF7">
        <w:t xml:space="preserve"> should be avoided that a code that is not needed would create new cost for managers of MMFs.</w:t>
      </w:r>
    </w:p>
    <w:p w14:paraId="697D5C51" w14:textId="77777777" w:rsidR="00D00C99" w:rsidRPr="00D47554" w:rsidRDefault="00D00C99" w:rsidP="00A83BDB">
      <w:pPr>
        <w:spacing w:before="120" w:after="120"/>
        <w:jc w:val="both"/>
      </w:pPr>
    </w:p>
    <w:p w14:paraId="49401E01" w14:textId="72AD18F4" w:rsidR="00F3417D" w:rsidRPr="00D47554" w:rsidRDefault="00F3417D" w:rsidP="00A83BDB">
      <w:pPr>
        <w:spacing w:before="120" w:after="120"/>
        <w:jc w:val="both"/>
        <w:rPr>
          <w:b/>
        </w:rPr>
      </w:pPr>
      <w:r w:rsidRPr="00D47554">
        <w:rPr>
          <w:b/>
        </w:rPr>
        <w:t xml:space="preserve">Q7: Are you of the view that the abovementioned specification leaves too much room for interpretation and would lead to data that is not comparable? Are you of the view that settlement periods should be </w:t>
      </w:r>
      <w:proofErr w:type="gramStart"/>
      <w:r w:rsidRPr="00D47554">
        <w:rPr>
          <w:b/>
        </w:rPr>
        <w:t>taken into account</w:t>
      </w:r>
      <w:proofErr w:type="gramEnd"/>
      <w:r w:rsidRPr="00D47554">
        <w:rPr>
          <w:b/>
        </w:rPr>
        <w:t xml:space="preserve"> and that, as a consequence, the last part of the abovementioned specification (“if it has as a non-negligible impact on the liquidity profile of the MMF”) should be removed?</w:t>
      </w:r>
    </w:p>
    <w:p w14:paraId="0C143150" w14:textId="05362E01" w:rsidR="00E0423F" w:rsidRPr="00D47554" w:rsidRDefault="002A19ED" w:rsidP="00A83BDB">
      <w:pPr>
        <w:spacing w:before="120" w:after="120"/>
        <w:jc w:val="both"/>
      </w:pPr>
      <w:r w:rsidRPr="00D47554">
        <w:t>As regard portfolio liquidi</w:t>
      </w:r>
      <w:r w:rsidR="00085429" w:rsidRPr="00D47554">
        <w:t>ty profile fields (A.</w:t>
      </w:r>
      <w:r w:rsidR="00E0423F" w:rsidRPr="00D47554">
        <w:t>4.7) w</w:t>
      </w:r>
      <w:r w:rsidR="004E6AD7" w:rsidRPr="00D47554">
        <w:t xml:space="preserve">e have some comments regard </w:t>
      </w:r>
      <w:r w:rsidR="00964DBE" w:rsidRPr="00D47554">
        <w:t xml:space="preserve">both </w:t>
      </w:r>
      <w:r w:rsidR="004E6AD7" w:rsidRPr="00D47554">
        <w:t>the</w:t>
      </w:r>
      <w:r w:rsidR="00A03290" w:rsidRPr="00D47554">
        <w:t xml:space="preserve"> method </w:t>
      </w:r>
      <w:r w:rsidR="009D257F" w:rsidRPr="00D47554">
        <w:t xml:space="preserve">to be used for </w:t>
      </w:r>
      <w:r w:rsidR="00964DBE" w:rsidRPr="00D47554">
        <w:t xml:space="preserve">fulfilling the </w:t>
      </w:r>
      <w:r w:rsidR="004E6AD7" w:rsidRPr="00D47554">
        <w:t>bucket</w:t>
      </w:r>
      <w:r w:rsidR="00964DBE" w:rsidRPr="00D47554">
        <w:t xml:space="preserve">s </w:t>
      </w:r>
      <w:r w:rsidR="004E6AD7" w:rsidRPr="00D47554">
        <w:t xml:space="preserve">(par. </w:t>
      </w:r>
      <w:r w:rsidR="00964DBE" w:rsidRPr="00D47554">
        <w:t>81) and</w:t>
      </w:r>
      <w:r w:rsidR="003B3E15" w:rsidRPr="00D47554">
        <w:t xml:space="preserve"> on</w:t>
      </w:r>
      <w:r w:rsidR="00964DBE" w:rsidRPr="00D47554">
        <w:t xml:space="preserve"> </w:t>
      </w:r>
      <w:r w:rsidR="003B3E15" w:rsidRPr="00D47554">
        <w:t xml:space="preserve">the </w:t>
      </w:r>
      <w:r w:rsidR="002203F3" w:rsidRPr="00D47554">
        <w:t>settlement periods</w:t>
      </w:r>
      <w:r w:rsidR="00C25285" w:rsidRPr="00D47554">
        <w:t>.</w:t>
      </w:r>
      <w:r w:rsidR="007E57E0" w:rsidRPr="00D47554">
        <w:t xml:space="preserve"> </w:t>
      </w:r>
    </w:p>
    <w:p w14:paraId="6CE04B7A" w14:textId="4E8105D8" w:rsidR="00A3170B" w:rsidRPr="00D47554" w:rsidRDefault="00106BD0" w:rsidP="00A83BDB">
      <w:pPr>
        <w:spacing w:before="120" w:after="120"/>
        <w:jc w:val="both"/>
      </w:pPr>
      <w:r w:rsidRPr="00D47554">
        <w:t>P</w:t>
      </w:r>
      <w:r w:rsidR="006031D0" w:rsidRPr="00D47554">
        <w:t>ar. 81</w:t>
      </w:r>
      <w:r w:rsidR="00A3315D" w:rsidRPr="00D47554">
        <w:t xml:space="preserve"> </w:t>
      </w:r>
      <w:r w:rsidR="00EE33B5" w:rsidRPr="00D47554">
        <w:t xml:space="preserve">requires </w:t>
      </w:r>
      <w:r w:rsidR="00A3315D" w:rsidRPr="00D47554">
        <w:t xml:space="preserve">that </w:t>
      </w:r>
      <w:r w:rsidR="00FE177F" w:rsidRPr="00D47554">
        <w:t>“</w:t>
      </w:r>
      <w:r w:rsidR="00FE177F" w:rsidRPr="00D47554">
        <w:rPr>
          <w:i/>
        </w:rPr>
        <w:t>Managers of MMFs should report the percentage of the fund’s portfolio that is capable of being liquidated within each of the liquidity periods specified. Each asset should be assigned to one period only and such assignment should be based on the shortest period during which such a position could reasonably be liquidated at or near its carrying value. The total should equal 100%. If individual positions are important contingent parts of the same trade, managers of MMFs should group all of these positions under the liquidity period of the least liquid part</w:t>
      </w:r>
      <w:r w:rsidR="00FE177F" w:rsidRPr="00D47554">
        <w:t>.”</w:t>
      </w:r>
      <w:r w:rsidR="00A3355E" w:rsidRPr="00D47554">
        <w:t xml:space="preserve"> </w:t>
      </w:r>
      <w:r w:rsidR="00A3170B" w:rsidRPr="00D47554">
        <w:t xml:space="preserve">The periods foreseen in the </w:t>
      </w:r>
      <w:r w:rsidR="003B2E74" w:rsidRPr="00D47554">
        <w:t>ITS</w:t>
      </w:r>
      <w:r w:rsidR="00A3170B" w:rsidRPr="00D47554">
        <w:t xml:space="preserve"> are: 1 day or less, 2-7 days, 8-30 days, </w:t>
      </w:r>
      <w:r w:rsidR="00A43131" w:rsidRPr="00D47554">
        <w:t xml:space="preserve">above </w:t>
      </w:r>
      <w:r w:rsidR="00A3170B" w:rsidRPr="00D47554">
        <w:t>30 days.</w:t>
      </w:r>
    </w:p>
    <w:p w14:paraId="15599BE7" w14:textId="7E5D66AA" w:rsidR="00A51F85" w:rsidRDefault="00A3170B" w:rsidP="00A83BDB">
      <w:pPr>
        <w:spacing w:before="120" w:after="120"/>
        <w:jc w:val="both"/>
      </w:pPr>
      <w:r w:rsidRPr="00D47554">
        <w:t xml:space="preserve">In our understanding, </w:t>
      </w:r>
      <w:r w:rsidR="00A43131" w:rsidRPr="00D47554">
        <w:t>par. 8</w:t>
      </w:r>
      <w:r w:rsidR="00414E48" w:rsidRPr="00D47554">
        <w:t>1</w:t>
      </w:r>
      <w:r w:rsidR="00A43131" w:rsidRPr="00D47554">
        <w:t xml:space="preserve"> requires </w:t>
      </w:r>
      <w:r w:rsidRPr="00D47554">
        <w:t xml:space="preserve">that each investment should be assigned to </w:t>
      </w:r>
      <w:r w:rsidR="007507E7" w:rsidRPr="00D47554">
        <w:t>a</w:t>
      </w:r>
      <w:r w:rsidRPr="00D47554">
        <w:t xml:space="preserve"> period only even if </w:t>
      </w:r>
      <w:r w:rsidR="00A43131" w:rsidRPr="00D47554">
        <w:t>MM</w:t>
      </w:r>
      <w:r w:rsidRPr="00D47554">
        <w:t xml:space="preserve">Fs </w:t>
      </w:r>
      <w:r w:rsidR="007507E7" w:rsidRPr="00D47554">
        <w:t xml:space="preserve">can </w:t>
      </w:r>
      <w:r w:rsidRPr="00D47554">
        <w:t>liquidate part of their position earlier.</w:t>
      </w:r>
      <w:r w:rsidR="0027301B" w:rsidRPr="00D47554">
        <w:t xml:space="preserve"> </w:t>
      </w:r>
      <w:r w:rsidR="00080A56" w:rsidRPr="00D47554">
        <w:t>Although</w:t>
      </w:r>
      <w:r w:rsidR="00E76E27" w:rsidRPr="00D47554">
        <w:t xml:space="preserve"> </w:t>
      </w:r>
      <w:r w:rsidR="00AA2890" w:rsidRPr="00D47554">
        <w:t>this criterion</w:t>
      </w:r>
      <w:r w:rsidR="00F84486" w:rsidRPr="00D47554">
        <w:t xml:space="preserve"> </w:t>
      </w:r>
      <w:r w:rsidR="00080A56" w:rsidRPr="00D47554">
        <w:t>may</w:t>
      </w:r>
      <w:r w:rsidR="00F84486" w:rsidRPr="00D47554">
        <w:t xml:space="preserve"> </w:t>
      </w:r>
      <w:r w:rsidR="00CB1A3C" w:rsidRPr="00D47554">
        <w:t xml:space="preserve">have some </w:t>
      </w:r>
      <w:r w:rsidR="00F84486" w:rsidRPr="00D47554">
        <w:t xml:space="preserve">value in the AIFMD </w:t>
      </w:r>
      <w:r w:rsidR="0018774F">
        <w:t>reporting</w:t>
      </w:r>
      <w:r w:rsidR="00F84486" w:rsidRPr="00D47554">
        <w:t>,</w:t>
      </w:r>
      <w:r w:rsidR="00F702ED" w:rsidRPr="00D47554">
        <w:t xml:space="preserve"> we have reservation</w:t>
      </w:r>
      <w:r w:rsidR="00737160" w:rsidRPr="00D47554">
        <w:t>s</w:t>
      </w:r>
      <w:r w:rsidR="00F702ED" w:rsidRPr="00D47554">
        <w:t xml:space="preserve"> </w:t>
      </w:r>
      <w:r w:rsidR="005E5DC4" w:rsidRPr="00D47554">
        <w:t xml:space="preserve">for its application under </w:t>
      </w:r>
      <w:r w:rsidR="0041559D" w:rsidRPr="00D47554">
        <w:t xml:space="preserve">the </w:t>
      </w:r>
      <w:r w:rsidR="005E5DC4" w:rsidRPr="00D47554">
        <w:t xml:space="preserve">MMF </w:t>
      </w:r>
      <w:r w:rsidR="0018774F">
        <w:t>reporting</w:t>
      </w:r>
      <w:r w:rsidR="005E5DC4" w:rsidRPr="00D47554">
        <w:t xml:space="preserve">. </w:t>
      </w:r>
      <w:r w:rsidR="00A51F85" w:rsidRPr="00D47554">
        <w:t xml:space="preserve">The results would </w:t>
      </w:r>
      <w:r w:rsidR="00B3359B" w:rsidRPr="00D47554">
        <w:t>be too conservative</w:t>
      </w:r>
      <w:r w:rsidR="00505602">
        <w:t xml:space="preserve"> and </w:t>
      </w:r>
      <w:r w:rsidR="0018774F">
        <w:t xml:space="preserve">would </w:t>
      </w:r>
      <w:r w:rsidR="00505602">
        <w:t>affect</w:t>
      </w:r>
      <w:r w:rsidR="008F5F84">
        <w:t xml:space="preserve"> </w:t>
      </w:r>
      <w:r w:rsidR="008F5F84" w:rsidRPr="00D47554">
        <w:t xml:space="preserve">the </w:t>
      </w:r>
      <w:r w:rsidR="008F5F84">
        <w:t xml:space="preserve">asset </w:t>
      </w:r>
      <w:r w:rsidR="008F5F84" w:rsidRPr="00D47554">
        <w:t>management procedures on liquidity risk</w:t>
      </w:r>
      <w:r w:rsidR="007F71EE">
        <w:t xml:space="preserve">, where </w:t>
      </w:r>
      <w:r w:rsidR="003D32FC">
        <w:t>such an approach could not be a standard practise</w:t>
      </w:r>
      <w:r w:rsidR="00A51F85" w:rsidRPr="00D47554">
        <w:t>.</w:t>
      </w:r>
    </w:p>
    <w:p w14:paraId="6922637E" w14:textId="4E5DA659" w:rsidR="00EB2270" w:rsidRPr="00D47554" w:rsidRDefault="00EB2270" w:rsidP="00A83BDB">
      <w:pPr>
        <w:spacing w:before="120" w:after="120"/>
        <w:jc w:val="both"/>
      </w:pPr>
      <w:r>
        <w:t xml:space="preserve">Therefore, we </w:t>
      </w:r>
      <w:r w:rsidR="00F27957" w:rsidRPr="00F27957">
        <w:t xml:space="preserve">suggest, as far as possible, to avoid any </w:t>
      </w:r>
      <w:r w:rsidR="00783628">
        <w:t xml:space="preserve">specific </w:t>
      </w:r>
      <w:r w:rsidR="00F27957" w:rsidRPr="00F27957">
        <w:t xml:space="preserve">guidelines </w:t>
      </w:r>
      <w:r w:rsidR="007549C6">
        <w:t xml:space="preserve">on how </w:t>
      </w:r>
      <w:r w:rsidR="006430F4">
        <w:t xml:space="preserve">field </w:t>
      </w:r>
      <w:proofErr w:type="gramStart"/>
      <w:r w:rsidR="006430F4">
        <w:t xml:space="preserve">A.4.7  </w:t>
      </w:r>
      <w:r w:rsidR="007549C6">
        <w:t>should</w:t>
      </w:r>
      <w:proofErr w:type="gramEnd"/>
      <w:r w:rsidR="007549C6">
        <w:t xml:space="preserve"> be fulfilled </w:t>
      </w:r>
      <w:r w:rsidR="00783628">
        <w:t xml:space="preserve">and </w:t>
      </w:r>
      <w:r w:rsidR="006430F4">
        <w:t xml:space="preserve">make </w:t>
      </w:r>
      <w:r w:rsidR="00783628">
        <w:t xml:space="preserve">a generic reference </w:t>
      </w:r>
      <w:r w:rsidR="00774B07">
        <w:t xml:space="preserve">to the fact </w:t>
      </w:r>
      <w:r w:rsidR="00783628">
        <w:t xml:space="preserve">that </w:t>
      </w:r>
      <w:r w:rsidRPr="00D47554">
        <w:t xml:space="preserve">the bucketing of assets in different periods </w:t>
      </w:r>
      <w:r w:rsidR="00783628">
        <w:t xml:space="preserve">should </w:t>
      </w:r>
      <w:r w:rsidRPr="00D47554">
        <w:t xml:space="preserve">reflect the </w:t>
      </w:r>
      <w:r>
        <w:t>self-</w:t>
      </w:r>
      <w:r w:rsidRPr="00D47554">
        <w:t xml:space="preserve">assessment </w:t>
      </w:r>
      <w:r w:rsidR="00183679">
        <w:t xml:space="preserve">made </w:t>
      </w:r>
      <w:r w:rsidRPr="00D47554">
        <w:t>of the MMF manager</w:t>
      </w:r>
      <w:r w:rsidR="002427D3">
        <w:t xml:space="preserve"> in line with </w:t>
      </w:r>
      <w:r w:rsidR="00774B07">
        <w:t xml:space="preserve">its </w:t>
      </w:r>
      <w:r w:rsidR="002427D3">
        <w:t>risk m</w:t>
      </w:r>
      <w:r w:rsidR="00774B07">
        <w:t xml:space="preserve">anagement </w:t>
      </w:r>
      <w:r w:rsidR="002427D3">
        <w:t>procedures</w:t>
      </w:r>
      <w:r w:rsidRPr="00D47554">
        <w:t>.</w:t>
      </w:r>
    </w:p>
    <w:p w14:paraId="35F4281E" w14:textId="47283457" w:rsidR="00E2255B" w:rsidRPr="00D47554" w:rsidRDefault="00A3170B" w:rsidP="00A83BDB">
      <w:pPr>
        <w:spacing w:before="120" w:after="120"/>
        <w:jc w:val="both"/>
      </w:pPr>
      <w:r w:rsidRPr="00D47554">
        <w:t xml:space="preserve">For example, </w:t>
      </w:r>
      <w:r w:rsidR="007A4294">
        <w:t xml:space="preserve">according to the draft guidelines </w:t>
      </w:r>
      <w:r w:rsidRPr="00D47554">
        <w:t xml:space="preserve">if </w:t>
      </w:r>
      <w:r w:rsidR="00A43131" w:rsidRPr="00D47554">
        <w:t>MMF</w:t>
      </w:r>
      <w:r w:rsidRPr="00D47554">
        <w:t>s assume</w:t>
      </w:r>
      <w:r w:rsidR="00414E48" w:rsidRPr="00D47554">
        <w:t>s</w:t>
      </w:r>
      <w:r w:rsidRPr="00D47554">
        <w:t xml:space="preserve"> not to liquidate </w:t>
      </w:r>
      <w:r w:rsidR="00CE444D">
        <w:t xml:space="preserve">its </w:t>
      </w:r>
      <w:r w:rsidR="0064692A" w:rsidRPr="00D47554">
        <w:t xml:space="preserve">position in </w:t>
      </w:r>
      <w:r w:rsidR="00DF656E" w:rsidRPr="00D47554">
        <w:t>government bonds</w:t>
      </w:r>
      <w:r w:rsidRPr="00D47554">
        <w:t xml:space="preserve"> </w:t>
      </w:r>
      <w:r w:rsidR="00B74F2C" w:rsidRPr="00D47554">
        <w:t xml:space="preserve">of the same issue </w:t>
      </w:r>
      <w:r w:rsidR="0064692A" w:rsidRPr="00D47554">
        <w:t>(</w:t>
      </w:r>
      <w:proofErr w:type="spellStart"/>
      <w:r w:rsidR="002421EE" w:rsidRPr="00D47554">
        <w:t>eg</w:t>
      </w:r>
      <w:proofErr w:type="spellEnd"/>
      <w:r w:rsidR="00B74F2C" w:rsidRPr="00D47554">
        <w:t xml:space="preserve"> </w:t>
      </w:r>
      <w:r w:rsidR="001048EB" w:rsidRPr="00D47554">
        <w:t>1</w:t>
      </w:r>
      <w:r w:rsidR="0064692A" w:rsidRPr="00D47554">
        <w:t>0%)</w:t>
      </w:r>
      <w:r w:rsidR="00B74F2C" w:rsidRPr="00D47554">
        <w:t xml:space="preserve"> </w:t>
      </w:r>
      <w:r w:rsidR="002421EE" w:rsidRPr="00D47554">
        <w:t xml:space="preserve">over a </w:t>
      </w:r>
      <w:r w:rsidRPr="00D47554">
        <w:t xml:space="preserve">certain percentage </w:t>
      </w:r>
      <w:r w:rsidR="00CF3844" w:rsidRPr="00D47554">
        <w:t>every day</w:t>
      </w:r>
      <w:r w:rsidR="00735D21" w:rsidRPr="00D47554">
        <w:t xml:space="preserve"> (</w:t>
      </w:r>
      <w:proofErr w:type="spellStart"/>
      <w:r w:rsidR="002421EE" w:rsidRPr="00D47554">
        <w:t>eg</w:t>
      </w:r>
      <w:proofErr w:type="spellEnd"/>
      <w:r w:rsidR="00735D21" w:rsidRPr="00D47554">
        <w:t xml:space="preserve"> 1% e</w:t>
      </w:r>
      <w:r w:rsidR="002421EE" w:rsidRPr="00D47554">
        <w:t>ach</w:t>
      </w:r>
      <w:r w:rsidR="00735D21" w:rsidRPr="00D47554">
        <w:t xml:space="preserve"> day)</w:t>
      </w:r>
      <w:r w:rsidR="00DF656E" w:rsidRPr="00D47554">
        <w:t>,</w:t>
      </w:r>
      <w:r w:rsidRPr="00D47554">
        <w:t xml:space="preserve"> </w:t>
      </w:r>
      <w:r w:rsidR="00171287" w:rsidRPr="00D47554">
        <w:t>i</w:t>
      </w:r>
      <w:r w:rsidRPr="00D47554">
        <w:t xml:space="preserve">n the reporting table </w:t>
      </w:r>
      <w:r w:rsidR="007A4294">
        <w:t xml:space="preserve">it </w:t>
      </w:r>
      <w:r w:rsidRPr="00D47554">
        <w:t>should be indicated 10% in the bucket 8-30 days</w:t>
      </w:r>
      <w:r w:rsidR="003C0D22" w:rsidRPr="00D47554">
        <w:t xml:space="preserve">, even if the MMF could liquidate part of </w:t>
      </w:r>
      <w:r w:rsidR="00EF4176">
        <w:t>its</w:t>
      </w:r>
      <w:r w:rsidR="005F1B9A" w:rsidRPr="00D47554">
        <w:t xml:space="preserve"> </w:t>
      </w:r>
      <w:r w:rsidR="003C0D22" w:rsidRPr="00D47554">
        <w:t>position every day</w:t>
      </w:r>
      <w:r w:rsidRPr="00D47554">
        <w:t xml:space="preserve">. </w:t>
      </w:r>
      <w:r w:rsidR="00C7245B">
        <w:t xml:space="preserve">Instead, </w:t>
      </w:r>
      <w:r w:rsidR="00E2255B" w:rsidRPr="00D47554">
        <w:t xml:space="preserve">each </w:t>
      </w:r>
      <w:r w:rsidR="00DF2B22" w:rsidRPr="00D47554">
        <w:t xml:space="preserve">asset </w:t>
      </w:r>
      <w:r w:rsidR="00EF4176">
        <w:t xml:space="preserve">should </w:t>
      </w:r>
      <w:r w:rsidR="00E2255B" w:rsidRPr="00D47554">
        <w:t xml:space="preserve">be </w:t>
      </w:r>
      <w:r w:rsidR="00651BDA">
        <w:t xml:space="preserve">also </w:t>
      </w:r>
      <w:r w:rsidR="00E2255B" w:rsidRPr="00D47554">
        <w:t xml:space="preserve">assigned to different periods </w:t>
      </w:r>
      <w:r w:rsidR="00877621" w:rsidRPr="00D47554">
        <w:t xml:space="preserve">depending on the </w:t>
      </w:r>
      <w:r w:rsidR="00E2255B" w:rsidRPr="00D47554">
        <w:t xml:space="preserve">estimate made by the asset manager.  With reference to the </w:t>
      </w:r>
      <w:r w:rsidR="00877621" w:rsidRPr="00D47554">
        <w:t xml:space="preserve">previous </w:t>
      </w:r>
      <w:r w:rsidR="00E2255B" w:rsidRPr="00D47554">
        <w:t>example, in the repor</w:t>
      </w:r>
      <w:r w:rsidR="00E26661" w:rsidRPr="00D47554">
        <w:t xml:space="preserve">t </w:t>
      </w:r>
      <w:r w:rsidR="00E2255B" w:rsidRPr="00D47554">
        <w:t xml:space="preserve">table </w:t>
      </w:r>
      <w:r w:rsidR="00D101C8">
        <w:t xml:space="preserve">it </w:t>
      </w:r>
      <w:r w:rsidR="006F21AF">
        <w:t>should</w:t>
      </w:r>
      <w:r w:rsidR="00E2255B" w:rsidRPr="00D47554">
        <w:t xml:space="preserve"> be reported: 1% in the bucket 1 day, </w:t>
      </w:r>
      <w:r w:rsidR="00493F6D" w:rsidRPr="00D47554">
        <w:t>6</w:t>
      </w:r>
      <w:r w:rsidR="00E2255B" w:rsidRPr="00D47554">
        <w:t xml:space="preserve">% in the bucket 2-7days, </w:t>
      </w:r>
      <w:r w:rsidR="00493F6D" w:rsidRPr="00D47554">
        <w:t>3</w:t>
      </w:r>
      <w:r w:rsidR="00E2255B" w:rsidRPr="00D47554">
        <w:t>% in the bucket 8-10 days.</w:t>
      </w:r>
    </w:p>
    <w:p w14:paraId="7F5A8DF7" w14:textId="58F47A20" w:rsidR="007D55F2" w:rsidRPr="00D47554" w:rsidRDefault="00E26661" w:rsidP="00A83BDB">
      <w:pPr>
        <w:spacing w:before="120" w:after="120"/>
        <w:jc w:val="both"/>
      </w:pPr>
      <w:r w:rsidRPr="00D47554">
        <w:t>Similarly</w:t>
      </w:r>
      <w:r w:rsidR="009E781B" w:rsidRPr="00D47554">
        <w:t xml:space="preserve">, we believe that the asset manager </w:t>
      </w:r>
      <w:r w:rsidR="00705F2B">
        <w:t xml:space="preserve">is responsible </w:t>
      </w:r>
      <w:r w:rsidR="00C90DA5" w:rsidRPr="00D47554">
        <w:t xml:space="preserve">to decide if </w:t>
      </w:r>
      <w:r w:rsidR="009D1439" w:rsidRPr="00D47554">
        <w:t>considering</w:t>
      </w:r>
      <w:r w:rsidR="008311B5" w:rsidRPr="00D47554">
        <w:t xml:space="preserve"> </w:t>
      </w:r>
      <w:r w:rsidR="00C25285" w:rsidRPr="00D47554">
        <w:t xml:space="preserve">the </w:t>
      </w:r>
      <w:r w:rsidR="003B3825" w:rsidRPr="00D47554">
        <w:t>time delay for having the proceeds of the sale available on cash accounts</w:t>
      </w:r>
      <w:r w:rsidR="009F0136" w:rsidRPr="00D47554">
        <w:t xml:space="preserve">. Where </w:t>
      </w:r>
      <w:r w:rsidR="006C0910" w:rsidRPr="00D47554">
        <w:t>the settlement date is consider</w:t>
      </w:r>
      <w:r w:rsidR="008F3738" w:rsidRPr="00D47554">
        <w:t>ed</w:t>
      </w:r>
      <w:r w:rsidR="006C0910" w:rsidRPr="00D47554">
        <w:t xml:space="preserve"> </w:t>
      </w:r>
      <w:r w:rsidR="008F3738" w:rsidRPr="00D47554">
        <w:t>(</w:t>
      </w:r>
      <w:r w:rsidR="009F0136" w:rsidRPr="00D47554">
        <w:t xml:space="preserve">for all o for </w:t>
      </w:r>
      <w:r w:rsidR="006C0910" w:rsidRPr="00D47554">
        <w:t xml:space="preserve">a </w:t>
      </w:r>
      <w:r w:rsidR="009F0136" w:rsidRPr="00D47554">
        <w:t xml:space="preserve">part of </w:t>
      </w:r>
      <w:r w:rsidR="0087247D">
        <w:t>its</w:t>
      </w:r>
      <w:r w:rsidR="009F0136" w:rsidRPr="00D47554">
        <w:t xml:space="preserve"> assets</w:t>
      </w:r>
      <w:r w:rsidR="008F3738" w:rsidRPr="00D47554">
        <w:t>)</w:t>
      </w:r>
      <w:r w:rsidR="00B60418" w:rsidRPr="00D47554">
        <w:t xml:space="preserve">, </w:t>
      </w:r>
      <w:r w:rsidR="007D55F2" w:rsidRPr="00D47554">
        <w:t>it is worth</w:t>
      </w:r>
      <w:r w:rsidR="00B368EC" w:rsidRPr="00D47554">
        <w:t xml:space="preserve"> </w:t>
      </w:r>
      <w:r w:rsidR="007D55F2" w:rsidRPr="00D47554">
        <w:t>remin</w:t>
      </w:r>
      <w:r w:rsidR="00456FF0" w:rsidRPr="00D47554">
        <w:t>ing</w:t>
      </w:r>
      <w:r w:rsidR="007D55F2" w:rsidRPr="00D47554">
        <w:t xml:space="preserve"> that </w:t>
      </w:r>
      <w:r w:rsidR="00456FF0" w:rsidRPr="00D47554">
        <w:t xml:space="preserve">even </w:t>
      </w:r>
      <w:r w:rsidR="000440DE" w:rsidRPr="00D47554">
        <w:t xml:space="preserve">for the best </w:t>
      </w:r>
      <w:r w:rsidR="00884D08" w:rsidRPr="00D47554">
        <w:t xml:space="preserve">liquid asset, </w:t>
      </w:r>
      <w:r w:rsidR="008F2646" w:rsidRPr="00D47554">
        <w:t xml:space="preserve">the bucket </w:t>
      </w:r>
      <w:r w:rsidR="000C7C5D" w:rsidRPr="00D47554">
        <w:t xml:space="preserve">allocated </w:t>
      </w:r>
      <w:r w:rsidR="008F2646" w:rsidRPr="00D47554">
        <w:t xml:space="preserve">will be, at </w:t>
      </w:r>
      <w:r w:rsidR="000C7C5D" w:rsidRPr="00D47554">
        <w:t>least,</w:t>
      </w:r>
      <w:r w:rsidR="008F2646" w:rsidRPr="00D47554">
        <w:t xml:space="preserve"> 2-7 days (t</w:t>
      </w:r>
      <w:r w:rsidR="00884D08" w:rsidRPr="00D47554">
        <w:t>he</w:t>
      </w:r>
      <w:r w:rsidR="00E14930" w:rsidRPr="00D47554">
        <w:t xml:space="preserve"> </w:t>
      </w:r>
      <w:r w:rsidR="009F7415" w:rsidRPr="00D47554">
        <w:t xml:space="preserve">asset would be </w:t>
      </w:r>
      <w:r w:rsidR="00B96A6D" w:rsidRPr="00D47554">
        <w:t>pa</w:t>
      </w:r>
      <w:r w:rsidR="000014A0" w:rsidRPr="00D47554">
        <w:t>i</w:t>
      </w:r>
      <w:r w:rsidR="00B96A6D" w:rsidRPr="00D47554">
        <w:t xml:space="preserve">d </w:t>
      </w:r>
      <w:r w:rsidR="009F7415" w:rsidRPr="00D47554">
        <w:t>in two days (T+2)</w:t>
      </w:r>
      <w:r w:rsidR="008F2646" w:rsidRPr="00D47554">
        <w:t>)</w:t>
      </w:r>
      <w:r w:rsidR="003A0A9F" w:rsidRPr="00D47554">
        <w:t>.</w:t>
      </w:r>
      <w:r w:rsidR="00884D08" w:rsidRPr="00D47554">
        <w:t xml:space="preserve"> </w:t>
      </w:r>
      <w:r w:rsidR="00337A54" w:rsidRPr="00D47554">
        <w:t xml:space="preserve">So, with reference to the </w:t>
      </w:r>
      <w:r w:rsidR="000C7C5D" w:rsidRPr="00D47554">
        <w:t>previous ex</w:t>
      </w:r>
      <w:r w:rsidR="00337A54" w:rsidRPr="00D47554">
        <w:t xml:space="preserve">ample, in the report table would be reported: </w:t>
      </w:r>
      <w:r w:rsidR="00A83D56" w:rsidRPr="00D47554">
        <w:t>0%</w:t>
      </w:r>
      <w:r w:rsidR="00337A54" w:rsidRPr="00D47554">
        <w:t xml:space="preserve"> in the bucket 1 day, </w:t>
      </w:r>
      <w:r w:rsidR="00C24E05" w:rsidRPr="00D47554">
        <w:t>6</w:t>
      </w:r>
      <w:r w:rsidR="00337A54" w:rsidRPr="00D47554">
        <w:t xml:space="preserve">% in the bucket 2-7days, </w:t>
      </w:r>
      <w:r w:rsidR="005371F3" w:rsidRPr="00D47554">
        <w:t>4</w:t>
      </w:r>
      <w:r w:rsidR="00337A54" w:rsidRPr="00D47554">
        <w:t>% in the bucket 8-10 days</w:t>
      </w:r>
    </w:p>
    <w:p w14:paraId="26AEA304" w14:textId="35FE095F" w:rsidR="00755A2A" w:rsidRPr="00D47554" w:rsidRDefault="00755A2A" w:rsidP="00A83BDB">
      <w:pPr>
        <w:spacing w:before="120" w:after="120"/>
        <w:jc w:val="both"/>
      </w:pPr>
      <w:r>
        <w:t>Finally, it is worth noting that u</w:t>
      </w:r>
      <w:r w:rsidRPr="00D47554">
        <w:t xml:space="preserve">nlike the AIFMD </w:t>
      </w:r>
      <w:r w:rsidR="009B29C2">
        <w:t>reporting</w:t>
      </w:r>
      <w:r w:rsidRPr="00D47554">
        <w:t xml:space="preserve">, </w:t>
      </w:r>
      <w:r>
        <w:t xml:space="preserve">under MMF </w:t>
      </w:r>
      <w:r w:rsidR="009B29C2">
        <w:t xml:space="preserve">reporting </w:t>
      </w:r>
      <w:r w:rsidRPr="00D47554">
        <w:t xml:space="preserve">a full disclosure of all portfolio underlying </w:t>
      </w:r>
      <w:r w:rsidR="0025705C" w:rsidRPr="00D47554">
        <w:t>is available</w:t>
      </w:r>
      <w:r w:rsidR="0025705C">
        <w:t xml:space="preserve">. Such </w:t>
      </w:r>
      <w:r w:rsidR="00C00E15">
        <w:t>huge amount of data</w:t>
      </w:r>
      <w:r w:rsidR="0025705C" w:rsidRPr="00D47554">
        <w:t xml:space="preserve"> </w:t>
      </w:r>
      <w:r w:rsidRPr="00D47554">
        <w:t xml:space="preserve">could be used by authorities to estimate, and compare, the liquidity profile of different MMFs. </w:t>
      </w:r>
      <w:r w:rsidR="00476FA1">
        <w:t xml:space="preserve">So, </w:t>
      </w:r>
      <w:r w:rsidR="002D2C6C">
        <w:t xml:space="preserve">we wonder if it could be </w:t>
      </w:r>
      <w:r w:rsidR="00C0391C">
        <w:t>reviewed t</w:t>
      </w:r>
      <w:r w:rsidR="004B75AB">
        <w:t xml:space="preserve">he </w:t>
      </w:r>
      <w:r w:rsidR="003C04E0">
        <w:t>need to specify how the disclosure should be made</w:t>
      </w:r>
      <w:r w:rsidR="002D2C6C">
        <w:t>.</w:t>
      </w:r>
      <w:r w:rsidR="009C3A64">
        <w:t xml:space="preserve"> </w:t>
      </w:r>
    </w:p>
    <w:p w14:paraId="2821D7BB" w14:textId="77777777" w:rsidR="00A3170B" w:rsidRPr="00D47554" w:rsidRDefault="00A3170B" w:rsidP="00A83BDB">
      <w:pPr>
        <w:spacing w:before="120" w:after="120"/>
        <w:jc w:val="both"/>
        <w:rPr>
          <w:b/>
        </w:rPr>
      </w:pPr>
    </w:p>
    <w:p w14:paraId="49401E02" w14:textId="77777777" w:rsidR="00F3417D" w:rsidRPr="00D47554" w:rsidRDefault="00F3417D" w:rsidP="00A83BDB">
      <w:pPr>
        <w:spacing w:before="120" w:after="120"/>
        <w:jc w:val="both"/>
        <w:rPr>
          <w:b/>
        </w:rPr>
      </w:pPr>
      <w:r w:rsidRPr="00D47554">
        <w:rPr>
          <w:b/>
        </w:rPr>
        <w:t>Q8: Do you have any views in relation to the abovementioned formula on how to measure the monthly portfolio volatility or are you of the view that another formula would be welcome?</w:t>
      </w:r>
    </w:p>
    <w:p w14:paraId="5C0A0A0A" w14:textId="77777777" w:rsidR="00D47554" w:rsidRPr="00D47554" w:rsidRDefault="00D47554" w:rsidP="00A83BDB">
      <w:pPr>
        <w:spacing w:before="120" w:after="120"/>
        <w:jc w:val="both"/>
      </w:pPr>
      <w:r w:rsidRPr="00D47554">
        <w:t>[…]</w:t>
      </w:r>
    </w:p>
    <w:p w14:paraId="0B1630C1" w14:textId="036058E3" w:rsidR="00381AD7" w:rsidRPr="00D47554" w:rsidRDefault="00381AD7" w:rsidP="00A83BDB">
      <w:pPr>
        <w:spacing w:before="120" w:after="120"/>
        <w:jc w:val="both"/>
      </w:pPr>
    </w:p>
    <w:p w14:paraId="49401E03" w14:textId="135940BF" w:rsidR="00F3417D" w:rsidRPr="00D47554" w:rsidRDefault="00F3417D" w:rsidP="00A83BDB">
      <w:pPr>
        <w:spacing w:before="120" w:after="120"/>
        <w:jc w:val="both"/>
        <w:rPr>
          <w:b/>
        </w:rPr>
      </w:pPr>
      <w:r w:rsidRPr="00D47554">
        <w:rPr>
          <w:b/>
        </w:rPr>
        <w:t>Q9: Do you identify any other issue that would need to be specified in relation to the above section on the block 2 of the reporting template?</w:t>
      </w:r>
    </w:p>
    <w:p w14:paraId="62159110" w14:textId="5EB00DBF" w:rsidR="000618E7" w:rsidRPr="00D47554" w:rsidRDefault="000618E7" w:rsidP="00A83BDB">
      <w:pPr>
        <w:spacing w:before="120" w:after="120"/>
        <w:jc w:val="both"/>
      </w:pPr>
      <w:r w:rsidRPr="00D47554">
        <w:t>[…]</w:t>
      </w:r>
    </w:p>
    <w:p w14:paraId="52708E0B" w14:textId="77777777" w:rsidR="00AD5701" w:rsidRPr="00D47554" w:rsidRDefault="00AD5701" w:rsidP="00A83BDB">
      <w:pPr>
        <w:spacing w:before="120" w:after="120"/>
        <w:jc w:val="both"/>
        <w:rPr>
          <w:b/>
        </w:rPr>
      </w:pPr>
    </w:p>
    <w:p w14:paraId="49401E04" w14:textId="18BE2A7C" w:rsidR="00F3417D" w:rsidRPr="00D47554" w:rsidRDefault="00F3417D" w:rsidP="00A83BDB">
      <w:pPr>
        <w:spacing w:before="120" w:after="120"/>
        <w:jc w:val="both"/>
        <w:rPr>
          <w:b/>
        </w:rPr>
      </w:pPr>
      <w:r w:rsidRPr="00D47554">
        <w:rPr>
          <w:b/>
        </w:rPr>
        <w:t>Q10: Do you identify any other issue that would need to be specified in relation to the above section on the block 3 of the reporting template?</w:t>
      </w:r>
    </w:p>
    <w:p w14:paraId="58F9382C" w14:textId="12366076" w:rsidR="00BD3E68" w:rsidRPr="00D47554" w:rsidRDefault="00582160" w:rsidP="00A83BDB">
      <w:pPr>
        <w:spacing w:before="120" w:after="120"/>
        <w:jc w:val="both"/>
      </w:pPr>
      <w:r w:rsidRPr="00D47554">
        <w:t xml:space="preserve">With regard to </w:t>
      </w:r>
      <w:r w:rsidR="002B30D1" w:rsidRPr="00D47554">
        <w:t>stress test reporting, we agree with ESMA that</w:t>
      </w:r>
      <w:r w:rsidR="007C07ED" w:rsidRPr="00D47554">
        <w:t xml:space="preserve"> it should be clarified </w:t>
      </w:r>
      <w:r w:rsidR="008129A9" w:rsidRPr="00D47554">
        <w:t xml:space="preserve">how the stress test fields </w:t>
      </w:r>
      <w:r w:rsidR="006F5C50" w:rsidRPr="00D47554">
        <w:t>(A</w:t>
      </w:r>
      <w:r w:rsidR="004E63CE" w:rsidRPr="00D47554">
        <w:t xml:space="preserve">.5.1 to A.5.10) </w:t>
      </w:r>
      <w:r w:rsidR="008129A9" w:rsidRPr="00D47554">
        <w:t xml:space="preserve">should be filled in the </w:t>
      </w:r>
      <w:r w:rsidR="0072670D" w:rsidRPr="00D47554">
        <w:t xml:space="preserve">reporting </w:t>
      </w:r>
      <w:r w:rsidR="008129A9" w:rsidRPr="00D47554">
        <w:t>quarters when no stress tests have been carried</w:t>
      </w:r>
      <w:r w:rsidR="00F70B70" w:rsidRPr="00D47554">
        <w:t xml:space="preserve">, but we do not agree </w:t>
      </w:r>
      <w:r w:rsidR="00282161" w:rsidRPr="00D47554">
        <w:t>with the proposal that requires reporti</w:t>
      </w:r>
      <w:r w:rsidR="006B31AE" w:rsidRPr="00D47554">
        <w:t>ng the results of the la</w:t>
      </w:r>
      <w:r w:rsidR="00130DBB" w:rsidRPr="00D47554">
        <w:t>st</w:t>
      </w:r>
      <w:r w:rsidR="006B31AE" w:rsidRPr="00D47554">
        <w:t xml:space="preserve"> stress test, with information</w:t>
      </w:r>
      <w:r w:rsidR="00865351" w:rsidRPr="00D47554">
        <w:t xml:space="preserve"> on their reference date</w:t>
      </w:r>
      <w:r w:rsidR="00827461" w:rsidRPr="00D47554">
        <w:t xml:space="preserve">, in the </w:t>
      </w:r>
      <w:r w:rsidR="00C4665D" w:rsidRPr="00D47554">
        <w:t xml:space="preserve">reporting </w:t>
      </w:r>
      <w:r w:rsidR="00827461" w:rsidRPr="00D47554">
        <w:t>quarters whe</w:t>
      </w:r>
      <w:r w:rsidR="00C4665D" w:rsidRPr="00D47554">
        <w:t>re</w:t>
      </w:r>
      <w:r w:rsidR="00827461" w:rsidRPr="00D47554">
        <w:t xml:space="preserve"> no stress test</w:t>
      </w:r>
      <w:r w:rsidR="00B20C03">
        <w:t>s</w:t>
      </w:r>
      <w:r w:rsidR="00827461" w:rsidRPr="00D47554">
        <w:t xml:space="preserve"> are conducted</w:t>
      </w:r>
      <w:r w:rsidR="006B31AE" w:rsidRPr="00D47554">
        <w:t xml:space="preserve">. </w:t>
      </w:r>
    </w:p>
    <w:p w14:paraId="49401E05" w14:textId="15FCA65D" w:rsidR="00F3417D" w:rsidRPr="00D47554" w:rsidRDefault="00033F92" w:rsidP="00A83BDB">
      <w:pPr>
        <w:spacing w:before="120" w:after="120"/>
        <w:jc w:val="both"/>
      </w:pPr>
      <w:r w:rsidRPr="00D47554">
        <w:t>Data r</w:t>
      </w:r>
      <w:r w:rsidR="0030034F" w:rsidRPr="00D47554">
        <w:t xml:space="preserve">eporting should not be a costly exercise for </w:t>
      </w:r>
      <w:r w:rsidR="00DF0F43" w:rsidRPr="00D47554">
        <w:t xml:space="preserve">MMF </w:t>
      </w:r>
      <w:r w:rsidR="0030034F" w:rsidRPr="00D47554">
        <w:t>managers</w:t>
      </w:r>
      <w:r w:rsidR="00987B13" w:rsidRPr="00D47554">
        <w:t xml:space="preserve"> and </w:t>
      </w:r>
      <w:r w:rsidR="0030034F" w:rsidRPr="00D47554">
        <w:t xml:space="preserve">we believe that it is </w:t>
      </w:r>
      <w:r w:rsidRPr="00D47554">
        <w:t>essential t</w:t>
      </w:r>
      <w:r w:rsidR="00C807B0" w:rsidRPr="00D47554">
        <w:t xml:space="preserve">o strike </w:t>
      </w:r>
      <w:r w:rsidR="0030034F" w:rsidRPr="00D47554">
        <w:t xml:space="preserve">the right </w:t>
      </w:r>
      <w:r w:rsidR="00C807B0" w:rsidRPr="00D47554">
        <w:t xml:space="preserve">balance </w:t>
      </w:r>
      <w:r w:rsidR="0030034F" w:rsidRPr="00D47554">
        <w:t xml:space="preserve">between having an appropriate level of </w:t>
      </w:r>
      <w:r w:rsidR="00987B13" w:rsidRPr="00D47554">
        <w:t xml:space="preserve">information </w:t>
      </w:r>
      <w:r w:rsidR="0030034F" w:rsidRPr="00D47554">
        <w:t>and reducing the administrative burdens</w:t>
      </w:r>
      <w:r w:rsidR="002A3359" w:rsidRPr="00D47554">
        <w:t xml:space="preserve">. Since stress tests results would be </w:t>
      </w:r>
      <w:r w:rsidR="001A7788" w:rsidRPr="00D47554">
        <w:t xml:space="preserve">reported </w:t>
      </w:r>
      <w:r w:rsidR="00885083" w:rsidRPr="00D47554">
        <w:t xml:space="preserve">in the </w:t>
      </w:r>
      <w:r w:rsidR="000F373F" w:rsidRPr="00D47554">
        <w:t xml:space="preserve">quarterly </w:t>
      </w:r>
      <w:r w:rsidR="00885083" w:rsidRPr="00D47554">
        <w:t xml:space="preserve">reporting </w:t>
      </w:r>
      <w:r w:rsidR="00987B13" w:rsidRPr="00D47554">
        <w:t xml:space="preserve">when </w:t>
      </w:r>
      <w:r w:rsidR="00885083" w:rsidRPr="00D47554">
        <w:t>carried</w:t>
      </w:r>
      <w:r w:rsidR="00163632" w:rsidRPr="00D47554">
        <w:t xml:space="preserve">, duplication of the same information </w:t>
      </w:r>
      <w:r w:rsidR="001A7788" w:rsidRPr="00D47554">
        <w:t xml:space="preserve">should be avoided </w:t>
      </w:r>
      <w:r w:rsidR="00F82E92" w:rsidRPr="00D47554">
        <w:t xml:space="preserve">in subsequent </w:t>
      </w:r>
      <w:r w:rsidR="000F373F" w:rsidRPr="00D47554">
        <w:t xml:space="preserve">quarterly </w:t>
      </w:r>
      <w:r w:rsidR="00163632" w:rsidRPr="00D47554">
        <w:t>repo</w:t>
      </w:r>
      <w:r w:rsidR="005E214E" w:rsidRPr="00D47554">
        <w:t>rt</w:t>
      </w:r>
      <w:r w:rsidR="00F82E92" w:rsidRPr="00D47554">
        <w:t>s</w:t>
      </w:r>
      <w:r w:rsidR="005E214E" w:rsidRPr="00D47554">
        <w:t xml:space="preserve">. </w:t>
      </w:r>
    </w:p>
    <w:p w14:paraId="0EECE8B0" w14:textId="38CCE408" w:rsidR="0093390F" w:rsidRPr="00D47554" w:rsidRDefault="00F82E92" w:rsidP="00A83BDB">
      <w:pPr>
        <w:spacing w:before="120" w:after="120"/>
        <w:jc w:val="both"/>
      </w:pPr>
      <w:r w:rsidRPr="00D47554">
        <w:t>Moreover</w:t>
      </w:r>
      <w:r w:rsidR="00A33677" w:rsidRPr="00D47554">
        <w:t>, e</w:t>
      </w:r>
      <w:r w:rsidR="0001319E" w:rsidRPr="00D47554">
        <w:t xml:space="preserve">ven if it is </w:t>
      </w:r>
      <w:r w:rsidR="00733CC5" w:rsidRPr="00D47554">
        <w:t xml:space="preserve">quite probable that stress test would be </w:t>
      </w:r>
      <w:r w:rsidR="007067BD" w:rsidRPr="00D47554">
        <w:t>carried out with</w:t>
      </w:r>
      <w:r w:rsidR="00733CC5" w:rsidRPr="00D47554">
        <w:t xml:space="preserve"> reference to the end of the </w:t>
      </w:r>
      <w:r w:rsidR="000542FD" w:rsidRPr="00D47554">
        <w:t>year, we</w:t>
      </w:r>
      <w:r w:rsidR="00A33677" w:rsidRPr="00D47554">
        <w:t xml:space="preserve"> do not agree with par. 94 where it is stated that “[…] one of these dates should be the last day of the year”</w:t>
      </w:r>
      <w:r w:rsidR="00837A81" w:rsidRPr="00D47554">
        <w:t xml:space="preserve"> because </w:t>
      </w:r>
      <w:r w:rsidR="0055400A" w:rsidRPr="00D47554">
        <w:t xml:space="preserve">it is not in line with </w:t>
      </w:r>
      <w:r w:rsidR="00837A81" w:rsidRPr="00D47554">
        <w:t xml:space="preserve">article 28(3) of MMFR </w:t>
      </w:r>
      <w:r w:rsidR="00404E3E" w:rsidRPr="00D47554">
        <w:t xml:space="preserve">which only </w:t>
      </w:r>
      <w:r w:rsidR="00837A81" w:rsidRPr="00D47554">
        <w:t xml:space="preserve">requires that stress test should be carried </w:t>
      </w:r>
      <w:r w:rsidR="00404E3E" w:rsidRPr="00D47554">
        <w:t xml:space="preserve">out </w:t>
      </w:r>
      <w:r w:rsidR="00837A81" w:rsidRPr="00D47554">
        <w:t>at least twice a year, with</w:t>
      </w:r>
      <w:r w:rsidR="003E1152" w:rsidRPr="00D47554">
        <w:t xml:space="preserve"> no</w:t>
      </w:r>
      <w:r w:rsidR="00837A81" w:rsidRPr="00D47554">
        <w:t xml:space="preserve"> indication of their reference date</w:t>
      </w:r>
      <w:r w:rsidR="00A33677" w:rsidRPr="00D47554">
        <w:t xml:space="preserve">. </w:t>
      </w:r>
      <w:r w:rsidR="00E80034" w:rsidRPr="00D47554">
        <w:t>Therefore,</w:t>
      </w:r>
      <w:r w:rsidR="0093390F" w:rsidRPr="00D47554">
        <w:t xml:space="preserve"> w</w:t>
      </w:r>
      <w:r w:rsidR="00C928A2" w:rsidRPr="00D47554">
        <w:t xml:space="preserve">e suggest </w:t>
      </w:r>
      <w:r w:rsidR="000542FD" w:rsidRPr="00D47554">
        <w:t>aligning</w:t>
      </w:r>
      <w:r w:rsidR="00C928A2" w:rsidRPr="00D47554">
        <w:t xml:space="preserve"> the guidelines to</w:t>
      </w:r>
      <w:r w:rsidR="0093390F" w:rsidRPr="00D47554">
        <w:t xml:space="preserve"> MMFR</w:t>
      </w:r>
      <w:r w:rsidR="008C381C" w:rsidRPr="00D47554">
        <w:t>.</w:t>
      </w:r>
    </w:p>
    <w:p w14:paraId="49749CF0" w14:textId="12588672" w:rsidR="000F373F" w:rsidRPr="00D47554" w:rsidRDefault="0093390F" w:rsidP="00A83BDB">
      <w:pPr>
        <w:spacing w:before="120" w:after="120"/>
        <w:jc w:val="both"/>
      </w:pPr>
      <w:r w:rsidRPr="00D47554">
        <w:t xml:space="preserve">Finally, </w:t>
      </w:r>
      <w:r w:rsidR="0007539A" w:rsidRPr="00D47554">
        <w:t xml:space="preserve">we agree that </w:t>
      </w:r>
      <w:r w:rsidR="003327AB" w:rsidRPr="00D47554">
        <w:t>for MMF</w:t>
      </w:r>
      <w:r w:rsidR="00F16DC6" w:rsidRPr="00D47554">
        <w:t>s</w:t>
      </w:r>
      <w:r w:rsidR="003327AB" w:rsidRPr="00D47554">
        <w:t xml:space="preserve"> </w:t>
      </w:r>
      <w:r w:rsidR="006343AE" w:rsidRPr="00D47554">
        <w:t xml:space="preserve">that </w:t>
      </w:r>
      <w:proofErr w:type="gramStart"/>
      <w:r w:rsidR="006343AE" w:rsidRPr="00D47554">
        <w:t>have to</w:t>
      </w:r>
      <w:proofErr w:type="gramEnd"/>
      <w:r w:rsidR="006343AE" w:rsidRPr="00D47554">
        <w:t xml:space="preserve"> report on </w:t>
      </w:r>
      <w:r w:rsidR="003E1152" w:rsidRPr="00D47554">
        <w:t xml:space="preserve">an </w:t>
      </w:r>
      <w:r w:rsidR="00DB1D74" w:rsidRPr="00D47554">
        <w:t>annual</w:t>
      </w:r>
      <w:r w:rsidR="006343AE" w:rsidRPr="00D47554">
        <w:t xml:space="preserve"> basis</w:t>
      </w:r>
      <w:r w:rsidR="000133B6" w:rsidRPr="00D47554">
        <w:t xml:space="preserve"> only the lat</w:t>
      </w:r>
      <w:r w:rsidR="00E35210" w:rsidRPr="00D47554">
        <w:t>est</w:t>
      </w:r>
      <w:r w:rsidR="000133B6" w:rsidRPr="00D47554">
        <w:t xml:space="preserve"> stress test should be reported</w:t>
      </w:r>
      <w:r w:rsidR="00E35210" w:rsidRPr="00D47554">
        <w:t>. W</w:t>
      </w:r>
      <w:r w:rsidR="006343AE" w:rsidRPr="00D47554">
        <w:t>e will see merit in clarifying</w:t>
      </w:r>
      <w:r w:rsidR="00DB1D74" w:rsidRPr="00D47554">
        <w:t xml:space="preserve"> </w:t>
      </w:r>
      <w:r w:rsidR="00F16DC6" w:rsidRPr="00D47554">
        <w:t xml:space="preserve">this criterion </w:t>
      </w:r>
      <w:r w:rsidR="0061444A" w:rsidRPr="00D47554">
        <w:t xml:space="preserve">also for MMFs that have to report on quarterly basis that conducts </w:t>
      </w:r>
      <w:r w:rsidR="0005546D" w:rsidRPr="00D47554">
        <w:t xml:space="preserve">different </w:t>
      </w:r>
      <w:r w:rsidR="0061444A" w:rsidRPr="00D47554">
        <w:t xml:space="preserve">stress tests during the </w:t>
      </w:r>
      <w:r w:rsidR="00E80034" w:rsidRPr="00D47554">
        <w:t>re</w:t>
      </w:r>
      <w:r w:rsidR="0005546D" w:rsidRPr="00D47554">
        <w:t>porting</w:t>
      </w:r>
      <w:r w:rsidR="00E80034" w:rsidRPr="00D47554">
        <w:t xml:space="preserve"> </w:t>
      </w:r>
      <w:r w:rsidR="0061444A" w:rsidRPr="00D47554">
        <w:t xml:space="preserve">period. </w:t>
      </w:r>
    </w:p>
    <w:p w14:paraId="078A747E" w14:textId="77777777" w:rsidR="006A6062" w:rsidRPr="00D47554" w:rsidRDefault="006A6062" w:rsidP="00A83BDB">
      <w:pPr>
        <w:spacing w:before="120" w:after="120"/>
        <w:jc w:val="both"/>
      </w:pPr>
    </w:p>
    <w:p w14:paraId="49401E06" w14:textId="77777777" w:rsidR="00F3417D" w:rsidRPr="00D47554" w:rsidRDefault="00F3417D" w:rsidP="00A83BDB">
      <w:pPr>
        <w:spacing w:before="120" w:after="120"/>
        <w:jc w:val="both"/>
      </w:pPr>
      <w:r w:rsidRPr="00D47554">
        <w:rPr>
          <w:b/>
        </w:rPr>
        <w:t>Q11:</w:t>
      </w:r>
      <w:r w:rsidRPr="00D47554">
        <w:t xml:space="preserve"> </w:t>
      </w:r>
      <w:r w:rsidRPr="00D47554">
        <w:rPr>
          <w:b/>
        </w:rPr>
        <w:t>With the respect to the CFI codes to be provided, do you identify any eligible asset not included in the table in the Annex of the Guidelines?</w:t>
      </w:r>
    </w:p>
    <w:p w14:paraId="441AB29F" w14:textId="4F4363AA" w:rsidR="00D47554" w:rsidRDefault="00D47554" w:rsidP="00A83BDB">
      <w:pPr>
        <w:spacing w:before="120" w:after="120"/>
        <w:jc w:val="both"/>
      </w:pPr>
      <w:r w:rsidRPr="00D47554">
        <w:t xml:space="preserve">[…] </w:t>
      </w:r>
    </w:p>
    <w:p w14:paraId="67534BCB" w14:textId="77777777" w:rsidR="00D47554" w:rsidRPr="00D47554" w:rsidRDefault="00D47554" w:rsidP="00A83BDB">
      <w:pPr>
        <w:spacing w:before="120" w:after="120"/>
        <w:jc w:val="both"/>
      </w:pPr>
    </w:p>
    <w:p w14:paraId="49401E08" w14:textId="77777777" w:rsidR="00F3417D" w:rsidRPr="00D47554" w:rsidRDefault="00F3417D" w:rsidP="00A83BDB">
      <w:pPr>
        <w:spacing w:before="120" w:after="120"/>
        <w:jc w:val="both"/>
        <w:rPr>
          <w:b/>
        </w:rPr>
      </w:pPr>
      <w:r w:rsidRPr="00D47554">
        <w:rPr>
          <w:b/>
        </w:rPr>
        <w:t xml:space="preserve">Q12: Do you agree with the proposals of ESMA in relation to the domicile of the abovementioned assets? </w:t>
      </w:r>
    </w:p>
    <w:p w14:paraId="592B9F6E" w14:textId="692A76BD" w:rsidR="00966046" w:rsidRPr="00D47554" w:rsidRDefault="00966046" w:rsidP="00A83BDB">
      <w:pPr>
        <w:spacing w:before="120" w:after="120"/>
        <w:jc w:val="both"/>
      </w:pPr>
      <w:r w:rsidRPr="00D47554">
        <w:t>[</w:t>
      </w:r>
      <w:r w:rsidR="005735E7" w:rsidRPr="00D47554">
        <w:t>…</w:t>
      </w:r>
      <w:r w:rsidRPr="00D47554">
        <w:t>]</w:t>
      </w:r>
      <w:r w:rsidR="00443872" w:rsidRPr="00D47554">
        <w:t xml:space="preserve"> </w:t>
      </w:r>
    </w:p>
    <w:p w14:paraId="49401E09" w14:textId="77777777" w:rsidR="00F3417D" w:rsidRPr="00D47554" w:rsidRDefault="00F3417D" w:rsidP="00A83BDB">
      <w:pPr>
        <w:spacing w:before="120" w:after="120"/>
        <w:jc w:val="both"/>
      </w:pPr>
    </w:p>
    <w:p w14:paraId="49401E0A" w14:textId="77777777" w:rsidR="00F3417D" w:rsidRPr="00D47554" w:rsidRDefault="00F3417D" w:rsidP="00A83BDB">
      <w:pPr>
        <w:spacing w:before="120" w:after="120"/>
        <w:jc w:val="both"/>
        <w:rPr>
          <w:b/>
        </w:rPr>
      </w:pPr>
      <w:r w:rsidRPr="00D47554">
        <w:rPr>
          <w:b/>
        </w:rPr>
        <w:t>Q13: Do you agree that a category “supranational/multiple regions” should be included in the potential geographical areas to be chosen? If yes, could you provide examples of assets for which you would choose that category?</w:t>
      </w:r>
    </w:p>
    <w:p w14:paraId="0D81661D" w14:textId="77777777" w:rsidR="0005546D" w:rsidRPr="00D47554" w:rsidRDefault="0005546D" w:rsidP="00A83BDB">
      <w:pPr>
        <w:spacing w:before="120" w:after="120"/>
        <w:jc w:val="both"/>
      </w:pPr>
      <w:r w:rsidRPr="00D47554">
        <w:t xml:space="preserve">[…] </w:t>
      </w:r>
    </w:p>
    <w:p w14:paraId="49401E0B" w14:textId="77777777" w:rsidR="00F3417D" w:rsidRPr="00D47554" w:rsidRDefault="00F3417D" w:rsidP="00A83BDB">
      <w:pPr>
        <w:spacing w:before="120" w:after="120"/>
        <w:jc w:val="both"/>
      </w:pPr>
    </w:p>
    <w:p w14:paraId="49401E0C" w14:textId="77777777" w:rsidR="00F3417D" w:rsidRPr="00D47554" w:rsidRDefault="00F3417D" w:rsidP="00A83BDB">
      <w:pPr>
        <w:spacing w:before="120" w:after="120"/>
        <w:jc w:val="both"/>
        <w:rPr>
          <w:b/>
        </w:rPr>
      </w:pPr>
      <w:r w:rsidRPr="00D47554">
        <w:rPr>
          <w:b/>
        </w:rPr>
        <w:t>Q14: Do you agree that the clean price of the money market instrument (A.6.12), this field should always be reported in absolute terms (in monetary values, not in percentages)? Which of the 2 abovementioned options on the “base currency” mentioned in field A.6.13 would you favour: currency of the asset or the currency of the MMF?</w:t>
      </w:r>
    </w:p>
    <w:p w14:paraId="49401E0D" w14:textId="030AE48F" w:rsidR="00F3417D" w:rsidRPr="00D47554" w:rsidRDefault="00AA38D3" w:rsidP="00A83BDB">
      <w:pPr>
        <w:spacing w:before="120" w:after="120"/>
        <w:jc w:val="both"/>
      </w:pPr>
      <w:r w:rsidRPr="00D47554">
        <w:t>We agree that the clean price of the money market instrument (A.6.12) should always be reported in absolute terms (in monetary values).</w:t>
      </w:r>
    </w:p>
    <w:p w14:paraId="53EEEFBB" w14:textId="6DBA62FE" w:rsidR="00847A74" w:rsidRPr="00D47554" w:rsidRDefault="000E437B" w:rsidP="00A83BDB">
      <w:pPr>
        <w:spacing w:before="120" w:after="120"/>
        <w:jc w:val="both"/>
      </w:pPr>
      <w:r w:rsidRPr="00D47554">
        <w:t>R</w:t>
      </w:r>
      <w:r w:rsidR="00847A74" w:rsidRPr="00D47554">
        <w:t>egard</w:t>
      </w:r>
      <w:r w:rsidRPr="00D47554">
        <w:t>ing</w:t>
      </w:r>
      <w:r w:rsidR="00847A74" w:rsidRPr="00D47554">
        <w:t xml:space="preserve"> the </w:t>
      </w:r>
      <w:r w:rsidR="00054878" w:rsidRPr="00D47554">
        <w:t xml:space="preserve">base currency to </w:t>
      </w:r>
      <w:r w:rsidR="008C6708" w:rsidRPr="00D47554">
        <w:t xml:space="preserve">be </w:t>
      </w:r>
      <w:r w:rsidR="00054878" w:rsidRPr="00D47554">
        <w:t>use</w:t>
      </w:r>
      <w:r w:rsidR="008C6708" w:rsidRPr="00D47554">
        <w:t>d</w:t>
      </w:r>
      <w:r w:rsidR="00054878" w:rsidRPr="00D47554">
        <w:t xml:space="preserve"> to </w:t>
      </w:r>
      <w:r w:rsidR="008C6708" w:rsidRPr="00D47554">
        <w:t>value</w:t>
      </w:r>
      <w:r w:rsidR="00054878" w:rsidRPr="00D47554">
        <w:t xml:space="preserve"> field A.6.13</w:t>
      </w:r>
      <w:r w:rsidR="005E0946" w:rsidRPr="00D47554">
        <w:t xml:space="preserve"> </w:t>
      </w:r>
      <w:r w:rsidR="009E62B0" w:rsidRPr="00D47554">
        <w:t xml:space="preserve">(clean price of a money market instrument) </w:t>
      </w:r>
      <w:r w:rsidR="005E0946" w:rsidRPr="00D47554">
        <w:t>and all similar fields</w:t>
      </w:r>
      <w:r w:rsidR="00E424AC" w:rsidRPr="00D47554">
        <w:t xml:space="preserve">, </w:t>
      </w:r>
      <w:r w:rsidR="00621FA5" w:rsidRPr="00D47554">
        <w:t xml:space="preserve">we support the use of </w:t>
      </w:r>
      <w:r w:rsidR="00A55733" w:rsidRPr="00D47554">
        <w:t xml:space="preserve">the currency of the fund (and not </w:t>
      </w:r>
      <w:r w:rsidR="00A205FE" w:rsidRPr="00D47554">
        <w:t xml:space="preserve">of the asset). </w:t>
      </w:r>
      <w:r w:rsidR="00621FA5" w:rsidRPr="00D47554">
        <w:t xml:space="preserve"> </w:t>
      </w:r>
      <w:r w:rsidR="00F1653A" w:rsidRPr="00D47554">
        <w:t>I</w:t>
      </w:r>
      <w:r w:rsidR="00597CDE" w:rsidRPr="00D47554">
        <w:t xml:space="preserve">t should be avoided that the conversion rate to be used for the reporting purpose is not aligned with </w:t>
      </w:r>
      <w:r w:rsidR="00E1054A">
        <w:t>the one</w:t>
      </w:r>
      <w:r w:rsidR="00E1054A" w:rsidRPr="00D47554">
        <w:t xml:space="preserve"> </w:t>
      </w:r>
      <w:r w:rsidR="00597CDE" w:rsidRPr="00D47554">
        <w:t>used for the calculation of the NAV</w:t>
      </w:r>
      <w:r w:rsidR="002D7345" w:rsidRPr="00D47554">
        <w:t xml:space="preserve"> and a</w:t>
      </w:r>
      <w:r w:rsidR="002B2904" w:rsidRPr="00D47554">
        <w:t xml:space="preserve"> single </w:t>
      </w:r>
      <w:r w:rsidR="002D7345" w:rsidRPr="00D47554">
        <w:t xml:space="preserve">definition of “base currency” should be used in </w:t>
      </w:r>
      <w:r w:rsidR="002B2904" w:rsidRPr="00D47554">
        <w:t xml:space="preserve">the </w:t>
      </w:r>
      <w:r w:rsidR="00ED168F" w:rsidRPr="00D47554">
        <w:t xml:space="preserve">(whole) </w:t>
      </w:r>
      <w:r w:rsidR="002D7345" w:rsidRPr="00D47554">
        <w:t>guidelines</w:t>
      </w:r>
      <w:r w:rsidR="00597CDE" w:rsidRPr="00D47554">
        <w:t xml:space="preserve">. </w:t>
      </w:r>
    </w:p>
    <w:p w14:paraId="66841A65" w14:textId="1D500C5D" w:rsidR="00A031E1" w:rsidRPr="00D47554" w:rsidRDefault="002B2904" w:rsidP="00A83BDB">
      <w:pPr>
        <w:spacing w:before="120" w:after="120"/>
        <w:jc w:val="both"/>
      </w:pPr>
      <w:r w:rsidRPr="00D47554">
        <w:t>Therefore</w:t>
      </w:r>
      <w:r w:rsidR="00CB44B5" w:rsidRPr="00D47554">
        <w:t xml:space="preserve">, </w:t>
      </w:r>
      <w:r w:rsidR="0010639B" w:rsidRPr="00D47554">
        <w:t xml:space="preserve">in </w:t>
      </w:r>
      <w:r w:rsidRPr="00D47554">
        <w:t xml:space="preserve">the </w:t>
      </w:r>
      <w:r w:rsidR="0010639B" w:rsidRPr="00D47554">
        <w:t>case of a USD bond hold in a SEK share class</w:t>
      </w:r>
      <w:r w:rsidR="00447D2E" w:rsidRPr="00D47554">
        <w:t xml:space="preserve">, </w:t>
      </w:r>
      <w:r w:rsidR="00624707" w:rsidRPr="00D47554">
        <w:t xml:space="preserve">in our understanding, </w:t>
      </w:r>
      <w:r w:rsidR="00447D2E" w:rsidRPr="00D47554">
        <w:t xml:space="preserve">the field </w:t>
      </w:r>
      <w:r w:rsidR="00624707" w:rsidRPr="00D47554">
        <w:t>“</w:t>
      </w:r>
      <w:r w:rsidR="00447D2E" w:rsidRPr="00D47554">
        <w:t>A.6.1</w:t>
      </w:r>
      <w:r w:rsidR="00934D28" w:rsidRPr="00D47554">
        <w:t>3</w:t>
      </w:r>
      <w:r w:rsidR="0025272A" w:rsidRPr="00D47554">
        <w:t xml:space="preserve"> – (in base currency)</w:t>
      </w:r>
      <w:r w:rsidR="00624707" w:rsidRPr="00D47554">
        <w:t>”</w:t>
      </w:r>
      <w:r w:rsidR="00447D2E" w:rsidRPr="00D47554">
        <w:t xml:space="preserve"> </w:t>
      </w:r>
      <w:r w:rsidR="0075787E" w:rsidRPr="00D47554">
        <w:t>should be expressed in the bas</w:t>
      </w:r>
      <w:r w:rsidR="00DD43E7" w:rsidRPr="00D47554">
        <w:t>e</w:t>
      </w:r>
      <w:r w:rsidR="0075787E" w:rsidRPr="00D47554">
        <w:t xml:space="preserve"> currency “SEK” and </w:t>
      </w:r>
      <w:r w:rsidR="00DD43E7" w:rsidRPr="00D47554">
        <w:t xml:space="preserve">the field </w:t>
      </w:r>
      <w:r w:rsidR="00624707" w:rsidRPr="00D47554">
        <w:t>“</w:t>
      </w:r>
      <w:r w:rsidR="00DD43E7" w:rsidRPr="00D47554">
        <w:t>A.6.1</w:t>
      </w:r>
      <w:r w:rsidR="004D0742" w:rsidRPr="00D47554">
        <w:t>2 – (in EUR)</w:t>
      </w:r>
      <w:r w:rsidR="00624707" w:rsidRPr="00D47554">
        <w:t>”</w:t>
      </w:r>
      <w:r w:rsidR="00F34E48" w:rsidRPr="00D47554">
        <w:t xml:space="preserve"> </w:t>
      </w:r>
      <w:r w:rsidR="00BB1426" w:rsidRPr="00D47554">
        <w:t>will be converted in EUR using ECB rate.</w:t>
      </w:r>
      <w:r w:rsidR="004D0742" w:rsidRPr="00D47554">
        <w:t xml:space="preserve"> </w:t>
      </w:r>
      <w:r w:rsidR="00C24FAA" w:rsidRPr="00D47554">
        <w:t xml:space="preserve">Finally, we would </w:t>
      </w:r>
      <w:r w:rsidR="003E4167" w:rsidRPr="00D47554">
        <w:t xml:space="preserve">highlight possible refuses in par. 108 when </w:t>
      </w:r>
      <w:r w:rsidR="000820CE" w:rsidRPr="00D47554">
        <w:t xml:space="preserve">references are made to </w:t>
      </w:r>
      <w:r w:rsidR="008A3834" w:rsidRPr="00D47554">
        <w:t xml:space="preserve">fields </w:t>
      </w:r>
      <w:r w:rsidR="00BA2EDD" w:rsidRPr="00D47554">
        <w:t xml:space="preserve">A.6.13 and </w:t>
      </w:r>
      <w:proofErr w:type="gramStart"/>
      <w:r w:rsidR="00BA2EDD" w:rsidRPr="00D47554">
        <w:t xml:space="preserve">A.6.14 </w:t>
      </w:r>
      <w:r w:rsidR="00376495" w:rsidRPr="00D47554">
        <w:t>.</w:t>
      </w:r>
      <w:proofErr w:type="gramEnd"/>
    </w:p>
    <w:p w14:paraId="49401E0E" w14:textId="77777777" w:rsidR="00F3417D" w:rsidRPr="00D47554" w:rsidRDefault="00F3417D" w:rsidP="00A83BDB">
      <w:pPr>
        <w:spacing w:before="120" w:after="120"/>
        <w:jc w:val="both"/>
        <w:rPr>
          <w:b/>
        </w:rPr>
      </w:pPr>
      <w:r w:rsidRPr="00D47554">
        <w:rPr>
          <w:b/>
        </w:rPr>
        <w:t>Q16: Do you identify other potential contract types that would need to be included in the list above in relation to field A.6.39?</w:t>
      </w:r>
    </w:p>
    <w:p w14:paraId="49401E0F" w14:textId="2A2C4C4D" w:rsidR="00F3417D" w:rsidRPr="00D47554" w:rsidRDefault="00D86251" w:rsidP="00A83BDB">
      <w:pPr>
        <w:spacing w:before="120" w:after="120"/>
        <w:jc w:val="both"/>
        <w:rPr>
          <w:b/>
        </w:rPr>
      </w:pPr>
      <w:r w:rsidRPr="00D47554">
        <w:rPr>
          <w:b/>
        </w:rPr>
        <w:t>[…]</w:t>
      </w:r>
    </w:p>
    <w:p w14:paraId="7DDAB240" w14:textId="77777777" w:rsidR="00D47554" w:rsidRDefault="00D47554" w:rsidP="00A83BDB">
      <w:pPr>
        <w:spacing w:before="120" w:after="120"/>
        <w:jc w:val="both"/>
        <w:rPr>
          <w:b/>
        </w:rPr>
      </w:pPr>
    </w:p>
    <w:p w14:paraId="49401E10" w14:textId="018F9F30" w:rsidR="00F3417D" w:rsidRPr="00D47554" w:rsidRDefault="00F3417D" w:rsidP="00A83BDB">
      <w:pPr>
        <w:spacing w:before="120" w:after="120"/>
        <w:jc w:val="both"/>
      </w:pPr>
      <w:r w:rsidRPr="00D47554">
        <w:rPr>
          <w:b/>
        </w:rPr>
        <w:t>Q17:</w:t>
      </w:r>
      <w:r w:rsidRPr="00D47554">
        <w:t xml:space="preserve"> </w:t>
      </w:r>
      <w:r w:rsidRPr="00D47554">
        <w:rPr>
          <w:b/>
        </w:rPr>
        <w:t>Do you see merits in clarifying what should be the name of the underlying as referred to in Field A.6.45? If yes, which specifications would you expect?</w:t>
      </w:r>
    </w:p>
    <w:p w14:paraId="49401E11" w14:textId="65C5490A" w:rsidR="00F3417D" w:rsidRPr="00D47554" w:rsidRDefault="00E1054A" w:rsidP="00A83BDB">
      <w:pPr>
        <w:spacing w:before="120" w:after="120"/>
        <w:jc w:val="both"/>
      </w:pPr>
      <w:r w:rsidRPr="00D47554">
        <w:t>No,</w:t>
      </w:r>
      <w:r>
        <w:t xml:space="preserve"> we do not </w:t>
      </w:r>
      <w:r w:rsidR="00A83BDB">
        <w:t xml:space="preserve">see </w:t>
      </w:r>
      <w:r>
        <w:t xml:space="preserve">any merits in </w:t>
      </w:r>
      <w:r w:rsidRPr="00A83BDB">
        <w:t>clarifying what should be the name of the underlying as referred to in Field A.6.45</w:t>
      </w:r>
      <w:r>
        <w:t>.</w:t>
      </w:r>
      <w:r w:rsidR="003318AD" w:rsidRPr="00D47554">
        <w:t xml:space="preserve"> </w:t>
      </w:r>
      <w:r>
        <w:t>I</w:t>
      </w:r>
      <w:r w:rsidR="00737E94" w:rsidRPr="00D47554">
        <w:t xml:space="preserve">n line with the principle of “smart regulation” </w:t>
      </w:r>
      <w:r w:rsidR="00E40C3E" w:rsidRPr="00D47554">
        <w:t xml:space="preserve">it </w:t>
      </w:r>
      <w:r w:rsidR="00737E94" w:rsidRPr="00D47554">
        <w:t xml:space="preserve">could be a more efficient solution </w:t>
      </w:r>
      <w:r w:rsidR="00E40C3E" w:rsidRPr="00D47554">
        <w:t>to avoid any potential rules for the name of derivatives</w:t>
      </w:r>
      <w:r w:rsidR="00402CB0" w:rsidRPr="00D47554">
        <w:t>’ underlying</w:t>
      </w:r>
      <w:r w:rsidR="00BE0E54" w:rsidRPr="00D47554">
        <w:t xml:space="preserve">. </w:t>
      </w:r>
    </w:p>
    <w:p w14:paraId="6005460D" w14:textId="77777777" w:rsidR="00D47554" w:rsidRDefault="00D47554" w:rsidP="00A83BDB">
      <w:pPr>
        <w:spacing w:before="120" w:after="120"/>
        <w:jc w:val="both"/>
        <w:rPr>
          <w:b/>
        </w:rPr>
      </w:pPr>
    </w:p>
    <w:p w14:paraId="49401E12" w14:textId="49F53BD5" w:rsidR="00F3417D" w:rsidRPr="00D47554" w:rsidRDefault="00F3417D" w:rsidP="00A83BDB">
      <w:pPr>
        <w:spacing w:before="120" w:after="120"/>
        <w:jc w:val="both"/>
        <w:rPr>
          <w:b/>
        </w:rPr>
      </w:pPr>
      <w:r w:rsidRPr="00D47554">
        <w:rPr>
          <w:b/>
        </w:rPr>
        <w:t xml:space="preserve">Q18: Are you of the view that ESMA should further specify what is meant by “exposure” in fields A.6.91 and A.6.92? If yes, which types of specifications would you suggest? </w:t>
      </w:r>
    </w:p>
    <w:p w14:paraId="49401E13" w14:textId="087EE4D0" w:rsidR="00F3417D" w:rsidRPr="00D47554" w:rsidRDefault="00BE0E54" w:rsidP="00A83BDB">
      <w:pPr>
        <w:spacing w:before="120" w:after="120"/>
        <w:jc w:val="both"/>
      </w:pPr>
      <w:r w:rsidRPr="00D47554">
        <w:t xml:space="preserve">No, </w:t>
      </w:r>
      <w:r w:rsidR="00735446" w:rsidRPr="00D47554">
        <w:t xml:space="preserve">we </w:t>
      </w:r>
      <w:r w:rsidR="00FC587B" w:rsidRPr="00D47554">
        <w:t xml:space="preserve">are </w:t>
      </w:r>
      <w:r w:rsidR="00735446" w:rsidRPr="00D47554">
        <w:t>not</w:t>
      </w:r>
      <w:r w:rsidR="00917E20" w:rsidRPr="00D47554">
        <w:t>.</w:t>
      </w:r>
      <w:r w:rsidR="00547277" w:rsidRPr="00D47554">
        <w:t xml:space="preserve"> </w:t>
      </w:r>
      <w:r w:rsidR="00B4675A">
        <w:t xml:space="preserve">In any case, we agree with </w:t>
      </w:r>
      <w:r w:rsidR="002438FE" w:rsidRPr="002438FE">
        <w:t>on the definition of the gross exposure that ESMA is suggesting with reference to fields A.6.91 and A.6.92.</w:t>
      </w:r>
      <w:bookmarkStart w:id="0" w:name="_GoBack"/>
      <w:bookmarkEnd w:id="0"/>
    </w:p>
    <w:p w14:paraId="24B656D3" w14:textId="77777777" w:rsidR="00D47554" w:rsidRDefault="00D47554" w:rsidP="00A83BDB">
      <w:pPr>
        <w:spacing w:before="120" w:after="120"/>
        <w:jc w:val="both"/>
        <w:rPr>
          <w:b/>
        </w:rPr>
      </w:pPr>
    </w:p>
    <w:p w14:paraId="49401E14" w14:textId="455D3B3C" w:rsidR="00F3417D" w:rsidRPr="00D47554" w:rsidRDefault="00F3417D" w:rsidP="00A83BDB">
      <w:pPr>
        <w:spacing w:before="120" w:after="120"/>
        <w:jc w:val="both"/>
        <w:rPr>
          <w:b/>
        </w:rPr>
      </w:pPr>
      <w:r w:rsidRPr="00D47554">
        <w:rPr>
          <w:b/>
        </w:rPr>
        <w:t>Q19</w:t>
      </w:r>
      <w:r w:rsidRPr="00D47554">
        <w:t xml:space="preserve">: </w:t>
      </w:r>
      <w:r w:rsidRPr="00D47554">
        <w:rPr>
          <w:b/>
        </w:rPr>
        <w:t>Do you identify any other issue that would need to be specified in relation to the above section on the block 4 of the reporting template? In particular, in your view, how would the NAV of the MMF compare to the sum of the values of the fields on total market values (and quantity) of money market instruments, securitisation and ABCP, financial derivative instrument, unit or share of other MMF, deposit or ancillary liquid asset, repurchase agreement and reverse repurchase agreement (A.6.16 and A.6.11, A.6.34 and A.6.29, A.6.54, A.6.67 and A.6.69, A.6.80, A.6.91)? Do you have any comments on the table “CFI codes for eligible securities” included in the annex of the Guidelines?</w:t>
      </w:r>
    </w:p>
    <w:p w14:paraId="626B407D" w14:textId="686D3F39" w:rsidR="00F46847" w:rsidRPr="00D47554" w:rsidRDefault="00D60F08" w:rsidP="00A83BDB">
      <w:pPr>
        <w:spacing w:before="120" w:after="120"/>
        <w:jc w:val="both"/>
      </w:pPr>
      <w:r w:rsidRPr="00D47554">
        <w:rPr>
          <w:u w:val="single"/>
        </w:rPr>
        <w:t xml:space="preserve">Credit quality assessment. </w:t>
      </w:r>
      <w:r w:rsidR="00F46847" w:rsidRPr="00D47554">
        <w:t xml:space="preserve">Article 10 (1) of the MMFR, concerning eligible </w:t>
      </w:r>
      <w:r w:rsidR="001B3A0B" w:rsidRPr="00D47554">
        <w:t xml:space="preserve">money markets </w:t>
      </w:r>
      <w:r w:rsidR="00F46847" w:rsidRPr="00D47554">
        <w:t>instruments, provides that the MMF is authorized to invest only in those instruments that meet all the requirements listed in the same par. 1</w:t>
      </w:r>
      <w:r w:rsidR="00CB2062" w:rsidRPr="00D47554">
        <w:t>.</w:t>
      </w:r>
      <w:r w:rsidR="00F2413C" w:rsidRPr="00D47554">
        <w:t xml:space="preserve"> Among them, </w:t>
      </w:r>
      <w:r w:rsidR="000E1005" w:rsidRPr="00D47554">
        <w:t xml:space="preserve">point (c) of paragraph 1 </w:t>
      </w:r>
      <w:r w:rsidR="005D6452" w:rsidRPr="00D47554">
        <w:t>states “</w:t>
      </w:r>
      <w:r w:rsidR="005D6452" w:rsidRPr="00D47554">
        <w:rPr>
          <w:i/>
        </w:rPr>
        <w:t xml:space="preserve">that </w:t>
      </w:r>
      <w:r w:rsidR="000E1005" w:rsidRPr="00D47554">
        <w:rPr>
          <w:i/>
        </w:rPr>
        <w:t>the issuer of the money market instrument and the quality of the money market instrument have received</w:t>
      </w:r>
      <w:r w:rsidR="005D6452" w:rsidRPr="00D47554">
        <w:rPr>
          <w:i/>
        </w:rPr>
        <w:t xml:space="preserve"> </w:t>
      </w:r>
      <w:r w:rsidR="000E1005" w:rsidRPr="00D47554">
        <w:rPr>
          <w:i/>
        </w:rPr>
        <w:t>a favourable assessment pursuant to Articles 19 to 22</w:t>
      </w:r>
      <w:r w:rsidR="005D6452" w:rsidRPr="00D47554">
        <w:t>”</w:t>
      </w:r>
      <w:r w:rsidR="00626FAF" w:rsidRPr="00D47554">
        <w:t>.</w:t>
      </w:r>
      <w:r w:rsidR="00D6629A" w:rsidRPr="00D47554">
        <w:t xml:space="preserve"> </w:t>
      </w:r>
      <w:r w:rsidR="00F06165" w:rsidRPr="00D47554">
        <w:t>However,</w:t>
      </w:r>
      <w:r w:rsidR="00995728" w:rsidRPr="00D47554">
        <w:t xml:space="preserve"> </w:t>
      </w:r>
      <w:r w:rsidR="00975329" w:rsidRPr="00D47554">
        <w:t xml:space="preserve">article 10 (3) </w:t>
      </w:r>
      <w:r w:rsidR="00995728" w:rsidRPr="00D47554">
        <w:t>states that “</w:t>
      </w:r>
      <w:r w:rsidR="00995728" w:rsidRPr="00D47554">
        <w:rPr>
          <w:i/>
        </w:rPr>
        <w:t>point (c) of paragraph 1 shall not apply to money market instruments issued or guaranteed by the Union, a central authority or central bank of a Member State, the European Central Bank, the European Investment Bank, the European</w:t>
      </w:r>
      <w:r w:rsidR="00B25B38" w:rsidRPr="00D47554">
        <w:t>”.</w:t>
      </w:r>
    </w:p>
    <w:p w14:paraId="534FC9A2" w14:textId="222185A4" w:rsidR="00520942" w:rsidRPr="00D47554" w:rsidRDefault="00520942" w:rsidP="00A83BDB">
      <w:pPr>
        <w:spacing w:before="120" w:after="120"/>
        <w:jc w:val="both"/>
      </w:pPr>
      <w:proofErr w:type="gramStart"/>
      <w:r w:rsidRPr="00D47554">
        <w:t>Th</w:t>
      </w:r>
      <w:r w:rsidR="0043581C" w:rsidRPr="00D47554">
        <w:t>at</w:t>
      </w:r>
      <w:r w:rsidRPr="00D47554">
        <w:t xml:space="preserve"> </w:t>
      </w:r>
      <w:r w:rsidR="00E1054A">
        <w:t xml:space="preserve">being </w:t>
      </w:r>
      <w:r w:rsidRPr="00D47554">
        <w:t>said, in</w:t>
      </w:r>
      <w:proofErr w:type="gramEnd"/>
      <w:r w:rsidRPr="00D47554">
        <w:t xml:space="preserve"> the field A.6.19 “Indicate whether the outcome of the internal credit assessment procedure is favourable/unfavourable” we see merit in clarifying how this field should </w:t>
      </w:r>
      <w:r w:rsidR="00397D58" w:rsidRPr="00D47554">
        <w:t>be fulfilled</w:t>
      </w:r>
      <w:r w:rsidRPr="00D47554">
        <w:t xml:space="preserve"> when asset managers apply article 10(3) of MMFR. </w:t>
      </w:r>
    </w:p>
    <w:p w14:paraId="5AEEE0BD" w14:textId="1C2B7383" w:rsidR="00F46847" w:rsidRPr="00D47554" w:rsidRDefault="00617AF4" w:rsidP="00A83BDB">
      <w:pPr>
        <w:spacing w:before="120" w:after="120"/>
        <w:jc w:val="both"/>
      </w:pPr>
      <w:r w:rsidRPr="00D47554">
        <w:t>As a possible option, w</w:t>
      </w:r>
      <w:r w:rsidR="00C50C38" w:rsidRPr="00D47554">
        <w:t xml:space="preserve">e suggest </w:t>
      </w:r>
      <w:r w:rsidR="00303C8C" w:rsidRPr="00D47554">
        <w:t>mark</w:t>
      </w:r>
      <w:r w:rsidR="004906CF" w:rsidRPr="00D47554">
        <w:t>ing</w:t>
      </w:r>
      <w:r w:rsidRPr="00D47554">
        <w:t xml:space="preserve"> this information </w:t>
      </w:r>
      <w:r w:rsidR="00303C8C" w:rsidRPr="00D47554">
        <w:t>as conditional</w:t>
      </w:r>
      <w:r w:rsidR="009476B1" w:rsidRPr="00D47554">
        <w:t xml:space="preserve">, so </w:t>
      </w:r>
      <w:r w:rsidR="00C36AD2" w:rsidRPr="00D47554">
        <w:t xml:space="preserve">if </w:t>
      </w:r>
      <w:r w:rsidR="009557A7" w:rsidRPr="00D47554">
        <w:t xml:space="preserve">the answer to </w:t>
      </w:r>
      <w:r w:rsidR="00872557" w:rsidRPr="00D47554">
        <w:t>a possible question</w:t>
      </w:r>
      <w:r w:rsidR="009510FB" w:rsidRPr="00D47554">
        <w:t xml:space="preserve"> </w:t>
      </w:r>
      <w:r w:rsidR="0080734A" w:rsidRPr="00D47554">
        <w:t xml:space="preserve">concerns </w:t>
      </w:r>
      <w:r w:rsidR="009510FB" w:rsidRPr="00D47554">
        <w:t xml:space="preserve">the </w:t>
      </w:r>
      <w:r w:rsidR="00E4417D" w:rsidRPr="00D47554">
        <w:t>no</w:t>
      </w:r>
      <w:r w:rsidR="0080734A" w:rsidRPr="00D47554">
        <w:t xml:space="preserve">n-application </w:t>
      </w:r>
      <w:r w:rsidR="009510FB" w:rsidRPr="00D47554">
        <w:t xml:space="preserve">of </w:t>
      </w:r>
      <w:r w:rsidR="00872557" w:rsidRPr="00D47554">
        <w:t xml:space="preserve">article 10(3) is </w:t>
      </w:r>
      <w:r w:rsidR="009510FB" w:rsidRPr="00D47554">
        <w:t xml:space="preserve">positive, </w:t>
      </w:r>
      <w:r w:rsidR="009557A7" w:rsidRPr="00D47554">
        <w:t xml:space="preserve">the </w:t>
      </w:r>
      <w:r w:rsidR="002A0DDA" w:rsidRPr="00D47554">
        <w:t xml:space="preserve">corresponding conditional information </w:t>
      </w:r>
      <w:r w:rsidR="00470B1B" w:rsidRPr="00D47554">
        <w:t xml:space="preserve">(favourable/unfavourable) should be reported. </w:t>
      </w:r>
      <w:r w:rsidR="00D065B9" w:rsidRPr="00D47554">
        <w:t xml:space="preserve">Otherwise, no information </w:t>
      </w:r>
      <w:r w:rsidR="00557618" w:rsidRPr="00D47554">
        <w:t xml:space="preserve">should be </w:t>
      </w:r>
      <w:r w:rsidR="00EB2018" w:rsidRPr="00D47554">
        <w:t>presented</w:t>
      </w:r>
      <w:r w:rsidR="00557618" w:rsidRPr="00D47554">
        <w:t xml:space="preserve">. </w:t>
      </w:r>
      <w:r w:rsidR="002A0DDA" w:rsidRPr="00D47554">
        <w:t xml:space="preserve"> </w:t>
      </w:r>
    </w:p>
    <w:p w14:paraId="75255D7A" w14:textId="77777777" w:rsidR="00D47554" w:rsidRDefault="00D47554" w:rsidP="00A83BDB">
      <w:pPr>
        <w:spacing w:before="120" w:after="120"/>
        <w:jc w:val="both"/>
        <w:rPr>
          <w:u w:val="single"/>
        </w:rPr>
      </w:pPr>
    </w:p>
    <w:p w14:paraId="38B87AD9" w14:textId="5C8FE8F6" w:rsidR="009E3178" w:rsidRDefault="00037D2B" w:rsidP="00A83BDB">
      <w:pPr>
        <w:spacing w:before="120" w:after="120"/>
        <w:jc w:val="both"/>
      </w:pPr>
      <w:r w:rsidRPr="00D47554">
        <w:rPr>
          <w:u w:val="single"/>
        </w:rPr>
        <w:t xml:space="preserve">Market value of the Collateral received (in relation to </w:t>
      </w:r>
      <w:r w:rsidR="00821C62" w:rsidRPr="00D47554">
        <w:rPr>
          <w:u w:val="single"/>
        </w:rPr>
        <w:t>the financial derivative instruments) (field</w:t>
      </w:r>
      <w:r w:rsidR="0060576E">
        <w:rPr>
          <w:u w:val="single"/>
        </w:rPr>
        <w:t>s</w:t>
      </w:r>
      <w:r w:rsidR="00821C62" w:rsidRPr="00D47554">
        <w:rPr>
          <w:u w:val="single"/>
        </w:rPr>
        <w:t xml:space="preserve"> A.6.56</w:t>
      </w:r>
      <w:r w:rsidR="00785E00">
        <w:rPr>
          <w:u w:val="single"/>
        </w:rPr>
        <w:t xml:space="preserve"> – A.6.57</w:t>
      </w:r>
      <w:r w:rsidR="00821C62" w:rsidRPr="00D47554">
        <w:rPr>
          <w:u w:val="single"/>
        </w:rPr>
        <w:t>)</w:t>
      </w:r>
      <w:r w:rsidR="006112B7">
        <w:rPr>
          <w:u w:val="single"/>
        </w:rPr>
        <w:t xml:space="preserve"> </w:t>
      </w:r>
      <w:r w:rsidR="009E3178">
        <w:rPr>
          <w:u w:val="single"/>
        </w:rPr>
        <w:t>and received (in re</w:t>
      </w:r>
      <w:r w:rsidR="009E3178" w:rsidRPr="00D47554">
        <w:rPr>
          <w:u w:val="single"/>
        </w:rPr>
        <w:t xml:space="preserve">lation to the </w:t>
      </w:r>
      <w:r w:rsidR="009E3178">
        <w:rPr>
          <w:u w:val="single"/>
        </w:rPr>
        <w:t>repurchase agreement or a reverse repurchase agreement</w:t>
      </w:r>
      <w:r w:rsidR="009E3178" w:rsidRPr="00D47554">
        <w:rPr>
          <w:u w:val="single"/>
        </w:rPr>
        <w:t>) (field</w:t>
      </w:r>
      <w:r w:rsidR="009E3178">
        <w:rPr>
          <w:u w:val="single"/>
        </w:rPr>
        <w:t>s</w:t>
      </w:r>
      <w:r w:rsidR="009E3178" w:rsidRPr="00D47554">
        <w:rPr>
          <w:u w:val="single"/>
        </w:rPr>
        <w:t xml:space="preserve"> A.6.</w:t>
      </w:r>
      <w:r w:rsidR="009E3178">
        <w:rPr>
          <w:u w:val="single"/>
        </w:rPr>
        <w:t>91 – A.6.92</w:t>
      </w:r>
      <w:r w:rsidR="009E3178" w:rsidRPr="00D47554">
        <w:rPr>
          <w:u w:val="single"/>
        </w:rPr>
        <w:t>)</w:t>
      </w:r>
      <w:r w:rsidR="009E3178">
        <w:rPr>
          <w:u w:val="single"/>
        </w:rPr>
        <w:t xml:space="preserve">  </w:t>
      </w:r>
      <w:r w:rsidR="009E3178" w:rsidRPr="00D47554">
        <w:t xml:space="preserve">  </w:t>
      </w:r>
    </w:p>
    <w:p w14:paraId="756A1DAA" w14:textId="2430C5C8" w:rsidR="00211D0E" w:rsidRDefault="006F015F" w:rsidP="00A83BDB">
      <w:pPr>
        <w:spacing w:before="120" w:after="120"/>
        <w:jc w:val="both"/>
      </w:pPr>
      <w:r w:rsidRPr="006F015F">
        <w:t>I</w:t>
      </w:r>
      <w:r>
        <w:t xml:space="preserve">n general, </w:t>
      </w:r>
      <w:r w:rsidRPr="006F015F">
        <w:t xml:space="preserve">the collateral is </w:t>
      </w:r>
      <w:r w:rsidR="00A5052B" w:rsidRPr="006F015F">
        <w:t>managed</w:t>
      </w:r>
      <w:r w:rsidR="00A5052B">
        <w:t xml:space="preserve"> </w:t>
      </w:r>
      <w:r w:rsidR="00A5052B" w:rsidRPr="006F015F">
        <w:t>by</w:t>
      </w:r>
      <w:r w:rsidRPr="006F015F">
        <w:t xml:space="preserve"> reference to the</w:t>
      </w:r>
      <w:r w:rsidR="00F36C27">
        <w:t xml:space="preserve"> (net)</w:t>
      </w:r>
      <w:r w:rsidRPr="006F015F">
        <w:t xml:space="preserve"> exposure </w:t>
      </w:r>
      <w:r w:rsidR="00BE0FD6">
        <w:t>deriving</w:t>
      </w:r>
      <w:r w:rsidRPr="006F015F">
        <w:t xml:space="preserve"> from all </w:t>
      </w:r>
      <w:r w:rsidR="0077439A">
        <w:t xml:space="preserve">OTC </w:t>
      </w:r>
      <w:r w:rsidRPr="006F015F">
        <w:t xml:space="preserve">derivative transactions </w:t>
      </w:r>
      <w:r w:rsidR="001F5CEC">
        <w:t xml:space="preserve">made with </w:t>
      </w:r>
      <w:r w:rsidRPr="006F015F">
        <w:t xml:space="preserve">the same counterparty. </w:t>
      </w:r>
      <w:r w:rsidR="00A5052B">
        <w:t>Whe</w:t>
      </w:r>
      <w:r w:rsidR="00910C2E">
        <w:t>n</w:t>
      </w:r>
      <w:r w:rsidR="00A5052B">
        <w:t xml:space="preserve"> </w:t>
      </w:r>
      <w:r w:rsidR="005E3529">
        <w:t xml:space="preserve">more than one </w:t>
      </w:r>
      <w:r w:rsidR="00824E2C">
        <w:t xml:space="preserve">OTC </w:t>
      </w:r>
      <w:r w:rsidR="00A5052B">
        <w:t xml:space="preserve">derivative </w:t>
      </w:r>
      <w:r w:rsidR="005E3529">
        <w:t>is</w:t>
      </w:r>
      <w:r w:rsidR="00A5052B">
        <w:t xml:space="preserve"> used</w:t>
      </w:r>
      <w:r w:rsidR="008E7E6E">
        <w:t>, the</w:t>
      </w:r>
      <w:r w:rsidR="0055493D">
        <w:t xml:space="preserve"> collateral</w:t>
      </w:r>
      <w:r w:rsidR="00990E4C">
        <w:t>,</w:t>
      </w:r>
      <w:r w:rsidR="0055493D">
        <w:t xml:space="preserve"> </w:t>
      </w:r>
      <w:r w:rsidR="00910C2E">
        <w:t xml:space="preserve">being </w:t>
      </w:r>
      <w:r w:rsidR="001F5CEC">
        <w:t xml:space="preserve">attributable </w:t>
      </w:r>
      <w:r w:rsidR="00910C2E">
        <w:t xml:space="preserve">to </w:t>
      </w:r>
      <w:r w:rsidR="00FC0744">
        <w:t xml:space="preserve">the </w:t>
      </w:r>
      <w:r w:rsidR="001B03E5">
        <w:t xml:space="preserve">net </w:t>
      </w:r>
      <w:r w:rsidR="00FC0744">
        <w:t>sum of all debit and cre</w:t>
      </w:r>
      <w:r w:rsidR="008F2C08">
        <w:t xml:space="preserve">dit </w:t>
      </w:r>
      <w:r w:rsidR="001B03E5">
        <w:t>exposure</w:t>
      </w:r>
      <w:r w:rsidR="00D54F44">
        <w:t>s</w:t>
      </w:r>
      <w:r w:rsidR="00990E4C">
        <w:t>,</w:t>
      </w:r>
      <w:r w:rsidR="006E0415">
        <w:t xml:space="preserve"> is not </w:t>
      </w:r>
      <w:r w:rsidRPr="006F015F">
        <w:t xml:space="preserve">attributable </w:t>
      </w:r>
      <w:r w:rsidR="000D2EB3">
        <w:t xml:space="preserve">to </w:t>
      </w:r>
      <w:r w:rsidR="00211D0E">
        <w:t xml:space="preserve">each </w:t>
      </w:r>
      <w:r w:rsidR="00910C2E">
        <w:t xml:space="preserve">individual </w:t>
      </w:r>
      <w:r w:rsidR="00824E2C">
        <w:t>OTC</w:t>
      </w:r>
      <w:r w:rsidR="000D2EB3">
        <w:t xml:space="preserve"> derivative</w:t>
      </w:r>
      <w:r w:rsidR="00211D0E">
        <w:t xml:space="preserve">. </w:t>
      </w:r>
    </w:p>
    <w:p w14:paraId="53A2E635" w14:textId="17E90787" w:rsidR="00DA34C6" w:rsidRDefault="00DA34C6" w:rsidP="00A83BDB">
      <w:pPr>
        <w:spacing w:before="120" w:after="120"/>
        <w:jc w:val="both"/>
      </w:pPr>
      <w:r w:rsidRPr="00DB0147">
        <w:t xml:space="preserve">Similarity to OTC financial derivatives, collateral </w:t>
      </w:r>
      <w:r w:rsidR="001121E5">
        <w:t xml:space="preserve">may </w:t>
      </w:r>
      <w:r>
        <w:t xml:space="preserve">not be </w:t>
      </w:r>
      <w:r w:rsidRPr="00DB0147">
        <w:t>collected at transaction level</w:t>
      </w:r>
      <w:r w:rsidR="001121E5">
        <w:t xml:space="preserve"> also for reverse repo/repo</w:t>
      </w:r>
      <w:r>
        <w:t>.</w:t>
      </w:r>
    </w:p>
    <w:p w14:paraId="2B66727F" w14:textId="3DAEC442" w:rsidR="00DA34C6" w:rsidRDefault="00DA34C6" w:rsidP="00A83BDB">
      <w:pPr>
        <w:spacing w:before="120" w:after="120"/>
        <w:jc w:val="both"/>
      </w:pPr>
      <w:r>
        <w:t>We see merit in clarifying how th</w:t>
      </w:r>
      <w:r w:rsidR="001F2DA9">
        <w:t>e</w:t>
      </w:r>
      <w:r>
        <w:t>s</w:t>
      </w:r>
      <w:r w:rsidR="001F2DA9">
        <w:t>e</w:t>
      </w:r>
      <w:r>
        <w:t xml:space="preserve"> field</w:t>
      </w:r>
      <w:r w:rsidR="001F2DA9">
        <w:t>s</w:t>
      </w:r>
      <w:r>
        <w:t xml:space="preserve"> should be </w:t>
      </w:r>
      <w:r w:rsidR="00FD1842">
        <w:t>met</w:t>
      </w:r>
      <w:r>
        <w:t xml:space="preserve"> when collateral is taken place on the level of the net exposures between two counterparties, </w:t>
      </w:r>
      <w:r w:rsidR="00FD1842">
        <w:t>rather than at the</w:t>
      </w:r>
      <w:r w:rsidR="00DF7BCF">
        <w:t xml:space="preserve"> </w:t>
      </w:r>
      <w:r w:rsidR="00A45E16">
        <w:t>transaction level</w:t>
      </w:r>
      <w:r>
        <w:t xml:space="preserve">. </w:t>
      </w:r>
    </w:p>
    <w:p w14:paraId="2FF901EE" w14:textId="37C1BBA3" w:rsidR="00ED0F51" w:rsidRDefault="00DB49F2" w:rsidP="00A83BDB">
      <w:pPr>
        <w:spacing w:before="120" w:after="120"/>
        <w:jc w:val="both"/>
      </w:pPr>
      <w:r>
        <w:t xml:space="preserve">Since the </w:t>
      </w:r>
      <w:r w:rsidR="00B9220F">
        <w:t>r</w:t>
      </w:r>
      <w:r w:rsidR="00832488" w:rsidRPr="00832488">
        <w:t>eport</w:t>
      </w:r>
      <w:r>
        <w:t>ing</w:t>
      </w:r>
      <w:r w:rsidR="00832488" w:rsidRPr="00832488">
        <w:t xml:space="preserve"> of collateral positions for OTC derivatives</w:t>
      </w:r>
      <w:r w:rsidR="00B9220F">
        <w:t xml:space="preserve"> </w:t>
      </w:r>
      <w:r w:rsidR="003E7FC9">
        <w:t xml:space="preserve">is also </w:t>
      </w:r>
      <w:r w:rsidR="00FA5519">
        <w:t>made</w:t>
      </w:r>
      <w:r w:rsidR="00B9220F">
        <w:t xml:space="preserve"> </w:t>
      </w:r>
      <w:r w:rsidR="00832488" w:rsidRPr="00832488">
        <w:t>under EMIR</w:t>
      </w:r>
      <w:r w:rsidR="00A45E16">
        <w:t xml:space="preserve"> </w:t>
      </w:r>
      <w:r w:rsidR="00284C49">
        <w:t xml:space="preserve">while for </w:t>
      </w:r>
      <w:r w:rsidR="00A45E16">
        <w:t>repo/reverse repo transactions under the new SFTR reporting regime</w:t>
      </w:r>
      <w:r>
        <w:t xml:space="preserve">, we suggest </w:t>
      </w:r>
      <w:r w:rsidR="003D4BA1">
        <w:t xml:space="preserve">reporting </w:t>
      </w:r>
      <w:r w:rsidR="003F46CB">
        <w:t xml:space="preserve">that </w:t>
      </w:r>
      <w:r w:rsidR="00A45E16">
        <w:t>“</w:t>
      </w:r>
      <w:r w:rsidR="003F46CB">
        <w:t>no information is available</w:t>
      </w:r>
      <w:r w:rsidR="00A45E16">
        <w:t>”</w:t>
      </w:r>
      <w:r w:rsidR="003D4BA1">
        <w:t xml:space="preserve"> in th</w:t>
      </w:r>
      <w:r w:rsidR="0092170D">
        <w:t>ese</w:t>
      </w:r>
      <w:r w:rsidR="003D4BA1">
        <w:t xml:space="preserve"> </w:t>
      </w:r>
      <w:r w:rsidR="00C54AC3">
        <w:t>case</w:t>
      </w:r>
      <w:r w:rsidR="0092170D">
        <w:t>s</w:t>
      </w:r>
      <w:r w:rsidR="003D4BA1">
        <w:t xml:space="preserve"> (where </w:t>
      </w:r>
      <w:r w:rsidR="008405EB">
        <w:t xml:space="preserve">only </w:t>
      </w:r>
      <w:r w:rsidR="00CC3A31">
        <w:t xml:space="preserve">a “0” value </w:t>
      </w:r>
      <w:r w:rsidR="00740DB7">
        <w:t xml:space="preserve">is not </w:t>
      </w:r>
      <w:r w:rsidR="003929C9">
        <w:t>eligible</w:t>
      </w:r>
      <w:r w:rsidR="00740DB7">
        <w:t>)</w:t>
      </w:r>
      <w:r w:rsidR="00832488" w:rsidRPr="00832488">
        <w:t>.</w:t>
      </w:r>
      <w:r w:rsidR="00D505D7">
        <w:t xml:space="preserve"> </w:t>
      </w:r>
      <w:r w:rsidR="009E27FF">
        <w:t>As a second option</w:t>
      </w:r>
      <w:r w:rsidR="00756080">
        <w:t>, w</w:t>
      </w:r>
      <w:r w:rsidR="003C1D58">
        <w:t xml:space="preserve">here information </w:t>
      </w:r>
      <w:r w:rsidR="00756080">
        <w:t xml:space="preserve">on collateral </w:t>
      </w:r>
      <w:r w:rsidR="003C1D58">
        <w:t xml:space="preserve">should </w:t>
      </w:r>
      <w:r w:rsidR="003929C9">
        <w:t xml:space="preserve">also </w:t>
      </w:r>
      <w:r w:rsidR="003C1D58">
        <w:t>be provided</w:t>
      </w:r>
      <w:r w:rsidR="005D3815">
        <w:t xml:space="preserve">, </w:t>
      </w:r>
      <w:r w:rsidR="00DB417A">
        <w:t xml:space="preserve">the market value of </w:t>
      </w:r>
      <w:r w:rsidR="00C47C54">
        <w:t>a</w:t>
      </w:r>
      <w:r w:rsidR="003929C9">
        <w:t xml:space="preserve">ny </w:t>
      </w:r>
      <w:r w:rsidR="00DB417A">
        <w:t xml:space="preserve">collateral </w:t>
      </w:r>
      <w:r w:rsidR="004302D7">
        <w:t xml:space="preserve">that may refer </w:t>
      </w:r>
      <w:r w:rsidR="001074D8">
        <w:t>to the same counterparty</w:t>
      </w:r>
      <w:r w:rsidR="000A073D">
        <w:t xml:space="preserve"> </w:t>
      </w:r>
      <w:r w:rsidR="004302D7">
        <w:t xml:space="preserve">may </w:t>
      </w:r>
      <w:r w:rsidR="000A073D">
        <w:t xml:space="preserve">be indicated. </w:t>
      </w:r>
      <w:r w:rsidR="0052640E">
        <w:t>However</w:t>
      </w:r>
      <w:r w:rsidR="003948CF">
        <w:t>,</w:t>
      </w:r>
      <w:r w:rsidR="0052640E">
        <w:t xml:space="preserve"> w</w:t>
      </w:r>
      <w:r w:rsidR="006612AC">
        <w:t>ith</w:t>
      </w:r>
      <w:r w:rsidR="00BB3644">
        <w:t xml:space="preserve"> th</w:t>
      </w:r>
      <w:r w:rsidR="0052640E">
        <w:t xml:space="preserve">is </w:t>
      </w:r>
      <w:r w:rsidR="00BB3644">
        <w:t xml:space="preserve">second option, all </w:t>
      </w:r>
      <w:r w:rsidR="00625ED1">
        <w:t>transactions (</w:t>
      </w:r>
      <w:r w:rsidR="00BB3644">
        <w:t xml:space="preserve">OTC derivatives </w:t>
      </w:r>
      <w:r w:rsidR="00625ED1">
        <w:t xml:space="preserve">and/or repo/reverse repo) </w:t>
      </w:r>
      <w:r w:rsidR="00420749">
        <w:t xml:space="preserve">with the same counterparty </w:t>
      </w:r>
      <w:r w:rsidR="00BB3644">
        <w:t xml:space="preserve">would have the same </w:t>
      </w:r>
      <w:r w:rsidR="003D48C0">
        <w:t>value in the field</w:t>
      </w:r>
      <w:r w:rsidR="00625ED1">
        <w:t>s (</w:t>
      </w:r>
      <w:r w:rsidR="003D48C0">
        <w:t>A.6.56</w:t>
      </w:r>
      <w:r w:rsidR="009A6A1D">
        <w:t xml:space="preserve"> </w:t>
      </w:r>
      <w:r w:rsidR="00ED0F51">
        <w:t>(A.6.57)</w:t>
      </w:r>
      <w:r w:rsidR="00625ED1">
        <w:t xml:space="preserve"> or </w:t>
      </w:r>
      <w:r w:rsidR="00ED0F51" w:rsidRPr="00F26C15">
        <w:t>A.6.</w:t>
      </w:r>
      <w:r w:rsidR="00BE25D5" w:rsidRPr="00F26C15">
        <w:t>91</w:t>
      </w:r>
      <w:r w:rsidR="00F26C15" w:rsidRPr="00F26C15">
        <w:t xml:space="preserve"> (</w:t>
      </w:r>
      <w:r w:rsidR="00ED0F51" w:rsidRPr="00F26C15">
        <w:t>A.6.</w:t>
      </w:r>
      <w:r w:rsidR="00BE25D5" w:rsidRPr="00F26C15">
        <w:t>92</w:t>
      </w:r>
      <w:r w:rsidR="00ED0F51" w:rsidRPr="00F26C15">
        <w:t>)</w:t>
      </w:r>
      <w:r w:rsidR="00F26C15" w:rsidRPr="00F26C15">
        <w:t>).</w:t>
      </w:r>
      <w:r w:rsidR="00ED0F51">
        <w:rPr>
          <w:u w:val="single"/>
        </w:rPr>
        <w:t xml:space="preserve">  </w:t>
      </w:r>
      <w:r w:rsidR="00ED0F51" w:rsidRPr="00D47554">
        <w:t xml:space="preserve">  </w:t>
      </w:r>
    </w:p>
    <w:p w14:paraId="2C9D775D" w14:textId="47DBFBE5" w:rsidR="00ED0F51" w:rsidRDefault="00ED0F51" w:rsidP="00A83BDB">
      <w:pPr>
        <w:spacing w:before="120" w:after="120"/>
        <w:jc w:val="both"/>
        <w:rPr>
          <w:b/>
        </w:rPr>
      </w:pPr>
    </w:p>
    <w:p w14:paraId="15671E6D" w14:textId="666F958B" w:rsidR="00371FC6" w:rsidRPr="00D47554" w:rsidRDefault="00EF095C" w:rsidP="00A83BDB">
      <w:pPr>
        <w:spacing w:before="120" w:after="120"/>
        <w:jc w:val="both"/>
        <w:rPr>
          <w:b/>
        </w:rPr>
      </w:pPr>
      <w:r w:rsidRPr="00D47554">
        <w:rPr>
          <w:b/>
        </w:rPr>
        <w:t>Q20 Do you identify any other issue that would need to be specified in relation</w:t>
      </w:r>
      <w:r w:rsidR="00371FC6" w:rsidRPr="00D47554">
        <w:rPr>
          <w:b/>
        </w:rPr>
        <w:t xml:space="preserve"> </w:t>
      </w:r>
      <w:r w:rsidRPr="00D47554">
        <w:rPr>
          <w:b/>
        </w:rPr>
        <w:t>to the above section on the block 5 of the reporting template? In particular, in</w:t>
      </w:r>
      <w:r w:rsidR="00371FC6" w:rsidRPr="00D47554">
        <w:rPr>
          <w:b/>
        </w:rPr>
        <w:t xml:space="preserve"> </w:t>
      </w:r>
      <w:r w:rsidRPr="00D47554">
        <w:rPr>
          <w:b/>
        </w:rPr>
        <w:t>your view, how would the NAV of the MMF compare to the sum of the values of</w:t>
      </w:r>
      <w:r w:rsidR="00371FC6" w:rsidRPr="00D47554">
        <w:rPr>
          <w:b/>
        </w:rPr>
        <w:t xml:space="preserve"> the fields on total market values (and quantity) of money market instruments, securitisation and ABCP, financial derivative instrument, unit or share of other MMF, deposit or ancillary liquid asset, repurchase agreement and reverse repurchase agreement (A.6.16 and A.6.11, A.6.34 and A.6.29, A.6.54, A.6.67 and A.6.69, A.6.80, A.6.91)? Do you have any comments on the table “CFI codes for eligible securities” included in the annex of the Guidelines?</w:t>
      </w:r>
    </w:p>
    <w:p w14:paraId="0562EE61" w14:textId="61D27792" w:rsidR="002C07BB" w:rsidRPr="00D47554" w:rsidRDefault="006C19F1" w:rsidP="00A83BDB">
      <w:pPr>
        <w:spacing w:before="120" w:after="120"/>
        <w:jc w:val="both"/>
      </w:pPr>
      <w:r w:rsidRPr="00D47554">
        <w:t>W</w:t>
      </w:r>
      <w:r w:rsidR="00762EDC" w:rsidRPr="00D47554">
        <w:t xml:space="preserve">ith </w:t>
      </w:r>
      <w:r w:rsidR="003D6656" w:rsidRPr="00D47554">
        <w:t>reference to the field A</w:t>
      </w:r>
      <w:r w:rsidR="00DC3549" w:rsidRPr="00D47554">
        <w:t xml:space="preserve">7.11 “Payments to investors” ESMA </w:t>
      </w:r>
      <w:r w:rsidR="00E1054A">
        <w:t>believes</w:t>
      </w:r>
      <w:r w:rsidR="00DC3549" w:rsidRPr="00D47554">
        <w:t xml:space="preserve"> that it should be specified</w:t>
      </w:r>
      <w:r w:rsidR="00CC48C6" w:rsidRPr="00D47554">
        <w:t xml:space="preserve"> that </w:t>
      </w:r>
      <w:r w:rsidR="00E057E4" w:rsidRPr="00D47554">
        <w:t>these payments</w:t>
      </w:r>
      <w:r w:rsidR="00CC48C6" w:rsidRPr="00D47554">
        <w:t xml:space="preserve"> include dividends. </w:t>
      </w:r>
      <w:r w:rsidR="00051127" w:rsidRPr="00D47554">
        <w:t>I</w:t>
      </w:r>
      <w:r w:rsidR="003148C4" w:rsidRPr="00D47554">
        <w:t xml:space="preserve">n our understanding, </w:t>
      </w:r>
      <w:r w:rsidR="006F7767" w:rsidRPr="00D47554">
        <w:t>income</w:t>
      </w:r>
      <w:r w:rsidR="00FF580D" w:rsidRPr="00D47554">
        <w:t xml:space="preserve"> </w:t>
      </w:r>
      <w:r w:rsidR="004F7F40" w:rsidRPr="00D47554">
        <w:t xml:space="preserve">reinvested back </w:t>
      </w:r>
      <w:r w:rsidR="00333ACF" w:rsidRPr="00D47554">
        <w:t xml:space="preserve">into the fund </w:t>
      </w:r>
      <w:r w:rsidR="0042308B" w:rsidRPr="00D47554">
        <w:t xml:space="preserve">(accumulation fund/share) </w:t>
      </w:r>
      <w:r w:rsidR="00DA48E8" w:rsidRPr="00D47554">
        <w:t xml:space="preserve">should </w:t>
      </w:r>
      <w:r w:rsidR="0042308B" w:rsidRPr="00D47554">
        <w:t xml:space="preserve">not </w:t>
      </w:r>
      <w:r w:rsidR="00DA48E8" w:rsidRPr="00D47554">
        <w:t xml:space="preserve">be </w:t>
      </w:r>
      <w:r w:rsidR="0042308B" w:rsidRPr="00D47554">
        <w:t xml:space="preserve">included </w:t>
      </w:r>
      <w:r w:rsidR="00B3393A" w:rsidRPr="00D47554">
        <w:t xml:space="preserve">in this field. </w:t>
      </w:r>
    </w:p>
    <w:p w14:paraId="7FA2B449" w14:textId="77777777" w:rsidR="008060EC" w:rsidRPr="00D47554" w:rsidRDefault="008060EC" w:rsidP="00A83BDB">
      <w:pPr>
        <w:spacing w:before="120" w:after="120"/>
        <w:jc w:val="both"/>
        <w:rPr>
          <w:b/>
        </w:rPr>
      </w:pPr>
    </w:p>
    <w:p w14:paraId="27AA9381" w14:textId="3D2F87E1" w:rsidR="00EF095C" w:rsidRPr="00D47554" w:rsidRDefault="00371FC6" w:rsidP="00A83BDB">
      <w:pPr>
        <w:spacing w:before="120" w:after="120"/>
        <w:jc w:val="both"/>
        <w:rPr>
          <w:b/>
        </w:rPr>
      </w:pPr>
      <w:r w:rsidRPr="00D47554">
        <w:rPr>
          <w:b/>
        </w:rPr>
        <w:t>Q21 Do you identify any other issue that would need to be specified in relation to the above section on the block 6 of the reporting template?</w:t>
      </w:r>
    </w:p>
    <w:p w14:paraId="637C9C6E" w14:textId="793DC71E" w:rsidR="00E057E4" w:rsidRPr="00E057E4" w:rsidRDefault="00E057E4" w:rsidP="00A83BDB">
      <w:pPr>
        <w:spacing w:before="120" w:after="120"/>
        <w:jc w:val="both"/>
      </w:pPr>
      <w:r w:rsidRPr="00D47554">
        <w:t>[…]</w:t>
      </w:r>
    </w:p>
    <w:sectPr w:rsidR="00E057E4" w:rsidRPr="00E057E4" w:rsidSect="00881EE8">
      <w:headerReference w:type="even" r:id="rId8"/>
      <w:headerReference w:type="default" r:id="rId9"/>
      <w:footerReference w:type="even" r:id="rId10"/>
      <w:footerReference w:type="default" r:id="rId11"/>
      <w:headerReference w:type="first" r:id="rId12"/>
      <w:footerReference w:type="first" r:id="rId13"/>
      <w:pgSz w:w="12242" w:h="15842" w:code="1"/>
      <w:pgMar w:top="1418" w:right="1134" w:bottom="1418" w:left="1418" w:header="567" w:footer="454"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2367C" w14:textId="77777777" w:rsidR="00C40D66" w:rsidRDefault="00C40D66" w:rsidP="00762705">
      <w:r>
        <w:separator/>
      </w:r>
    </w:p>
  </w:endnote>
  <w:endnote w:type="continuationSeparator" w:id="0">
    <w:p w14:paraId="4F82FF54" w14:textId="77777777" w:rsidR="00C40D66" w:rsidRDefault="00C40D66" w:rsidP="0076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6F7BC" w14:textId="77777777" w:rsidR="00D120DF" w:rsidRDefault="00D120D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6230A" w14:textId="77777777" w:rsidR="00D120DF" w:rsidRDefault="00D120D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01E24" w14:textId="6AACD613" w:rsidR="009224B6" w:rsidRPr="00762705" w:rsidRDefault="009224B6" w:rsidP="00762705">
    <w:pPr>
      <w:rPr>
        <w:lang w:val="fr-BE"/>
      </w:rPr>
    </w:pPr>
    <w:r w:rsidRPr="00762705">
      <w:rPr>
        <w:lang w:val="fr-B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50022" w14:textId="77777777" w:rsidR="00C40D66" w:rsidRDefault="00C40D66" w:rsidP="00762705">
      <w:r>
        <w:separator/>
      </w:r>
    </w:p>
  </w:footnote>
  <w:footnote w:type="continuationSeparator" w:id="0">
    <w:p w14:paraId="0B854437" w14:textId="77777777" w:rsidR="00C40D66" w:rsidRDefault="00C40D66" w:rsidP="00762705">
      <w:r>
        <w:continuationSeparator/>
      </w:r>
    </w:p>
  </w:footnote>
  <w:footnote w:id="1">
    <w:p w14:paraId="7EE8D28C" w14:textId="271CE1B2" w:rsidR="009D0017" w:rsidRPr="00A07E39" w:rsidRDefault="009D0017" w:rsidP="009D0017">
      <w:pPr>
        <w:pStyle w:val="Testonotaapidipagina"/>
        <w:jc w:val="both"/>
        <w:rPr>
          <w:rFonts w:ascii="Lucida Sans" w:hAnsi="Lucida Sans"/>
          <w:sz w:val="16"/>
          <w:szCs w:val="16"/>
          <w:lang w:val="en-US"/>
        </w:rPr>
      </w:pPr>
      <w:r w:rsidRPr="00A07E39">
        <w:rPr>
          <w:rStyle w:val="Rimandonotaapidipagina"/>
          <w:rFonts w:ascii="Lucida Sans" w:hAnsi="Lucida Sans"/>
          <w:sz w:val="16"/>
          <w:szCs w:val="16"/>
        </w:rPr>
        <w:footnoteRef/>
      </w:r>
      <w:r w:rsidRPr="00A07E39">
        <w:rPr>
          <w:rFonts w:ascii="Lucida Sans" w:hAnsi="Lucida Sans"/>
          <w:sz w:val="16"/>
          <w:szCs w:val="16"/>
          <w:lang w:val="en-US"/>
        </w:rPr>
        <w:t xml:space="preserve"> </w:t>
      </w:r>
      <w:r w:rsidRPr="00A07E39">
        <w:rPr>
          <w:rFonts w:ascii="Lucida Sans" w:hAnsi="Lucida Sans"/>
          <w:sz w:val="16"/>
          <w:szCs w:val="16"/>
        </w:rPr>
        <w:t>Assogestioni is the trade body for Italian investment management industry and represents the interests of members who manage funds and discretionary mandates around € 2,000 billion (as of December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22D85" w14:textId="77777777" w:rsidR="00D120DF" w:rsidRDefault="00D120D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01E1E" w14:textId="77777777" w:rsidR="009224B6" w:rsidRDefault="002438FE" w:rsidP="00762705">
    <w:pPr>
      <w:pStyle w:val="Intestazione"/>
      <w:jc w:val="right"/>
    </w:pPr>
    <w:sdt>
      <w:sdtPr>
        <w:id w:val="-1318336367"/>
        <w:docPartObj>
          <w:docPartGallery w:val="Page Numbers (Top of Page)"/>
          <w:docPartUnique/>
        </w:docPartObj>
      </w:sdtPr>
      <w:sdtEndPr/>
      <w:sdtContent>
        <w:r w:rsidR="009224B6" w:rsidRPr="00762705">
          <w:rPr>
            <w:rFonts w:asciiTheme="minorHAnsi" w:hAnsiTheme="minorHAnsi"/>
          </w:rPr>
          <w:t xml:space="preserve">Page </w:t>
        </w:r>
        <w:r w:rsidR="009224B6" w:rsidRPr="00762705">
          <w:rPr>
            <w:rFonts w:asciiTheme="minorHAnsi" w:hAnsiTheme="minorHAnsi"/>
          </w:rPr>
          <w:fldChar w:fldCharType="begin"/>
        </w:r>
        <w:r w:rsidR="009224B6" w:rsidRPr="00762705">
          <w:rPr>
            <w:rFonts w:asciiTheme="minorHAnsi" w:hAnsiTheme="minorHAnsi"/>
          </w:rPr>
          <w:instrText xml:space="preserve"> PAGE </w:instrText>
        </w:r>
        <w:r w:rsidR="009224B6" w:rsidRPr="00762705">
          <w:rPr>
            <w:rFonts w:asciiTheme="minorHAnsi" w:hAnsiTheme="minorHAnsi"/>
          </w:rPr>
          <w:fldChar w:fldCharType="separate"/>
        </w:r>
        <w:r w:rsidR="00876B8B">
          <w:rPr>
            <w:rFonts w:asciiTheme="minorHAnsi" w:hAnsiTheme="minorHAnsi"/>
            <w:noProof/>
          </w:rPr>
          <w:t>2</w:t>
        </w:r>
        <w:r w:rsidR="009224B6" w:rsidRPr="00762705">
          <w:rPr>
            <w:rFonts w:asciiTheme="minorHAnsi" w:hAnsiTheme="minorHAnsi"/>
          </w:rPr>
          <w:fldChar w:fldCharType="end"/>
        </w:r>
        <w:r w:rsidR="009224B6" w:rsidRPr="00762705">
          <w:rPr>
            <w:rFonts w:asciiTheme="minorHAnsi" w:hAnsiTheme="minorHAnsi"/>
          </w:rPr>
          <w:t xml:space="preserve"> of</w:t>
        </w:r>
        <w:r w:rsidR="009224B6" w:rsidRPr="00762705">
          <w:t xml:space="preserve"> </w:t>
        </w:r>
        <w:r w:rsidR="009224B6">
          <w:fldChar w:fldCharType="begin"/>
        </w:r>
        <w:r w:rsidR="009224B6">
          <w:instrText xml:space="preserve"> NUMPAGES  </w:instrText>
        </w:r>
        <w:r w:rsidR="009224B6">
          <w:fldChar w:fldCharType="separate"/>
        </w:r>
        <w:r w:rsidR="00876B8B">
          <w:rPr>
            <w:noProof/>
          </w:rPr>
          <w:t>2</w:t>
        </w:r>
        <w:r w:rsidR="009224B6">
          <w:rPr>
            <w:noProof/>
          </w:rPr>
          <w:fldChar w:fldCharType="end"/>
        </w:r>
      </w:sdtContent>
    </w:sdt>
  </w:p>
  <w:p w14:paraId="49401E1F" w14:textId="77777777" w:rsidR="009224B6" w:rsidRDefault="009224B6" w:rsidP="00762705">
    <w:pPr>
      <w:pStyle w:val="Intestazione"/>
      <w:rPr>
        <w:noProof/>
        <w:sz w:val="20"/>
      </w:rPr>
    </w:pPr>
  </w:p>
  <w:p w14:paraId="49401E20" w14:textId="77777777" w:rsidR="009224B6" w:rsidRPr="00762705" w:rsidRDefault="009224B6" w:rsidP="0076270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01E21" w14:textId="0A97F1FA" w:rsidR="009224B6" w:rsidRDefault="009224B6" w:rsidP="00762705">
    <w:pPr>
      <w:pStyle w:val="Intestazione"/>
    </w:pPr>
  </w:p>
  <w:p w14:paraId="49401E22" w14:textId="77777777" w:rsidR="009224B6" w:rsidRDefault="009224B6" w:rsidP="0076270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64910"/>
    <w:multiLevelType w:val="hybridMultilevel"/>
    <w:tmpl w:val="5FBE5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16D65"/>
    <w:multiLevelType w:val="hybridMultilevel"/>
    <w:tmpl w:val="7410F3DA"/>
    <w:lvl w:ilvl="0" w:tplc="17C8CFEE">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15:restartNumberingAfterBreak="0">
    <w:nsid w:val="05EE2876"/>
    <w:multiLevelType w:val="hybridMultilevel"/>
    <w:tmpl w:val="CAD0267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0B591686"/>
    <w:multiLevelType w:val="hybridMultilevel"/>
    <w:tmpl w:val="854ADBA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0D275112"/>
    <w:multiLevelType w:val="hybridMultilevel"/>
    <w:tmpl w:val="BE94EA1E"/>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5" w15:restartNumberingAfterBreak="0">
    <w:nsid w:val="0DCA2755"/>
    <w:multiLevelType w:val="hybridMultilevel"/>
    <w:tmpl w:val="3238096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15:restartNumberingAfterBreak="0">
    <w:nsid w:val="1EF00257"/>
    <w:multiLevelType w:val="hybridMultilevel"/>
    <w:tmpl w:val="F6A4BBB8"/>
    <w:lvl w:ilvl="0" w:tplc="D17AEA38">
      <w:start w:val="1"/>
      <w:numFmt w:val="upperRoman"/>
      <w:lvlText w:val="%1."/>
      <w:lvlJc w:val="right"/>
      <w:pPr>
        <w:ind w:left="1730" w:hanging="454"/>
      </w:pPr>
      <w:rPr>
        <w:rFonts w:hint="default"/>
        <w:b/>
        <w:sz w:val="24"/>
      </w:rPr>
    </w:lvl>
    <w:lvl w:ilvl="1" w:tplc="3098849A">
      <w:start w:val="13"/>
      <w:numFmt w:val="decimal"/>
      <w:lvlText w:val="%2."/>
      <w:lvlJc w:val="left"/>
      <w:pPr>
        <w:ind w:left="1080" w:hanging="360"/>
      </w:pPr>
      <w:rPr>
        <w:rFonts w:hint="default"/>
        <w:b/>
        <w:i w:val="0"/>
      </w:r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13">
      <w:start w:val="1"/>
      <w:numFmt w:val="upperRoman"/>
      <w:lvlText w:val="%7."/>
      <w:lvlJc w:val="righ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2EE41E06"/>
    <w:multiLevelType w:val="hybridMultilevel"/>
    <w:tmpl w:val="298C5300"/>
    <w:lvl w:ilvl="0" w:tplc="9D7A014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81238F"/>
    <w:multiLevelType w:val="hybridMultilevel"/>
    <w:tmpl w:val="9C18F4A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786D3A"/>
    <w:multiLevelType w:val="hybridMultilevel"/>
    <w:tmpl w:val="ACEC6738"/>
    <w:lvl w:ilvl="0" w:tplc="FA3ED00A">
      <w:start w:val="1"/>
      <w:numFmt w:val="upperRoman"/>
      <w:lvlText w:val="%1."/>
      <w:lvlJc w:val="left"/>
      <w:pPr>
        <w:ind w:left="720" w:hanging="72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365A501F"/>
    <w:multiLevelType w:val="hybridMultilevel"/>
    <w:tmpl w:val="0E60D118"/>
    <w:lvl w:ilvl="0" w:tplc="267CD330">
      <w:start w:val="3"/>
      <w:numFmt w:val="decimal"/>
      <w:pStyle w:val="Sommario1"/>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282A89"/>
    <w:multiLevelType w:val="hybridMultilevel"/>
    <w:tmpl w:val="F1C48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C73BDB"/>
    <w:multiLevelType w:val="hybridMultilevel"/>
    <w:tmpl w:val="88AED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1C6C8D"/>
    <w:multiLevelType w:val="multilevel"/>
    <w:tmpl w:val="6A5847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E9741C1"/>
    <w:multiLevelType w:val="hybridMultilevel"/>
    <w:tmpl w:val="E1783960"/>
    <w:lvl w:ilvl="0" w:tplc="6B807AD0">
      <w:start w:val="6"/>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F8025F8"/>
    <w:multiLevelType w:val="hybridMultilevel"/>
    <w:tmpl w:val="0D360DCE"/>
    <w:lvl w:ilvl="0" w:tplc="2B2ED104">
      <w:start w:val="1"/>
      <w:numFmt w:val="decimal"/>
      <w:lvlText w:val="%1.)"/>
      <w:lvlJc w:val="left"/>
      <w:pPr>
        <w:ind w:left="1084" w:hanging="360"/>
      </w:pPr>
      <w:rPr>
        <w:rFonts w:hint="default"/>
      </w:rPr>
    </w:lvl>
    <w:lvl w:ilvl="1" w:tplc="08130019" w:tentative="1">
      <w:start w:val="1"/>
      <w:numFmt w:val="lowerLetter"/>
      <w:lvlText w:val="%2."/>
      <w:lvlJc w:val="left"/>
      <w:pPr>
        <w:ind w:left="1804" w:hanging="360"/>
      </w:pPr>
    </w:lvl>
    <w:lvl w:ilvl="2" w:tplc="0813001B" w:tentative="1">
      <w:start w:val="1"/>
      <w:numFmt w:val="lowerRoman"/>
      <w:lvlText w:val="%3."/>
      <w:lvlJc w:val="right"/>
      <w:pPr>
        <w:ind w:left="2524" w:hanging="180"/>
      </w:pPr>
    </w:lvl>
    <w:lvl w:ilvl="3" w:tplc="0813000F" w:tentative="1">
      <w:start w:val="1"/>
      <w:numFmt w:val="decimal"/>
      <w:lvlText w:val="%4."/>
      <w:lvlJc w:val="left"/>
      <w:pPr>
        <w:ind w:left="3244" w:hanging="360"/>
      </w:pPr>
    </w:lvl>
    <w:lvl w:ilvl="4" w:tplc="08130019" w:tentative="1">
      <w:start w:val="1"/>
      <w:numFmt w:val="lowerLetter"/>
      <w:lvlText w:val="%5."/>
      <w:lvlJc w:val="left"/>
      <w:pPr>
        <w:ind w:left="3964" w:hanging="360"/>
      </w:pPr>
    </w:lvl>
    <w:lvl w:ilvl="5" w:tplc="0813001B" w:tentative="1">
      <w:start w:val="1"/>
      <w:numFmt w:val="lowerRoman"/>
      <w:lvlText w:val="%6."/>
      <w:lvlJc w:val="right"/>
      <w:pPr>
        <w:ind w:left="4684" w:hanging="180"/>
      </w:pPr>
    </w:lvl>
    <w:lvl w:ilvl="6" w:tplc="0813000F" w:tentative="1">
      <w:start w:val="1"/>
      <w:numFmt w:val="decimal"/>
      <w:lvlText w:val="%7."/>
      <w:lvlJc w:val="left"/>
      <w:pPr>
        <w:ind w:left="5404" w:hanging="360"/>
      </w:pPr>
    </w:lvl>
    <w:lvl w:ilvl="7" w:tplc="08130019" w:tentative="1">
      <w:start w:val="1"/>
      <w:numFmt w:val="lowerLetter"/>
      <w:lvlText w:val="%8."/>
      <w:lvlJc w:val="left"/>
      <w:pPr>
        <w:ind w:left="6124" w:hanging="360"/>
      </w:pPr>
    </w:lvl>
    <w:lvl w:ilvl="8" w:tplc="0813001B" w:tentative="1">
      <w:start w:val="1"/>
      <w:numFmt w:val="lowerRoman"/>
      <w:lvlText w:val="%9."/>
      <w:lvlJc w:val="right"/>
      <w:pPr>
        <w:ind w:left="6844" w:hanging="180"/>
      </w:pPr>
    </w:lvl>
  </w:abstractNum>
  <w:abstractNum w:abstractNumId="17" w15:restartNumberingAfterBreak="0">
    <w:nsid w:val="4F8030B3"/>
    <w:multiLevelType w:val="hybridMultilevel"/>
    <w:tmpl w:val="6FF6AFB4"/>
    <w:lvl w:ilvl="0" w:tplc="64A21EC2">
      <w:start w:val="1"/>
      <w:numFmt w:val="decimal"/>
      <w:lvlText w:val="%1."/>
      <w:lvlJc w:val="left"/>
      <w:pPr>
        <w:ind w:left="1069" w:hanging="360"/>
      </w:pPr>
      <w:rPr>
        <w:rFonts w:hint="default"/>
      </w:rPr>
    </w:lvl>
    <w:lvl w:ilvl="1" w:tplc="08130019" w:tentative="1">
      <w:start w:val="1"/>
      <w:numFmt w:val="lowerLetter"/>
      <w:lvlText w:val="%2."/>
      <w:lvlJc w:val="left"/>
      <w:pPr>
        <w:ind w:left="1789" w:hanging="360"/>
      </w:p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18" w15:restartNumberingAfterBreak="0">
    <w:nsid w:val="51FF70CA"/>
    <w:multiLevelType w:val="hybridMultilevel"/>
    <w:tmpl w:val="6C8EF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8256D1"/>
    <w:multiLevelType w:val="hybridMultilevel"/>
    <w:tmpl w:val="F1FCE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184796"/>
    <w:multiLevelType w:val="hybridMultilevel"/>
    <w:tmpl w:val="2DE27BF4"/>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1" w15:restartNumberingAfterBreak="0">
    <w:nsid w:val="5C0041CA"/>
    <w:multiLevelType w:val="hybridMultilevel"/>
    <w:tmpl w:val="41CA3366"/>
    <w:lvl w:ilvl="0" w:tplc="6B807AD0">
      <w:start w:val="6"/>
      <w:numFmt w:val="bullet"/>
      <w:lvlText w:val="-"/>
      <w:lvlJc w:val="left"/>
      <w:pPr>
        <w:ind w:left="1080" w:hanging="360"/>
      </w:pPr>
      <w:rPr>
        <w:rFonts w:ascii="Calibri" w:eastAsia="Times New Roman" w:hAnsi="Calibri"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2" w15:restartNumberingAfterBreak="0">
    <w:nsid w:val="5DC0524B"/>
    <w:multiLevelType w:val="hybridMultilevel"/>
    <w:tmpl w:val="967457C0"/>
    <w:lvl w:ilvl="0" w:tplc="8A9648D8">
      <w:start w:val="1"/>
      <w:numFmt w:val="decimal"/>
      <w:pStyle w:val="Titolo1"/>
      <w:lvlText w:val="%1."/>
      <w:lvlJc w:val="left"/>
      <w:pPr>
        <w:tabs>
          <w:tab w:val="num" w:pos="360"/>
        </w:tabs>
        <w:ind w:left="360" w:hanging="360"/>
      </w:pPr>
      <w:rPr>
        <w:rFonts w:hint="default"/>
        <w:b/>
        <w:i w:val="0"/>
        <w:sz w:val="24"/>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6C97718"/>
    <w:multiLevelType w:val="hybridMultilevel"/>
    <w:tmpl w:val="3A7AB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8B77A88"/>
    <w:multiLevelType w:val="hybridMultilevel"/>
    <w:tmpl w:val="449C7BAE"/>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5" w15:restartNumberingAfterBreak="0">
    <w:nsid w:val="691C20F6"/>
    <w:multiLevelType w:val="hybridMultilevel"/>
    <w:tmpl w:val="22CC4B18"/>
    <w:lvl w:ilvl="0" w:tplc="4888EB1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89406E9"/>
    <w:multiLevelType w:val="hybridMultilevel"/>
    <w:tmpl w:val="DF0EB200"/>
    <w:lvl w:ilvl="0" w:tplc="B310EB0E">
      <w:start w:val="1"/>
      <w:numFmt w:val="upperRoman"/>
      <w:lvlText w:val="%1."/>
      <w:lvlJc w:val="left"/>
      <w:pPr>
        <w:ind w:left="2989" w:hanging="720"/>
      </w:pPr>
      <w:rPr>
        <w:rFonts w:hint="default"/>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22"/>
  </w:num>
  <w:num w:numId="2">
    <w:abstractNumId w:val="10"/>
  </w:num>
  <w:num w:numId="3">
    <w:abstractNumId w:val="6"/>
  </w:num>
  <w:num w:numId="4">
    <w:abstractNumId w:val="14"/>
  </w:num>
  <w:num w:numId="5">
    <w:abstractNumId w:val="15"/>
  </w:num>
  <w:num w:numId="6">
    <w:abstractNumId w:val="21"/>
  </w:num>
  <w:num w:numId="7">
    <w:abstractNumId w:val="4"/>
  </w:num>
  <w:num w:numId="8">
    <w:abstractNumId w:val="20"/>
  </w:num>
  <w:num w:numId="9">
    <w:abstractNumId w:val="24"/>
  </w:num>
  <w:num w:numId="10">
    <w:abstractNumId w:val="12"/>
  </w:num>
  <w:num w:numId="11">
    <w:abstractNumId w:val="9"/>
  </w:num>
  <w:num w:numId="12">
    <w:abstractNumId w:val="26"/>
  </w:num>
  <w:num w:numId="13">
    <w:abstractNumId w:val="1"/>
  </w:num>
  <w:num w:numId="14">
    <w:abstractNumId w:val="16"/>
  </w:num>
  <w:num w:numId="15">
    <w:abstractNumId w:val="17"/>
  </w:num>
  <w:num w:numId="16">
    <w:abstractNumId w:val="13"/>
  </w:num>
  <w:num w:numId="17">
    <w:abstractNumId w:val="19"/>
  </w:num>
  <w:num w:numId="18">
    <w:abstractNumId w:val="2"/>
  </w:num>
  <w:num w:numId="19">
    <w:abstractNumId w:val="18"/>
  </w:num>
  <w:num w:numId="20">
    <w:abstractNumId w:val="8"/>
  </w:num>
  <w:num w:numId="21">
    <w:abstractNumId w:val="5"/>
  </w:num>
  <w:num w:numId="22">
    <w:abstractNumId w:val="23"/>
  </w:num>
  <w:num w:numId="23">
    <w:abstractNumId w:val="7"/>
  </w:num>
  <w:num w:numId="24">
    <w:abstractNumId w:val="0"/>
  </w:num>
  <w:num w:numId="25">
    <w:abstractNumId w:val="3"/>
  </w:num>
  <w:num w:numId="26">
    <w:abstractNumId w:val="11"/>
  </w:num>
  <w:num w:numId="27">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2E"/>
    <w:rsid w:val="000014A0"/>
    <w:rsid w:val="00003981"/>
    <w:rsid w:val="0000454E"/>
    <w:rsid w:val="00004FF0"/>
    <w:rsid w:val="000067A9"/>
    <w:rsid w:val="000077DF"/>
    <w:rsid w:val="00010B22"/>
    <w:rsid w:val="000114D5"/>
    <w:rsid w:val="00012E84"/>
    <w:rsid w:val="0001319E"/>
    <w:rsid w:val="000133B6"/>
    <w:rsid w:val="000135A5"/>
    <w:rsid w:val="00014FEA"/>
    <w:rsid w:val="000152D8"/>
    <w:rsid w:val="0001609F"/>
    <w:rsid w:val="00016448"/>
    <w:rsid w:val="000164AB"/>
    <w:rsid w:val="000168B9"/>
    <w:rsid w:val="0002065E"/>
    <w:rsid w:val="000207A4"/>
    <w:rsid w:val="000230C6"/>
    <w:rsid w:val="00024287"/>
    <w:rsid w:val="00026BD6"/>
    <w:rsid w:val="000300CD"/>
    <w:rsid w:val="0003067A"/>
    <w:rsid w:val="00031C12"/>
    <w:rsid w:val="00032147"/>
    <w:rsid w:val="00032258"/>
    <w:rsid w:val="00033589"/>
    <w:rsid w:val="00033F92"/>
    <w:rsid w:val="0003444E"/>
    <w:rsid w:val="00034496"/>
    <w:rsid w:val="00034599"/>
    <w:rsid w:val="00036600"/>
    <w:rsid w:val="00036E59"/>
    <w:rsid w:val="00037483"/>
    <w:rsid w:val="000377CA"/>
    <w:rsid w:val="00037D2B"/>
    <w:rsid w:val="0004025C"/>
    <w:rsid w:val="000406AB"/>
    <w:rsid w:val="000409C0"/>
    <w:rsid w:val="00040EA3"/>
    <w:rsid w:val="000423A0"/>
    <w:rsid w:val="000440DE"/>
    <w:rsid w:val="00044E12"/>
    <w:rsid w:val="000462EF"/>
    <w:rsid w:val="00046A93"/>
    <w:rsid w:val="00046BF1"/>
    <w:rsid w:val="00046D15"/>
    <w:rsid w:val="0004762E"/>
    <w:rsid w:val="0005028F"/>
    <w:rsid w:val="00051127"/>
    <w:rsid w:val="0005251F"/>
    <w:rsid w:val="0005358F"/>
    <w:rsid w:val="0005373E"/>
    <w:rsid w:val="00053EEA"/>
    <w:rsid w:val="000542FD"/>
    <w:rsid w:val="00054878"/>
    <w:rsid w:val="00054F93"/>
    <w:rsid w:val="0005546D"/>
    <w:rsid w:val="00055C5B"/>
    <w:rsid w:val="0005741D"/>
    <w:rsid w:val="00057B61"/>
    <w:rsid w:val="00057C77"/>
    <w:rsid w:val="000611F8"/>
    <w:rsid w:val="000618E7"/>
    <w:rsid w:val="000619DA"/>
    <w:rsid w:val="00061CF4"/>
    <w:rsid w:val="00061FB4"/>
    <w:rsid w:val="000622CB"/>
    <w:rsid w:val="00066582"/>
    <w:rsid w:val="00066DA2"/>
    <w:rsid w:val="00070022"/>
    <w:rsid w:val="000713E0"/>
    <w:rsid w:val="0007274A"/>
    <w:rsid w:val="00073CF9"/>
    <w:rsid w:val="00073F20"/>
    <w:rsid w:val="000741F2"/>
    <w:rsid w:val="00074743"/>
    <w:rsid w:val="0007539A"/>
    <w:rsid w:val="00080702"/>
    <w:rsid w:val="00080A56"/>
    <w:rsid w:val="000820CE"/>
    <w:rsid w:val="00082989"/>
    <w:rsid w:val="00085429"/>
    <w:rsid w:val="00085B3D"/>
    <w:rsid w:val="00086EE7"/>
    <w:rsid w:val="00090411"/>
    <w:rsid w:val="0009359C"/>
    <w:rsid w:val="000944E0"/>
    <w:rsid w:val="00094B8F"/>
    <w:rsid w:val="00095E3C"/>
    <w:rsid w:val="00097010"/>
    <w:rsid w:val="00097227"/>
    <w:rsid w:val="00097BB1"/>
    <w:rsid w:val="00097F76"/>
    <w:rsid w:val="000A073D"/>
    <w:rsid w:val="000A2874"/>
    <w:rsid w:val="000A2BEE"/>
    <w:rsid w:val="000A2DB0"/>
    <w:rsid w:val="000A3277"/>
    <w:rsid w:val="000A373A"/>
    <w:rsid w:val="000A434C"/>
    <w:rsid w:val="000A56F2"/>
    <w:rsid w:val="000A612D"/>
    <w:rsid w:val="000A6272"/>
    <w:rsid w:val="000A72B4"/>
    <w:rsid w:val="000B08F4"/>
    <w:rsid w:val="000B46E8"/>
    <w:rsid w:val="000B50F3"/>
    <w:rsid w:val="000B686D"/>
    <w:rsid w:val="000B6D47"/>
    <w:rsid w:val="000B7AC9"/>
    <w:rsid w:val="000B7C1E"/>
    <w:rsid w:val="000C077B"/>
    <w:rsid w:val="000C3CBF"/>
    <w:rsid w:val="000C5E93"/>
    <w:rsid w:val="000C703E"/>
    <w:rsid w:val="000C7C5D"/>
    <w:rsid w:val="000D06EF"/>
    <w:rsid w:val="000D1F2A"/>
    <w:rsid w:val="000D2303"/>
    <w:rsid w:val="000D23B8"/>
    <w:rsid w:val="000D2A39"/>
    <w:rsid w:val="000D2EB3"/>
    <w:rsid w:val="000D4EF6"/>
    <w:rsid w:val="000D7CDC"/>
    <w:rsid w:val="000E0371"/>
    <w:rsid w:val="000E0D28"/>
    <w:rsid w:val="000E1005"/>
    <w:rsid w:val="000E2D67"/>
    <w:rsid w:val="000E37E1"/>
    <w:rsid w:val="000E437B"/>
    <w:rsid w:val="000E54E7"/>
    <w:rsid w:val="000E5FCD"/>
    <w:rsid w:val="000E7F49"/>
    <w:rsid w:val="000F198F"/>
    <w:rsid w:val="000F267A"/>
    <w:rsid w:val="000F373F"/>
    <w:rsid w:val="000F3B74"/>
    <w:rsid w:val="000F5478"/>
    <w:rsid w:val="000F6E64"/>
    <w:rsid w:val="000F7127"/>
    <w:rsid w:val="00100FAA"/>
    <w:rsid w:val="001015E7"/>
    <w:rsid w:val="00103F9A"/>
    <w:rsid w:val="001048EB"/>
    <w:rsid w:val="00105A16"/>
    <w:rsid w:val="00105AAA"/>
    <w:rsid w:val="0010639B"/>
    <w:rsid w:val="00106BD0"/>
    <w:rsid w:val="00106CD2"/>
    <w:rsid w:val="001074D8"/>
    <w:rsid w:val="00110070"/>
    <w:rsid w:val="001121E5"/>
    <w:rsid w:val="00112CEF"/>
    <w:rsid w:val="00112F39"/>
    <w:rsid w:val="0011351D"/>
    <w:rsid w:val="00113F73"/>
    <w:rsid w:val="001142B9"/>
    <w:rsid w:val="00114F3A"/>
    <w:rsid w:val="001153C1"/>
    <w:rsid w:val="001210DF"/>
    <w:rsid w:val="00121509"/>
    <w:rsid w:val="001220FE"/>
    <w:rsid w:val="00123BBF"/>
    <w:rsid w:val="00124DC5"/>
    <w:rsid w:val="001254B0"/>
    <w:rsid w:val="001278B2"/>
    <w:rsid w:val="00130035"/>
    <w:rsid w:val="00130DBB"/>
    <w:rsid w:val="001317A4"/>
    <w:rsid w:val="00131F96"/>
    <w:rsid w:val="0013389C"/>
    <w:rsid w:val="001343EB"/>
    <w:rsid w:val="00136A09"/>
    <w:rsid w:val="0014059F"/>
    <w:rsid w:val="001405F9"/>
    <w:rsid w:val="00140AEE"/>
    <w:rsid w:val="00140CA0"/>
    <w:rsid w:val="00141287"/>
    <w:rsid w:val="00142816"/>
    <w:rsid w:val="001444BD"/>
    <w:rsid w:val="00147862"/>
    <w:rsid w:val="00147AD9"/>
    <w:rsid w:val="001502FB"/>
    <w:rsid w:val="00153638"/>
    <w:rsid w:val="001547C1"/>
    <w:rsid w:val="001562C9"/>
    <w:rsid w:val="001571BE"/>
    <w:rsid w:val="00160E02"/>
    <w:rsid w:val="0016102E"/>
    <w:rsid w:val="00162C02"/>
    <w:rsid w:val="001630DA"/>
    <w:rsid w:val="00163632"/>
    <w:rsid w:val="00163F37"/>
    <w:rsid w:val="00164E87"/>
    <w:rsid w:val="00166871"/>
    <w:rsid w:val="00171287"/>
    <w:rsid w:val="00172A28"/>
    <w:rsid w:val="00174F47"/>
    <w:rsid w:val="00175169"/>
    <w:rsid w:val="00176C7E"/>
    <w:rsid w:val="0017707F"/>
    <w:rsid w:val="001808AF"/>
    <w:rsid w:val="00181FB4"/>
    <w:rsid w:val="00183679"/>
    <w:rsid w:val="001847D6"/>
    <w:rsid w:val="00184A31"/>
    <w:rsid w:val="001850FF"/>
    <w:rsid w:val="0018774F"/>
    <w:rsid w:val="00192B0B"/>
    <w:rsid w:val="001933FB"/>
    <w:rsid w:val="00194498"/>
    <w:rsid w:val="00194697"/>
    <w:rsid w:val="001950EF"/>
    <w:rsid w:val="001952FB"/>
    <w:rsid w:val="001968A0"/>
    <w:rsid w:val="001969D2"/>
    <w:rsid w:val="001A07AE"/>
    <w:rsid w:val="001A32E1"/>
    <w:rsid w:val="001A62A7"/>
    <w:rsid w:val="001A6581"/>
    <w:rsid w:val="001A7788"/>
    <w:rsid w:val="001A7A84"/>
    <w:rsid w:val="001B03E5"/>
    <w:rsid w:val="001B2C58"/>
    <w:rsid w:val="001B3A0B"/>
    <w:rsid w:val="001B506D"/>
    <w:rsid w:val="001B560D"/>
    <w:rsid w:val="001B58A2"/>
    <w:rsid w:val="001B5CEA"/>
    <w:rsid w:val="001B650A"/>
    <w:rsid w:val="001B7192"/>
    <w:rsid w:val="001B723E"/>
    <w:rsid w:val="001B7D38"/>
    <w:rsid w:val="001B7F65"/>
    <w:rsid w:val="001C367F"/>
    <w:rsid w:val="001C49B1"/>
    <w:rsid w:val="001C4D11"/>
    <w:rsid w:val="001D0020"/>
    <w:rsid w:val="001D571C"/>
    <w:rsid w:val="001D57E0"/>
    <w:rsid w:val="001D7942"/>
    <w:rsid w:val="001D7DC8"/>
    <w:rsid w:val="001E1594"/>
    <w:rsid w:val="001E17F3"/>
    <w:rsid w:val="001E2405"/>
    <w:rsid w:val="001E3AD9"/>
    <w:rsid w:val="001E5B01"/>
    <w:rsid w:val="001E6ACD"/>
    <w:rsid w:val="001E70A5"/>
    <w:rsid w:val="001E7329"/>
    <w:rsid w:val="001E7DDA"/>
    <w:rsid w:val="001F13A8"/>
    <w:rsid w:val="001F2DA9"/>
    <w:rsid w:val="001F50A5"/>
    <w:rsid w:val="001F5913"/>
    <w:rsid w:val="001F5A6D"/>
    <w:rsid w:val="001F5CEC"/>
    <w:rsid w:val="00201257"/>
    <w:rsid w:val="00201883"/>
    <w:rsid w:val="00202760"/>
    <w:rsid w:val="00202A8D"/>
    <w:rsid w:val="00202B68"/>
    <w:rsid w:val="00202F50"/>
    <w:rsid w:val="00203118"/>
    <w:rsid w:val="002060E6"/>
    <w:rsid w:val="00206F93"/>
    <w:rsid w:val="002108E7"/>
    <w:rsid w:val="0021092A"/>
    <w:rsid w:val="0021151B"/>
    <w:rsid w:val="00211C6D"/>
    <w:rsid w:val="00211D0E"/>
    <w:rsid w:val="00213778"/>
    <w:rsid w:val="0021484B"/>
    <w:rsid w:val="00215687"/>
    <w:rsid w:val="0021693D"/>
    <w:rsid w:val="002173B2"/>
    <w:rsid w:val="002200CE"/>
    <w:rsid w:val="002203F3"/>
    <w:rsid w:val="002211A6"/>
    <w:rsid w:val="0022194F"/>
    <w:rsid w:val="00221C51"/>
    <w:rsid w:val="002260AA"/>
    <w:rsid w:val="002264D7"/>
    <w:rsid w:val="002271B9"/>
    <w:rsid w:val="0022765F"/>
    <w:rsid w:val="00231318"/>
    <w:rsid w:val="002327ED"/>
    <w:rsid w:val="00232B80"/>
    <w:rsid w:val="00233229"/>
    <w:rsid w:val="00233D24"/>
    <w:rsid w:val="00236CD9"/>
    <w:rsid w:val="00237964"/>
    <w:rsid w:val="00237F04"/>
    <w:rsid w:val="00241626"/>
    <w:rsid w:val="0024182E"/>
    <w:rsid w:val="002421EE"/>
    <w:rsid w:val="002423F3"/>
    <w:rsid w:val="002427D3"/>
    <w:rsid w:val="002438FE"/>
    <w:rsid w:val="00244752"/>
    <w:rsid w:val="00246847"/>
    <w:rsid w:val="002515B5"/>
    <w:rsid w:val="002518C4"/>
    <w:rsid w:val="0025192C"/>
    <w:rsid w:val="00251A56"/>
    <w:rsid w:val="0025272A"/>
    <w:rsid w:val="00253DB5"/>
    <w:rsid w:val="00253FA2"/>
    <w:rsid w:val="00254012"/>
    <w:rsid w:val="00254328"/>
    <w:rsid w:val="00254958"/>
    <w:rsid w:val="00255151"/>
    <w:rsid w:val="00255B4F"/>
    <w:rsid w:val="00255BFC"/>
    <w:rsid w:val="0025705C"/>
    <w:rsid w:val="00260597"/>
    <w:rsid w:val="002606AB"/>
    <w:rsid w:val="002616D2"/>
    <w:rsid w:val="0026388E"/>
    <w:rsid w:val="00265973"/>
    <w:rsid w:val="00267189"/>
    <w:rsid w:val="002676A6"/>
    <w:rsid w:val="00271030"/>
    <w:rsid w:val="00272ED0"/>
    <w:rsid w:val="0027301B"/>
    <w:rsid w:val="00274E76"/>
    <w:rsid w:val="0027595B"/>
    <w:rsid w:val="00277D26"/>
    <w:rsid w:val="00281AC9"/>
    <w:rsid w:val="00282161"/>
    <w:rsid w:val="002841EE"/>
    <w:rsid w:val="00284C49"/>
    <w:rsid w:val="00285544"/>
    <w:rsid w:val="00286059"/>
    <w:rsid w:val="00287B2D"/>
    <w:rsid w:val="00287CBC"/>
    <w:rsid w:val="00290C08"/>
    <w:rsid w:val="00290C38"/>
    <w:rsid w:val="00291DD7"/>
    <w:rsid w:val="00291FA0"/>
    <w:rsid w:val="00293031"/>
    <w:rsid w:val="002958D6"/>
    <w:rsid w:val="00296C34"/>
    <w:rsid w:val="002970F2"/>
    <w:rsid w:val="002A0DDA"/>
    <w:rsid w:val="002A1714"/>
    <w:rsid w:val="002A19ED"/>
    <w:rsid w:val="002A1E0B"/>
    <w:rsid w:val="002A3111"/>
    <w:rsid w:val="002A31DF"/>
    <w:rsid w:val="002A3359"/>
    <w:rsid w:val="002A65FC"/>
    <w:rsid w:val="002A7D03"/>
    <w:rsid w:val="002B065A"/>
    <w:rsid w:val="002B2904"/>
    <w:rsid w:val="002B2C4B"/>
    <w:rsid w:val="002B30D1"/>
    <w:rsid w:val="002B4367"/>
    <w:rsid w:val="002B44D3"/>
    <w:rsid w:val="002B455C"/>
    <w:rsid w:val="002B56C3"/>
    <w:rsid w:val="002B61CE"/>
    <w:rsid w:val="002B7A75"/>
    <w:rsid w:val="002C07BB"/>
    <w:rsid w:val="002C27BB"/>
    <w:rsid w:val="002C480C"/>
    <w:rsid w:val="002C58AB"/>
    <w:rsid w:val="002C6211"/>
    <w:rsid w:val="002C6921"/>
    <w:rsid w:val="002D0777"/>
    <w:rsid w:val="002D086B"/>
    <w:rsid w:val="002D1108"/>
    <w:rsid w:val="002D18A5"/>
    <w:rsid w:val="002D208A"/>
    <w:rsid w:val="002D2C6C"/>
    <w:rsid w:val="002D2E63"/>
    <w:rsid w:val="002D334C"/>
    <w:rsid w:val="002D3F95"/>
    <w:rsid w:val="002D59ED"/>
    <w:rsid w:val="002D7345"/>
    <w:rsid w:val="002D7D86"/>
    <w:rsid w:val="002E1182"/>
    <w:rsid w:val="002E16F7"/>
    <w:rsid w:val="002E23C7"/>
    <w:rsid w:val="002E3B22"/>
    <w:rsid w:val="002E3D11"/>
    <w:rsid w:val="002E4D4F"/>
    <w:rsid w:val="002E6276"/>
    <w:rsid w:val="002E680E"/>
    <w:rsid w:val="002E75A9"/>
    <w:rsid w:val="002E7AAB"/>
    <w:rsid w:val="002F4A47"/>
    <w:rsid w:val="0030034F"/>
    <w:rsid w:val="0030223B"/>
    <w:rsid w:val="00303C8C"/>
    <w:rsid w:val="0030401A"/>
    <w:rsid w:val="00304B34"/>
    <w:rsid w:val="00305E73"/>
    <w:rsid w:val="003065B9"/>
    <w:rsid w:val="003071C7"/>
    <w:rsid w:val="00312033"/>
    <w:rsid w:val="0031240E"/>
    <w:rsid w:val="00314118"/>
    <w:rsid w:val="003148C4"/>
    <w:rsid w:val="00316E6B"/>
    <w:rsid w:val="0032101A"/>
    <w:rsid w:val="00322A4F"/>
    <w:rsid w:val="00322D74"/>
    <w:rsid w:val="00322F50"/>
    <w:rsid w:val="003318AD"/>
    <w:rsid w:val="003327AB"/>
    <w:rsid w:val="00332D7E"/>
    <w:rsid w:val="00332F88"/>
    <w:rsid w:val="00333ACF"/>
    <w:rsid w:val="003346D6"/>
    <w:rsid w:val="00335DC6"/>
    <w:rsid w:val="003361A7"/>
    <w:rsid w:val="003366AD"/>
    <w:rsid w:val="00336E9E"/>
    <w:rsid w:val="00337003"/>
    <w:rsid w:val="003375B0"/>
    <w:rsid w:val="00337A54"/>
    <w:rsid w:val="00340EA5"/>
    <w:rsid w:val="00342F46"/>
    <w:rsid w:val="0034337A"/>
    <w:rsid w:val="0034407E"/>
    <w:rsid w:val="003460BF"/>
    <w:rsid w:val="0034674A"/>
    <w:rsid w:val="003476E9"/>
    <w:rsid w:val="00347DCC"/>
    <w:rsid w:val="00350366"/>
    <w:rsid w:val="00350479"/>
    <w:rsid w:val="00351BBE"/>
    <w:rsid w:val="00353581"/>
    <w:rsid w:val="00354E1E"/>
    <w:rsid w:val="00355056"/>
    <w:rsid w:val="0035592B"/>
    <w:rsid w:val="0035657C"/>
    <w:rsid w:val="00360779"/>
    <w:rsid w:val="00360F59"/>
    <w:rsid w:val="003613D9"/>
    <w:rsid w:val="003616F1"/>
    <w:rsid w:val="00361A36"/>
    <w:rsid w:val="00362CFD"/>
    <w:rsid w:val="00363091"/>
    <w:rsid w:val="00364084"/>
    <w:rsid w:val="0036475D"/>
    <w:rsid w:val="00365361"/>
    <w:rsid w:val="00366841"/>
    <w:rsid w:val="00366A2B"/>
    <w:rsid w:val="00367F5B"/>
    <w:rsid w:val="0037063F"/>
    <w:rsid w:val="00371FC6"/>
    <w:rsid w:val="003759FD"/>
    <w:rsid w:val="00376495"/>
    <w:rsid w:val="0037742C"/>
    <w:rsid w:val="00380311"/>
    <w:rsid w:val="00381AD7"/>
    <w:rsid w:val="00381BD6"/>
    <w:rsid w:val="00382C34"/>
    <w:rsid w:val="00385397"/>
    <w:rsid w:val="003859EC"/>
    <w:rsid w:val="00386053"/>
    <w:rsid w:val="00387333"/>
    <w:rsid w:val="003913C2"/>
    <w:rsid w:val="00391BC2"/>
    <w:rsid w:val="0039201F"/>
    <w:rsid w:val="003929C9"/>
    <w:rsid w:val="0039333A"/>
    <w:rsid w:val="00393754"/>
    <w:rsid w:val="0039458E"/>
    <w:rsid w:val="003948CF"/>
    <w:rsid w:val="00395E36"/>
    <w:rsid w:val="00396174"/>
    <w:rsid w:val="003973D1"/>
    <w:rsid w:val="00397D58"/>
    <w:rsid w:val="003A061C"/>
    <w:rsid w:val="003A0A9F"/>
    <w:rsid w:val="003A1149"/>
    <w:rsid w:val="003A2EF6"/>
    <w:rsid w:val="003A691B"/>
    <w:rsid w:val="003B0357"/>
    <w:rsid w:val="003B0596"/>
    <w:rsid w:val="003B0E72"/>
    <w:rsid w:val="003B1823"/>
    <w:rsid w:val="003B1F85"/>
    <w:rsid w:val="003B2E74"/>
    <w:rsid w:val="003B3825"/>
    <w:rsid w:val="003B3E15"/>
    <w:rsid w:val="003B41EB"/>
    <w:rsid w:val="003B54FE"/>
    <w:rsid w:val="003B6A67"/>
    <w:rsid w:val="003B6B17"/>
    <w:rsid w:val="003C04E0"/>
    <w:rsid w:val="003C0D22"/>
    <w:rsid w:val="003C0F3A"/>
    <w:rsid w:val="003C1B8A"/>
    <w:rsid w:val="003C1D58"/>
    <w:rsid w:val="003C1DA4"/>
    <w:rsid w:val="003C2324"/>
    <w:rsid w:val="003C26B8"/>
    <w:rsid w:val="003C27C1"/>
    <w:rsid w:val="003C3513"/>
    <w:rsid w:val="003C37FA"/>
    <w:rsid w:val="003C401F"/>
    <w:rsid w:val="003C43CF"/>
    <w:rsid w:val="003D2017"/>
    <w:rsid w:val="003D2AE1"/>
    <w:rsid w:val="003D2E8D"/>
    <w:rsid w:val="003D32FC"/>
    <w:rsid w:val="003D48C0"/>
    <w:rsid w:val="003D4BA1"/>
    <w:rsid w:val="003D5869"/>
    <w:rsid w:val="003D6209"/>
    <w:rsid w:val="003D6656"/>
    <w:rsid w:val="003E0F85"/>
    <w:rsid w:val="003E1152"/>
    <w:rsid w:val="003E3FB7"/>
    <w:rsid w:val="003E4167"/>
    <w:rsid w:val="003E5156"/>
    <w:rsid w:val="003E610E"/>
    <w:rsid w:val="003E697A"/>
    <w:rsid w:val="003E71AC"/>
    <w:rsid w:val="003E7FC9"/>
    <w:rsid w:val="003F46CB"/>
    <w:rsid w:val="003F5B54"/>
    <w:rsid w:val="003F690A"/>
    <w:rsid w:val="003F6CD6"/>
    <w:rsid w:val="003F72EB"/>
    <w:rsid w:val="00401712"/>
    <w:rsid w:val="00402BE9"/>
    <w:rsid w:val="00402BF7"/>
    <w:rsid w:val="00402CB0"/>
    <w:rsid w:val="00403463"/>
    <w:rsid w:val="004035AA"/>
    <w:rsid w:val="00403BAC"/>
    <w:rsid w:val="00404E3E"/>
    <w:rsid w:val="00406B05"/>
    <w:rsid w:val="00411462"/>
    <w:rsid w:val="00411D0F"/>
    <w:rsid w:val="00411ED5"/>
    <w:rsid w:val="0041413E"/>
    <w:rsid w:val="00414E48"/>
    <w:rsid w:val="00415360"/>
    <w:rsid w:val="0041559D"/>
    <w:rsid w:val="00416C46"/>
    <w:rsid w:val="00417709"/>
    <w:rsid w:val="00420749"/>
    <w:rsid w:val="00421DE5"/>
    <w:rsid w:val="00422116"/>
    <w:rsid w:val="0042308B"/>
    <w:rsid w:val="00426085"/>
    <w:rsid w:val="0043004B"/>
    <w:rsid w:val="004302D7"/>
    <w:rsid w:val="004302E5"/>
    <w:rsid w:val="0043356A"/>
    <w:rsid w:val="00433A61"/>
    <w:rsid w:val="004342AD"/>
    <w:rsid w:val="00434546"/>
    <w:rsid w:val="0043581C"/>
    <w:rsid w:val="0043726F"/>
    <w:rsid w:val="00442896"/>
    <w:rsid w:val="00443872"/>
    <w:rsid w:val="00445A01"/>
    <w:rsid w:val="0044621B"/>
    <w:rsid w:val="004479E3"/>
    <w:rsid w:val="00447D2E"/>
    <w:rsid w:val="00451499"/>
    <w:rsid w:val="004514F6"/>
    <w:rsid w:val="00451DF8"/>
    <w:rsid w:val="0045340D"/>
    <w:rsid w:val="00454555"/>
    <w:rsid w:val="00455748"/>
    <w:rsid w:val="00455820"/>
    <w:rsid w:val="00455897"/>
    <w:rsid w:val="0045676C"/>
    <w:rsid w:val="00456FF0"/>
    <w:rsid w:val="00464DE8"/>
    <w:rsid w:val="0046547B"/>
    <w:rsid w:val="00465FD3"/>
    <w:rsid w:val="0046617E"/>
    <w:rsid w:val="00466938"/>
    <w:rsid w:val="00467B29"/>
    <w:rsid w:val="0047012B"/>
    <w:rsid w:val="00470B1B"/>
    <w:rsid w:val="00473B9C"/>
    <w:rsid w:val="00474271"/>
    <w:rsid w:val="00474AE5"/>
    <w:rsid w:val="00476FA1"/>
    <w:rsid w:val="00477C6B"/>
    <w:rsid w:val="00477D49"/>
    <w:rsid w:val="0048018E"/>
    <w:rsid w:val="00480377"/>
    <w:rsid w:val="00480DE8"/>
    <w:rsid w:val="00481F35"/>
    <w:rsid w:val="00483FA2"/>
    <w:rsid w:val="00486C27"/>
    <w:rsid w:val="00487A36"/>
    <w:rsid w:val="0049061A"/>
    <w:rsid w:val="004906CF"/>
    <w:rsid w:val="00493F6D"/>
    <w:rsid w:val="004946A4"/>
    <w:rsid w:val="00497459"/>
    <w:rsid w:val="0049768F"/>
    <w:rsid w:val="004A1853"/>
    <w:rsid w:val="004A1FD5"/>
    <w:rsid w:val="004A2ADF"/>
    <w:rsid w:val="004A63EB"/>
    <w:rsid w:val="004B1396"/>
    <w:rsid w:val="004B251C"/>
    <w:rsid w:val="004B4149"/>
    <w:rsid w:val="004B43E0"/>
    <w:rsid w:val="004B462B"/>
    <w:rsid w:val="004B4C29"/>
    <w:rsid w:val="004B62A2"/>
    <w:rsid w:val="004B6792"/>
    <w:rsid w:val="004B75AB"/>
    <w:rsid w:val="004B7EC0"/>
    <w:rsid w:val="004C0F25"/>
    <w:rsid w:val="004C1434"/>
    <w:rsid w:val="004C1B6E"/>
    <w:rsid w:val="004C36C2"/>
    <w:rsid w:val="004C46BB"/>
    <w:rsid w:val="004C6FC3"/>
    <w:rsid w:val="004C73D4"/>
    <w:rsid w:val="004C77BE"/>
    <w:rsid w:val="004C7BAD"/>
    <w:rsid w:val="004D01E5"/>
    <w:rsid w:val="004D0742"/>
    <w:rsid w:val="004D11DC"/>
    <w:rsid w:val="004D23BB"/>
    <w:rsid w:val="004D264C"/>
    <w:rsid w:val="004D5061"/>
    <w:rsid w:val="004D7B93"/>
    <w:rsid w:val="004E290B"/>
    <w:rsid w:val="004E3750"/>
    <w:rsid w:val="004E5834"/>
    <w:rsid w:val="004E63CE"/>
    <w:rsid w:val="004E6AD7"/>
    <w:rsid w:val="004F7F40"/>
    <w:rsid w:val="005022EC"/>
    <w:rsid w:val="0050364A"/>
    <w:rsid w:val="00504B58"/>
    <w:rsid w:val="00505602"/>
    <w:rsid w:val="00505661"/>
    <w:rsid w:val="00505C06"/>
    <w:rsid w:val="005069D8"/>
    <w:rsid w:val="00507E33"/>
    <w:rsid w:val="00511891"/>
    <w:rsid w:val="00511B83"/>
    <w:rsid w:val="005136E1"/>
    <w:rsid w:val="00513726"/>
    <w:rsid w:val="00516078"/>
    <w:rsid w:val="00516879"/>
    <w:rsid w:val="00520942"/>
    <w:rsid w:val="005212C1"/>
    <w:rsid w:val="00522A64"/>
    <w:rsid w:val="005234BF"/>
    <w:rsid w:val="00524787"/>
    <w:rsid w:val="00524A52"/>
    <w:rsid w:val="00524FF5"/>
    <w:rsid w:val="0052640E"/>
    <w:rsid w:val="00526C0B"/>
    <w:rsid w:val="00530848"/>
    <w:rsid w:val="00531908"/>
    <w:rsid w:val="00533B44"/>
    <w:rsid w:val="00534024"/>
    <w:rsid w:val="00534347"/>
    <w:rsid w:val="0053599D"/>
    <w:rsid w:val="0053682B"/>
    <w:rsid w:val="00537035"/>
    <w:rsid w:val="005371F3"/>
    <w:rsid w:val="005376C7"/>
    <w:rsid w:val="00541120"/>
    <w:rsid w:val="00543C00"/>
    <w:rsid w:val="00545346"/>
    <w:rsid w:val="00545CA0"/>
    <w:rsid w:val="005460E2"/>
    <w:rsid w:val="005461BF"/>
    <w:rsid w:val="005463EF"/>
    <w:rsid w:val="00546ED7"/>
    <w:rsid w:val="00547277"/>
    <w:rsid w:val="00547ECD"/>
    <w:rsid w:val="00550D79"/>
    <w:rsid w:val="00551D08"/>
    <w:rsid w:val="00553CB3"/>
    <w:rsid w:val="0055400A"/>
    <w:rsid w:val="0055493D"/>
    <w:rsid w:val="00554C8F"/>
    <w:rsid w:val="00557618"/>
    <w:rsid w:val="0055780C"/>
    <w:rsid w:val="00561110"/>
    <w:rsid w:val="00561205"/>
    <w:rsid w:val="005631AB"/>
    <w:rsid w:val="005647C4"/>
    <w:rsid w:val="00564BA2"/>
    <w:rsid w:val="00565812"/>
    <w:rsid w:val="00566834"/>
    <w:rsid w:val="00566DA2"/>
    <w:rsid w:val="0056770B"/>
    <w:rsid w:val="00570BC6"/>
    <w:rsid w:val="005717B3"/>
    <w:rsid w:val="005735BE"/>
    <w:rsid w:val="005735E7"/>
    <w:rsid w:val="005755E2"/>
    <w:rsid w:val="0058026E"/>
    <w:rsid w:val="00582160"/>
    <w:rsid w:val="00583CA6"/>
    <w:rsid w:val="0058579F"/>
    <w:rsid w:val="00586A8B"/>
    <w:rsid w:val="00586DB8"/>
    <w:rsid w:val="00587B36"/>
    <w:rsid w:val="0059040E"/>
    <w:rsid w:val="00591A47"/>
    <w:rsid w:val="00592445"/>
    <w:rsid w:val="005928AF"/>
    <w:rsid w:val="005938D5"/>
    <w:rsid w:val="00593CA2"/>
    <w:rsid w:val="00595E18"/>
    <w:rsid w:val="005965CE"/>
    <w:rsid w:val="00597116"/>
    <w:rsid w:val="00597CDE"/>
    <w:rsid w:val="005A00C8"/>
    <w:rsid w:val="005A01B3"/>
    <w:rsid w:val="005A50A0"/>
    <w:rsid w:val="005A6713"/>
    <w:rsid w:val="005A709F"/>
    <w:rsid w:val="005A721C"/>
    <w:rsid w:val="005B2CB1"/>
    <w:rsid w:val="005B3D16"/>
    <w:rsid w:val="005B50DA"/>
    <w:rsid w:val="005B64D2"/>
    <w:rsid w:val="005B78B5"/>
    <w:rsid w:val="005C0A7F"/>
    <w:rsid w:val="005C1940"/>
    <w:rsid w:val="005C1DE6"/>
    <w:rsid w:val="005C2143"/>
    <w:rsid w:val="005C53F6"/>
    <w:rsid w:val="005C579F"/>
    <w:rsid w:val="005D0E77"/>
    <w:rsid w:val="005D1FA9"/>
    <w:rsid w:val="005D2BCA"/>
    <w:rsid w:val="005D340C"/>
    <w:rsid w:val="005D3815"/>
    <w:rsid w:val="005D3AEC"/>
    <w:rsid w:val="005D3BC0"/>
    <w:rsid w:val="005D468D"/>
    <w:rsid w:val="005D46B8"/>
    <w:rsid w:val="005D6452"/>
    <w:rsid w:val="005E04AF"/>
    <w:rsid w:val="005E0946"/>
    <w:rsid w:val="005E14F6"/>
    <w:rsid w:val="005E214E"/>
    <w:rsid w:val="005E3328"/>
    <w:rsid w:val="005E348B"/>
    <w:rsid w:val="005E3529"/>
    <w:rsid w:val="005E3FA4"/>
    <w:rsid w:val="005E45A8"/>
    <w:rsid w:val="005E55C2"/>
    <w:rsid w:val="005E5960"/>
    <w:rsid w:val="005E5D4A"/>
    <w:rsid w:val="005E5DC4"/>
    <w:rsid w:val="005E5E72"/>
    <w:rsid w:val="005E699E"/>
    <w:rsid w:val="005F1B9A"/>
    <w:rsid w:val="005F2297"/>
    <w:rsid w:val="005F305E"/>
    <w:rsid w:val="005F3365"/>
    <w:rsid w:val="005F3A4A"/>
    <w:rsid w:val="005F3AA8"/>
    <w:rsid w:val="005F406F"/>
    <w:rsid w:val="005F46F2"/>
    <w:rsid w:val="005F4B22"/>
    <w:rsid w:val="005F6BCC"/>
    <w:rsid w:val="005F755E"/>
    <w:rsid w:val="005F7C80"/>
    <w:rsid w:val="006031D0"/>
    <w:rsid w:val="00604036"/>
    <w:rsid w:val="00604CA0"/>
    <w:rsid w:val="0060576E"/>
    <w:rsid w:val="00605D59"/>
    <w:rsid w:val="00606A27"/>
    <w:rsid w:val="00606A8E"/>
    <w:rsid w:val="00610411"/>
    <w:rsid w:val="006112B7"/>
    <w:rsid w:val="00611782"/>
    <w:rsid w:val="00612609"/>
    <w:rsid w:val="006136C0"/>
    <w:rsid w:val="00613D05"/>
    <w:rsid w:val="0061444A"/>
    <w:rsid w:val="00614772"/>
    <w:rsid w:val="00615610"/>
    <w:rsid w:val="006162B2"/>
    <w:rsid w:val="00616B82"/>
    <w:rsid w:val="00617AF4"/>
    <w:rsid w:val="00620E0C"/>
    <w:rsid w:val="00621649"/>
    <w:rsid w:val="00621FA5"/>
    <w:rsid w:val="0062205B"/>
    <w:rsid w:val="006220C1"/>
    <w:rsid w:val="00622DF9"/>
    <w:rsid w:val="00624707"/>
    <w:rsid w:val="0062525C"/>
    <w:rsid w:val="00625ED1"/>
    <w:rsid w:val="00626FAF"/>
    <w:rsid w:val="006273E6"/>
    <w:rsid w:val="006276AE"/>
    <w:rsid w:val="00630B6D"/>
    <w:rsid w:val="00631D9E"/>
    <w:rsid w:val="00632079"/>
    <w:rsid w:val="006328B4"/>
    <w:rsid w:val="00632902"/>
    <w:rsid w:val="00633EA2"/>
    <w:rsid w:val="006343AE"/>
    <w:rsid w:val="00634555"/>
    <w:rsid w:val="00635F37"/>
    <w:rsid w:val="00636557"/>
    <w:rsid w:val="00636BF5"/>
    <w:rsid w:val="0063776A"/>
    <w:rsid w:val="00637DFD"/>
    <w:rsid w:val="00640700"/>
    <w:rsid w:val="006412CC"/>
    <w:rsid w:val="006413B1"/>
    <w:rsid w:val="00641CAD"/>
    <w:rsid w:val="006430F4"/>
    <w:rsid w:val="00645484"/>
    <w:rsid w:val="00645CD0"/>
    <w:rsid w:val="0064692A"/>
    <w:rsid w:val="006517CB"/>
    <w:rsid w:val="00651858"/>
    <w:rsid w:val="00651BDA"/>
    <w:rsid w:val="00651F5C"/>
    <w:rsid w:val="00652A72"/>
    <w:rsid w:val="00654A5E"/>
    <w:rsid w:val="00654EDC"/>
    <w:rsid w:val="00655654"/>
    <w:rsid w:val="00660E43"/>
    <w:rsid w:val="006612AC"/>
    <w:rsid w:val="00662387"/>
    <w:rsid w:val="006636CB"/>
    <w:rsid w:val="006643AD"/>
    <w:rsid w:val="00666512"/>
    <w:rsid w:val="006702BE"/>
    <w:rsid w:val="006709CD"/>
    <w:rsid w:val="00670B95"/>
    <w:rsid w:val="00671769"/>
    <w:rsid w:val="00672D6E"/>
    <w:rsid w:val="00672EC4"/>
    <w:rsid w:val="00673DC2"/>
    <w:rsid w:val="00676BA5"/>
    <w:rsid w:val="00677C7C"/>
    <w:rsid w:val="00685760"/>
    <w:rsid w:val="006865BA"/>
    <w:rsid w:val="00691F04"/>
    <w:rsid w:val="00693A0B"/>
    <w:rsid w:val="0069434F"/>
    <w:rsid w:val="00697B8B"/>
    <w:rsid w:val="006A12FF"/>
    <w:rsid w:val="006A1FC1"/>
    <w:rsid w:val="006A2F05"/>
    <w:rsid w:val="006A2FAF"/>
    <w:rsid w:val="006A5D37"/>
    <w:rsid w:val="006A6062"/>
    <w:rsid w:val="006A6761"/>
    <w:rsid w:val="006A678C"/>
    <w:rsid w:val="006B02AB"/>
    <w:rsid w:val="006B0690"/>
    <w:rsid w:val="006B168A"/>
    <w:rsid w:val="006B24FE"/>
    <w:rsid w:val="006B31AE"/>
    <w:rsid w:val="006B4D99"/>
    <w:rsid w:val="006B5092"/>
    <w:rsid w:val="006B78F5"/>
    <w:rsid w:val="006B7D1D"/>
    <w:rsid w:val="006C0910"/>
    <w:rsid w:val="006C19F1"/>
    <w:rsid w:val="006C1D68"/>
    <w:rsid w:val="006C3922"/>
    <w:rsid w:val="006C3EA6"/>
    <w:rsid w:val="006C42E4"/>
    <w:rsid w:val="006C44DD"/>
    <w:rsid w:val="006C5AA5"/>
    <w:rsid w:val="006C73CF"/>
    <w:rsid w:val="006D058E"/>
    <w:rsid w:val="006D08EF"/>
    <w:rsid w:val="006D2526"/>
    <w:rsid w:val="006D3324"/>
    <w:rsid w:val="006D53CE"/>
    <w:rsid w:val="006D5AEC"/>
    <w:rsid w:val="006D5EBC"/>
    <w:rsid w:val="006D62C2"/>
    <w:rsid w:val="006D6BC4"/>
    <w:rsid w:val="006D75FE"/>
    <w:rsid w:val="006E0415"/>
    <w:rsid w:val="006E126B"/>
    <w:rsid w:val="006E317F"/>
    <w:rsid w:val="006E3901"/>
    <w:rsid w:val="006E3EEC"/>
    <w:rsid w:val="006E540B"/>
    <w:rsid w:val="006E7584"/>
    <w:rsid w:val="006E77C3"/>
    <w:rsid w:val="006F015F"/>
    <w:rsid w:val="006F080F"/>
    <w:rsid w:val="006F1065"/>
    <w:rsid w:val="006F1F12"/>
    <w:rsid w:val="006F21AF"/>
    <w:rsid w:val="006F27F0"/>
    <w:rsid w:val="006F2DE0"/>
    <w:rsid w:val="006F5216"/>
    <w:rsid w:val="006F5C50"/>
    <w:rsid w:val="006F676B"/>
    <w:rsid w:val="006F6D2F"/>
    <w:rsid w:val="006F6F42"/>
    <w:rsid w:val="006F7767"/>
    <w:rsid w:val="006F7CF5"/>
    <w:rsid w:val="007006CF"/>
    <w:rsid w:val="00700B33"/>
    <w:rsid w:val="00701C66"/>
    <w:rsid w:val="007035DB"/>
    <w:rsid w:val="00705F2B"/>
    <w:rsid w:val="007067BD"/>
    <w:rsid w:val="00707742"/>
    <w:rsid w:val="0071175B"/>
    <w:rsid w:val="007135AB"/>
    <w:rsid w:val="00715118"/>
    <w:rsid w:val="007157A1"/>
    <w:rsid w:val="00717A38"/>
    <w:rsid w:val="007202A4"/>
    <w:rsid w:val="00720404"/>
    <w:rsid w:val="00720653"/>
    <w:rsid w:val="007208E5"/>
    <w:rsid w:val="00721691"/>
    <w:rsid w:val="00721FE0"/>
    <w:rsid w:val="007221B6"/>
    <w:rsid w:val="00722E60"/>
    <w:rsid w:val="00723462"/>
    <w:rsid w:val="0072670D"/>
    <w:rsid w:val="00727D43"/>
    <w:rsid w:val="00730CBD"/>
    <w:rsid w:val="00732EF0"/>
    <w:rsid w:val="00733CC5"/>
    <w:rsid w:val="007352C6"/>
    <w:rsid w:val="00735446"/>
    <w:rsid w:val="00735D21"/>
    <w:rsid w:val="00737160"/>
    <w:rsid w:val="00737E94"/>
    <w:rsid w:val="00740DB7"/>
    <w:rsid w:val="00742A77"/>
    <w:rsid w:val="007454F4"/>
    <w:rsid w:val="007472C4"/>
    <w:rsid w:val="00750292"/>
    <w:rsid w:val="007507E7"/>
    <w:rsid w:val="0075126A"/>
    <w:rsid w:val="00753199"/>
    <w:rsid w:val="00754521"/>
    <w:rsid w:val="007549C6"/>
    <w:rsid w:val="00755320"/>
    <w:rsid w:val="00755A2A"/>
    <w:rsid w:val="00756080"/>
    <w:rsid w:val="0075787E"/>
    <w:rsid w:val="00757DFB"/>
    <w:rsid w:val="00760D18"/>
    <w:rsid w:val="00760DBB"/>
    <w:rsid w:val="00762705"/>
    <w:rsid w:val="00762EDC"/>
    <w:rsid w:val="0076390D"/>
    <w:rsid w:val="00764841"/>
    <w:rsid w:val="00764D3D"/>
    <w:rsid w:val="0076723B"/>
    <w:rsid w:val="0076788D"/>
    <w:rsid w:val="0077151F"/>
    <w:rsid w:val="00772A4C"/>
    <w:rsid w:val="007731F4"/>
    <w:rsid w:val="00773B7E"/>
    <w:rsid w:val="0077439A"/>
    <w:rsid w:val="007743EA"/>
    <w:rsid w:val="00774B07"/>
    <w:rsid w:val="00780E52"/>
    <w:rsid w:val="007816DD"/>
    <w:rsid w:val="00782D5E"/>
    <w:rsid w:val="0078348C"/>
    <w:rsid w:val="00783628"/>
    <w:rsid w:val="00785116"/>
    <w:rsid w:val="00785594"/>
    <w:rsid w:val="00785E00"/>
    <w:rsid w:val="0079108F"/>
    <w:rsid w:val="007964BA"/>
    <w:rsid w:val="007A357D"/>
    <w:rsid w:val="007A4294"/>
    <w:rsid w:val="007A611D"/>
    <w:rsid w:val="007B0453"/>
    <w:rsid w:val="007B0484"/>
    <w:rsid w:val="007B06FE"/>
    <w:rsid w:val="007B17D2"/>
    <w:rsid w:val="007B2BBB"/>
    <w:rsid w:val="007B3655"/>
    <w:rsid w:val="007B52E0"/>
    <w:rsid w:val="007B53EF"/>
    <w:rsid w:val="007B6097"/>
    <w:rsid w:val="007B6F3B"/>
    <w:rsid w:val="007C07ED"/>
    <w:rsid w:val="007C118A"/>
    <w:rsid w:val="007C26C9"/>
    <w:rsid w:val="007C3305"/>
    <w:rsid w:val="007C44BA"/>
    <w:rsid w:val="007C4875"/>
    <w:rsid w:val="007C4CD4"/>
    <w:rsid w:val="007C63FB"/>
    <w:rsid w:val="007C67F4"/>
    <w:rsid w:val="007C7D88"/>
    <w:rsid w:val="007D032C"/>
    <w:rsid w:val="007D325C"/>
    <w:rsid w:val="007D4702"/>
    <w:rsid w:val="007D4AFA"/>
    <w:rsid w:val="007D502A"/>
    <w:rsid w:val="007D55F2"/>
    <w:rsid w:val="007D693E"/>
    <w:rsid w:val="007D7A19"/>
    <w:rsid w:val="007E23C1"/>
    <w:rsid w:val="007E4FF4"/>
    <w:rsid w:val="007E57E0"/>
    <w:rsid w:val="007E711D"/>
    <w:rsid w:val="007E72C7"/>
    <w:rsid w:val="007F0F21"/>
    <w:rsid w:val="007F2DDC"/>
    <w:rsid w:val="007F5038"/>
    <w:rsid w:val="007F5B51"/>
    <w:rsid w:val="007F71EE"/>
    <w:rsid w:val="007F7829"/>
    <w:rsid w:val="008015FE"/>
    <w:rsid w:val="00802F6F"/>
    <w:rsid w:val="008052F2"/>
    <w:rsid w:val="00805B43"/>
    <w:rsid w:val="008060EC"/>
    <w:rsid w:val="00806DE7"/>
    <w:rsid w:val="0080734A"/>
    <w:rsid w:val="008129A9"/>
    <w:rsid w:val="00812BD0"/>
    <w:rsid w:val="00814E24"/>
    <w:rsid w:val="008154D5"/>
    <w:rsid w:val="008168BF"/>
    <w:rsid w:val="00821012"/>
    <w:rsid w:val="00821C62"/>
    <w:rsid w:val="00823998"/>
    <w:rsid w:val="00824782"/>
    <w:rsid w:val="00824E2C"/>
    <w:rsid w:val="008270A7"/>
    <w:rsid w:val="00827461"/>
    <w:rsid w:val="008274B2"/>
    <w:rsid w:val="008305AE"/>
    <w:rsid w:val="008311B5"/>
    <w:rsid w:val="00831405"/>
    <w:rsid w:val="008317B2"/>
    <w:rsid w:val="00832488"/>
    <w:rsid w:val="008328CB"/>
    <w:rsid w:val="008329C0"/>
    <w:rsid w:val="00832A3C"/>
    <w:rsid w:val="00832E10"/>
    <w:rsid w:val="00833780"/>
    <w:rsid w:val="00833CF5"/>
    <w:rsid w:val="00835706"/>
    <w:rsid w:val="00835783"/>
    <w:rsid w:val="0083602F"/>
    <w:rsid w:val="00837A81"/>
    <w:rsid w:val="008405EB"/>
    <w:rsid w:val="008415CE"/>
    <w:rsid w:val="00843FE8"/>
    <w:rsid w:val="008443DA"/>
    <w:rsid w:val="008459BA"/>
    <w:rsid w:val="008459D8"/>
    <w:rsid w:val="00846061"/>
    <w:rsid w:val="008470EE"/>
    <w:rsid w:val="008477ED"/>
    <w:rsid w:val="00847A74"/>
    <w:rsid w:val="00850A7C"/>
    <w:rsid w:val="00851BD7"/>
    <w:rsid w:val="0085346A"/>
    <w:rsid w:val="00854660"/>
    <w:rsid w:val="00854727"/>
    <w:rsid w:val="00856DDF"/>
    <w:rsid w:val="00857597"/>
    <w:rsid w:val="00860503"/>
    <w:rsid w:val="008606DB"/>
    <w:rsid w:val="00862323"/>
    <w:rsid w:val="00862452"/>
    <w:rsid w:val="00863277"/>
    <w:rsid w:val="00864347"/>
    <w:rsid w:val="0086523E"/>
    <w:rsid w:val="00865351"/>
    <w:rsid w:val="00866D7C"/>
    <w:rsid w:val="00867F37"/>
    <w:rsid w:val="0087129D"/>
    <w:rsid w:val="0087247D"/>
    <w:rsid w:val="00872557"/>
    <w:rsid w:val="00873BBB"/>
    <w:rsid w:val="0087408F"/>
    <w:rsid w:val="00875DBD"/>
    <w:rsid w:val="00876815"/>
    <w:rsid w:val="00876B8B"/>
    <w:rsid w:val="00877592"/>
    <w:rsid w:val="00877621"/>
    <w:rsid w:val="0088016C"/>
    <w:rsid w:val="00881EE8"/>
    <w:rsid w:val="00882461"/>
    <w:rsid w:val="00883C6F"/>
    <w:rsid w:val="00884896"/>
    <w:rsid w:val="00884BA9"/>
    <w:rsid w:val="00884D08"/>
    <w:rsid w:val="00885083"/>
    <w:rsid w:val="00885642"/>
    <w:rsid w:val="00887293"/>
    <w:rsid w:val="0088795E"/>
    <w:rsid w:val="00890970"/>
    <w:rsid w:val="00892800"/>
    <w:rsid w:val="008936BB"/>
    <w:rsid w:val="00894B09"/>
    <w:rsid w:val="00895D25"/>
    <w:rsid w:val="008966A4"/>
    <w:rsid w:val="008A06BB"/>
    <w:rsid w:val="008A10BB"/>
    <w:rsid w:val="008A1573"/>
    <w:rsid w:val="008A198C"/>
    <w:rsid w:val="008A3834"/>
    <w:rsid w:val="008A3A33"/>
    <w:rsid w:val="008A3C56"/>
    <w:rsid w:val="008A41B9"/>
    <w:rsid w:val="008A6317"/>
    <w:rsid w:val="008A78E2"/>
    <w:rsid w:val="008B0D50"/>
    <w:rsid w:val="008B3191"/>
    <w:rsid w:val="008B3FD7"/>
    <w:rsid w:val="008B56E3"/>
    <w:rsid w:val="008B5D7E"/>
    <w:rsid w:val="008B6617"/>
    <w:rsid w:val="008B7DCF"/>
    <w:rsid w:val="008C381C"/>
    <w:rsid w:val="008C3FB0"/>
    <w:rsid w:val="008C4BD9"/>
    <w:rsid w:val="008C6708"/>
    <w:rsid w:val="008C671D"/>
    <w:rsid w:val="008C7006"/>
    <w:rsid w:val="008C72C5"/>
    <w:rsid w:val="008D195B"/>
    <w:rsid w:val="008D3DE9"/>
    <w:rsid w:val="008D47A0"/>
    <w:rsid w:val="008D49C7"/>
    <w:rsid w:val="008E00C4"/>
    <w:rsid w:val="008E1271"/>
    <w:rsid w:val="008E1EFA"/>
    <w:rsid w:val="008E374C"/>
    <w:rsid w:val="008E4D28"/>
    <w:rsid w:val="008E547E"/>
    <w:rsid w:val="008E5710"/>
    <w:rsid w:val="008E7195"/>
    <w:rsid w:val="008E7E6E"/>
    <w:rsid w:val="008E7FB9"/>
    <w:rsid w:val="008F2646"/>
    <w:rsid w:val="008F2C08"/>
    <w:rsid w:val="008F3738"/>
    <w:rsid w:val="008F3943"/>
    <w:rsid w:val="008F5156"/>
    <w:rsid w:val="008F5E81"/>
    <w:rsid w:val="008F5F84"/>
    <w:rsid w:val="008F6CE1"/>
    <w:rsid w:val="00901EB6"/>
    <w:rsid w:val="0090335C"/>
    <w:rsid w:val="00903CAA"/>
    <w:rsid w:val="0090467B"/>
    <w:rsid w:val="009054F3"/>
    <w:rsid w:val="00905509"/>
    <w:rsid w:val="00910C2E"/>
    <w:rsid w:val="00911851"/>
    <w:rsid w:val="00912457"/>
    <w:rsid w:val="00913024"/>
    <w:rsid w:val="00913E5D"/>
    <w:rsid w:val="00916535"/>
    <w:rsid w:val="00917E20"/>
    <w:rsid w:val="009202EB"/>
    <w:rsid w:val="00920692"/>
    <w:rsid w:val="009206A3"/>
    <w:rsid w:val="00920CC5"/>
    <w:rsid w:val="0092170D"/>
    <w:rsid w:val="009224B6"/>
    <w:rsid w:val="009225B2"/>
    <w:rsid w:val="00924224"/>
    <w:rsid w:val="009269FD"/>
    <w:rsid w:val="00926FD9"/>
    <w:rsid w:val="00930290"/>
    <w:rsid w:val="00930950"/>
    <w:rsid w:val="00931805"/>
    <w:rsid w:val="00933209"/>
    <w:rsid w:val="0093390F"/>
    <w:rsid w:val="00934D28"/>
    <w:rsid w:val="00935BC9"/>
    <w:rsid w:val="00935DC5"/>
    <w:rsid w:val="00936905"/>
    <w:rsid w:val="00936B26"/>
    <w:rsid w:val="00936E84"/>
    <w:rsid w:val="009378B8"/>
    <w:rsid w:val="0094076A"/>
    <w:rsid w:val="009414E2"/>
    <w:rsid w:val="009420B0"/>
    <w:rsid w:val="00942B49"/>
    <w:rsid w:val="00943283"/>
    <w:rsid w:val="009449DF"/>
    <w:rsid w:val="00944A8E"/>
    <w:rsid w:val="00945988"/>
    <w:rsid w:val="009476B1"/>
    <w:rsid w:val="0095010E"/>
    <w:rsid w:val="009510FB"/>
    <w:rsid w:val="009518E0"/>
    <w:rsid w:val="00951C93"/>
    <w:rsid w:val="009536A5"/>
    <w:rsid w:val="00953BAE"/>
    <w:rsid w:val="00954216"/>
    <w:rsid w:val="009543B4"/>
    <w:rsid w:val="009557A7"/>
    <w:rsid w:val="009567B5"/>
    <w:rsid w:val="009617F3"/>
    <w:rsid w:val="0096238B"/>
    <w:rsid w:val="009629EE"/>
    <w:rsid w:val="00964DBE"/>
    <w:rsid w:val="00966046"/>
    <w:rsid w:val="009702B1"/>
    <w:rsid w:val="00970CBC"/>
    <w:rsid w:val="00973CFC"/>
    <w:rsid w:val="00975014"/>
    <w:rsid w:val="00975329"/>
    <w:rsid w:val="00975D86"/>
    <w:rsid w:val="0097673F"/>
    <w:rsid w:val="009779BC"/>
    <w:rsid w:val="00977D73"/>
    <w:rsid w:val="009813B1"/>
    <w:rsid w:val="009814B1"/>
    <w:rsid w:val="00982CE2"/>
    <w:rsid w:val="0098528A"/>
    <w:rsid w:val="0098643E"/>
    <w:rsid w:val="00987B13"/>
    <w:rsid w:val="00990E4C"/>
    <w:rsid w:val="009910B4"/>
    <w:rsid w:val="00991BF0"/>
    <w:rsid w:val="00991CE8"/>
    <w:rsid w:val="00995728"/>
    <w:rsid w:val="00995EAA"/>
    <w:rsid w:val="0099676F"/>
    <w:rsid w:val="00996983"/>
    <w:rsid w:val="009A0611"/>
    <w:rsid w:val="009A1636"/>
    <w:rsid w:val="009A2188"/>
    <w:rsid w:val="009A2AFF"/>
    <w:rsid w:val="009A4789"/>
    <w:rsid w:val="009A6A1D"/>
    <w:rsid w:val="009A6B52"/>
    <w:rsid w:val="009B29C2"/>
    <w:rsid w:val="009B4203"/>
    <w:rsid w:val="009B54AF"/>
    <w:rsid w:val="009B61FA"/>
    <w:rsid w:val="009B6A1C"/>
    <w:rsid w:val="009C054A"/>
    <w:rsid w:val="009C091C"/>
    <w:rsid w:val="009C0C37"/>
    <w:rsid w:val="009C3059"/>
    <w:rsid w:val="009C3A64"/>
    <w:rsid w:val="009C4035"/>
    <w:rsid w:val="009C5D0F"/>
    <w:rsid w:val="009C5F6C"/>
    <w:rsid w:val="009C5F99"/>
    <w:rsid w:val="009C6ABE"/>
    <w:rsid w:val="009C6B26"/>
    <w:rsid w:val="009D0017"/>
    <w:rsid w:val="009D1439"/>
    <w:rsid w:val="009D171C"/>
    <w:rsid w:val="009D257F"/>
    <w:rsid w:val="009D2903"/>
    <w:rsid w:val="009D431B"/>
    <w:rsid w:val="009D558F"/>
    <w:rsid w:val="009D6192"/>
    <w:rsid w:val="009E06F2"/>
    <w:rsid w:val="009E27FF"/>
    <w:rsid w:val="009E3178"/>
    <w:rsid w:val="009E472E"/>
    <w:rsid w:val="009E4E6D"/>
    <w:rsid w:val="009E5829"/>
    <w:rsid w:val="009E5C8C"/>
    <w:rsid w:val="009E62B0"/>
    <w:rsid w:val="009E71DD"/>
    <w:rsid w:val="009E781B"/>
    <w:rsid w:val="009F0136"/>
    <w:rsid w:val="009F0EF5"/>
    <w:rsid w:val="009F3420"/>
    <w:rsid w:val="009F4E5B"/>
    <w:rsid w:val="009F7415"/>
    <w:rsid w:val="00A01677"/>
    <w:rsid w:val="00A019FF"/>
    <w:rsid w:val="00A031E1"/>
    <w:rsid w:val="00A03290"/>
    <w:rsid w:val="00A05FDC"/>
    <w:rsid w:val="00A0617C"/>
    <w:rsid w:val="00A06212"/>
    <w:rsid w:val="00A065EC"/>
    <w:rsid w:val="00A06896"/>
    <w:rsid w:val="00A07E39"/>
    <w:rsid w:val="00A11AF1"/>
    <w:rsid w:val="00A12B20"/>
    <w:rsid w:val="00A1351C"/>
    <w:rsid w:val="00A1650B"/>
    <w:rsid w:val="00A167D9"/>
    <w:rsid w:val="00A17958"/>
    <w:rsid w:val="00A203DB"/>
    <w:rsid w:val="00A205FE"/>
    <w:rsid w:val="00A2476C"/>
    <w:rsid w:val="00A247B3"/>
    <w:rsid w:val="00A26828"/>
    <w:rsid w:val="00A313B3"/>
    <w:rsid w:val="00A316C1"/>
    <w:rsid w:val="00A3170B"/>
    <w:rsid w:val="00A330A5"/>
    <w:rsid w:val="00A3315D"/>
    <w:rsid w:val="00A3355E"/>
    <w:rsid w:val="00A33677"/>
    <w:rsid w:val="00A34F30"/>
    <w:rsid w:val="00A43131"/>
    <w:rsid w:val="00A447D4"/>
    <w:rsid w:val="00A45E16"/>
    <w:rsid w:val="00A47F31"/>
    <w:rsid w:val="00A5052B"/>
    <w:rsid w:val="00A51F85"/>
    <w:rsid w:val="00A52CEF"/>
    <w:rsid w:val="00A52EE1"/>
    <w:rsid w:val="00A5336B"/>
    <w:rsid w:val="00A53DC3"/>
    <w:rsid w:val="00A544D7"/>
    <w:rsid w:val="00A55733"/>
    <w:rsid w:val="00A562D5"/>
    <w:rsid w:val="00A60FB8"/>
    <w:rsid w:val="00A60FDB"/>
    <w:rsid w:val="00A613AF"/>
    <w:rsid w:val="00A6257A"/>
    <w:rsid w:val="00A64681"/>
    <w:rsid w:val="00A64698"/>
    <w:rsid w:val="00A64EE8"/>
    <w:rsid w:val="00A65784"/>
    <w:rsid w:val="00A66448"/>
    <w:rsid w:val="00A6770A"/>
    <w:rsid w:val="00A702C5"/>
    <w:rsid w:val="00A71524"/>
    <w:rsid w:val="00A719C0"/>
    <w:rsid w:val="00A72AC5"/>
    <w:rsid w:val="00A73D4D"/>
    <w:rsid w:val="00A75093"/>
    <w:rsid w:val="00A76F6F"/>
    <w:rsid w:val="00A80CBF"/>
    <w:rsid w:val="00A816A5"/>
    <w:rsid w:val="00A82527"/>
    <w:rsid w:val="00A825AB"/>
    <w:rsid w:val="00A8304C"/>
    <w:rsid w:val="00A835C2"/>
    <w:rsid w:val="00A83BDB"/>
    <w:rsid w:val="00A83D56"/>
    <w:rsid w:val="00A84084"/>
    <w:rsid w:val="00A91030"/>
    <w:rsid w:val="00A96703"/>
    <w:rsid w:val="00A97A85"/>
    <w:rsid w:val="00AA08B3"/>
    <w:rsid w:val="00AA0F45"/>
    <w:rsid w:val="00AA1235"/>
    <w:rsid w:val="00AA2890"/>
    <w:rsid w:val="00AA347A"/>
    <w:rsid w:val="00AA38D3"/>
    <w:rsid w:val="00AA608F"/>
    <w:rsid w:val="00AA7CB3"/>
    <w:rsid w:val="00AB0A16"/>
    <w:rsid w:val="00AB1DE5"/>
    <w:rsid w:val="00AB3DB6"/>
    <w:rsid w:val="00AB50CC"/>
    <w:rsid w:val="00AB5D34"/>
    <w:rsid w:val="00AB5FE1"/>
    <w:rsid w:val="00AB6F01"/>
    <w:rsid w:val="00AB761C"/>
    <w:rsid w:val="00AC2886"/>
    <w:rsid w:val="00AC4382"/>
    <w:rsid w:val="00AC5912"/>
    <w:rsid w:val="00AC6036"/>
    <w:rsid w:val="00AC609F"/>
    <w:rsid w:val="00AC71AB"/>
    <w:rsid w:val="00AD0E48"/>
    <w:rsid w:val="00AD4AD6"/>
    <w:rsid w:val="00AD5701"/>
    <w:rsid w:val="00AE0106"/>
    <w:rsid w:val="00AE074F"/>
    <w:rsid w:val="00AE1EA9"/>
    <w:rsid w:val="00AE2070"/>
    <w:rsid w:val="00AE26C9"/>
    <w:rsid w:val="00AE38C4"/>
    <w:rsid w:val="00AE57CC"/>
    <w:rsid w:val="00AE585E"/>
    <w:rsid w:val="00AE7946"/>
    <w:rsid w:val="00AF0647"/>
    <w:rsid w:val="00AF09D9"/>
    <w:rsid w:val="00AF2369"/>
    <w:rsid w:val="00AF354D"/>
    <w:rsid w:val="00AF3E5F"/>
    <w:rsid w:val="00AF4180"/>
    <w:rsid w:val="00AF472B"/>
    <w:rsid w:val="00AF75BA"/>
    <w:rsid w:val="00AF7C99"/>
    <w:rsid w:val="00B00C39"/>
    <w:rsid w:val="00B00DCA"/>
    <w:rsid w:val="00B00E9E"/>
    <w:rsid w:val="00B0393E"/>
    <w:rsid w:val="00B07D3F"/>
    <w:rsid w:val="00B107ED"/>
    <w:rsid w:val="00B10F05"/>
    <w:rsid w:val="00B10FA8"/>
    <w:rsid w:val="00B13A12"/>
    <w:rsid w:val="00B162F8"/>
    <w:rsid w:val="00B16B38"/>
    <w:rsid w:val="00B16CE6"/>
    <w:rsid w:val="00B16D21"/>
    <w:rsid w:val="00B20C03"/>
    <w:rsid w:val="00B24FFF"/>
    <w:rsid w:val="00B250E1"/>
    <w:rsid w:val="00B257BF"/>
    <w:rsid w:val="00B25B38"/>
    <w:rsid w:val="00B26EB1"/>
    <w:rsid w:val="00B3050E"/>
    <w:rsid w:val="00B30C88"/>
    <w:rsid w:val="00B3105B"/>
    <w:rsid w:val="00B314A3"/>
    <w:rsid w:val="00B3197B"/>
    <w:rsid w:val="00B32A2F"/>
    <w:rsid w:val="00B32F47"/>
    <w:rsid w:val="00B3359B"/>
    <w:rsid w:val="00B3393A"/>
    <w:rsid w:val="00B3420D"/>
    <w:rsid w:val="00B34C02"/>
    <w:rsid w:val="00B35380"/>
    <w:rsid w:val="00B368EC"/>
    <w:rsid w:val="00B37147"/>
    <w:rsid w:val="00B37E27"/>
    <w:rsid w:val="00B4043B"/>
    <w:rsid w:val="00B42644"/>
    <w:rsid w:val="00B427B4"/>
    <w:rsid w:val="00B42E7A"/>
    <w:rsid w:val="00B43836"/>
    <w:rsid w:val="00B447D7"/>
    <w:rsid w:val="00B44AE0"/>
    <w:rsid w:val="00B44B9B"/>
    <w:rsid w:val="00B453EB"/>
    <w:rsid w:val="00B45CFC"/>
    <w:rsid w:val="00B460B2"/>
    <w:rsid w:val="00B4675A"/>
    <w:rsid w:val="00B50C1B"/>
    <w:rsid w:val="00B50CDD"/>
    <w:rsid w:val="00B51268"/>
    <w:rsid w:val="00B51FC8"/>
    <w:rsid w:val="00B525FE"/>
    <w:rsid w:val="00B52CD4"/>
    <w:rsid w:val="00B53E44"/>
    <w:rsid w:val="00B543AB"/>
    <w:rsid w:val="00B57374"/>
    <w:rsid w:val="00B57434"/>
    <w:rsid w:val="00B579DD"/>
    <w:rsid w:val="00B57A12"/>
    <w:rsid w:val="00B60316"/>
    <w:rsid w:val="00B60418"/>
    <w:rsid w:val="00B60D03"/>
    <w:rsid w:val="00B61ED2"/>
    <w:rsid w:val="00B6578F"/>
    <w:rsid w:val="00B66B8D"/>
    <w:rsid w:val="00B71940"/>
    <w:rsid w:val="00B73012"/>
    <w:rsid w:val="00B73A57"/>
    <w:rsid w:val="00B73C6C"/>
    <w:rsid w:val="00B74154"/>
    <w:rsid w:val="00B74F2C"/>
    <w:rsid w:val="00B74F3C"/>
    <w:rsid w:val="00B76082"/>
    <w:rsid w:val="00B768CF"/>
    <w:rsid w:val="00B80DE4"/>
    <w:rsid w:val="00B80EA5"/>
    <w:rsid w:val="00B83573"/>
    <w:rsid w:val="00B85BD1"/>
    <w:rsid w:val="00B90817"/>
    <w:rsid w:val="00B9198A"/>
    <w:rsid w:val="00B9220F"/>
    <w:rsid w:val="00B9306C"/>
    <w:rsid w:val="00B93B62"/>
    <w:rsid w:val="00B944C1"/>
    <w:rsid w:val="00B951B2"/>
    <w:rsid w:val="00B95C32"/>
    <w:rsid w:val="00B96575"/>
    <w:rsid w:val="00B96A6D"/>
    <w:rsid w:val="00BA2EDD"/>
    <w:rsid w:val="00BA5A8B"/>
    <w:rsid w:val="00BA65FA"/>
    <w:rsid w:val="00BA74B6"/>
    <w:rsid w:val="00BA7EEB"/>
    <w:rsid w:val="00BB1426"/>
    <w:rsid w:val="00BB2362"/>
    <w:rsid w:val="00BB2559"/>
    <w:rsid w:val="00BB3644"/>
    <w:rsid w:val="00BB4721"/>
    <w:rsid w:val="00BB65A5"/>
    <w:rsid w:val="00BB6AA6"/>
    <w:rsid w:val="00BB7BF6"/>
    <w:rsid w:val="00BC2976"/>
    <w:rsid w:val="00BC397E"/>
    <w:rsid w:val="00BC50D7"/>
    <w:rsid w:val="00BC566D"/>
    <w:rsid w:val="00BC6B7A"/>
    <w:rsid w:val="00BC6C60"/>
    <w:rsid w:val="00BC6F00"/>
    <w:rsid w:val="00BC7C98"/>
    <w:rsid w:val="00BD3E68"/>
    <w:rsid w:val="00BD6EC6"/>
    <w:rsid w:val="00BD70D8"/>
    <w:rsid w:val="00BE0E54"/>
    <w:rsid w:val="00BE0FD6"/>
    <w:rsid w:val="00BE1E3C"/>
    <w:rsid w:val="00BE25D5"/>
    <w:rsid w:val="00BE45AA"/>
    <w:rsid w:val="00BE6320"/>
    <w:rsid w:val="00BE7047"/>
    <w:rsid w:val="00BE713C"/>
    <w:rsid w:val="00BE717A"/>
    <w:rsid w:val="00BF1024"/>
    <w:rsid w:val="00BF1670"/>
    <w:rsid w:val="00BF4AE5"/>
    <w:rsid w:val="00BF4DB9"/>
    <w:rsid w:val="00BF6F52"/>
    <w:rsid w:val="00C00621"/>
    <w:rsid w:val="00C008DA"/>
    <w:rsid w:val="00C00E15"/>
    <w:rsid w:val="00C022B5"/>
    <w:rsid w:val="00C0327F"/>
    <w:rsid w:val="00C0391C"/>
    <w:rsid w:val="00C046BF"/>
    <w:rsid w:val="00C048D6"/>
    <w:rsid w:val="00C04EF9"/>
    <w:rsid w:val="00C054A4"/>
    <w:rsid w:val="00C07EE9"/>
    <w:rsid w:val="00C105CA"/>
    <w:rsid w:val="00C10A8D"/>
    <w:rsid w:val="00C12AD8"/>
    <w:rsid w:val="00C12DAF"/>
    <w:rsid w:val="00C12E91"/>
    <w:rsid w:val="00C15DB8"/>
    <w:rsid w:val="00C2066E"/>
    <w:rsid w:val="00C212CC"/>
    <w:rsid w:val="00C21DBC"/>
    <w:rsid w:val="00C23498"/>
    <w:rsid w:val="00C238BA"/>
    <w:rsid w:val="00C24E05"/>
    <w:rsid w:val="00C24FAA"/>
    <w:rsid w:val="00C2519B"/>
    <w:rsid w:val="00C25285"/>
    <w:rsid w:val="00C27903"/>
    <w:rsid w:val="00C30E66"/>
    <w:rsid w:val="00C31352"/>
    <w:rsid w:val="00C3467D"/>
    <w:rsid w:val="00C34751"/>
    <w:rsid w:val="00C35AF4"/>
    <w:rsid w:val="00C36AD2"/>
    <w:rsid w:val="00C40D66"/>
    <w:rsid w:val="00C43C17"/>
    <w:rsid w:val="00C45694"/>
    <w:rsid w:val="00C45A19"/>
    <w:rsid w:val="00C45A56"/>
    <w:rsid w:val="00C45AB0"/>
    <w:rsid w:val="00C46533"/>
    <w:rsid w:val="00C4665D"/>
    <w:rsid w:val="00C47349"/>
    <w:rsid w:val="00C476F6"/>
    <w:rsid w:val="00C47C54"/>
    <w:rsid w:val="00C50C38"/>
    <w:rsid w:val="00C50D7D"/>
    <w:rsid w:val="00C5151D"/>
    <w:rsid w:val="00C5188D"/>
    <w:rsid w:val="00C53119"/>
    <w:rsid w:val="00C533ED"/>
    <w:rsid w:val="00C54091"/>
    <w:rsid w:val="00C54092"/>
    <w:rsid w:val="00C54830"/>
    <w:rsid w:val="00C548F6"/>
    <w:rsid w:val="00C54AC3"/>
    <w:rsid w:val="00C60EFF"/>
    <w:rsid w:val="00C617CC"/>
    <w:rsid w:val="00C61D0D"/>
    <w:rsid w:val="00C62A58"/>
    <w:rsid w:val="00C62DE7"/>
    <w:rsid w:val="00C63E17"/>
    <w:rsid w:val="00C6655F"/>
    <w:rsid w:val="00C66939"/>
    <w:rsid w:val="00C700E6"/>
    <w:rsid w:val="00C70940"/>
    <w:rsid w:val="00C70F15"/>
    <w:rsid w:val="00C7120F"/>
    <w:rsid w:val="00C7245B"/>
    <w:rsid w:val="00C737DB"/>
    <w:rsid w:val="00C77A5B"/>
    <w:rsid w:val="00C807B0"/>
    <w:rsid w:val="00C82C2C"/>
    <w:rsid w:val="00C83BE7"/>
    <w:rsid w:val="00C86C33"/>
    <w:rsid w:val="00C87205"/>
    <w:rsid w:val="00C8739F"/>
    <w:rsid w:val="00C90DA5"/>
    <w:rsid w:val="00C915AD"/>
    <w:rsid w:val="00C92743"/>
    <w:rsid w:val="00C928A2"/>
    <w:rsid w:val="00C92A69"/>
    <w:rsid w:val="00C9366E"/>
    <w:rsid w:val="00C93CC4"/>
    <w:rsid w:val="00C9639D"/>
    <w:rsid w:val="00CA05F3"/>
    <w:rsid w:val="00CA096A"/>
    <w:rsid w:val="00CA0A4A"/>
    <w:rsid w:val="00CA1FE8"/>
    <w:rsid w:val="00CA2D09"/>
    <w:rsid w:val="00CA2D5D"/>
    <w:rsid w:val="00CA2FD1"/>
    <w:rsid w:val="00CA3174"/>
    <w:rsid w:val="00CA3CAA"/>
    <w:rsid w:val="00CA4900"/>
    <w:rsid w:val="00CA5D3C"/>
    <w:rsid w:val="00CA659D"/>
    <w:rsid w:val="00CA68C5"/>
    <w:rsid w:val="00CA7B09"/>
    <w:rsid w:val="00CB1A3C"/>
    <w:rsid w:val="00CB2062"/>
    <w:rsid w:val="00CB2236"/>
    <w:rsid w:val="00CB2787"/>
    <w:rsid w:val="00CB44B5"/>
    <w:rsid w:val="00CB6CEC"/>
    <w:rsid w:val="00CB7317"/>
    <w:rsid w:val="00CB7837"/>
    <w:rsid w:val="00CC10A1"/>
    <w:rsid w:val="00CC2264"/>
    <w:rsid w:val="00CC23F6"/>
    <w:rsid w:val="00CC3A31"/>
    <w:rsid w:val="00CC3E8D"/>
    <w:rsid w:val="00CC400E"/>
    <w:rsid w:val="00CC48C6"/>
    <w:rsid w:val="00CC64A1"/>
    <w:rsid w:val="00CC7054"/>
    <w:rsid w:val="00CD11E6"/>
    <w:rsid w:val="00CD1361"/>
    <w:rsid w:val="00CD21F9"/>
    <w:rsid w:val="00CD31A6"/>
    <w:rsid w:val="00CD3BAB"/>
    <w:rsid w:val="00CD3FAA"/>
    <w:rsid w:val="00CD4898"/>
    <w:rsid w:val="00CD4A31"/>
    <w:rsid w:val="00CD5094"/>
    <w:rsid w:val="00CD6011"/>
    <w:rsid w:val="00CE03DC"/>
    <w:rsid w:val="00CE0D21"/>
    <w:rsid w:val="00CE17F2"/>
    <w:rsid w:val="00CE282F"/>
    <w:rsid w:val="00CE34D7"/>
    <w:rsid w:val="00CE444D"/>
    <w:rsid w:val="00CE4F28"/>
    <w:rsid w:val="00CE5038"/>
    <w:rsid w:val="00CE5165"/>
    <w:rsid w:val="00CE60CF"/>
    <w:rsid w:val="00CE62E4"/>
    <w:rsid w:val="00CF1F92"/>
    <w:rsid w:val="00CF2700"/>
    <w:rsid w:val="00CF3844"/>
    <w:rsid w:val="00CF3F62"/>
    <w:rsid w:val="00CF657F"/>
    <w:rsid w:val="00CF6A47"/>
    <w:rsid w:val="00D00C99"/>
    <w:rsid w:val="00D035DF"/>
    <w:rsid w:val="00D038E4"/>
    <w:rsid w:val="00D04AC9"/>
    <w:rsid w:val="00D057C0"/>
    <w:rsid w:val="00D065B9"/>
    <w:rsid w:val="00D07D83"/>
    <w:rsid w:val="00D101C8"/>
    <w:rsid w:val="00D10479"/>
    <w:rsid w:val="00D11081"/>
    <w:rsid w:val="00D11F8E"/>
    <w:rsid w:val="00D120DF"/>
    <w:rsid w:val="00D209CF"/>
    <w:rsid w:val="00D20DD8"/>
    <w:rsid w:val="00D21F38"/>
    <w:rsid w:val="00D23473"/>
    <w:rsid w:val="00D238B1"/>
    <w:rsid w:val="00D2533A"/>
    <w:rsid w:val="00D266C6"/>
    <w:rsid w:val="00D26DFD"/>
    <w:rsid w:val="00D315A4"/>
    <w:rsid w:val="00D34571"/>
    <w:rsid w:val="00D3510E"/>
    <w:rsid w:val="00D36F9B"/>
    <w:rsid w:val="00D4115B"/>
    <w:rsid w:val="00D44424"/>
    <w:rsid w:val="00D448EC"/>
    <w:rsid w:val="00D47554"/>
    <w:rsid w:val="00D4758F"/>
    <w:rsid w:val="00D47865"/>
    <w:rsid w:val="00D505D7"/>
    <w:rsid w:val="00D50947"/>
    <w:rsid w:val="00D51D6A"/>
    <w:rsid w:val="00D52696"/>
    <w:rsid w:val="00D52A7A"/>
    <w:rsid w:val="00D54BAC"/>
    <w:rsid w:val="00D54F44"/>
    <w:rsid w:val="00D560D8"/>
    <w:rsid w:val="00D5679A"/>
    <w:rsid w:val="00D60F08"/>
    <w:rsid w:val="00D62357"/>
    <w:rsid w:val="00D62596"/>
    <w:rsid w:val="00D631E8"/>
    <w:rsid w:val="00D64C01"/>
    <w:rsid w:val="00D6629A"/>
    <w:rsid w:val="00D67720"/>
    <w:rsid w:val="00D704CD"/>
    <w:rsid w:val="00D73699"/>
    <w:rsid w:val="00D751EF"/>
    <w:rsid w:val="00D76496"/>
    <w:rsid w:val="00D77791"/>
    <w:rsid w:val="00D77843"/>
    <w:rsid w:val="00D81558"/>
    <w:rsid w:val="00D815E9"/>
    <w:rsid w:val="00D82A2D"/>
    <w:rsid w:val="00D82DDC"/>
    <w:rsid w:val="00D85EFC"/>
    <w:rsid w:val="00D85FF7"/>
    <w:rsid w:val="00D860AD"/>
    <w:rsid w:val="00D86251"/>
    <w:rsid w:val="00D90593"/>
    <w:rsid w:val="00D90898"/>
    <w:rsid w:val="00D91E50"/>
    <w:rsid w:val="00D9327A"/>
    <w:rsid w:val="00D94417"/>
    <w:rsid w:val="00D96771"/>
    <w:rsid w:val="00DA136E"/>
    <w:rsid w:val="00DA33BE"/>
    <w:rsid w:val="00DA34C6"/>
    <w:rsid w:val="00DA48E8"/>
    <w:rsid w:val="00DA50B3"/>
    <w:rsid w:val="00DA51B8"/>
    <w:rsid w:val="00DA6454"/>
    <w:rsid w:val="00DA7A47"/>
    <w:rsid w:val="00DA7DAE"/>
    <w:rsid w:val="00DB0147"/>
    <w:rsid w:val="00DB1D74"/>
    <w:rsid w:val="00DB22F8"/>
    <w:rsid w:val="00DB417A"/>
    <w:rsid w:val="00DB49F2"/>
    <w:rsid w:val="00DB5A48"/>
    <w:rsid w:val="00DB73B6"/>
    <w:rsid w:val="00DB7940"/>
    <w:rsid w:val="00DC0089"/>
    <w:rsid w:val="00DC3549"/>
    <w:rsid w:val="00DC38A6"/>
    <w:rsid w:val="00DC3DE5"/>
    <w:rsid w:val="00DC64E4"/>
    <w:rsid w:val="00DD00C7"/>
    <w:rsid w:val="00DD0A56"/>
    <w:rsid w:val="00DD1515"/>
    <w:rsid w:val="00DD43E7"/>
    <w:rsid w:val="00DD5E4C"/>
    <w:rsid w:val="00DD6328"/>
    <w:rsid w:val="00DD6689"/>
    <w:rsid w:val="00DD76DF"/>
    <w:rsid w:val="00DE28AC"/>
    <w:rsid w:val="00DE3400"/>
    <w:rsid w:val="00DE5A5B"/>
    <w:rsid w:val="00DE7C5B"/>
    <w:rsid w:val="00DF03BF"/>
    <w:rsid w:val="00DF0F43"/>
    <w:rsid w:val="00DF1077"/>
    <w:rsid w:val="00DF21E0"/>
    <w:rsid w:val="00DF2B22"/>
    <w:rsid w:val="00DF2D21"/>
    <w:rsid w:val="00DF656E"/>
    <w:rsid w:val="00DF7BCF"/>
    <w:rsid w:val="00E000C5"/>
    <w:rsid w:val="00E00939"/>
    <w:rsid w:val="00E009B7"/>
    <w:rsid w:val="00E015B8"/>
    <w:rsid w:val="00E0423F"/>
    <w:rsid w:val="00E051B8"/>
    <w:rsid w:val="00E057E4"/>
    <w:rsid w:val="00E05D87"/>
    <w:rsid w:val="00E1054A"/>
    <w:rsid w:val="00E10963"/>
    <w:rsid w:val="00E12500"/>
    <w:rsid w:val="00E1294B"/>
    <w:rsid w:val="00E143EB"/>
    <w:rsid w:val="00E14930"/>
    <w:rsid w:val="00E14E9D"/>
    <w:rsid w:val="00E15F89"/>
    <w:rsid w:val="00E1610B"/>
    <w:rsid w:val="00E164E3"/>
    <w:rsid w:val="00E16CC4"/>
    <w:rsid w:val="00E172ED"/>
    <w:rsid w:val="00E21449"/>
    <w:rsid w:val="00E21F95"/>
    <w:rsid w:val="00E2254F"/>
    <w:rsid w:val="00E2255B"/>
    <w:rsid w:val="00E225B4"/>
    <w:rsid w:val="00E24E0E"/>
    <w:rsid w:val="00E26661"/>
    <w:rsid w:val="00E26A26"/>
    <w:rsid w:val="00E30CAA"/>
    <w:rsid w:val="00E310C5"/>
    <w:rsid w:val="00E351CB"/>
    <w:rsid w:val="00E35210"/>
    <w:rsid w:val="00E36758"/>
    <w:rsid w:val="00E367B3"/>
    <w:rsid w:val="00E370AC"/>
    <w:rsid w:val="00E37FAD"/>
    <w:rsid w:val="00E40C3E"/>
    <w:rsid w:val="00E424AC"/>
    <w:rsid w:val="00E4417D"/>
    <w:rsid w:val="00E46C28"/>
    <w:rsid w:val="00E513CF"/>
    <w:rsid w:val="00E531AB"/>
    <w:rsid w:val="00E54C69"/>
    <w:rsid w:val="00E60610"/>
    <w:rsid w:val="00E62234"/>
    <w:rsid w:val="00E62A69"/>
    <w:rsid w:val="00E6305D"/>
    <w:rsid w:val="00E65FDA"/>
    <w:rsid w:val="00E66C25"/>
    <w:rsid w:val="00E71E91"/>
    <w:rsid w:val="00E72B75"/>
    <w:rsid w:val="00E752CD"/>
    <w:rsid w:val="00E76E27"/>
    <w:rsid w:val="00E80034"/>
    <w:rsid w:val="00E804BE"/>
    <w:rsid w:val="00E80CE9"/>
    <w:rsid w:val="00E82182"/>
    <w:rsid w:val="00E831AB"/>
    <w:rsid w:val="00E83D2F"/>
    <w:rsid w:val="00E909A7"/>
    <w:rsid w:val="00E91F07"/>
    <w:rsid w:val="00E96152"/>
    <w:rsid w:val="00EA0A9A"/>
    <w:rsid w:val="00EA0B13"/>
    <w:rsid w:val="00EA26A0"/>
    <w:rsid w:val="00EA6B11"/>
    <w:rsid w:val="00EA7BEF"/>
    <w:rsid w:val="00EB198A"/>
    <w:rsid w:val="00EB2018"/>
    <w:rsid w:val="00EB2270"/>
    <w:rsid w:val="00EB29A2"/>
    <w:rsid w:val="00EB2EE9"/>
    <w:rsid w:val="00EB31F3"/>
    <w:rsid w:val="00EB5DEE"/>
    <w:rsid w:val="00EB62AD"/>
    <w:rsid w:val="00EB7B5F"/>
    <w:rsid w:val="00EC4044"/>
    <w:rsid w:val="00EC4683"/>
    <w:rsid w:val="00EC4BB9"/>
    <w:rsid w:val="00EC66DF"/>
    <w:rsid w:val="00EC68FD"/>
    <w:rsid w:val="00EC6993"/>
    <w:rsid w:val="00EC73F6"/>
    <w:rsid w:val="00ED06E9"/>
    <w:rsid w:val="00ED084A"/>
    <w:rsid w:val="00ED0F51"/>
    <w:rsid w:val="00ED10D3"/>
    <w:rsid w:val="00ED168F"/>
    <w:rsid w:val="00ED2129"/>
    <w:rsid w:val="00ED2BF3"/>
    <w:rsid w:val="00EE0F8A"/>
    <w:rsid w:val="00EE13C3"/>
    <w:rsid w:val="00EE16C1"/>
    <w:rsid w:val="00EE23AB"/>
    <w:rsid w:val="00EE33B5"/>
    <w:rsid w:val="00EE3BD7"/>
    <w:rsid w:val="00EE430F"/>
    <w:rsid w:val="00EE5DA0"/>
    <w:rsid w:val="00EE64E9"/>
    <w:rsid w:val="00EF0152"/>
    <w:rsid w:val="00EF095C"/>
    <w:rsid w:val="00EF4176"/>
    <w:rsid w:val="00EF4BCD"/>
    <w:rsid w:val="00EF5515"/>
    <w:rsid w:val="00EF59FA"/>
    <w:rsid w:val="00EF7030"/>
    <w:rsid w:val="00EF72A1"/>
    <w:rsid w:val="00EF7AD6"/>
    <w:rsid w:val="00EF7BC8"/>
    <w:rsid w:val="00F00F72"/>
    <w:rsid w:val="00F02319"/>
    <w:rsid w:val="00F028AD"/>
    <w:rsid w:val="00F03826"/>
    <w:rsid w:val="00F043E7"/>
    <w:rsid w:val="00F04BD8"/>
    <w:rsid w:val="00F05766"/>
    <w:rsid w:val="00F06165"/>
    <w:rsid w:val="00F10CEA"/>
    <w:rsid w:val="00F1304D"/>
    <w:rsid w:val="00F150E4"/>
    <w:rsid w:val="00F15560"/>
    <w:rsid w:val="00F157C4"/>
    <w:rsid w:val="00F15F1B"/>
    <w:rsid w:val="00F1653A"/>
    <w:rsid w:val="00F16DC6"/>
    <w:rsid w:val="00F16E45"/>
    <w:rsid w:val="00F20736"/>
    <w:rsid w:val="00F21E8E"/>
    <w:rsid w:val="00F229E6"/>
    <w:rsid w:val="00F23F7E"/>
    <w:rsid w:val="00F2413C"/>
    <w:rsid w:val="00F25B96"/>
    <w:rsid w:val="00F26C15"/>
    <w:rsid w:val="00F27006"/>
    <w:rsid w:val="00F277C9"/>
    <w:rsid w:val="00F27957"/>
    <w:rsid w:val="00F3200A"/>
    <w:rsid w:val="00F32695"/>
    <w:rsid w:val="00F3417D"/>
    <w:rsid w:val="00F3438B"/>
    <w:rsid w:val="00F349C8"/>
    <w:rsid w:val="00F34E48"/>
    <w:rsid w:val="00F352DC"/>
    <w:rsid w:val="00F36B54"/>
    <w:rsid w:val="00F36C27"/>
    <w:rsid w:val="00F3731F"/>
    <w:rsid w:val="00F40914"/>
    <w:rsid w:val="00F4097F"/>
    <w:rsid w:val="00F40DAB"/>
    <w:rsid w:val="00F410AA"/>
    <w:rsid w:val="00F416F4"/>
    <w:rsid w:val="00F42484"/>
    <w:rsid w:val="00F426E3"/>
    <w:rsid w:val="00F42E44"/>
    <w:rsid w:val="00F43BF8"/>
    <w:rsid w:val="00F44611"/>
    <w:rsid w:val="00F454AA"/>
    <w:rsid w:val="00F45523"/>
    <w:rsid w:val="00F45EBD"/>
    <w:rsid w:val="00F46375"/>
    <w:rsid w:val="00F46847"/>
    <w:rsid w:val="00F46D6E"/>
    <w:rsid w:val="00F54F66"/>
    <w:rsid w:val="00F55CF4"/>
    <w:rsid w:val="00F6008F"/>
    <w:rsid w:val="00F60576"/>
    <w:rsid w:val="00F617BE"/>
    <w:rsid w:val="00F70052"/>
    <w:rsid w:val="00F702ED"/>
    <w:rsid w:val="00F70B70"/>
    <w:rsid w:val="00F72227"/>
    <w:rsid w:val="00F75381"/>
    <w:rsid w:val="00F75F7B"/>
    <w:rsid w:val="00F77D5E"/>
    <w:rsid w:val="00F81D05"/>
    <w:rsid w:val="00F8270B"/>
    <w:rsid w:val="00F82E92"/>
    <w:rsid w:val="00F84486"/>
    <w:rsid w:val="00F8479A"/>
    <w:rsid w:val="00F85A5E"/>
    <w:rsid w:val="00F8719D"/>
    <w:rsid w:val="00F87511"/>
    <w:rsid w:val="00F876C5"/>
    <w:rsid w:val="00F87E25"/>
    <w:rsid w:val="00F902AA"/>
    <w:rsid w:val="00F916C7"/>
    <w:rsid w:val="00F93544"/>
    <w:rsid w:val="00F93FBF"/>
    <w:rsid w:val="00F957DE"/>
    <w:rsid w:val="00F958F4"/>
    <w:rsid w:val="00FA5519"/>
    <w:rsid w:val="00FA6704"/>
    <w:rsid w:val="00FA6B82"/>
    <w:rsid w:val="00FA6CBE"/>
    <w:rsid w:val="00FB08AD"/>
    <w:rsid w:val="00FB15A3"/>
    <w:rsid w:val="00FB20DB"/>
    <w:rsid w:val="00FB2859"/>
    <w:rsid w:val="00FB5994"/>
    <w:rsid w:val="00FB63A7"/>
    <w:rsid w:val="00FB65C1"/>
    <w:rsid w:val="00FB6E4B"/>
    <w:rsid w:val="00FB6FB7"/>
    <w:rsid w:val="00FB7143"/>
    <w:rsid w:val="00FC0744"/>
    <w:rsid w:val="00FC0AF7"/>
    <w:rsid w:val="00FC128C"/>
    <w:rsid w:val="00FC2E7F"/>
    <w:rsid w:val="00FC3106"/>
    <w:rsid w:val="00FC44C1"/>
    <w:rsid w:val="00FC587B"/>
    <w:rsid w:val="00FC6565"/>
    <w:rsid w:val="00FD026C"/>
    <w:rsid w:val="00FD075A"/>
    <w:rsid w:val="00FD0F39"/>
    <w:rsid w:val="00FD1842"/>
    <w:rsid w:val="00FD1A8A"/>
    <w:rsid w:val="00FD1D5C"/>
    <w:rsid w:val="00FD26D5"/>
    <w:rsid w:val="00FD2A91"/>
    <w:rsid w:val="00FD4C73"/>
    <w:rsid w:val="00FE0AB7"/>
    <w:rsid w:val="00FE177F"/>
    <w:rsid w:val="00FE1F7C"/>
    <w:rsid w:val="00FE2677"/>
    <w:rsid w:val="00FE522F"/>
    <w:rsid w:val="00FF0171"/>
    <w:rsid w:val="00FF0825"/>
    <w:rsid w:val="00FF42FC"/>
    <w:rsid w:val="00FF4639"/>
    <w:rsid w:val="00FF5036"/>
    <w:rsid w:val="00FF5589"/>
    <w:rsid w:val="00FF5718"/>
    <w:rsid w:val="00FF580D"/>
    <w:rsid w:val="00FF5DFD"/>
    <w:rsid w:val="00FF7A57"/>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9401DF1"/>
  <w15:docId w15:val="{B3B8E90D-9E7A-40A0-A489-907143D4C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762705"/>
    <w:pPr>
      <w:autoSpaceDE w:val="0"/>
      <w:autoSpaceDN w:val="0"/>
    </w:pPr>
    <w:rPr>
      <w:rFonts w:ascii="Calibri" w:hAnsi="Calibri"/>
      <w:sz w:val="22"/>
      <w:szCs w:val="24"/>
      <w:lang w:val="en-GB" w:eastAsia="en-US"/>
    </w:rPr>
  </w:style>
  <w:style w:type="paragraph" w:styleId="Titolo1">
    <w:name w:val="heading 1"/>
    <w:basedOn w:val="Normale"/>
    <w:next w:val="Normale"/>
    <w:qFormat/>
    <w:pPr>
      <w:keepNext/>
      <w:numPr>
        <w:numId w:val="1"/>
      </w:numPr>
      <w:spacing w:before="60"/>
      <w:ind w:left="357" w:hanging="357"/>
      <w:jc w:val="both"/>
      <w:outlineLvl w:val="0"/>
    </w:pPr>
    <w:rPr>
      <w:b/>
      <w:iCs/>
      <w:smallCaps/>
      <w:spacing w:val="20"/>
    </w:rPr>
  </w:style>
  <w:style w:type="paragraph" w:styleId="Titolo2">
    <w:name w:val="heading 2"/>
    <w:basedOn w:val="Normale"/>
    <w:next w:val="Normale"/>
    <w:qFormat/>
    <w:pPr>
      <w:keepNext/>
      <w:spacing w:before="60"/>
      <w:ind w:left="357"/>
      <w:outlineLvl w:val="1"/>
    </w:pPr>
    <w:rPr>
      <w:bCs/>
      <w:i/>
      <w:iCs/>
      <w:smallCaps/>
    </w:rPr>
  </w:style>
  <w:style w:type="paragraph" w:styleId="Titolo3">
    <w:name w:val="heading 3"/>
    <w:basedOn w:val="Normale"/>
    <w:next w:val="Normale"/>
    <w:qFormat/>
    <w:pPr>
      <w:keepNext/>
      <w:jc w:val="both"/>
      <w:outlineLvl w:val="2"/>
    </w:pPr>
    <w:rPr>
      <w:b/>
      <w:bCs/>
      <w:smallCaps/>
    </w:rPr>
  </w:style>
  <w:style w:type="paragraph" w:styleId="Titolo4">
    <w:name w:val="heading 4"/>
    <w:basedOn w:val="Normale"/>
    <w:next w:val="Normale"/>
    <w:qFormat/>
    <w:pPr>
      <w:keepNext/>
      <w:ind w:left="360"/>
      <w:jc w:val="both"/>
      <w:outlineLvl w:val="3"/>
    </w:pPr>
    <w:rPr>
      <w:i/>
      <w:iCs/>
      <w:smallCaps/>
    </w:rPr>
  </w:style>
  <w:style w:type="paragraph" w:styleId="Titolo5">
    <w:name w:val="heading 5"/>
    <w:basedOn w:val="Normale"/>
    <w:next w:val="Normale"/>
    <w:qFormat/>
    <w:pPr>
      <w:keepNext/>
      <w:jc w:val="both"/>
      <w:outlineLvl w:val="4"/>
    </w:pPr>
    <w:rPr>
      <w:i/>
      <w:iCs/>
      <w:smallCaps/>
    </w:rPr>
  </w:style>
  <w:style w:type="paragraph" w:styleId="Titolo6">
    <w:name w:val="heading 6"/>
    <w:basedOn w:val="Normale"/>
    <w:next w:val="Normale"/>
    <w:qFormat/>
    <w:pPr>
      <w:keepNext/>
      <w:ind w:left="720"/>
      <w:jc w:val="both"/>
      <w:outlineLvl w:val="5"/>
    </w:pPr>
    <w:rPr>
      <w:i/>
      <w:iCs/>
      <w:smallCaps/>
    </w:rPr>
  </w:style>
  <w:style w:type="paragraph" w:styleId="Titolo7">
    <w:name w:val="heading 7"/>
    <w:basedOn w:val="Normale"/>
    <w:next w:val="Normale"/>
    <w:qFormat/>
    <w:pPr>
      <w:keepNext/>
      <w:outlineLvl w:val="6"/>
    </w:pPr>
    <w:rPr>
      <w:b/>
      <w:bCs/>
      <w:szCs w:val="28"/>
    </w:rPr>
  </w:style>
  <w:style w:type="paragraph" w:styleId="Titolo8">
    <w:name w:val="heading 8"/>
    <w:basedOn w:val="Normale"/>
    <w:next w:val="Normale"/>
    <w:qFormat/>
    <w:pPr>
      <w:keepNext/>
      <w:jc w:val="center"/>
      <w:outlineLvl w:val="7"/>
    </w:pPr>
    <w:rPr>
      <w:b/>
      <w:bCs/>
    </w:rPr>
  </w:style>
  <w:style w:type="paragraph" w:styleId="Titolo9">
    <w:name w:val="heading 9"/>
    <w:basedOn w:val="Normale"/>
    <w:next w:val="Normale"/>
    <w:qFormat/>
    <w:pPr>
      <w:keepNext/>
      <w:jc w:val="center"/>
      <w:outlineLvl w:val="8"/>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153"/>
        <w:tab w:val="right" w:pos="8306"/>
      </w:tabs>
    </w:pPr>
  </w:style>
  <w:style w:type="character" w:styleId="Numeropagina">
    <w:name w:val="page number"/>
    <w:basedOn w:val="Carpredefinitoparagrafo"/>
  </w:style>
  <w:style w:type="paragraph" w:styleId="Rientrocorpodeltesto">
    <w:name w:val="Body Text Indent"/>
    <w:basedOn w:val="Normale"/>
    <w:pPr>
      <w:ind w:left="357"/>
      <w:jc w:val="both"/>
    </w:pPr>
  </w:style>
  <w:style w:type="paragraph" w:styleId="Rientrocorpodeltesto2">
    <w:name w:val="Body Text Indent 2"/>
    <w:basedOn w:val="Normale"/>
    <w:pPr>
      <w:ind w:left="1080"/>
      <w:jc w:val="both"/>
    </w:pPr>
  </w:style>
  <w:style w:type="paragraph" w:styleId="Rientrocorpodeltesto3">
    <w:name w:val="Body Text Indent 3"/>
    <w:basedOn w:val="Normale"/>
    <w:pPr>
      <w:ind w:left="1080"/>
      <w:jc w:val="both"/>
    </w:pPr>
    <w:rPr>
      <w:i/>
      <w:iCs/>
    </w:rPr>
  </w:style>
  <w:style w:type="paragraph" w:styleId="Corpotesto">
    <w:name w:val="Body Text"/>
    <w:basedOn w:val="Normale"/>
    <w:pPr>
      <w:jc w:val="both"/>
    </w:pPr>
  </w:style>
  <w:style w:type="paragraph" w:styleId="Pidipagina">
    <w:name w:val="footer"/>
    <w:basedOn w:val="Normale"/>
    <w:pPr>
      <w:tabs>
        <w:tab w:val="center" w:pos="4320"/>
        <w:tab w:val="right" w:pos="8640"/>
      </w:tabs>
    </w:pPr>
  </w:style>
  <w:style w:type="character" w:styleId="Collegamentoipertestuale">
    <w:name w:val="Hyperlink"/>
    <w:rPr>
      <w:color w:val="0000FF"/>
      <w:u w:val="single"/>
    </w:rPr>
  </w:style>
  <w:style w:type="paragraph" w:styleId="Sommario1">
    <w:name w:val="toc 1"/>
    <w:basedOn w:val="Normale"/>
    <w:next w:val="Normale"/>
    <w:autoRedefine/>
    <w:semiHidden/>
    <w:pPr>
      <w:numPr>
        <w:numId w:val="2"/>
      </w:numPr>
    </w:pPr>
    <w:rPr>
      <w:b/>
      <w:bCs/>
    </w:rPr>
  </w:style>
  <w:style w:type="paragraph" w:styleId="Sommario2">
    <w:name w:val="toc 2"/>
    <w:basedOn w:val="Normale"/>
    <w:next w:val="Normale"/>
    <w:autoRedefine/>
    <w:semiHidden/>
    <w:pPr>
      <w:ind w:left="720"/>
    </w:pPr>
    <w:rPr>
      <w:i/>
      <w:smallCaps/>
    </w:rPr>
  </w:style>
  <w:style w:type="paragraph" w:styleId="Sommario3">
    <w:name w:val="toc 3"/>
    <w:basedOn w:val="Normale"/>
    <w:next w:val="Normale"/>
    <w:autoRedefine/>
    <w:semiHidden/>
    <w:pPr>
      <w:ind w:left="480"/>
    </w:pPr>
  </w:style>
  <w:style w:type="paragraph" w:styleId="Sommario4">
    <w:name w:val="toc 4"/>
    <w:basedOn w:val="Normale"/>
    <w:next w:val="Normale"/>
    <w:autoRedefine/>
    <w:semiHidden/>
    <w:pPr>
      <w:ind w:left="720"/>
    </w:pPr>
  </w:style>
  <w:style w:type="paragraph" w:styleId="Sommario5">
    <w:name w:val="toc 5"/>
    <w:basedOn w:val="Normale"/>
    <w:next w:val="Normale"/>
    <w:autoRedefine/>
    <w:semiHidden/>
    <w:pPr>
      <w:ind w:left="960"/>
    </w:p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uiPriority w:val="99"/>
    <w:qFormat/>
    <w:rPr>
      <w:sz w:val="20"/>
      <w:szCs w:val="20"/>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Pr>
      <w:vertAlign w:val="superscript"/>
    </w:rPr>
  </w:style>
  <w:style w:type="paragraph" w:styleId="Corpodeltesto2">
    <w:name w:val="Body Text 2"/>
    <w:basedOn w:val="Normale"/>
    <w:rPr>
      <w:iCs/>
    </w:rPr>
  </w:style>
  <w:style w:type="paragraph" w:styleId="NormaleWeb">
    <w:name w:val="Normal (Web)"/>
    <w:basedOn w:val="Normale"/>
    <w:uiPriority w:val="99"/>
    <w:pPr>
      <w:autoSpaceDE/>
      <w:autoSpaceDN/>
      <w:spacing w:before="100" w:beforeAutospacing="1" w:after="100" w:afterAutospacing="1"/>
    </w:pPr>
    <w:rPr>
      <w:rFonts w:ascii="Arial Unicode MS" w:eastAsia="Arial Unicode MS" w:hAnsi="Arial Unicode MS" w:cs="Arial Unicode MS"/>
      <w:lang w:val="en-US"/>
    </w:rPr>
  </w:style>
  <w:style w:type="character" w:styleId="Collegamentovisitato">
    <w:name w:val="FollowedHyperlink"/>
    <w:rPr>
      <w:color w:val="800080"/>
      <w:u w:val="single"/>
    </w:rPr>
  </w:style>
  <w:style w:type="paragraph" w:styleId="Corpodeltesto3">
    <w:name w:val="Body Text 3"/>
    <w:basedOn w:val="Normale"/>
    <w:pPr>
      <w:jc w:val="both"/>
    </w:pPr>
    <w:rPr>
      <w:u w:val="single"/>
    </w:rPr>
  </w:style>
  <w:style w:type="paragraph" w:customStyle="1" w:styleId="NoteHead">
    <w:name w:val="NoteHead"/>
    <w:basedOn w:val="Normale"/>
    <w:next w:val="Normale"/>
    <w:pPr>
      <w:autoSpaceDE/>
      <w:autoSpaceDN/>
      <w:spacing w:before="720" w:after="720"/>
      <w:jc w:val="center"/>
    </w:pPr>
    <w:rPr>
      <w:b/>
      <w:smallCaps/>
      <w:szCs w:val="20"/>
      <w:lang w:eastAsia="ko-KR"/>
    </w:rPr>
  </w:style>
  <w:style w:type="character" w:styleId="Enfasigrassetto">
    <w:name w:val="Strong"/>
    <w:uiPriority w:val="22"/>
    <w:qFormat/>
    <w:rPr>
      <w:b/>
      <w:bCs/>
    </w:rPr>
  </w:style>
  <w:style w:type="paragraph" w:customStyle="1" w:styleId="listparagraph">
    <w:name w:val="listparagraph"/>
    <w:basedOn w:val="Normale"/>
    <w:rsid w:val="00C12E91"/>
    <w:pPr>
      <w:autoSpaceDE/>
      <w:autoSpaceDN/>
      <w:spacing w:after="200" w:line="276" w:lineRule="auto"/>
      <w:ind w:left="720"/>
    </w:pPr>
    <w:rPr>
      <w:szCs w:val="22"/>
      <w:lang w:val="fr-FR" w:eastAsia="fr-FR"/>
    </w:rPr>
  </w:style>
  <w:style w:type="paragraph" w:styleId="Paragrafoelenco">
    <w:name w:val="List Paragraph"/>
    <w:basedOn w:val="Normale"/>
    <w:uiPriority w:val="34"/>
    <w:qFormat/>
    <w:rsid w:val="00237F04"/>
    <w:pPr>
      <w:ind w:left="708"/>
    </w:pPr>
  </w:style>
  <w:style w:type="paragraph" w:customStyle="1" w:styleId="Default">
    <w:name w:val="Default"/>
    <w:rsid w:val="006C3922"/>
    <w:pPr>
      <w:autoSpaceDE w:val="0"/>
      <w:autoSpaceDN w:val="0"/>
      <w:adjustRightInd w:val="0"/>
    </w:pPr>
    <w:rPr>
      <w:rFonts w:ascii="Arial" w:hAnsi="Arial" w:cs="Arial"/>
      <w:color w:val="000000"/>
      <w:sz w:val="24"/>
      <w:szCs w:val="24"/>
    </w:rPr>
  </w:style>
  <w:style w:type="paragraph" w:customStyle="1" w:styleId="Paragraphedeliste">
    <w:name w:val="Paragraphe de liste"/>
    <w:basedOn w:val="Normale"/>
    <w:qFormat/>
    <w:rsid w:val="00862323"/>
    <w:pPr>
      <w:autoSpaceDE/>
      <w:autoSpaceDN/>
      <w:ind w:left="720"/>
      <w:contextualSpacing/>
      <w:jc w:val="both"/>
    </w:pPr>
    <w:rPr>
      <w:lang w:val="fr-FR" w:eastAsia="fr-FR"/>
    </w:rPr>
  </w:style>
  <w:style w:type="paragraph" w:styleId="Testofumetto">
    <w:name w:val="Balloon Text"/>
    <w:basedOn w:val="Normale"/>
    <w:link w:val="TestofumettoCarattere"/>
    <w:rsid w:val="00024287"/>
    <w:rPr>
      <w:rFonts w:ascii="Tahoma" w:hAnsi="Tahoma" w:cs="Tahoma"/>
      <w:sz w:val="16"/>
      <w:szCs w:val="16"/>
    </w:rPr>
  </w:style>
  <w:style w:type="character" w:customStyle="1" w:styleId="TestofumettoCarattere">
    <w:name w:val="Testo fumetto Carattere"/>
    <w:link w:val="Testofumetto"/>
    <w:rsid w:val="00024287"/>
    <w:rPr>
      <w:rFonts w:ascii="Tahoma" w:hAnsi="Tahoma" w:cs="Tahoma"/>
      <w:sz w:val="16"/>
      <w:szCs w:val="16"/>
      <w:lang w:val="en-GB" w:eastAsia="en-US"/>
    </w:rPr>
  </w:style>
  <w:style w:type="character" w:customStyle="1" w:styleId="IntestazioneCarattere">
    <w:name w:val="Intestazione Carattere"/>
    <w:link w:val="Intestazione"/>
    <w:uiPriority w:val="99"/>
    <w:rsid w:val="00881EE8"/>
    <w:rPr>
      <w:sz w:val="24"/>
      <w:szCs w:val="24"/>
      <w:lang w:val="en-GB" w:eastAsia="en-US"/>
    </w:rPr>
  </w:style>
  <w:style w:type="table" w:styleId="Grigliatabella">
    <w:name w:val="Table Grid"/>
    <w:basedOn w:val="Tabellanormale"/>
    <w:uiPriority w:val="99"/>
    <w:rsid w:val="00406B0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basedOn w:val="Carpredefinitoparagrafo"/>
    <w:uiPriority w:val="19"/>
    <w:qFormat/>
    <w:rsid w:val="00406B05"/>
    <w:rPr>
      <w:i/>
      <w:iCs/>
      <w:color w:val="404040" w:themeColor="text1" w:themeTint="BF"/>
    </w:rPr>
  </w:style>
  <w:style w:type="paragraph" w:styleId="Sottotitolo">
    <w:name w:val="Subtitle"/>
    <w:basedOn w:val="Normale"/>
    <w:next w:val="Normale"/>
    <w:link w:val="SottotitoloCarattere"/>
    <w:qFormat/>
    <w:rsid w:val="00A9103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ottotitoloCarattere">
    <w:name w:val="Sottotitolo Carattere"/>
    <w:basedOn w:val="Carpredefinitoparagrafo"/>
    <w:link w:val="Sottotitolo"/>
    <w:rsid w:val="00A91030"/>
    <w:rPr>
      <w:rFonts w:asciiTheme="minorHAnsi" w:eastAsiaTheme="minorEastAsia" w:hAnsiTheme="minorHAnsi" w:cstheme="minorBidi"/>
      <w:color w:val="5A5A5A" w:themeColor="text1" w:themeTint="A5"/>
      <w:spacing w:val="15"/>
      <w:sz w:val="22"/>
      <w:szCs w:val="22"/>
      <w:lang w:val="en-GB" w:eastAsia="en-US"/>
    </w:rPr>
  </w:style>
  <w:style w:type="character" w:styleId="Rimandocommento">
    <w:name w:val="annotation reference"/>
    <w:basedOn w:val="Carpredefinitoparagrafo"/>
    <w:semiHidden/>
    <w:unhideWhenUsed/>
    <w:rsid w:val="005136E1"/>
    <w:rPr>
      <w:sz w:val="16"/>
      <w:szCs w:val="16"/>
    </w:rPr>
  </w:style>
  <w:style w:type="paragraph" w:styleId="Testocommento">
    <w:name w:val="annotation text"/>
    <w:basedOn w:val="Normale"/>
    <w:link w:val="TestocommentoCarattere"/>
    <w:semiHidden/>
    <w:unhideWhenUsed/>
    <w:rsid w:val="005136E1"/>
    <w:rPr>
      <w:sz w:val="20"/>
      <w:szCs w:val="20"/>
    </w:rPr>
  </w:style>
  <w:style w:type="character" w:customStyle="1" w:styleId="TestocommentoCarattere">
    <w:name w:val="Testo commento Carattere"/>
    <w:basedOn w:val="Carpredefinitoparagrafo"/>
    <w:link w:val="Testocommento"/>
    <w:semiHidden/>
    <w:rsid w:val="005136E1"/>
    <w:rPr>
      <w:rFonts w:ascii="Calibri" w:hAnsi="Calibri"/>
      <w:lang w:val="en-GB" w:eastAsia="en-US"/>
    </w:rPr>
  </w:style>
  <w:style w:type="paragraph" w:styleId="Soggettocommento">
    <w:name w:val="annotation subject"/>
    <w:basedOn w:val="Testocommento"/>
    <w:next w:val="Testocommento"/>
    <w:link w:val="SoggettocommentoCarattere"/>
    <w:semiHidden/>
    <w:unhideWhenUsed/>
    <w:rsid w:val="005136E1"/>
    <w:rPr>
      <w:b/>
      <w:bCs/>
    </w:rPr>
  </w:style>
  <w:style w:type="character" w:customStyle="1" w:styleId="SoggettocommentoCarattere">
    <w:name w:val="Soggetto commento Carattere"/>
    <w:basedOn w:val="TestocommentoCarattere"/>
    <w:link w:val="Soggettocommento"/>
    <w:semiHidden/>
    <w:rsid w:val="005136E1"/>
    <w:rPr>
      <w:rFonts w:ascii="Calibri" w:hAnsi="Calibri"/>
      <w:b/>
      <w:bCs/>
      <w:lang w:val="en-GB" w:eastAsia="en-US"/>
    </w:rPr>
  </w:style>
  <w:style w:type="paragraph" w:styleId="Revisione">
    <w:name w:val="Revision"/>
    <w:hidden/>
    <w:uiPriority w:val="99"/>
    <w:semiHidden/>
    <w:rsid w:val="005136E1"/>
    <w:rPr>
      <w:rFonts w:ascii="Calibri" w:hAnsi="Calibri"/>
      <w:sz w:val="22"/>
      <w:szCs w:val="24"/>
      <w:lang w:val="en-GB" w:eastAsia="en-US"/>
    </w:rPr>
  </w:style>
  <w:style w:type="paragraph" w:customStyle="1" w:styleId="Questionstyle">
    <w:name w:val="Question style"/>
    <w:basedOn w:val="Normale"/>
    <w:next w:val="Normale"/>
    <w:link w:val="QuestionstyleChar"/>
    <w:autoRedefine/>
    <w:qFormat/>
    <w:rsid w:val="005E5E72"/>
    <w:pPr>
      <w:autoSpaceDE/>
      <w:autoSpaceDN/>
      <w:spacing w:after="250" w:line="276" w:lineRule="auto"/>
      <w:ind w:right="-91"/>
      <w:contextualSpacing/>
      <w:jc w:val="both"/>
    </w:pPr>
    <w:rPr>
      <w:rFonts w:asciiTheme="minorHAnsi" w:eastAsiaTheme="minorEastAsia" w:hAnsiTheme="minorHAnsi" w:cstheme="minorBidi"/>
      <w:szCs w:val="20"/>
    </w:rPr>
  </w:style>
  <w:style w:type="character" w:customStyle="1" w:styleId="QuestionstyleChar">
    <w:name w:val="Question style Char"/>
    <w:basedOn w:val="Carpredefinitoparagrafo"/>
    <w:link w:val="Questionstyle"/>
    <w:rsid w:val="005E5E72"/>
    <w:rPr>
      <w:rFonts w:asciiTheme="minorHAnsi" w:eastAsiaTheme="minorEastAsia" w:hAnsiTheme="minorHAnsi" w:cstheme="minorBidi"/>
      <w:sz w:val="22"/>
      <w:lang w:val="en-GB" w:eastAsia="en-US"/>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link w:val="Testonotaapidipagina"/>
    <w:uiPriority w:val="99"/>
    <w:locked/>
    <w:rsid w:val="009D0017"/>
    <w:rPr>
      <w:rFonts w:ascii="Calibri"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9055">
      <w:bodyDiv w:val="1"/>
      <w:marLeft w:val="0"/>
      <w:marRight w:val="0"/>
      <w:marTop w:val="0"/>
      <w:marBottom w:val="0"/>
      <w:divBdr>
        <w:top w:val="none" w:sz="0" w:space="0" w:color="auto"/>
        <w:left w:val="none" w:sz="0" w:space="0" w:color="auto"/>
        <w:bottom w:val="none" w:sz="0" w:space="0" w:color="auto"/>
        <w:right w:val="none" w:sz="0" w:space="0" w:color="auto"/>
      </w:divBdr>
    </w:div>
    <w:div w:id="106896959">
      <w:bodyDiv w:val="1"/>
      <w:marLeft w:val="0"/>
      <w:marRight w:val="0"/>
      <w:marTop w:val="0"/>
      <w:marBottom w:val="0"/>
      <w:divBdr>
        <w:top w:val="none" w:sz="0" w:space="0" w:color="auto"/>
        <w:left w:val="none" w:sz="0" w:space="0" w:color="auto"/>
        <w:bottom w:val="none" w:sz="0" w:space="0" w:color="auto"/>
        <w:right w:val="none" w:sz="0" w:space="0" w:color="auto"/>
      </w:divBdr>
    </w:div>
    <w:div w:id="185752909">
      <w:bodyDiv w:val="1"/>
      <w:marLeft w:val="0"/>
      <w:marRight w:val="0"/>
      <w:marTop w:val="0"/>
      <w:marBottom w:val="0"/>
      <w:divBdr>
        <w:top w:val="none" w:sz="0" w:space="0" w:color="auto"/>
        <w:left w:val="none" w:sz="0" w:space="0" w:color="auto"/>
        <w:bottom w:val="none" w:sz="0" w:space="0" w:color="auto"/>
        <w:right w:val="none" w:sz="0" w:space="0" w:color="auto"/>
      </w:divBdr>
    </w:div>
    <w:div w:id="254824357">
      <w:bodyDiv w:val="1"/>
      <w:marLeft w:val="0"/>
      <w:marRight w:val="0"/>
      <w:marTop w:val="0"/>
      <w:marBottom w:val="0"/>
      <w:divBdr>
        <w:top w:val="none" w:sz="0" w:space="0" w:color="auto"/>
        <w:left w:val="none" w:sz="0" w:space="0" w:color="auto"/>
        <w:bottom w:val="none" w:sz="0" w:space="0" w:color="auto"/>
        <w:right w:val="none" w:sz="0" w:space="0" w:color="auto"/>
      </w:divBdr>
    </w:div>
    <w:div w:id="358625148">
      <w:bodyDiv w:val="1"/>
      <w:marLeft w:val="0"/>
      <w:marRight w:val="0"/>
      <w:marTop w:val="0"/>
      <w:marBottom w:val="0"/>
      <w:divBdr>
        <w:top w:val="none" w:sz="0" w:space="0" w:color="auto"/>
        <w:left w:val="none" w:sz="0" w:space="0" w:color="auto"/>
        <w:bottom w:val="none" w:sz="0" w:space="0" w:color="auto"/>
        <w:right w:val="none" w:sz="0" w:space="0" w:color="auto"/>
      </w:divBdr>
      <w:divsChild>
        <w:div w:id="1354066565">
          <w:marLeft w:val="720"/>
          <w:marRight w:val="0"/>
          <w:marTop w:val="140"/>
          <w:marBottom w:val="0"/>
          <w:divBdr>
            <w:top w:val="none" w:sz="0" w:space="0" w:color="auto"/>
            <w:left w:val="none" w:sz="0" w:space="0" w:color="auto"/>
            <w:bottom w:val="none" w:sz="0" w:space="0" w:color="auto"/>
            <w:right w:val="none" w:sz="0" w:space="0" w:color="auto"/>
          </w:divBdr>
        </w:div>
      </w:divsChild>
    </w:div>
    <w:div w:id="401292523">
      <w:bodyDiv w:val="1"/>
      <w:marLeft w:val="0"/>
      <w:marRight w:val="0"/>
      <w:marTop w:val="0"/>
      <w:marBottom w:val="0"/>
      <w:divBdr>
        <w:top w:val="none" w:sz="0" w:space="0" w:color="auto"/>
        <w:left w:val="none" w:sz="0" w:space="0" w:color="auto"/>
        <w:bottom w:val="none" w:sz="0" w:space="0" w:color="auto"/>
        <w:right w:val="none" w:sz="0" w:space="0" w:color="auto"/>
      </w:divBdr>
    </w:div>
    <w:div w:id="437875843">
      <w:bodyDiv w:val="1"/>
      <w:marLeft w:val="0"/>
      <w:marRight w:val="0"/>
      <w:marTop w:val="0"/>
      <w:marBottom w:val="0"/>
      <w:divBdr>
        <w:top w:val="none" w:sz="0" w:space="0" w:color="auto"/>
        <w:left w:val="none" w:sz="0" w:space="0" w:color="auto"/>
        <w:bottom w:val="none" w:sz="0" w:space="0" w:color="auto"/>
        <w:right w:val="none" w:sz="0" w:space="0" w:color="auto"/>
      </w:divBdr>
    </w:div>
    <w:div w:id="508450029">
      <w:bodyDiv w:val="1"/>
      <w:marLeft w:val="0"/>
      <w:marRight w:val="0"/>
      <w:marTop w:val="0"/>
      <w:marBottom w:val="0"/>
      <w:divBdr>
        <w:top w:val="none" w:sz="0" w:space="0" w:color="auto"/>
        <w:left w:val="none" w:sz="0" w:space="0" w:color="auto"/>
        <w:bottom w:val="none" w:sz="0" w:space="0" w:color="auto"/>
        <w:right w:val="none" w:sz="0" w:space="0" w:color="auto"/>
      </w:divBdr>
      <w:divsChild>
        <w:div w:id="21712652">
          <w:marLeft w:val="720"/>
          <w:marRight w:val="0"/>
          <w:marTop w:val="140"/>
          <w:marBottom w:val="0"/>
          <w:divBdr>
            <w:top w:val="none" w:sz="0" w:space="0" w:color="auto"/>
            <w:left w:val="none" w:sz="0" w:space="0" w:color="auto"/>
            <w:bottom w:val="none" w:sz="0" w:space="0" w:color="auto"/>
            <w:right w:val="none" w:sz="0" w:space="0" w:color="auto"/>
          </w:divBdr>
        </w:div>
      </w:divsChild>
    </w:div>
    <w:div w:id="652098549">
      <w:bodyDiv w:val="1"/>
      <w:marLeft w:val="0"/>
      <w:marRight w:val="0"/>
      <w:marTop w:val="0"/>
      <w:marBottom w:val="0"/>
      <w:divBdr>
        <w:top w:val="none" w:sz="0" w:space="0" w:color="auto"/>
        <w:left w:val="none" w:sz="0" w:space="0" w:color="auto"/>
        <w:bottom w:val="none" w:sz="0" w:space="0" w:color="auto"/>
        <w:right w:val="none" w:sz="0" w:space="0" w:color="auto"/>
      </w:divBdr>
    </w:div>
    <w:div w:id="739593391">
      <w:bodyDiv w:val="1"/>
      <w:marLeft w:val="0"/>
      <w:marRight w:val="0"/>
      <w:marTop w:val="0"/>
      <w:marBottom w:val="0"/>
      <w:divBdr>
        <w:top w:val="none" w:sz="0" w:space="0" w:color="auto"/>
        <w:left w:val="none" w:sz="0" w:space="0" w:color="auto"/>
        <w:bottom w:val="none" w:sz="0" w:space="0" w:color="auto"/>
        <w:right w:val="none" w:sz="0" w:space="0" w:color="auto"/>
      </w:divBdr>
    </w:div>
    <w:div w:id="792020318">
      <w:bodyDiv w:val="1"/>
      <w:marLeft w:val="0"/>
      <w:marRight w:val="0"/>
      <w:marTop w:val="0"/>
      <w:marBottom w:val="0"/>
      <w:divBdr>
        <w:top w:val="none" w:sz="0" w:space="0" w:color="auto"/>
        <w:left w:val="none" w:sz="0" w:space="0" w:color="auto"/>
        <w:bottom w:val="none" w:sz="0" w:space="0" w:color="auto"/>
        <w:right w:val="none" w:sz="0" w:space="0" w:color="auto"/>
      </w:divBdr>
    </w:div>
    <w:div w:id="812525262">
      <w:bodyDiv w:val="1"/>
      <w:marLeft w:val="0"/>
      <w:marRight w:val="0"/>
      <w:marTop w:val="0"/>
      <w:marBottom w:val="0"/>
      <w:divBdr>
        <w:top w:val="none" w:sz="0" w:space="0" w:color="auto"/>
        <w:left w:val="none" w:sz="0" w:space="0" w:color="auto"/>
        <w:bottom w:val="none" w:sz="0" w:space="0" w:color="auto"/>
        <w:right w:val="none" w:sz="0" w:space="0" w:color="auto"/>
      </w:divBdr>
    </w:div>
    <w:div w:id="814101475">
      <w:bodyDiv w:val="1"/>
      <w:marLeft w:val="0"/>
      <w:marRight w:val="0"/>
      <w:marTop w:val="0"/>
      <w:marBottom w:val="0"/>
      <w:divBdr>
        <w:top w:val="none" w:sz="0" w:space="0" w:color="auto"/>
        <w:left w:val="none" w:sz="0" w:space="0" w:color="auto"/>
        <w:bottom w:val="none" w:sz="0" w:space="0" w:color="auto"/>
        <w:right w:val="none" w:sz="0" w:space="0" w:color="auto"/>
      </w:divBdr>
    </w:div>
    <w:div w:id="869491311">
      <w:bodyDiv w:val="1"/>
      <w:marLeft w:val="0"/>
      <w:marRight w:val="0"/>
      <w:marTop w:val="0"/>
      <w:marBottom w:val="0"/>
      <w:divBdr>
        <w:top w:val="none" w:sz="0" w:space="0" w:color="auto"/>
        <w:left w:val="none" w:sz="0" w:space="0" w:color="auto"/>
        <w:bottom w:val="none" w:sz="0" w:space="0" w:color="auto"/>
        <w:right w:val="none" w:sz="0" w:space="0" w:color="auto"/>
      </w:divBdr>
    </w:div>
    <w:div w:id="917517775">
      <w:bodyDiv w:val="1"/>
      <w:marLeft w:val="0"/>
      <w:marRight w:val="0"/>
      <w:marTop w:val="0"/>
      <w:marBottom w:val="0"/>
      <w:divBdr>
        <w:top w:val="none" w:sz="0" w:space="0" w:color="auto"/>
        <w:left w:val="none" w:sz="0" w:space="0" w:color="auto"/>
        <w:bottom w:val="none" w:sz="0" w:space="0" w:color="auto"/>
        <w:right w:val="none" w:sz="0" w:space="0" w:color="auto"/>
      </w:divBdr>
    </w:div>
    <w:div w:id="985472958">
      <w:bodyDiv w:val="1"/>
      <w:marLeft w:val="0"/>
      <w:marRight w:val="0"/>
      <w:marTop w:val="0"/>
      <w:marBottom w:val="0"/>
      <w:divBdr>
        <w:top w:val="none" w:sz="0" w:space="0" w:color="auto"/>
        <w:left w:val="none" w:sz="0" w:space="0" w:color="auto"/>
        <w:bottom w:val="none" w:sz="0" w:space="0" w:color="auto"/>
        <w:right w:val="none" w:sz="0" w:space="0" w:color="auto"/>
      </w:divBdr>
    </w:div>
    <w:div w:id="1068922813">
      <w:bodyDiv w:val="1"/>
      <w:marLeft w:val="0"/>
      <w:marRight w:val="0"/>
      <w:marTop w:val="0"/>
      <w:marBottom w:val="0"/>
      <w:divBdr>
        <w:top w:val="none" w:sz="0" w:space="0" w:color="auto"/>
        <w:left w:val="none" w:sz="0" w:space="0" w:color="auto"/>
        <w:bottom w:val="none" w:sz="0" w:space="0" w:color="auto"/>
        <w:right w:val="none" w:sz="0" w:space="0" w:color="auto"/>
      </w:divBdr>
      <w:divsChild>
        <w:div w:id="1802767142">
          <w:marLeft w:val="720"/>
          <w:marRight w:val="0"/>
          <w:marTop w:val="140"/>
          <w:marBottom w:val="0"/>
          <w:divBdr>
            <w:top w:val="none" w:sz="0" w:space="0" w:color="auto"/>
            <w:left w:val="none" w:sz="0" w:space="0" w:color="auto"/>
            <w:bottom w:val="none" w:sz="0" w:space="0" w:color="auto"/>
            <w:right w:val="none" w:sz="0" w:space="0" w:color="auto"/>
          </w:divBdr>
        </w:div>
      </w:divsChild>
    </w:div>
    <w:div w:id="1131249376">
      <w:bodyDiv w:val="1"/>
      <w:marLeft w:val="0"/>
      <w:marRight w:val="0"/>
      <w:marTop w:val="0"/>
      <w:marBottom w:val="0"/>
      <w:divBdr>
        <w:top w:val="none" w:sz="0" w:space="0" w:color="auto"/>
        <w:left w:val="none" w:sz="0" w:space="0" w:color="auto"/>
        <w:bottom w:val="none" w:sz="0" w:space="0" w:color="auto"/>
        <w:right w:val="none" w:sz="0" w:space="0" w:color="auto"/>
      </w:divBdr>
    </w:div>
    <w:div w:id="1191800990">
      <w:bodyDiv w:val="1"/>
      <w:marLeft w:val="0"/>
      <w:marRight w:val="0"/>
      <w:marTop w:val="0"/>
      <w:marBottom w:val="0"/>
      <w:divBdr>
        <w:top w:val="none" w:sz="0" w:space="0" w:color="auto"/>
        <w:left w:val="none" w:sz="0" w:space="0" w:color="auto"/>
        <w:bottom w:val="none" w:sz="0" w:space="0" w:color="auto"/>
        <w:right w:val="none" w:sz="0" w:space="0" w:color="auto"/>
      </w:divBdr>
    </w:div>
    <w:div w:id="1201550133">
      <w:bodyDiv w:val="1"/>
      <w:marLeft w:val="0"/>
      <w:marRight w:val="0"/>
      <w:marTop w:val="0"/>
      <w:marBottom w:val="0"/>
      <w:divBdr>
        <w:top w:val="none" w:sz="0" w:space="0" w:color="auto"/>
        <w:left w:val="none" w:sz="0" w:space="0" w:color="auto"/>
        <w:bottom w:val="none" w:sz="0" w:space="0" w:color="auto"/>
        <w:right w:val="none" w:sz="0" w:space="0" w:color="auto"/>
      </w:divBdr>
    </w:div>
    <w:div w:id="1241521348">
      <w:bodyDiv w:val="1"/>
      <w:marLeft w:val="0"/>
      <w:marRight w:val="0"/>
      <w:marTop w:val="0"/>
      <w:marBottom w:val="0"/>
      <w:divBdr>
        <w:top w:val="none" w:sz="0" w:space="0" w:color="auto"/>
        <w:left w:val="none" w:sz="0" w:space="0" w:color="auto"/>
        <w:bottom w:val="none" w:sz="0" w:space="0" w:color="auto"/>
        <w:right w:val="none" w:sz="0" w:space="0" w:color="auto"/>
      </w:divBdr>
    </w:div>
    <w:div w:id="1291396577">
      <w:bodyDiv w:val="1"/>
      <w:marLeft w:val="0"/>
      <w:marRight w:val="0"/>
      <w:marTop w:val="0"/>
      <w:marBottom w:val="0"/>
      <w:divBdr>
        <w:top w:val="none" w:sz="0" w:space="0" w:color="auto"/>
        <w:left w:val="none" w:sz="0" w:space="0" w:color="auto"/>
        <w:bottom w:val="none" w:sz="0" w:space="0" w:color="auto"/>
        <w:right w:val="none" w:sz="0" w:space="0" w:color="auto"/>
      </w:divBdr>
    </w:div>
    <w:div w:id="1326401395">
      <w:bodyDiv w:val="1"/>
      <w:marLeft w:val="0"/>
      <w:marRight w:val="0"/>
      <w:marTop w:val="0"/>
      <w:marBottom w:val="0"/>
      <w:divBdr>
        <w:top w:val="none" w:sz="0" w:space="0" w:color="auto"/>
        <w:left w:val="none" w:sz="0" w:space="0" w:color="auto"/>
        <w:bottom w:val="none" w:sz="0" w:space="0" w:color="auto"/>
        <w:right w:val="none" w:sz="0" w:space="0" w:color="auto"/>
      </w:divBdr>
      <w:divsChild>
        <w:div w:id="1572233882">
          <w:marLeft w:val="418"/>
          <w:marRight w:val="0"/>
          <w:marTop w:val="0"/>
          <w:marBottom w:val="0"/>
          <w:divBdr>
            <w:top w:val="none" w:sz="0" w:space="0" w:color="auto"/>
            <w:left w:val="none" w:sz="0" w:space="0" w:color="auto"/>
            <w:bottom w:val="none" w:sz="0" w:space="0" w:color="auto"/>
            <w:right w:val="none" w:sz="0" w:space="0" w:color="auto"/>
          </w:divBdr>
        </w:div>
      </w:divsChild>
    </w:div>
    <w:div w:id="1334450196">
      <w:bodyDiv w:val="1"/>
      <w:marLeft w:val="0"/>
      <w:marRight w:val="0"/>
      <w:marTop w:val="0"/>
      <w:marBottom w:val="0"/>
      <w:divBdr>
        <w:top w:val="none" w:sz="0" w:space="0" w:color="auto"/>
        <w:left w:val="none" w:sz="0" w:space="0" w:color="auto"/>
        <w:bottom w:val="none" w:sz="0" w:space="0" w:color="auto"/>
        <w:right w:val="none" w:sz="0" w:space="0" w:color="auto"/>
      </w:divBdr>
      <w:divsChild>
        <w:div w:id="1773470959">
          <w:marLeft w:val="720"/>
          <w:marRight w:val="0"/>
          <w:marTop w:val="140"/>
          <w:marBottom w:val="0"/>
          <w:divBdr>
            <w:top w:val="none" w:sz="0" w:space="0" w:color="auto"/>
            <w:left w:val="none" w:sz="0" w:space="0" w:color="auto"/>
            <w:bottom w:val="none" w:sz="0" w:space="0" w:color="auto"/>
            <w:right w:val="none" w:sz="0" w:space="0" w:color="auto"/>
          </w:divBdr>
        </w:div>
      </w:divsChild>
    </w:div>
    <w:div w:id="1421218262">
      <w:bodyDiv w:val="1"/>
      <w:marLeft w:val="0"/>
      <w:marRight w:val="0"/>
      <w:marTop w:val="0"/>
      <w:marBottom w:val="0"/>
      <w:divBdr>
        <w:top w:val="none" w:sz="0" w:space="0" w:color="auto"/>
        <w:left w:val="none" w:sz="0" w:space="0" w:color="auto"/>
        <w:bottom w:val="none" w:sz="0" w:space="0" w:color="auto"/>
        <w:right w:val="none" w:sz="0" w:space="0" w:color="auto"/>
      </w:divBdr>
    </w:div>
    <w:div w:id="1455443245">
      <w:bodyDiv w:val="1"/>
      <w:marLeft w:val="0"/>
      <w:marRight w:val="0"/>
      <w:marTop w:val="0"/>
      <w:marBottom w:val="0"/>
      <w:divBdr>
        <w:top w:val="none" w:sz="0" w:space="0" w:color="auto"/>
        <w:left w:val="none" w:sz="0" w:space="0" w:color="auto"/>
        <w:bottom w:val="none" w:sz="0" w:space="0" w:color="auto"/>
        <w:right w:val="none" w:sz="0" w:space="0" w:color="auto"/>
      </w:divBdr>
    </w:div>
    <w:div w:id="1457798982">
      <w:bodyDiv w:val="1"/>
      <w:marLeft w:val="0"/>
      <w:marRight w:val="0"/>
      <w:marTop w:val="0"/>
      <w:marBottom w:val="0"/>
      <w:divBdr>
        <w:top w:val="none" w:sz="0" w:space="0" w:color="auto"/>
        <w:left w:val="none" w:sz="0" w:space="0" w:color="auto"/>
        <w:bottom w:val="none" w:sz="0" w:space="0" w:color="auto"/>
        <w:right w:val="none" w:sz="0" w:space="0" w:color="auto"/>
      </w:divBdr>
    </w:div>
    <w:div w:id="1461147566">
      <w:bodyDiv w:val="1"/>
      <w:marLeft w:val="0"/>
      <w:marRight w:val="0"/>
      <w:marTop w:val="0"/>
      <w:marBottom w:val="0"/>
      <w:divBdr>
        <w:top w:val="none" w:sz="0" w:space="0" w:color="auto"/>
        <w:left w:val="none" w:sz="0" w:space="0" w:color="auto"/>
        <w:bottom w:val="none" w:sz="0" w:space="0" w:color="auto"/>
        <w:right w:val="none" w:sz="0" w:space="0" w:color="auto"/>
      </w:divBdr>
    </w:div>
    <w:div w:id="1472865287">
      <w:bodyDiv w:val="1"/>
      <w:marLeft w:val="0"/>
      <w:marRight w:val="0"/>
      <w:marTop w:val="0"/>
      <w:marBottom w:val="0"/>
      <w:divBdr>
        <w:top w:val="none" w:sz="0" w:space="0" w:color="auto"/>
        <w:left w:val="none" w:sz="0" w:space="0" w:color="auto"/>
        <w:bottom w:val="none" w:sz="0" w:space="0" w:color="auto"/>
        <w:right w:val="none" w:sz="0" w:space="0" w:color="auto"/>
      </w:divBdr>
      <w:divsChild>
        <w:div w:id="4595796">
          <w:marLeft w:val="720"/>
          <w:marRight w:val="0"/>
          <w:marTop w:val="140"/>
          <w:marBottom w:val="0"/>
          <w:divBdr>
            <w:top w:val="none" w:sz="0" w:space="0" w:color="auto"/>
            <w:left w:val="none" w:sz="0" w:space="0" w:color="auto"/>
            <w:bottom w:val="none" w:sz="0" w:space="0" w:color="auto"/>
            <w:right w:val="none" w:sz="0" w:space="0" w:color="auto"/>
          </w:divBdr>
        </w:div>
      </w:divsChild>
    </w:div>
    <w:div w:id="1510025068">
      <w:bodyDiv w:val="1"/>
      <w:marLeft w:val="0"/>
      <w:marRight w:val="0"/>
      <w:marTop w:val="0"/>
      <w:marBottom w:val="0"/>
      <w:divBdr>
        <w:top w:val="none" w:sz="0" w:space="0" w:color="auto"/>
        <w:left w:val="none" w:sz="0" w:space="0" w:color="auto"/>
        <w:bottom w:val="none" w:sz="0" w:space="0" w:color="auto"/>
        <w:right w:val="none" w:sz="0" w:space="0" w:color="auto"/>
      </w:divBdr>
    </w:div>
    <w:div w:id="1594977255">
      <w:bodyDiv w:val="1"/>
      <w:marLeft w:val="0"/>
      <w:marRight w:val="0"/>
      <w:marTop w:val="0"/>
      <w:marBottom w:val="0"/>
      <w:divBdr>
        <w:top w:val="none" w:sz="0" w:space="0" w:color="auto"/>
        <w:left w:val="none" w:sz="0" w:space="0" w:color="auto"/>
        <w:bottom w:val="none" w:sz="0" w:space="0" w:color="auto"/>
        <w:right w:val="none" w:sz="0" w:space="0" w:color="auto"/>
      </w:divBdr>
      <w:divsChild>
        <w:div w:id="1770277208">
          <w:marLeft w:val="720"/>
          <w:marRight w:val="0"/>
          <w:marTop w:val="140"/>
          <w:marBottom w:val="0"/>
          <w:divBdr>
            <w:top w:val="none" w:sz="0" w:space="0" w:color="auto"/>
            <w:left w:val="none" w:sz="0" w:space="0" w:color="auto"/>
            <w:bottom w:val="none" w:sz="0" w:space="0" w:color="auto"/>
            <w:right w:val="none" w:sz="0" w:space="0" w:color="auto"/>
          </w:divBdr>
        </w:div>
      </w:divsChild>
    </w:div>
    <w:div w:id="1598177556">
      <w:bodyDiv w:val="1"/>
      <w:marLeft w:val="0"/>
      <w:marRight w:val="0"/>
      <w:marTop w:val="0"/>
      <w:marBottom w:val="0"/>
      <w:divBdr>
        <w:top w:val="none" w:sz="0" w:space="0" w:color="auto"/>
        <w:left w:val="none" w:sz="0" w:space="0" w:color="auto"/>
        <w:bottom w:val="none" w:sz="0" w:space="0" w:color="auto"/>
        <w:right w:val="none" w:sz="0" w:space="0" w:color="auto"/>
      </w:divBdr>
    </w:div>
    <w:div w:id="1615744680">
      <w:bodyDiv w:val="1"/>
      <w:marLeft w:val="0"/>
      <w:marRight w:val="0"/>
      <w:marTop w:val="0"/>
      <w:marBottom w:val="0"/>
      <w:divBdr>
        <w:top w:val="none" w:sz="0" w:space="0" w:color="auto"/>
        <w:left w:val="none" w:sz="0" w:space="0" w:color="auto"/>
        <w:bottom w:val="none" w:sz="0" w:space="0" w:color="auto"/>
        <w:right w:val="none" w:sz="0" w:space="0" w:color="auto"/>
      </w:divBdr>
    </w:div>
    <w:div w:id="1718582271">
      <w:bodyDiv w:val="1"/>
      <w:marLeft w:val="0"/>
      <w:marRight w:val="0"/>
      <w:marTop w:val="0"/>
      <w:marBottom w:val="0"/>
      <w:divBdr>
        <w:top w:val="none" w:sz="0" w:space="0" w:color="auto"/>
        <w:left w:val="none" w:sz="0" w:space="0" w:color="auto"/>
        <w:bottom w:val="none" w:sz="0" w:space="0" w:color="auto"/>
        <w:right w:val="none" w:sz="0" w:space="0" w:color="auto"/>
      </w:divBdr>
    </w:div>
    <w:div w:id="1893151861">
      <w:bodyDiv w:val="1"/>
      <w:marLeft w:val="0"/>
      <w:marRight w:val="0"/>
      <w:marTop w:val="0"/>
      <w:marBottom w:val="0"/>
      <w:divBdr>
        <w:top w:val="none" w:sz="0" w:space="0" w:color="auto"/>
        <w:left w:val="none" w:sz="0" w:space="0" w:color="auto"/>
        <w:bottom w:val="none" w:sz="0" w:space="0" w:color="auto"/>
        <w:right w:val="none" w:sz="0" w:space="0" w:color="auto"/>
      </w:divBdr>
    </w:div>
    <w:div w:id="1990476678">
      <w:bodyDiv w:val="1"/>
      <w:marLeft w:val="0"/>
      <w:marRight w:val="0"/>
      <w:marTop w:val="0"/>
      <w:marBottom w:val="0"/>
      <w:divBdr>
        <w:top w:val="none" w:sz="0" w:space="0" w:color="auto"/>
        <w:left w:val="none" w:sz="0" w:space="0" w:color="auto"/>
        <w:bottom w:val="none" w:sz="0" w:space="0" w:color="auto"/>
        <w:right w:val="none" w:sz="0" w:space="0" w:color="auto"/>
      </w:divBdr>
    </w:div>
    <w:div w:id="1999116692">
      <w:bodyDiv w:val="1"/>
      <w:marLeft w:val="0"/>
      <w:marRight w:val="0"/>
      <w:marTop w:val="0"/>
      <w:marBottom w:val="0"/>
      <w:divBdr>
        <w:top w:val="none" w:sz="0" w:space="0" w:color="auto"/>
        <w:left w:val="none" w:sz="0" w:space="0" w:color="auto"/>
        <w:bottom w:val="none" w:sz="0" w:space="0" w:color="auto"/>
        <w:right w:val="none" w:sz="0" w:space="0" w:color="auto"/>
      </w:divBdr>
    </w:div>
    <w:div w:id="202658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iam\Documents\Custom%20Office%20Templates\EFAMA%20Staff%20Reports%20of%20Events%20Attended_this%20on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BE27D-EFB5-470B-80AB-7D382EEC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EFAMA Staff Reports of Events Attended_this one</Template>
  <TotalTime>10</TotalTime>
  <Pages>7</Pages>
  <Words>3541</Words>
  <Characters>17446</Characters>
  <Application>Microsoft Office Word</Application>
  <DocSecurity>0</DocSecurity>
  <Lines>145</Lines>
  <Paragraphs>41</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
      <vt:lpstr>Draft Minutes of 8th Meeting Tax WG_11 Jan 2018</vt:lpstr>
      <vt:lpstr>Draft Minutes of 8th Meeting Tax WG_11 Jan 2018</vt:lpstr>
    </vt:vector>
  </TitlesOfParts>
  <Company>EFAMA</Company>
  <LinksUpToDate>false</LinksUpToDate>
  <CharactersWithSpaces>20946</CharactersWithSpaces>
  <SharedDoc>false</SharedDoc>
  <HLinks>
    <vt:vector size="12" baseType="variant">
      <vt:variant>
        <vt:i4>4587527</vt:i4>
      </vt:variant>
      <vt:variant>
        <vt:i4>9</vt:i4>
      </vt:variant>
      <vt:variant>
        <vt:i4>0</vt:i4>
      </vt:variant>
      <vt:variant>
        <vt:i4>5</vt:i4>
      </vt:variant>
      <vt:variant>
        <vt:lpwstr>http://www.efama.org/</vt:lpwstr>
      </vt:variant>
      <vt:variant>
        <vt:lpwstr/>
      </vt:variant>
      <vt:variant>
        <vt:i4>7995457</vt:i4>
      </vt:variant>
      <vt:variant>
        <vt:i4>6</vt:i4>
      </vt:variant>
      <vt:variant>
        <vt:i4>0</vt:i4>
      </vt:variant>
      <vt:variant>
        <vt:i4>5</vt:i4>
      </vt:variant>
      <vt:variant>
        <vt:lpwstr>mailto:info@efama.org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Anzaldi</dc:creator>
  <cp:lastModifiedBy>Deborah Anzaldi</cp:lastModifiedBy>
  <cp:revision>15</cp:revision>
  <cp:lastPrinted>2018-04-03T13:29:00Z</cp:lastPrinted>
  <dcterms:created xsi:type="dcterms:W3CDTF">2019-02-14T14:11:00Z</dcterms:created>
  <dcterms:modified xsi:type="dcterms:W3CDTF">2019-02-14T14:32:00Z</dcterms:modified>
</cp:coreProperties>
</file>