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1791" w:rsidRPr="00B27B53" w:rsidRDefault="006E0796">
      <w:pPr>
        <w:rPr>
          <w:b/>
          <w:sz w:val="28"/>
          <w:szCs w:val="28"/>
          <w:u w:val="single"/>
        </w:rPr>
      </w:pPr>
      <w:r w:rsidRPr="00B27B53">
        <w:rPr>
          <w:b/>
          <w:sz w:val="28"/>
          <w:szCs w:val="28"/>
          <w:u w:val="single"/>
        </w:rPr>
        <w:t>Risk issues within Short-Term Money Market Funds</w:t>
      </w:r>
    </w:p>
    <w:p w:rsidR="006E0796" w:rsidRDefault="006E0796"/>
    <w:p w:rsidR="006E0796" w:rsidRDefault="006E0796">
      <w:r>
        <w:t>In considering how to stress test the investment portfolios of money market funds it is important to consider the fluid, short term and high quality characteristics of the portfolios.</w:t>
      </w:r>
    </w:p>
    <w:p w:rsidR="006E0796" w:rsidRDefault="006E0796"/>
    <w:p w:rsidR="006E0796" w:rsidRDefault="006E0796" w:rsidP="006E0796">
      <w:pPr>
        <w:rPr>
          <w:u w:val="single"/>
        </w:rPr>
      </w:pPr>
      <w:r w:rsidRPr="006E0796">
        <w:rPr>
          <w:u w:val="single"/>
        </w:rPr>
        <w:t>Maturity profile</w:t>
      </w:r>
    </w:p>
    <w:p w:rsidR="006E0796" w:rsidRPr="006E0796" w:rsidRDefault="006E0796" w:rsidP="006E0796">
      <w:pPr>
        <w:rPr>
          <w:u w:val="single"/>
        </w:rPr>
      </w:pPr>
    </w:p>
    <w:p w:rsidR="006E0796" w:rsidRDefault="006E0796" w:rsidP="006E0796">
      <w:r>
        <w:rPr>
          <w:noProof/>
          <w:lang w:eastAsia="en-GB"/>
        </w:rPr>
        <w:drawing>
          <wp:inline distT="0" distB="0" distL="0" distR="0" wp14:anchorId="6C6E0E13">
            <wp:extent cx="5676900" cy="327388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87012" cy="3279717"/>
                    </a:xfrm>
                    <a:prstGeom prst="rect">
                      <a:avLst/>
                    </a:prstGeom>
                    <a:noFill/>
                  </pic:spPr>
                </pic:pic>
              </a:graphicData>
            </a:graphic>
          </wp:inline>
        </w:drawing>
      </w:r>
    </w:p>
    <w:p w:rsidR="006E0796" w:rsidRDefault="006E0796" w:rsidP="006E0796"/>
    <w:p w:rsidR="006E0796" w:rsidRDefault="006E0796" w:rsidP="006E0796">
      <w:r>
        <w:t>The chart shows the average maturity profile of IMMFA funds calculated at three monthly intervals</w:t>
      </w:r>
      <w:r w:rsidR="00F662C4">
        <w:t xml:space="preserve"> between 2014 and 2016.  There is a good deal of consistency in the portfolio shapes.  The particular point to note is that overnight maturities account for 15-25% of the portfolio total and 40-50% of the portfolio matures within one month.</w:t>
      </w:r>
      <w:r>
        <w:t xml:space="preserve"> </w:t>
      </w:r>
    </w:p>
    <w:p w:rsidR="00F662C4" w:rsidRDefault="00F662C4" w:rsidP="006E0796"/>
    <w:p w:rsidR="00F662C4" w:rsidRPr="00B27B53" w:rsidRDefault="00F662C4" w:rsidP="006E0796">
      <w:pPr>
        <w:rPr>
          <w:u w:val="single"/>
        </w:rPr>
      </w:pPr>
      <w:r w:rsidRPr="00B27B53">
        <w:rPr>
          <w:u w:val="single"/>
        </w:rPr>
        <w:t>Credit quality</w:t>
      </w:r>
    </w:p>
    <w:p w:rsidR="00F662C4" w:rsidRDefault="00F662C4" w:rsidP="006E0796">
      <w:r>
        <w:t xml:space="preserve">IMMFA money market funds invest only in highly rated securities.  The rating agencies ascribe long term credit ratings on a scale that runs through from </w:t>
      </w:r>
      <w:proofErr w:type="spellStart"/>
      <w:r>
        <w:t>Aaa</w:t>
      </w:r>
      <w:proofErr w:type="spellEnd"/>
      <w:r>
        <w:t>/AAA (Moody’s/Standard &amp; Poor’s) to C/D.  There is a watershed at Baa3/BBB- which marks a divide between what are termed Investment Grade and Speculative Grade securities, a differentiation which relates to the long term default expectation (see below).  There is a parallel, less finely graded scale, for short dated securities running from P1/A1+ to Not Prime</w:t>
      </w:r>
      <w:r w:rsidR="00D14F4C">
        <w:t>/C.  The IMMFA funds invest at the P1/ above A1 level on this scale.</w:t>
      </w:r>
    </w:p>
    <w:p w:rsidR="00D14F4C" w:rsidRDefault="00D14F4C" w:rsidP="006E0796">
      <w:r>
        <w:lastRenderedPageBreak/>
        <w:t xml:space="preserve">The following charts are taken from Moody’s surveillance reports on their ratings of money market funds and show the </w:t>
      </w:r>
      <w:r w:rsidR="00B27B53">
        <w:t xml:space="preserve">consistently high proportion </w:t>
      </w:r>
      <w:r w:rsidR="0054018F">
        <w:t xml:space="preserve">of investment grade securities, by long term rating, maintained </w:t>
      </w:r>
      <w:r>
        <w:t>over time.</w:t>
      </w:r>
      <w:r w:rsidRPr="00D14F4C">
        <w:t xml:space="preserve"> </w:t>
      </w:r>
    </w:p>
    <w:p w:rsidR="00D14F4C" w:rsidRDefault="00D14F4C" w:rsidP="006E0796">
      <w:r>
        <w:t>USD</w:t>
      </w:r>
    </w:p>
    <w:p w:rsidR="00D14F4C" w:rsidRDefault="00D14F4C" w:rsidP="003526A8">
      <w:pPr>
        <w:jc w:val="center"/>
      </w:pPr>
      <w:r w:rsidRPr="00D14F4C">
        <w:rPr>
          <w:noProof/>
          <w:lang w:eastAsia="en-GB"/>
        </w:rPr>
        <w:drawing>
          <wp:inline distT="0" distB="0" distL="0" distR="0">
            <wp:extent cx="3343275" cy="16287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43275" cy="1628775"/>
                    </a:xfrm>
                    <a:prstGeom prst="rect">
                      <a:avLst/>
                    </a:prstGeom>
                    <a:noFill/>
                    <a:ln>
                      <a:noFill/>
                    </a:ln>
                  </pic:spPr>
                </pic:pic>
              </a:graphicData>
            </a:graphic>
          </wp:inline>
        </w:drawing>
      </w:r>
    </w:p>
    <w:p w:rsidR="00D14F4C" w:rsidRDefault="00D14F4C" w:rsidP="006E0796">
      <w:r>
        <w:t>GBP</w:t>
      </w:r>
    </w:p>
    <w:p w:rsidR="00D14F4C" w:rsidRDefault="00D14F4C" w:rsidP="006E0796">
      <w:r w:rsidRPr="00D14F4C">
        <w:rPr>
          <w:noProof/>
          <w:lang w:eastAsia="en-GB"/>
        </w:rPr>
        <w:drawing>
          <wp:inline distT="0" distB="0" distL="0" distR="0">
            <wp:extent cx="5731510" cy="1767928"/>
            <wp:effectExtent l="0" t="0" r="254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1767928"/>
                    </a:xfrm>
                    <a:prstGeom prst="rect">
                      <a:avLst/>
                    </a:prstGeom>
                    <a:noFill/>
                    <a:ln>
                      <a:noFill/>
                    </a:ln>
                  </pic:spPr>
                </pic:pic>
              </a:graphicData>
            </a:graphic>
          </wp:inline>
        </w:drawing>
      </w:r>
    </w:p>
    <w:p w:rsidR="006E0796" w:rsidRDefault="00D14F4C" w:rsidP="006E0796">
      <w:r>
        <w:t>EUR</w:t>
      </w:r>
    </w:p>
    <w:p w:rsidR="00D14F4C" w:rsidRDefault="00D14F4C" w:rsidP="006E0796">
      <w:r w:rsidRPr="00D14F4C">
        <w:rPr>
          <w:noProof/>
          <w:lang w:eastAsia="en-GB"/>
        </w:rPr>
        <w:drawing>
          <wp:inline distT="0" distB="0" distL="0" distR="0">
            <wp:extent cx="5731510" cy="1812932"/>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1812932"/>
                    </a:xfrm>
                    <a:prstGeom prst="rect">
                      <a:avLst/>
                    </a:prstGeom>
                    <a:noFill/>
                    <a:ln>
                      <a:noFill/>
                    </a:ln>
                  </pic:spPr>
                </pic:pic>
              </a:graphicData>
            </a:graphic>
          </wp:inline>
        </w:drawing>
      </w:r>
    </w:p>
    <w:p w:rsidR="006E0796" w:rsidRDefault="006E0796" w:rsidP="006E0796"/>
    <w:p w:rsidR="0054018F" w:rsidRDefault="0054018F">
      <w:pPr>
        <w:rPr>
          <w:b/>
          <w:u w:val="single"/>
        </w:rPr>
      </w:pPr>
      <w:r>
        <w:rPr>
          <w:b/>
          <w:u w:val="single"/>
        </w:rPr>
        <w:br w:type="page"/>
      </w:r>
    </w:p>
    <w:p w:rsidR="0054018F" w:rsidRPr="0054018F" w:rsidRDefault="0054018F" w:rsidP="006E0796">
      <w:pPr>
        <w:rPr>
          <w:b/>
          <w:u w:val="single"/>
        </w:rPr>
      </w:pPr>
      <w:r w:rsidRPr="0054018F">
        <w:rPr>
          <w:b/>
          <w:u w:val="single"/>
        </w:rPr>
        <w:lastRenderedPageBreak/>
        <w:t>Credit risk</w:t>
      </w:r>
    </w:p>
    <w:p w:rsidR="0054018F" w:rsidRDefault="0054018F" w:rsidP="006E0796">
      <w:r>
        <w:t>The following charts are taken from the annual studies of rating performance produced by the credit rating agencies.</w:t>
      </w:r>
    </w:p>
    <w:p w:rsidR="0054018F" w:rsidRDefault="0054018F" w:rsidP="006E0796">
      <w:r>
        <w:t>Amongst issuers who begin with investment grade credit ratings, such as those that money market funds invest in, defaults are extremely rare events;</w:t>
      </w:r>
    </w:p>
    <w:p w:rsidR="0054018F" w:rsidRDefault="0054018F" w:rsidP="0054018F">
      <w:r>
        <w:t>Moody’s</w:t>
      </w:r>
    </w:p>
    <w:p w:rsidR="0054018F" w:rsidRDefault="0054018F" w:rsidP="003526A8">
      <w:pPr>
        <w:jc w:val="center"/>
      </w:pPr>
      <w:r>
        <w:rPr>
          <w:noProof/>
          <w:lang w:eastAsia="en-GB"/>
        </w:rPr>
        <w:drawing>
          <wp:inline distT="0" distB="0" distL="0" distR="0" wp14:anchorId="7CA81DBA" wp14:editId="58897057">
            <wp:extent cx="5486400" cy="1844484"/>
            <wp:effectExtent l="0" t="0" r="0" b="38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18444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54018F" w:rsidRDefault="0054018F" w:rsidP="006E0796"/>
    <w:p w:rsidR="0054018F" w:rsidRDefault="0054018F" w:rsidP="006E0796">
      <w:r>
        <w:t>S&amp;P</w:t>
      </w:r>
    </w:p>
    <w:p w:rsidR="0054018F" w:rsidRDefault="0054018F" w:rsidP="003526A8">
      <w:pPr>
        <w:jc w:val="center"/>
      </w:pPr>
      <w:r>
        <w:rPr>
          <w:noProof/>
          <w:lang w:eastAsia="en-GB"/>
        </w:rPr>
        <w:drawing>
          <wp:inline distT="0" distB="0" distL="0" distR="0" wp14:anchorId="3ABA18E2" wp14:editId="10596288">
            <wp:extent cx="3800475" cy="3155546"/>
            <wp:effectExtent l="0" t="0" r="0" b="698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4551" cy="3158930"/>
                    </a:xfrm>
                    <a:prstGeom prst="rect">
                      <a:avLst/>
                    </a:prstGeom>
                    <a:noFill/>
                    <a:extLst/>
                  </pic:spPr>
                </pic:pic>
              </a:graphicData>
            </a:graphic>
          </wp:inline>
        </w:drawing>
      </w:r>
    </w:p>
    <w:p w:rsidR="0054018F" w:rsidRDefault="0054018F" w:rsidP="006E0796"/>
    <w:p w:rsidR="0054018F" w:rsidRDefault="0054018F" w:rsidP="006E0796">
      <w:r>
        <w:t>So it is pertinent to note that most defaults occur from issuers who have been rated in the speculative range</w:t>
      </w:r>
      <w:r w:rsidR="0035605B">
        <w:t>, and so are not those that IMMFA funds would invest in.  There is a further interesting point in connection with the short dated nature of the money market fund portfolios, namely that those issuers who default typically do so after a period of decline;</w:t>
      </w:r>
    </w:p>
    <w:p w:rsidR="0035605B" w:rsidRDefault="0035605B" w:rsidP="006E0796"/>
    <w:p w:rsidR="0035605B" w:rsidRDefault="0035605B" w:rsidP="006E0796">
      <w:r>
        <w:lastRenderedPageBreak/>
        <w:t>Moody’s</w:t>
      </w:r>
    </w:p>
    <w:p w:rsidR="0054018F" w:rsidRDefault="0035605B" w:rsidP="003526A8">
      <w:pPr>
        <w:jc w:val="center"/>
      </w:pPr>
      <w:r>
        <w:rPr>
          <w:noProof/>
          <w:lang w:eastAsia="en-GB"/>
        </w:rPr>
        <w:drawing>
          <wp:inline distT="0" distB="0" distL="0" distR="0" wp14:anchorId="3806C793" wp14:editId="1CF78618">
            <wp:extent cx="5022882" cy="1714500"/>
            <wp:effectExtent l="0" t="0" r="635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2882" cy="1714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5605B" w:rsidRDefault="0035605B" w:rsidP="006E0796"/>
    <w:p w:rsidR="0035605B" w:rsidRDefault="0035605B" w:rsidP="006E0796">
      <w:r>
        <w:t>S&amp;P</w:t>
      </w:r>
    </w:p>
    <w:p w:rsidR="0035605B" w:rsidRDefault="0035605B" w:rsidP="003526A8">
      <w:pPr>
        <w:jc w:val="center"/>
      </w:pPr>
      <w:r>
        <w:rPr>
          <w:noProof/>
          <w:lang w:eastAsia="en-GB"/>
        </w:rPr>
        <w:drawing>
          <wp:inline distT="0" distB="0" distL="0" distR="0" wp14:anchorId="6C12A9B5" wp14:editId="24D9079E">
            <wp:extent cx="3579401" cy="2905125"/>
            <wp:effectExtent l="0" t="0" r="254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79401" cy="29051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5605B" w:rsidRDefault="0035605B" w:rsidP="006E0796"/>
    <w:p w:rsidR="00054052" w:rsidRDefault="0035605B" w:rsidP="006E0796">
      <w:r>
        <w:t xml:space="preserve">The median rating of defaulting securities was </w:t>
      </w:r>
      <w:r w:rsidR="00054052">
        <w:t>B3/BB- a full year before the default happened.</w:t>
      </w:r>
    </w:p>
    <w:p w:rsidR="00054052" w:rsidRDefault="00054052" w:rsidP="006E0796"/>
    <w:p w:rsidR="00054052" w:rsidRDefault="00054052">
      <w:pPr>
        <w:rPr>
          <w:b/>
          <w:u w:val="single"/>
        </w:rPr>
      </w:pPr>
      <w:r>
        <w:rPr>
          <w:b/>
          <w:u w:val="single"/>
        </w:rPr>
        <w:br w:type="page"/>
      </w:r>
    </w:p>
    <w:p w:rsidR="00054052" w:rsidRPr="00054052" w:rsidRDefault="00054052" w:rsidP="006E0796">
      <w:pPr>
        <w:rPr>
          <w:b/>
          <w:u w:val="single"/>
        </w:rPr>
      </w:pPr>
      <w:r w:rsidRPr="00054052">
        <w:rPr>
          <w:b/>
          <w:u w:val="single"/>
        </w:rPr>
        <w:lastRenderedPageBreak/>
        <w:t>Short Term Ratings Performance and Statistics</w:t>
      </w:r>
    </w:p>
    <w:p w:rsidR="00054052" w:rsidRDefault="00054052" w:rsidP="006E0796">
      <w:r>
        <w:t>Studying the performance of short term ratings is also informative for stress testing.</w:t>
      </w:r>
    </w:p>
    <w:p w:rsidR="00054052" w:rsidRDefault="00054052" w:rsidP="006E0796">
      <w:r>
        <w:t>The bulk of the exposure in money market fund portfolios is to financials as these are the predominant issuers of securities in the short term markets.</w:t>
      </w:r>
    </w:p>
    <w:p w:rsidR="00054052" w:rsidRDefault="00054052" w:rsidP="006E0796">
      <w:r>
        <w:t>Moody’s suggests that the long term average probability of a financial entity rated P-1 defaulting in a one year time frame is 0.09%.  For S&amp;P at the Short term A1 level that reduces to 0.05%.</w:t>
      </w:r>
    </w:p>
    <w:p w:rsidR="00054052" w:rsidRDefault="00054052" w:rsidP="006E0796">
      <w:r>
        <w:t>Moody’s</w:t>
      </w:r>
    </w:p>
    <w:p w:rsidR="00054052" w:rsidRDefault="00054052" w:rsidP="003526A8">
      <w:pPr>
        <w:jc w:val="center"/>
      </w:pPr>
      <w:r>
        <w:rPr>
          <w:noProof/>
          <w:lang w:eastAsia="en-GB"/>
        </w:rPr>
        <w:drawing>
          <wp:inline distT="0" distB="0" distL="0" distR="0" wp14:anchorId="7EDBB31D" wp14:editId="5E46862B">
            <wp:extent cx="4049509" cy="1466850"/>
            <wp:effectExtent l="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9509" cy="146685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054052" w:rsidRDefault="00054052" w:rsidP="006E0796">
      <w:r>
        <w:t>S&amp;P</w:t>
      </w:r>
    </w:p>
    <w:p w:rsidR="003526A8" w:rsidRDefault="00054052" w:rsidP="003526A8">
      <w:pPr>
        <w:jc w:val="center"/>
      </w:pPr>
      <w:r>
        <w:rPr>
          <w:noProof/>
          <w:lang w:eastAsia="en-GB"/>
        </w:rPr>
        <w:lastRenderedPageBreak/>
        <w:drawing>
          <wp:inline distT="0" distB="0" distL="0" distR="0" wp14:anchorId="6688BD22" wp14:editId="15FF6F38">
            <wp:extent cx="2859285" cy="5145206"/>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8515" cy="5179811"/>
                    </a:xfrm>
                    <a:prstGeom prst="rect">
                      <a:avLst/>
                    </a:prstGeom>
                    <a:noFill/>
                    <a:extLst/>
                  </pic:spPr>
                </pic:pic>
              </a:graphicData>
            </a:graphic>
          </wp:inline>
        </w:drawing>
      </w:r>
    </w:p>
    <w:p w:rsidR="003526A8" w:rsidRPr="003526A8" w:rsidRDefault="003526A8">
      <w:pPr>
        <w:rPr>
          <w:b/>
          <w:u w:val="single"/>
        </w:rPr>
      </w:pPr>
      <w:r>
        <w:br w:type="page"/>
      </w:r>
      <w:r w:rsidRPr="003526A8">
        <w:rPr>
          <w:b/>
          <w:u w:val="single"/>
        </w:rPr>
        <w:t>Market value risk to the portfolio</w:t>
      </w:r>
    </w:p>
    <w:p w:rsidR="003526A8" w:rsidRDefault="003526A8">
      <w:r>
        <w:t>We have confirmation from work undertaken by IMMFA that on average 99.7% of the investments made by IMMFA money market funds are held to maturity.</w:t>
      </w:r>
    </w:p>
    <w:p w:rsidR="003526A8" w:rsidRDefault="003526A8">
      <w:r>
        <w:t>Even so it is fundamental to the operation of a money market fund that investors are redeemed from the redemption or sale proceeds of the investments</w:t>
      </w:r>
      <w:r w:rsidR="00BB4735">
        <w:t>.  A permanent decline in market value of the portfolio is therefore a significant issue.</w:t>
      </w:r>
    </w:p>
    <w:p w:rsidR="00BB4735" w:rsidRDefault="00BB4735">
      <w:r>
        <w:t>The significant risks to price in this respect are the re pricing of securities due to a movement in interest rates or the cost of credit for an issuer changing.  These risks are constrained under the IMMFA Code of Practice by the imposition of limits on the weighted average maturity (‘WAM’) and weighted average life (‘WAL’) of the portfolio.  The WAM is a measure of the sensitivity of the portfolio to changes in interest rates and the WAL to credit spreads.</w:t>
      </w:r>
    </w:p>
    <w:p w:rsidR="00BB4735" w:rsidRDefault="00BB4735">
      <w:r>
        <w:t xml:space="preserve">These portfolio measures are actively managed by portfolio managers, as indicated in these charts which catalogue the measures at </w:t>
      </w:r>
      <w:r w:rsidR="00936F6E">
        <w:t>month ends from 2011 to date;</w:t>
      </w:r>
    </w:p>
    <w:p w:rsidR="00936F6E" w:rsidRDefault="00936F6E">
      <w:r w:rsidRPr="00936F6E">
        <w:drawing>
          <wp:inline distT="0" distB="0" distL="0" distR="0">
            <wp:extent cx="5731510" cy="570948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5709485"/>
                    </a:xfrm>
                    <a:prstGeom prst="rect">
                      <a:avLst/>
                    </a:prstGeom>
                    <a:noFill/>
                    <a:ln>
                      <a:noFill/>
                    </a:ln>
                  </pic:spPr>
                </pic:pic>
              </a:graphicData>
            </a:graphic>
          </wp:inline>
        </w:drawing>
      </w:r>
    </w:p>
    <w:p w:rsidR="00936F6E" w:rsidRPr="00F12C31" w:rsidRDefault="00F12C31">
      <w:pPr>
        <w:rPr>
          <w:b/>
          <w:u w:val="single"/>
        </w:rPr>
      </w:pPr>
      <w:r w:rsidRPr="00F12C31">
        <w:rPr>
          <w:b/>
          <w:u w:val="single"/>
        </w:rPr>
        <w:t>Investor redemptions</w:t>
      </w:r>
    </w:p>
    <w:p w:rsidR="00F12C31" w:rsidRDefault="00F12C31">
      <w:r>
        <w:t>The understanding of investor subscription and redemption behaviour is a significant interest area for money market fund managers.  The more accurately the flows into and out of the fund can be predicted the more effectively the fund can be invested.</w:t>
      </w:r>
    </w:p>
    <w:p w:rsidR="00F12C31" w:rsidRDefault="00F12C31">
      <w:r>
        <w:t>In order to be able to fund redemptions liquidity has to be managed to make cash available.  The IMMFA Code of Practice and the MMFR have requirements for levels of liquidity which need to be maintained in different periods to ensure that this risk is managed prudently.</w:t>
      </w:r>
    </w:p>
    <w:p w:rsidR="00F12C31" w:rsidRDefault="00F12C31">
      <w:r>
        <w:t xml:space="preserve">Over history the daily flows into and out of funds have </w:t>
      </w:r>
      <w:r w:rsidR="008D270E">
        <w:t>clustered</w:t>
      </w:r>
      <w:r>
        <w:t xml:space="preserve"> into a relatively tight distribution of modest scale movements.  However some larger movements have been seen, such as</w:t>
      </w:r>
      <w:r w:rsidR="008D270E">
        <w:t xml:space="preserve"> the movement from Prime into Government funds</w:t>
      </w:r>
      <w:r>
        <w:t xml:space="preserve"> in the US market post the 2016 reform announcement</w:t>
      </w:r>
      <w:r w:rsidR="008D270E">
        <w:t>, and in the US and Europe post the Lehman failure in 2008 when money moved from Prime to Government funds.</w:t>
      </w:r>
    </w:p>
    <w:p w:rsidR="008D270E" w:rsidRDefault="008D270E">
      <w:r>
        <w:t>The risk associated with any unexpected outflows is if liquidity stocks and cash available from maturing securities need to be supplemented by the proceeds of sale of assets which have declined in value</w:t>
      </w:r>
      <w:r w:rsidR="009321A1">
        <w:t>.  If this has to happen</w:t>
      </w:r>
      <w:r>
        <w:t xml:space="preserve"> it follows that any losses crystallised are left for the account of the residual investors in a smaller portfolio, and hence are rendered more material in proportion to the </w:t>
      </w:r>
      <w:r w:rsidR="009321A1">
        <w:t>reduction in size of the fund.</w:t>
      </w:r>
    </w:p>
    <w:p w:rsidR="008D270E" w:rsidRDefault="008D270E">
      <w:r>
        <w:t>The distributions for the daily flows for the IMMFA funds in each currency are as follows;</w:t>
      </w:r>
    </w:p>
    <w:p w:rsidR="008D270E" w:rsidRDefault="008D270E" w:rsidP="008D270E">
      <w:pPr>
        <w:jc w:val="center"/>
      </w:pPr>
      <w:r>
        <w:rPr>
          <w:noProof/>
          <w:lang w:eastAsia="en-GB"/>
        </w:rPr>
        <w:drawing>
          <wp:inline distT="0" distB="0" distL="0" distR="0" wp14:anchorId="0C77D82A" wp14:editId="6CAC8C29">
            <wp:extent cx="4503761" cy="3896704"/>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1773" cy="3912288"/>
                    </a:xfrm>
                    <a:prstGeom prst="rect">
                      <a:avLst/>
                    </a:prstGeom>
                    <a:noFill/>
                  </pic:spPr>
                </pic:pic>
              </a:graphicData>
            </a:graphic>
          </wp:inline>
        </w:drawing>
      </w:r>
    </w:p>
    <w:p w:rsidR="008D270E" w:rsidRDefault="008D270E"/>
    <w:p w:rsidR="008D270E" w:rsidRDefault="008D270E" w:rsidP="008D270E">
      <w:pPr>
        <w:jc w:val="center"/>
      </w:pPr>
      <w:r>
        <w:rPr>
          <w:noProof/>
          <w:lang w:eastAsia="en-GB"/>
        </w:rPr>
        <w:drawing>
          <wp:inline distT="0" distB="0" distL="0" distR="0" wp14:anchorId="25F36E35" wp14:editId="06D7A9F2">
            <wp:extent cx="4531057" cy="3920321"/>
            <wp:effectExtent l="0" t="0" r="3175"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40333" cy="3928347"/>
                    </a:xfrm>
                    <a:prstGeom prst="rect">
                      <a:avLst/>
                    </a:prstGeom>
                    <a:noFill/>
                  </pic:spPr>
                </pic:pic>
              </a:graphicData>
            </a:graphic>
          </wp:inline>
        </w:drawing>
      </w:r>
    </w:p>
    <w:p w:rsidR="008D270E" w:rsidRDefault="008D270E"/>
    <w:p w:rsidR="00BB4735" w:rsidRDefault="008D270E" w:rsidP="008D270E">
      <w:pPr>
        <w:jc w:val="center"/>
      </w:pPr>
      <w:r>
        <w:rPr>
          <w:noProof/>
          <w:lang w:eastAsia="en-GB"/>
        </w:rPr>
        <w:drawing>
          <wp:inline distT="0" distB="0" distL="0" distR="0" wp14:anchorId="17CB7602" wp14:editId="737ADDE6">
            <wp:extent cx="4517352" cy="3908463"/>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2297" cy="3912741"/>
                    </a:xfrm>
                    <a:prstGeom prst="rect">
                      <a:avLst/>
                    </a:prstGeom>
                    <a:noFill/>
                  </pic:spPr>
                </pic:pic>
              </a:graphicData>
            </a:graphic>
          </wp:inline>
        </w:drawing>
      </w:r>
    </w:p>
    <w:p w:rsidR="008D270E" w:rsidRDefault="008D270E">
      <w:r>
        <w:br w:type="page"/>
      </w:r>
    </w:p>
    <w:p w:rsidR="00787E81" w:rsidRDefault="00787E81">
      <w:pPr>
        <w:rPr>
          <w:b/>
          <w:u w:val="single"/>
        </w:rPr>
      </w:pPr>
      <w:r>
        <w:rPr>
          <w:b/>
          <w:u w:val="single"/>
        </w:rPr>
        <w:t>Liquidity Management</w:t>
      </w:r>
    </w:p>
    <w:p w:rsidR="003618EF" w:rsidRDefault="00787E81">
      <w:r w:rsidRPr="003618EF">
        <w:t>The general level of redemptions are easily managed from the normal resources maintained by the funds</w:t>
      </w:r>
      <w:r w:rsidR="003618EF" w:rsidRPr="003618EF">
        <w:t>.  The following charts how the history of liquidity levels maintained as catalogued from Moody’s surveillance of their fund ratings;</w:t>
      </w:r>
    </w:p>
    <w:p w:rsidR="003618EF" w:rsidRDefault="003618EF">
      <w:r>
        <w:t>USD</w:t>
      </w:r>
    </w:p>
    <w:p w:rsidR="003618EF" w:rsidRDefault="003618EF">
      <w:r w:rsidRPr="003618EF">
        <w:rPr>
          <w:noProof/>
          <w:lang w:eastAsia="en-GB"/>
        </w:rPr>
        <w:drawing>
          <wp:inline distT="0" distB="0" distL="0" distR="0">
            <wp:extent cx="2729865" cy="1692275"/>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9865" cy="1692275"/>
                    </a:xfrm>
                    <a:prstGeom prst="rect">
                      <a:avLst/>
                    </a:prstGeom>
                    <a:noFill/>
                    <a:ln>
                      <a:noFill/>
                    </a:ln>
                  </pic:spPr>
                </pic:pic>
              </a:graphicData>
            </a:graphic>
          </wp:inline>
        </w:drawing>
      </w:r>
    </w:p>
    <w:p w:rsidR="003618EF" w:rsidRDefault="003618EF">
      <w:r w:rsidRPr="003618EF">
        <w:rPr>
          <w:noProof/>
          <w:lang w:eastAsia="en-GB"/>
        </w:rPr>
        <w:drawing>
          <wp:inline distT="0" distB="0" distL="0" distR="0">
            <wp:extent cx="5731510" cy="36307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63071"/>
                    </a:xfrm>
                    <a:prstGeom prst="rect">
                      <a:avLst/>
                    </a:prstGeom>
                    <a:noFill/>
                    <a:ln>
                      <a:noFill/>
                    </a:ln>
                  </pic:spPr>
                </pic:pic>
              </a:graphicData>
            </a:graphic>
          </wp:inline>
        </w:drawing>
      </w:r>
    </w:p>
    <w:p w:rsidR="003618EF" w:rsidRDefault="003618EF"/>
    <w:p w:rsidR="003618EF" w:rsidRDefault="003618EF">
      <w:r>
        <w:t>GBP</w:t>
      </w:r>
    </w:p>
    <w:p w:rsidR="003618EF" w:rsidRDefault="003618EF">
      <w:r w:rsidRPr="003618EF">
        <w:rPr>
          <w:noProof/>
          <w:lang w:eastAsia="en-GB"/>
        </w:rPr>
        <w:drawing>
          <wp:inline distT="0" distB="0" distL="0" distR="0">
            <wp:extent cx="5731510" cy="2070907"/>
            <wp:effectExtent l="0" t="0" r="254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2070907"/>
                    </a:xfrm>
                    <a:prstGeom prst="rect">
                      <a:avLst/>
                    </a:prstGeom>
                    <a:noFill/>
                    <a:ln>
                      <a:noFill/>
                    </a:ln>
                  </pic:spPr>
                </pic:pic>
              </a:graphicData>
            </a:graphic>
          </wp:inline>
        </w:drawing>
      </w:r>
      <w:bookmarkStart w:id="0" w:name="_GoBack"/>
      <w:bookmarkEnd w:id="0"/>
    </w:p>
    <w:p w:rsidR="003618EF" w:rsidRDefault="003618EF">
      <w:r>
        <w:t>EUR</w:t>
      </w:r>
    </w:p>
    <w:p w:rsidR="00787E81" w:rsidRPr="003618EF" w:rsidRDefault="003618EF">
      <w:r w:rsidRPr="003618EF">
        <w:rPr>
          <w:noProof/>
          <w:lang w:eastAsia="en-GB"/>
        </w:rPr>
        <w:drawing>
          <wp:inline distT="0" distB="0" distL="0" distR="0">
            <wp:extent cx="5731510" cy="204509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1510" cy="2045090"/>
                    </a:xfrm>
                    <a:prstGeom prst="rect">
                      <a:avLst/>
                    </a:prstGeom>
                    <a:noFill/>
                    <a:ln>
                      <a:noFill/>
                    </a:ln>
                  </pic:spPr>
                </pic:pic>
              </a:graphicData>
            </a:graphic>
          </wp:inline>
        </w:drawing>
      </w:r>
      <w:r w:rsidR="00787E81" w:rsidRPr="003618EF">
        <w:br w:type="page"/>
      </w:r>
    </w:p>
    <w:p w:rsidR="009321A1" w:rsidRPr="009321A1" w:rsidRDefault="009321A1" w:rsidP="009321A1">
      <w:pPr>
        <w:rPr>
          <w:b/>
          <w:u w:val="single"/>
        </w:rPr>
      </w:pPr>
      <w:r w:rsidRPr="009321A1">
        <w:rPr>
          <w:b/>
          <w:u w:val="single"/>
        </w:rPr>
        <w:t>Stress Testing as a portfolio management tool</w:t>
      </w:r>
    </w:p>
    <w:p w:rsidR="009321A1" w:rsidRDefault="009321A1">
      <w:r>
        <w:t>The IMMFA Code of Practice, UCITS and the rating agencies require the portfolio managers of IMMFA funds to undertake regular stress testing exercises which focus on the three main risks identified in operating the portfolios, namely interest rate risk, credit spread risk and the impact of investor redemptions.</w:t>
      </w:r>
    </w:p>
    <w:p w:rsidR="009321A1" w:rsidRDefault="009321A1">
      <w:r>
        <w:t>The manner in which these different aspects are modelled vary.  An indication of the Standard &amp; Poor’s approach is given in their Principal Stability Fund Rating Document and is reproduced below;</w:t>
      </w:r>
    </w:p>
    <w:p w:rsidR="009321A1" w:rsidRDefault="009321A1">
      <w:r w:rsidRPr="009321A1">
        <w:rPr>
          <w:noProof/>
          <w:lang w:eastAsia="en-GB"/>
        </w:rPr>
        <w:drawing>
          <wp:inline distT="0" distB="0" distL="0" distR="0">
            <wp:extent cx="4135272" cy="5154361"/>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146955" cy="5168924"/>
                    </a:xfrm>
                    <a:prstGeom prst="rect">
                      <a:avLst/>
                    </a:prstGeom>
                    <a:noFill/>
                    <a:ln>
                      <a:noFill/>
                    </a:ln>
                  </pic:spPr>
                </pic:pic>
              </a:graphicData>
            </a:graphic>
          </wp:inline>
        </w:drawing>
      </w:r>
    </w:p>
    <w:p w:rsidR="009321A1" w:rsidRDefault="009321A1">
      <w:r w:rsidRPr="009321A1">
        <w:rPr>
          <w:noProof/>
          <w:lang w:eastAsia="en-GB"/>
        </w:rPr>
        <w:drawing>
          <wp:inline distT="0" distB="0" distL="0" distR="0">
            <wp:extent cx="4107976" cy="1870906"/>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41820" cy="1886320"/>
                    </a:xfrm>
                    <a:prstGeom prst="rect">
                      <a:avLst/>
                    </a:prstGeom>
                    <a:noFill/>
                    <a:ln>
                      <a:noFill/>
                    </a:ln>
                  </pic:spPr>
                </pic:pic>
              </a:graphicData>
            </a:graphic>
          </wp:inline>
        </w:drawing>
      </w:r>
    </w:p>
    <w:p w:rsidR="008D270E" w:rsidRDefault="009321A1">
      <w:r>
        <w:t xml:space="preserve">Moody’s on the other hand </w:t>
      </w:r>
      <w:r w:rsidR="00140E93">
        <w:t>tests only one rather dramatic scenario, but does chart the developing trends within the universe of funds it rates;</w:t>
      </w:r>
    </w:p>
    <w:p w:rsidR="00140E93" w:rsidRDefault="00140E93">
      <w:r>
        <w:t>USD</w:t>
      </w:r>
    </w:p>
    <w:p w:rsidR="00140E93" w:rsidRDefault="00140E93">
      <w:r w:rsidRPr="00140E93">
        <w:rPr>
          <w:noProof/>
          <w:lang w:eastAsia="en-GB"/>
        </w:rPr>
        <w:drawing>
          <wp:inline distT="0" distB="0" distL="0" distR="0">
            <wp:extent cx="2852420" cy="1842135"/>
            <wp:effectExtent l="0" t="0" r="508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52420" cy="1842135"/>
                    </a:xfrm>
                    <a:prstGeom prst="rect">
                      <a:avLst/>
                    </a:prstGeom>
                    <a:noFill/>
                    <a:ln>
                      <a:noFill/>
                    </a:ln>
                  </pic:spPr>
                </pic:pic>
              </a:graphicData>
            </a:graphic>
          </wp:inline>
        </w:drawing>
      </w:r>
    </w:p>
    <w:p w:rsidR="00140E93" w:rsidRDefault="00140E93">
      <w:r w:rsidRPr="00140E93">
        <w:rPr>
          <w:noProof/>
          <w:lang w:eastAsia="en-GB"/>
        </w:rPr>
        <w:drawing>
          <wp:inline distT="0" distB="0" distL="0" distR="0">
            <wp:extent cx="5731510" cy="297488"/>
            <wp:effectExtent l="0" t="0" r="254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97488"/>
                    </a:xfrm>
                    <a:prstGeom prst="rect">
                      <a:avLst/>
                    </a:prstGeom>
                    <a:noFill/>
                    <a:ln>
                      <a:noFill/>
                    </a:ln>
                  </pic:spPr>
                </pic:pic>
              </a:graphicData>
            </a:graphic>
          </wp:inline>
        </w:drawing>
      </w:r>
    </w:p>
    <w:p w:rsidR="00140E93" w:rsidRDefault="00140E93">
      <w:r>
        <w:t>GBP</w:t>
      </w:r>
    </w:p>
    <w:p w:rsidR="00140E93" w:rsidRDefault="00140E93">
      <w:r w:rsidRPr="00140E93">
        <w:rPr>
          <w:noProof/>
          <w:lang w:eastAsia="en-GB"/>
        </w:rPr>
        <w:drawing>
          <wp:inline distT="0" distB="0" distL="0" distR="0">
            <wp:extent cx="5349922" cy="2207278"/>
            <wp:effectExtent l="0" t="0" r="3175"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74635" cy="2217474"/>
                    </a:xfrm>
                    <a:prstGeom prst="rect">
                      <a:avLst/>
                    </a:prstGeom>
                    <a:noFill/>
                    <a:ln>
                      <a:noFill/>
                    </a:ln>
                  </pic:spPr>
                </pic:pic>
              </a:graphicData>
            </a:graphic>
          </wp:inline>
        </w:drawing>
      </w:r>
    </w:p>
    <w:p w:rsidR="00140E93" w:rsidRDefault="00140E93">
      <w:r>
        <w:t>EUR</w:t>
      </w:r>
    </w:p>
    <w:p w:rsidR="00140E93" w:rsidRDefault="00140E93">
      <w:r w:rsidRPr="00140E93">
        <w:rPr>
          <w:noProof/>
          <w:lang w:eastAsia="en-GB"/>
        </w:rPr>
        <w:drawing>
          <wp:inline distT="0" distB="0" distL="0" distR="0">
            <wp:extent cx="5322627" cy="217416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86263" cy="2200155"/>
                    </a:xfrm>
                    <a:prstGeom prst="rect">
                      <a:avLst/>
                    </a:prstGeom>
                    <a:noFill/>
                    <a:ln>
                      <a:noFill/>
                    </a:ln>
                  </pic:spPr>
                </pic:pic>
              </a:graphicData>
            </a:graphic>
          </wp:inline>
        </w:drawing>
      </w:r>
    </w:p>
    <w:p w:rsidR="008D270E" w:rsidRDefault="008D270E"/>
    <w:p w:rsidR="008D270E" w:rsidRDefault="008D270E"/>
    <w:p w:rsidR="00054052" w:rsidRDefault="00054052" w:rsidP="003526A8">
      <w:pPr>
        <w:jc w:val="center"/>
      </w:pPr>
    </w:p>
    <w:sectPr w:rsidR="0005405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A0205B3"/>
    <w:multiLevelType w:val="hybridMultilevel"/>
    <w:tmpl w:val="8A3A5D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626A3AF6"/>
    <w:multiLevelType w:val="hybridMultilevel"/>
    <w:tmpl w:val="CFF46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796"/>
    <w:rsid w:val="00054052"/>
    <w:rsid w:val="00140E93"/>
    <w:rsid w:val="003526A8"/>
    <w:rsid w:val="0035605B"/>
    <w:rsid w:val="003618EF"/>
    <w:rsid w:val="0054018F"/>
    <w:rsid w:val="006E0796"/>
    <w:rsid w:val="00787E81"/>
    <w:rsid w:val="008D270E"/>
    <w:rsid w:val="009321A1"/>
    <w:rsid w:val="00936F6E"/>
    <w:rsid w:val="00B27B53"/>
    <w:rsid w:val="00BB4735"/>
    <w:rsid w:val="00BF1791"/>
    <w:rsid w:val="00D14F4C"/>
    <w:rsid w:val="00DB2E7A"/>
    <w:rsid w:val="00F12C31"/>
    <w:rsid w:val="00F662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4270E050-23B2-4D33-8F8F-B9C73C938F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796"/>
    <w:pPr>
      <w:ind w:left="720"/>
      <w:contextualSpacing/>
    </w:pPr>
  </w:style>
  <w:style w:type="paragraph" w:styleId="BalloonText">
    <w:name w:val="Balloon Text"/>
    <w:basedOn w:val="Normal"/>
    <w:link w:val="BalloonTextChar"/>
    <w:uiPriority w:val="99"/>
    <w:semiHidden/>
    <w:unhideWhenUsed/>
    <w:rsid w:val="00DB2E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2E7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png"/><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emf"/><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customXml" Target="../customXml/item2.xml"/><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10" Type="http://schemas.openxmlformats.org/officeDocument/2006/relationships/image" Target="media/image6.emf"/><Relationship Id="rId19" Type="http://schemas.openxmlformats.org/officeDocument/2006/relationships/image" Target="media/image15.emf"/><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theme" Target="theme/theme1.xml"/><Relationship Id="rId8"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F98513A6C7154BBEAA3B849DCE0F1D" ma:contentTypeVersion="9" ma:contentTypeDescription="Create a new document." ma:contentTypeScope="" ma:versionID="542dace7ef1bf77dc3fc51613c71174c">
  <xsd:schema xmlns:xsd="http://www.w3.org/2001/XMLSchema" xmlns:xs="http://www.w3.org/2001/XMLSchema" xmlns:p="http://schemas.microsoft.com/office/2006/metadata/properties" xmlns:ns2="305c5873-8f29-4047-95e3-59b9edfb9e5f" xmlns:ns3="3a3372f0-c1f0-4f1d-bf23-e3b35840e156" targetNamespace="http://schemas.microsoft.com/office/2006/metadata/properties" ma:root="true" ma:fieldsID="82463d280182ca4058d9087a636afe21" ns2:_="" ns3:_="">
    <xsd:import namespace="305c5873-8f29-4047-95e3-59b9edfb9e5f"/>
    <xsd:import namespace="3a3372f0-c1f0-4f1d-bf23-e3b35840e15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05c5873-8f29-4047-95e3-59b9edfb9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3372f0-c1f0-4f1d-bf23-e3b35840e156"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E25025-9E31-48D7-B249-2627610C3E5D}"/>
</file>

<file path=customXml/itemProps2.xml><?xml version="1.0" encoding="utf-8"?>
<ds:datastoreItem xmlns:ds="http://schemas.openxmlformats.org/officeDocument/2006/customXml" ds:itemID="{D42EAB1B-CCB5-4CB0-A1D8-FA996BBFED7F}"/>
</file>

<file path=customXml/itemProps3.xml><?xml version="1.0" encoding="utf-8"?>
<ds:datastoreItem xmlns:ds="http://schemas.openxmlformats.org/officeDocument/2006/customXml" ds:itemID="{061E293B-3C42-4375-9F75-DB8458EA37EE}"/>
</file>

<file path=docProps/app.xml><?xml version="1.0" encoding="utf-8"?>
<Properties xmlns="http://schemas.openxmlformats.org/officeDocument/2006/extended-properties" xmlns:vt="http://schemas.openxmlformats.org/officeDocument/2006/docPropsVTypes">
  <Template>D30E7E10</Template>
  <TotalTime>125</TotalTime>
  <Pages>12</Pages>
  <Words>928</Words>
  <Characters>5296</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Curran (IMMFA)</dc:creator>
  <cp:keywords/>
  <dc:description/>
  <cp:lastModifiedBy>Martin Curran (IMMFA)</cp:lastModifiedBy>
  <cp:revision>5</cp:revision>
  <cp:lastPrinted>2017-07-20T16:53:00Z</cp:lastPrinted>
  <dcterms:created xsi:type="dcterms:W3CDTF">2017-07-20T15:51:00Z</dcterms:created>
  <dcterms:modified xsi:type="dcterms:W3CDTF">2017-07-20T17:59:00Z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0x01010082F98513A6C7154BBEAA3B849DCE0F1D</vt:lpwstr>
  </property>
</Properties>
</file>