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24834C1C" w14:textId="77777777" w:rsidTr="00315E96">
        <w:trPr>
          <w:trHeight w:val="284"/>
        </w:trPr>
        <w:tc>
          <w:tcPr>
            <w:tcW w:w="9412" w:type="dxa"/>
          </w:tcPr>
          <w:p w14:paraId="3310BF2F" w14:textId="77777777" w:rsidR="00C2094B" w:rsidRPr="004E49B0" w:rsidRDefault="00D5469D" w:rsidP="007243F1">
            <w:pPr>
              <w:pStyle w:val="00bDBInfo"/>
              <w:rPr>
                <w:rFonts w:cs="Arial"/>
              </w:rPr>
            </w:pPr>
            <w:r>
              <w:rPr>
                <w:rFonts w:cs="Arial"/>
              </w:rPr>
              <w:t>13</w:t>
            </w:r>
            <w:r w:rsidR="007243F1">
              <w:rPr>
                <w:rFonts w:cs="Arial"/>
              </w:rPr>
              <w:t xml:space="preserve"> July </w:t>
            </w:r>
            <w:r w:rsidR="00EF5FB9">
              <w:rPr>
                <w:rFonts w:cs="Arial"/>
              </w:rPr>
              <w:t>2018</w:t>
            </w:r>
          </w:p>
        </w:tc>
      </w:tr>
    </w:tbl>
    <w:p w14:paraId="5C0BA670" w14:textId="77777777" w:rsidR="00FD7A8D" w:rsidRPr="00616B9B" w:rsidRDefault="00FD7A8D" w:rsidP="00FD7A8D">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6F4535" w:rsidRPr="00616B9B" w14:paraId="16E04767" w14:textId="77777777" w:rsidTr="006E0A4F">
        <w:trPr>
          <w:trHeight w:hRule="exact" w:val="2475"/>
        </w:trPr>
        <w:tc>
          <w:tcPr>
            <w:tcW w:w="9646" w:type="dxa"/>
            <w:vAlign w:val="bottom"/>
          </w:tcPr>
          <w:p w14:paraId="45FCEF7A" w14:textId="77777777" w:rsidR="00AF38AF" w:rsidRPr="00AF38AF" w:rsidRDefault="006F4535" w:rsidP="00AF38AF">
            <w:pPr>
              <w:pStyle w:val="01aDBTitle"/>
              <w:jc w:val="left"/>
              <w:rPr>
                <w:rFonts w:cs="Arial"/>
                <w:szCs w:val="56"/>
              </w:rPr>
            </w:pPr>
            <w:r w:rsidRPr="006E0A4F">
              <w:rPr>
                <w:rFonts w:cs="Arial"/>
                <w:szCs w:val="56"/>
              </w:rPr>
              <w:t>Re</w:t>
            </w:r>
            <w:r w:rsidR="009A3017" w:rsidRPr="006E0A4F">
              <w:rPr>
                <w:rFonts w:cs="Arial"/>
                <w:szCs w:val="56"/>
              </w:rPr>
              <w:t>sponse</w:t>
            </w:r>
            <w:r w:rsidRPr="006E0A4F">
              <w:rPr>
                <w:rFonts w:cs="Arial"/>
                <w:szCs w:val="56"/>
              </w:rPr>
              <w:t xml:space="preserve"> form for </w:t>
            </w:r>
            <w:r w:rsidR="00AF38AF">
              <w:rPr>
                <w:rFonts w:cs="Arial"/>
                <w:szCs w:val="56"/>
              </w:rPr>
              <w:t xml:space="preserve">the </w:t>
            </w:r>
            <w:r w:rsidRPr="006E0A4F">
              <w:rPr>
                <w:rFonts w:cs="Arial"/>
                <w:szCs w:val="56"/>
              </w:rPr>
              <w:t>Consultation Paper on</w:t>
            </w:r>
            <w:r w:rsidR="00AF38AF" w:rsidRPr="00AF38AF">
              <w:rPr>
                <w:rFonts w:cs="Arial"/>
                <w:szCs w:val="56"/>
              </w:rPr>
              <w:t xml:space="preserve"> </w:t>
            </w:r>
            <w:r w:rsidR="00ED30E9">
              <w:rPr>
                <w:rFonts w:cs="Arial"/>
                <w:szCs w:val="56"/>
              </w:rPr>
              <w:t>Guidelines on risk f</w:t>
            </w:r>
            <w:r w:rsidR="007243F1">
              <w:rPr>
                <w:rFonts w:cs="Arial"/>
                <w:szCs w:val="56"/>
              </w:rPr>
              <w:t>actors</w:t>
            </w:r>
            <w:r w:rsidR="00ED30E9">
              <w:rPr>
                <w:rFonts w:cs="Arial"/>
                <w:szCs w:val="56"/>
              </w:rPr>
              <w:t xml:space="preserve"> under </w:t>
            </w:r>
            <w:r w:rsidR="00673FC5">
              <w:rPr>
                <w:rFonts w:cs="Arial"/>
                <w:szCs w:val="56"/>
              </w:rPr>
              <w:t xml:space="preserve">the </w:t>
            </w:r>
            <w:r w:rsidR="00ED30E9">
              <w:rPr>
                <w:rFonts w:cs="Arial"/>
                <w:szCs w:val="56"/>
              </w:rPr>
              <w:t>Prospectus Regulation</w:t>
            </w:r>
          </w:p>
          <w:p w14:paraId="137BFE87" w14:textId="77777777" w:rsidR="006F4535" w:rsidRPr="009A053D" w:rsidRDefault="006A24D5" w:rsidP="00F65811">
            <w:pPr>
              <w:pStyle w:val="01aDBTitle"/>
              <w:rPr>
                <w:rFonts w:cs="Arial"/>
                <w:sz w:val="32"/>
              </w:rPr>
            </w:pPr>
            <w:r w:rsidRPr="006F4535">
              <w:rPr>
                <w:rFonts w:cs="Arial"/>
                <w:sz w:val="32"/>
              </w:rPr>
              <w:t xml:space="preserve"> </w:t>
            </w:r>
            <w:r w:rsidR="006F4535" w:rsidRPr="006F4535">
              <w:rPr>
                <w:rFonts w:cs="Arial"/>
                <w:sz w:val="32"/>
              </w:rPr>
              <w:t xml:space="preserve"> </w:t>
            </w:r>
          </w:p>
        </w:tc>
      </w:tr>
      <w:tr w:rsidR="006F4535" w:rsidRPr="00616B9B" w14:paraId="282F36C0" w14:textId="77777777" w:rsidTr="006E0A4F">
        <w:trPr>
          <w:trHeight w:hRule="exact" w:val="1237"/>
        </w:trPr>
        <w:tc>
          <w:tcPr>
            <w:tcW w:w="9646" w:type="dxa"/>
            <w:tcMar>
              <w:top w:w="142" w:type="dxa"/>
            </w:tcMar>
          </w:tcPr>
          <w:p w14:paraId="35200366"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36541D4C" w14:textId="77777777" w:rsidR="00620D7C" w:rsidRPr="00616B9B" w:rsidRDefault="00620D7C" w:rsidP="00C00012">
      <w:pPr>
        <w:pStyle w:val="05HeadlinenoIndex"/>
        <w:rPr>
          <w:rFonts w:cs="Arial"/>
        </w:rPr>
        <w:sectPr w:rsidR="00620D7C" w:rsidRPr="00616B9B" w:rsidSect="006E3C72">
          <w:headerReference w:type="default" r:id="rId14"/>
          <w:footerReference w:type="default" r:id="rId15"/>
          <w:head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D8E1C8E" w14:textId="77777777" w:rsidTr="00315E96">
        <w:trPr>
          <w:trHeight w:hRule="exact" w:val="964"/>
        </w:trPr>
        <w:tc>
          <w:tcPr>
            <w:tcW w:w="2325" w:type="dxa"/>
          </w:tcPr>
          <w:p w14:paraId="53F4B344" w14:textId="77777777" w:rsidR="00620D7C" w:rsidRPr="004E49B0" w:rsidRDefault="00620D7C" w:rsidP="007243F1">
            <w:pPr>
              <w:pStyle w:val="02Date"/>
              <w:rPr>
                <w:rFonts w:cs="Arial"/>
              </w:rPr>
            </w:pPr>
            <w:r w:rsidRPr="001541FE">
              <w:rPr>
                <w:rFonts w:cs="Arial"/>
              </w:rPr>
              <w:lastRenderedPageBreak/>
              <w:t xml:space="preserve">Date: </w:t>
            </w:r>
            <w:r w:rsidR="002C6AAF" w:rsidRPr="001541FE">
              <w:rPr>
                <w:rFonts w:cs="Arial"/>
              </w:rPr>
              <w:t>13</w:t>
            </w:r>
            <w:r w:rsidR="007243F1" w:rsidRPr="001541FE">
              <w:rPr>
                <w:rFonts w:cs="Arial"/>
              </w:rPr>
              <w:t xml:space="preserve"> July</w:t>
            </w:r>
            <w:r w:rsidR="005738DE" w:rsidRPr="001541FE">
              <w:rPr>
                <w:rFonts w:cs="Arial"/>
              </w:rPr>
              <w:t xml:space="preserve"> 2018</w:t>
            </w:r>
          </w:p>
        </w:tc>
      </w:tr>
    </w:tbl>
    <w:p w14:paraId="7FEA6027"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5D77C003" w14:textId="77777777" w:rsidR="009A3017" w:rsidRDefault="009A3017" w:rsidP="00E66FE1">
      <w:pPr>
        <w:jc w:val="both"/>
        <w:rPr>
          <w:rStyle w:val="nfasissutil"/>
          <w:b w:val="0"/>
          <w:sz w:val="22"/>
        </w:rPr>
      </w:pPr>
      <w:r w:rsidRPr="00EB79DD">
        <w:rPr>
          <w:rStyle w:val="nfasissutil"/>
          <w:b w:val="0"/>
          <w:sz w:val="22"/>
        </w:rPr>
        <w:t xml:space="preserve">ESMA invites responses to the questions set out throughout </w:t>
      </w:r>
      <w:r w:rsidR="00963D60" w:rsidRPr="00EB79DD">
        <w:rPr>
          <w:rStyle w:val="nfasissutil"/>
          <w:b w:val="0"/>
          <w:sz w:val="22"/>
        </w:rPr>
        <w:t xml:space="preserve">its </w:t>
      </w:r>
      <w:r w:rsidR="00EF5FB9" w:rsidRPr="00EB79DD">
        <w:rPr>
          <w:rStyle w:val="nfasissutil"/>
          <w:b w:val="0"/>
          <w:sz w:val="22"/>
        </w:rPr>
        <w:t xml:space="preserve">Consultation Paper </w:t>
      </w:r>
      <w:r w:rsidR="00767A6B">
        <w:rPr>
          <w:rStyle w:val="nfasissutil"/>
          <w:b w:val="0"/>
          <w:sz w:val="22"/>
        </w:rPr>
        <w:t xml:space="preserve">on </w:t>
      </w:r>
      <w:r w:rsidR="00ED30E9" w:rsidRPr="00ED30E9">
        <w:rPr>
          <w:rStyle w:val="nfasissutil"/>
          <w:b w:val="0"/>
          <w:sz w:val="22"/>
        </w:rPr>
        <w:t>Guid</w:t>
      </w:r>
      <w:r w:rsidR="00ED30E9" w:rsidRPr="00ED30E9">
        <w:rPr>
          <w:rStyle w:val="nfasissutil"/>
          <w:b w:val="0"/>
          <w:sz w:val="22"/>
        </w:rPr>
        <w:t>e</w:t>
      </w:r>
      <w:r w:rsidR="00ED30E9" w:rsidRPr="00ED30E9">
        <w:rPr>
          <w:rStyle w:val="nfasissutil"/>
          <w:b w:val="0"/>
          <w:sz w:val="22"/>
        </w:rPr>
        <w:t>line</w:t>
      </w:r>
      <w:r w:rsidR="00ED30E9">
        <w:rPr>
          <w:rStyle w:val="nfasissutil"/>
          <w:b w:val="0"/>
          <w:sz w:val="22"/>
        </w:rPr>
        <w:t xml:space="preserve">s on risk factors under </w:t>
      </w:r>
      <w:r w:rsidR="00673FC5">
        <w:rPr>
          <w:rStyle w:val="nfasissutil"/>
          <w:b w:val="0"/>
          <w:sz w:val="22"/>
        </w:rPr>
        <w:t xml:space="preserve">the </w:t>
      </w:r>
      <w:r w:rsidR="00ED30E9">
        <w:rPr>
          <w:rStyle w:val="nfasissutil"/>
          <w:b w:val="0"/>
          <w:sz w:val="22"/>
        </w:rPr>
        <w:t>Prospec</w:t>
      </w:r>
      <w:r w:rsidR="00ED30E9" w:rsidRPr="00ED30E9">
        <w:rPr>
          <w:rStyle w:val="nfasissutil"/>
          <w:b w:val="0"/>
          <w:sz w:val="22"/>
        </w:rPr>
        <w:t>tus Regulation</w:t>
      </w:r>
      <w:r w:rsidRPr="00EB79DD">
        <w:rPr>
          <w:rStyle w:val="nfasissutil"/>
          <w:b w:val="0"/>
          <w:sz w:val="22"/>
        </w:rPr>
        <w:t>. Responses are most helpful if they:</w:t>
      </w:r>
    </w:p>
    <w:p w14:paraId="560E1911" w14:textId="77777777" w:rsidR="00AF38AF" w:rsidRPr="00E40A5C" w:rsidRDefault="00AF38AF" w:rsidP="00AF38AF">
      <w:pPr>
        <w:rPr>
          <w:rStyle w:val="nfasissutil"/>
          <w:b w:val="0"/>
          <w:sz w:val="22"/>
        </w:rPr>
      </w:pPr>
    </w:p>
    <w:p w14:paraId="75E4832E" w14:textId="77777777" w:rsidR="009A3017" w:rsidRPr="00E40A5C" w:rsidRDefault="009A3017" w:rsidP="00967674">
      <w:pPr>
        <w:pStyle w:val="Prrafodelista"/>
        <w:numPr>
          <w:ilvl w:val="0"/>
          <w:numId w:val="37"/>
        </w:numPr>
        <w:spacing w:after="240" w:line="276" w:lineRule="auto"/>
        <w:ind w:left="567" w:hanging="567"/>
        <w:contextualSpacing w:val="0"/>
        <w:jc w:val="both"/>
        <w:rPr>
          <w:rStyle w:val="nfasissutil"/>
          <w:b w:val="0"/>
          <w:sz w:val="22"/>
        </w:rPr>
      </w:pPr>
      <w:r w:rsidRPr="00E40A5C">
        <w:rPr>
          <w:rStyle w:val="nfasissutil"/>
          <w:b w:val="0"/>
          <w:sz w:val="22"/>
        </w:rPr>
        <w:t>respond to the question stated;</w:t>
      </w:r>
    </w:p>
    <w:p w14:paraId="5A896C07" w14:textId="77777777" w:rsidR="009A3017" w:rsidRPr="00E40A5C" w:rsidRDefault="009A3017" w:rsidP="00967674">
      <w:pPr>
        <w:pStyle w:val="Prrafodelista"/>
        <w:numPr>
          <w:ilvl w:val="0"/>
          <w:numId w:val="37"/>
        </w:numPr>
        <w:spacing w:after="240" w:line="276" w:lineRule="auto"/>
        <w:ind w:left="567" w:hanging="567"/>
        <w:contextualSpacing w:val="0"/>
        <w:jc w:val="both"/>
        <w:rPr>
          <w:rStyle w:val="nfasissutil"/>
          <w:b w:val="0"/>
          <w:sz w:val="22"/>
        </w:rPr>
      </w:pPr>
      <w:r w:rsidRPr="00E40A5C">
        <w:rPr>
          <w:rStyle w:val="nfasissutil"/>
          <w:b w:val="0"/>
          <w:sz w:val="22"/>
        </w:rPr>
        <w:t>contain a clear rationale; and</w:t>
      </w:r>
    </w:p>
    <w:p w14:paraId="65022D2B" w14:textId="77777777" w:rsidR="009A3017" w:rsidRPr="00E40A5C" w:rsidRDefault="009A3017" w:rsidP="00967674">
      <w:pPr>
        <w:pStyle w:val="Prrafodelista"/>
        <w:numPr>
          <w:ilvl w:val="0"/>
          <w:numId w:val="37"/>
        </w:numPr>
        <w:spacing w:after="240" w:line="276" w:lineRule="auto"/>
        <w:ind w:left="567" w:hanging="567"/>
        <w:contextualSpacing w:val="0"/>
        <w:jc w:val="both"/>
        <w:rPr>
          <w:rStyle w:val="nfasissutil"/>
          <w:b w:val="0"/>
          <w:sz w:val="22"/>
        </w:rPr>
      </w:pPr>
      <w:r w:rsidRPr="00E40A5C">
        <w:rPr>
          <w:rStyle w:val="nfasissutil"/>
          <w:b w:val="0"/>
          <w:sz w:val="22"/>
        </w:rPr>
        <w:t>describe any alternatives ESMA should consider.</w:t>
      </w:r>
    </w:p>
    <w:p w14:paraId="1F8BC8A7" w14:textId="77777777" w:rsidR="009A3017" w:rsidRPr="00E40A5C" w:rsidRDefault="009A3017" w:rsidP="009A3017">
      <w:pPr>
        <w:spacing w:after="240"/>
        <w:jc w:val="both"/>
        <w:rPr>
          <w:rStyle w:val="nfasissutil"/>
          <w:b w:val="0"/>
          <w:sz w:val="22"/>
        </w:rPr>
      </w:pPr>
      <w:r w:rsidRPr="00E40A5C">
        <w:rPr>
          <w:rStyle w:val="nfasissutil"/>
          <w:b w:val="0"/>
          <w:sz w:val="22"/>
        </w:rPr>
        <w:t xml:space="preserve">ESMA will consider all responses received by </w:t>
      </w:r>
      <w:r w:rsidR="00EB79DD" w:rsidRPr="00EB79DD">
        <w:rPr>
          <w:rStyle w:val="nfasissutil"/>
          <w:b w:val="0"/>
          <w:sz w:val="22"/>
        </w:rPr>
        <w:t>0</w:t>
      </w:r>
      <w:r w:rsidR="00AF38AF" w:rsidRPr="00EB79DD">
        <w:rPr>
          <w:rStyle w:val="nfasissutil"/>
          <w:b w:val="0"/>
          <w:sz w:val="22"/>
        </w:rPr>
        <w:t xml:space="preserve">5 </w:t>
      </w:r>
      <w:r w:rsidR="00EB79DD" w:rsidRPr="00EB79DD">
        <w:rPr>
          <w:rStyle w:val="nfasissutil"/>
          <w:b w:val="0"/>
          <w:sz w:val="22"/>
        </w:rPr>
        <w:t>October</w:t>
      </w:r>
      <w:r w:rsidR="005C6485" w:rsidRPr="00EB79DD">
        <w:rPr>
          <w:rStyle w:val="nfasissutil"/>
          <w:b w:val="0"/>
          <w:sz w:val="22"/>
        </w:rPr>
        <w:t xml:space="preserve"> 2018</w:t>
      </w:r>
      <w:r w:rsidRPr="00EB79DD">
        <w:rPr>
          <w:rStyle w:val="nfasissutil"/>
          <w:b w:val="0"/>
          <w:sz w:val="22"/>
        </w:rPr>
        <w:t>.</w:t>
      </w:r>
    </w:p>
    <w:p w14:paraId="509D7613" w14:textId="77777777" w:rsidR="009A3017" w:rsidRPr="00E40A5C" w:rsidRDefault="009A3017" w:rsidP="009A3017">
      <w:pPr>
        <w:spacing w:after="120"/>
        <w:jc w:val="both"/>
        <w:rPr>
          <w:rStyle w:val="nfasissutil"/>
          <w:sz w:val="22"/>
        </w:rPr>
      </w:pPr>
      <w:r w:rsidRPr="00E40A5C">
        <w:rPr>
          <w:rStyle w:val="nfasissutil"/>
          <w:sz w:val="22"/>
        </w:rPr>
        <w:t>Instructions</w:t>
      </w:r>
    </w:p>
    <w:p w14:paraId="43C794B6" w14:textId="77777777" w:rsidR="009A3017" w:rsidRPr="00E40A5C" w:rsidRDefault="009A3017" w:rsidP="009A3017">
      <w:pPr>
        <w:spacing w:after="240"/>
        <w:jc w:val="both"/>
        <w:rPr>
          <w:rStyle w:val="nfasissutil"/>
          <w:b w:val="0"/>
          <w:sz w:val="22"/>
        </w:rPr>
      </w:pPr>
      <w:r w:rsidRPr="00E40A5C">
        <w:rPr>
          <w:rStyle w:val="nfasissutil"/>
          <w:b w:val="0"/>
          <w:sz w:val="22"/>
        </w:rPr>
        <w:t>In order to facilitate analysis of responses to the Consultation Paper, respondents are requested to follow the below steps when preparing and submitting their response:</w:t>
      </w:r>
    </w:p>
    <w:p w14:paraId="5AA0F3D7" w14:textId="77777777" w:rsidR="009A3017" w:rsidRPr="00E40A5C" w:rsidRDefault="009A3017" w:rsidP="00967674">
      <w:pPr>
        <w:pStyle w:val="Prrafodelista"/>
        <w:numPr>
          <w:ilvl w:val="0"/>
          <w:numId w:val="37"/>
        </w:numPr>
        <w:spacing w:after="240" w:line="276" w:lineRule="auto"/>
        <w:ind w:left="567" w:hanging="567"/>
        <w:contextualSpacing w:val="0"/>
        <w:jc w:val="both"/>
        <w:rPr>
          <w:rStyle w:val="nfasissutil"/>
          <w:b w:val="0"/>
          <w:sz w:val="22"/>
        </w:rPr>
      </w:pPr>
      <w:r w:rsidRPr="00E40A5C">
        <w:rPr>
          <w:rStyle w:val="nfasissutil"/>
          <w:b w:val="0"/>
          <w:sz w:val="22"/>
        </w:rPr>
        <w:t xml:space="preserve">Insert your responses to the questions in the Consultation Paper in </w:t>
      </w:r>
      <w:r w:rsidR="00963D60">
        <w:rPr>
          <w:rStyle w:val="nfasissutil"/>
          <w:b w:val="0"/>
          <w:sz w:val="22"/>
        </w:rPr>
        <w:t>the present</w:t>
      </w:r>
      <w:r w:rsidR="00963D60" w:rsidRPr="00E40A5C">
        <w:rPr>
          <w:rStyle w:val="nfasissutil"/>
          <w:b w:val="0"/>
          <w:sz w:val="22"/>
        </w:rPr>
        <w:t xml:space="preserve"> </w:t>
      </w:r>
      <w:r w:rsidR="00315895">
        <w:rPr>
          <w:rStyle w:val="nfasissutil"/>
          <w:b w:val="0"/>
          <w:sz w:val="22"/>
        </w:rPr>
        <w:t xml:space="preserve">response </w:t>
      </w:r>
      <w:r w:rsidRPr="00E40A5C">
        <w:rPr>
          <w:rStyle w:val="nfasissutil"/>
          <w:b w:val="0"/>
          <w:sz w:val="22"/>
        </w:rPr>
        <w:t>form</w:t>
      </w:r>
      <w:r w:rsidR="00963D60">
        <w:rPr>
          <w:rStyle w:val="nfasissutil"/>
          <w:b w:val="0"/>
          <w:sz w:val="22"/>
        </w:rPr>
        <w:t>.</w:t>
      </w:r>
      <w:r w:rsidRPr="00E40A5C">
        <w:rPr>
          <w:rStyle w:val="nfasissutil"/>
          <w:b w:val="0"/>
          <w:sz w:val="22"/>
        </w:rPr>
        <w:t xml:space="preserve"> </w:t>
      </w:r>
    </w:p>
    <w:p w14:paraId="6BB76442" w14:textId="77777777" w:rsidR="009A3017" w:rsidRPr="00E40A5C" w:rsidRDefault="009A3017" w:rsidP="00967674">
      <w:pPr>
        <w:pStyle w:val="Prrafodelista"/>
        <w:numPr>
          <w:ilvl w:val="0"/>
          <w:numId w:val="37"/>
        </w:numPr>
        <w:spacing w:after="240" w:line="276" w:lineRule="auto"/>
        <w:ind w:left="567" w:hanging="567"/>
        <w:contextualSpacing w:val="0"/>
        <w:jc w:val="both"/>
        <w:rPr>
          <w:rStyle w:val="nfasissutil"/>
          <w:b w:val="0"/>
          <w:sz w:val="22"/>
        </w:rPr>
      </w:pPr>
      <w:r w:rsidRPr="00E40A5C">
        <w:rPr>
          <w:rStyle w:val="nfasissutil"/>
          <w:b w:val="0"/>
          <w:sz w:val="22"/>
        </w:rPr>
        <w:t>Please do not remove tags of the type &lt;ESMA_QUESTION_</w:t>
      </w:r>
      <w:r w:rsidR="007243F1">
        <w:rPr>
          <w:rStyle w:val="nfasissutil"/>
          <w:b w:val="0"/>
          <w:sz w:val="22"/>
        </w:rPr>
        <w:t>GRF</w:t>
      </w:r>
      <w:r w:rsidRPr="00E40A5C">
        <w:rPr>
          <w:rStyle w:val="nfasissutil"/>
          <w:b w:val="0"/>
          <w:sz w:val="22"/>
        </w:rPr>
        <w:t>_1&gt;. Your response to each question has to be framed by the two tags corresponding to the question.</w:t>
      </w:r>
    </w:p>
    <w:p w14:paraId="758E1A0E" w14:textId="77777777" w:rsidR="009A3017" w:rsidRPr="00E40A5C" w:rsidRDefault="009A3017" w:rsidP="00967674">
      <w:pPr>
        <w:pStyle w:val="Prrafodelista"/>
        <w:numPr>
          <w:ilvl w:val="0"/>
          <w:numId w:val="37"/>
        </w:numPr>
        <w:spacing w:after="240" w:line="276" w:lineRule="auto"/>
        <w:ind w:left="567" w:hanging="567"/>
        <w:contextualSpacing w:val="0"/>
        <w:jc w:val="both"/>
        <w:rPr>
          <w:rStyle w:val="nfasissutil"/>
          <w:b w:val="0"/>
          <w:sz w:val="22"/>
        </w:rPr>
      </w:pPr>
      <w:r w:rsidRPr="00E40A5C">
        <w:rPr>
          <w:rStyle w:val="nfasissutil"/>
          <w:b w:val="0"/>
          <w:sz w:val="22"/>
        </w:rPr>
        <w:t>If you do not wish to respond to a given question, please do not delete it but simply leave the text “TYPE YOUR TEXT HERE” between the tags.</w:t>
      </w:r>
    </w:p>
    <w:p w14:paraId="678A8272" w14:textId="77777777" w:rsidR="009A3017" w:rsidRPr="00E40A5C" w:rsidRDefault="009A3017" w:rsidP="00967674">
      <w:pPr>
        <w:pStyle w:val="Prrafodelista"/>
        <w:numPr>
          <w:ilvl w:val="0"/>
          <w:numId w:val="37"/>
        </w:numPr>
        <w:spacing w:after="240" w:line="276" w:lineRule="auto"/>
        <w:ind w:left="567" w:hanging="567"/>
        <w:contextualSpacing w:val="0"/>
        <w:jc w:val="both"/>
        <w:rPr>
          <w:rStyle w:val="nfasissutil"/>
          <w:b w:val="0"/>
          <w:sz w:val="22"/>
        </w:rPr>
      </w:pPr>
      <w:r w:rsidRPr="00E40A5C">
        <w:rPr>
          <w:rStyle w:val="nfasissutil"/>
          <w:b w:val="0"/>
          <w:sz w:val="22"/>
        </w:rPr>
        <w:t>When you have drafted your response, name your response form according to the follo</w:t>
      </w:r>
      <w:r w:rsidRPr="00E40A5C">
        <w:rPr>
          <w:rStyle w:val="nfasissutil"/>
          <w:b w:val="0"/>
          <w:sz w:val="22"/>
        </w:rPr>
        <w:t>w</w:t>
      </w:r>
      <w:r w:rsidRPr="00E40A5C">
        <w:rPr>
          <w:rStyle w:val="nfasissutil"/>
          <w:b w:val="0"/>
          <w:sz w:val="22"/>
        </w:rPr>
        <w:t>ing convention: ESMA_</w:t>
      </w:r>
      <w:r w:rsidR="007243F1">
        <w:rPr>
          <w:rStyle w:val="nfasissutil"/>
          <w:b w:val="0"/>
          <w:sz w:val="22"/>
        </w:rPr>
        <w:t>GRF</w:t>
      </w:r>
      <w:r w:rsidRPr="00E40A5C">
        <w:rPr>
          <w:rStyle w:val="nfasissutil"/>
          <w:b w:val="0"/>
          <w:sz w:val="22"/>
        </w:rPr>
        <w:t>_nameofrespondent_RESPONSEFORM. For example, for a respondent named ABCD, the response form would be entitled E</w:t>
      </w:r>
      <w:r w:rsidRPr="00E40A5C">
        <w:rPr>
          <w:rStyle w:val="nfasissutil"/>
          <w:b w:val="0"/>
          <w:sz w:val="22"/>
        </w:rPr>
        <w:t>S</w:t>
      </w:r>
      <w:r w:rsidRPr="00E40A5C">
        <w:rPr>
          <w:rStyle w:val="nfasissutil"/>
          <w:b w:val="0"/>
          <w:sz w:val="22"/>
        </w:rPr>
        <w:t>MA_</w:t>
      </w:r>
      <w:r w:rsidR="007243F1">
        <w:rPr>
          <w:rStyle w:val="nfasissutil"/>
          <w:b w:val="0"/>
          <w:sz w:val="22"/>
        </w:rPr>
        <w:t>GRF</w:t>
      </w:r>
      <w:r w:rsidRPr="00E40A5C">
        <w:rPr>
          <w:rStyle w:val="nfasissutil"/>
          <w:b w:val="0"/>
          <w:sz w:val="22"/>
        </w:rPr>
        <w:t>_ABCD_RESPONSEFORM.</w:t>
      </w:r>
    </w:p>
    <w:p w14:paraId="47BB36E4" w14:textId="77777777" w:rsidR="009A3017" w:rsidRPr="00E40A5C" w:rsidRDefault="009A3017" w:rsidP="00831A25">
      <w:pPr>
        <w:pStyle w:val="Prrafodelista"/>
        <w:numPr>
          <w:ilvl w:val="0"/>
          <w:numId w:val="37"/>
        </w:numPr>
        <w:spacing w:after="240" w:line="276" w:lineRule="auto"/>
        <w:contextualSpacing w:val="0"/>
        <w:jc w:val="both"/>
        <w:rPr>
          <w:rStyle w:val="nfasissutil"/>
          <w:b w:val="0"/>
          <w:sz w:val="22"/>
        </w:rPr>
      </w:pPr>
      <w:r w:rsidRPr="00E40A5C">
        <w:rPr>
          <w:rStyle w:val="nfasissutil"/>
          <w:b w:val="0"/>
          <w:sz w:val="22"/>
        </w:rPr>
        <w:t xml:space="preserve">Upload the form containing your responses, </w:t>
      </w:r>
      <w:r w:rsidRPr="00963D60">
        <w:rPr>
          <w:rStyle w:val="nfasissutil"/>
          <w:sz w:val="22"/>
        </w:rPr>
        <w:t>in Word format</w:t>
      </w:r>
      <w:r w:rsidRPr="00E40A5C">
        <w:rPr>
          <w:rStyle w:val="nfasissutil"/>
          <w:b w:val="0"/>
          <w:sz w:val="22"/>
        </w:rPr>
        <w:t>, to ESMA’s website (</w:t>
      </w:r>
      <w:hyperlink r:id="rId17" w:history="1">
        <w:r w:rsidRPr="00E40A5C">
          <w:rPr>
            <w:rStyle w:val="Hipervnculo"/>
            <w:rFonts w:cs="Arial"/>
            <w:sz w:val="22"/>
          </w:rPr>
          <w:t>www.esma.europa.eu</w:t>
        </w:r>
      </w:hyperlink>
      <w:r w:rsidR="006E0A4F">
        <w:rPr>
          <w:rStyle w:val="nfasissutil"/>
          <w:b w:val="0"/>
          <w:sz w:val="22"/>
        </w:rPr>
        <w:t xml:space="preserve"> under the heading “Your input – Open consultatio</w:t>
      </w:r>
      <w:r w:rsidR="006E0A4F" w:rsidRPr="001D5360">
        <w:rPr>
          <w:rStyle w:val="nfasissutil"/>
          <w:b w:val="0"/>
          <w:sz w:val="22"/>
        </w:rPr>
        <w:t>ns”</w:t>
      </w:r>
      <w:r w:rsidRPr="001D5360">
        <w:rPr>
          <w:rStyle w:val="nfasissutil"/>
          <w:b w:val="0"/>
          <w:sz w:val="22"/>
        </w:rPr>
        <w:t xml:space="preserve"> </w:t>
      </w:r>
      <w:r w:rsidRPr="001D5360">
        <w:rPr>
          <w:rStyle w:val="nfasissutil"/>
          <w:b w:val="0"/>
          <w:sz w:val="22"/>
        </w:rPr>
        <w:sym w:font="Wingdings" w:char="F0E0"/>
      </w:r>
      <w:r w:rsidRPr="001D5360">
        <w:rPr>
          <w:rStyle w:val="nfasissutil"/>
          <w:b w:val="0"/>
          <w:sz w:val="22"/>
        </w:rPr>
        <w:t xml:space="preserve"> </w:t>
      </w:r>
      <w:r w:rsidR="006E0A4F" w:rsidRPr="001D5360">
        <w:rPr>
          <w:rStyle w:val="nfasissutil"/>
          <w:b w:val="0"/>
          <w:sz w:val="22"/>
        </w:rPr>
        <w:t>“</w:t>
      </w:r>
      <w:r w:rsidR="00EF5FB9" w:rsidRPr="00EF5FB9">
        <w:rPr>
          <w:rStyle w:val="nfasissutil"/>
          <w:b w:val="0"/>
          <w:sz w:val="22"/>
        </w:rPr>
        <w:t>Consu</w:t>
      </w:r>
      <w:r w:rsidR="00EF5FB9" w:rsidRPr="00EF5FB9">
        <w:rPr>
          <w:rStyle w:val="nfasissutil"/>
          <w:b w:val="0"/>
          <w:sz w:val="22"/>
        </w:rPr>
        <w:t>l</w:t>
      </w:r>
      <w:r w:rsidR="00EF5FB9" w:rsidRPr="00EF5FB9">
        <w:rPr>
          <w:rStyle w:val="nfasissutil"/>
          <w:b w:val="0"/>
          <w:sz w:val="22"/>
        </w:rPr>
        <w:t xml:space="preserve">tation </w:t>
      </w:r>
      <w:r w:rsidR="00767A6B">
        <w:rPr>
          <w:rStyle w:val="nfasissutil"/>
          <w:b w:val="0"/>
          <w:sz w:val="22"/>
        </w:rPr>
        <w:t>on</w:t>
      </w:r>
      <w:r w:rsidR="00ED30E9" w:rsidRPr="00ED30E9">
        <w:rPr>
          <w:rStyle w:val="nfasissutil"/>
          <w:b w:val="0"/>
          <w:sz w:val="22"/>
        </w:rPr>
        <w:t xml:space="preserve"> Guideline</w:t>
      </w:r>
      <w:r w:rsidR="00ED30E9">
        <w:rPr>
          <w:rStyle w:val="nfasissutil"/>
          <w:b w:val="0"/>
          <w:sz w:val="22"/>
        </w:rPr>
        <w:t xml:space="preserve">s on risk factors under </w:t>
      </w:r>
      <w:r w:rsidR="00673FC5">
        <w:rPr>
          <w:rStyle w:val="nfasissutil"/>
          <w:b w:val="0"/>
          <w:sz w:val="22"/>
        </w:rPr>
        <w:t xml:space="preserve">the </w:t>
      </w:r>
      <w:r w:rsidR="00ED30E9">
        <w:rPr>
          <w:rStyle w:val="nfasissutil"/>
          <w:b w:val="0"/>
          <w:sz w:val="22"/>
        </w:rPr>
        <w:t>Prospec</w:t>
      </w:r>
      <w:r w:rsidR="00ED30E9" w:rsidRPr="00ED30E9">
        <w:rPr>
          <w:rStyle w:val="nfasissutil"/>
          <w:b w:val="0"/>
          <w:sz w:val="22"/>
        </w:rPr>
        <w:t>tus Regulation</w:t>
      </w:r>
      <w:r w:rsidR="006E0A4F" w:rsidRPr="001D5360">
        <w:rPr>
          <w:rStyle w:val="nfasissutil"/>
          <w:b w:val="0"/>
          <w:sz w:val="22"/>
        </w:rPr>
        <w:t>”</w:t>
      </w:r>
      <w:r w:rsidRPr="001D5360">
        <w:rPr>
          <w:rStyle w:val="nfasissutil"/>
          <w:b w:val="0"/>
          <w:sz w:val="22"/>
        </w:rPr>
        <w:t>).</w:t>
      </w:r>
    </w:p>
    <w:p w14:paraId="74359CBF" w14:textId="77777777" w:rsidR="009A3017" w:rsidRPr="00E40A5C" w:rsidRDefault="009A3017" w:rsidP="009A3017">
      <w:pPr>
        <w:spacing w:after="120"/>
        <w:jc w:val="both"/>
        <w:rPr>
          <w:rStyle w:val="nfasissutil"/>
          <w:sz w:val="22"/>
          <w:lang w:eastAsia="en-GB"/>
        </w:rPr>
      </w:pPr>
      <w:r w:rsidRPr="00E40A5C">
        <w:rPr>
          <w:rStyle w:val="nfasissutil"/>
          <w:sz w:val="22"/>
          <w:lang w:eastAsia="en-GB"/>
        </w:rPr>
        <w:t>Publication of responses</w:t>
      </w:r>
    </w:p>
    <w:p w14:paraId="47CB3602" w14:textId="77777777" w:rsidR="009A3017" w:rsidRPr="00E40A5C" w:rsidRDefault="009A3017" w:rsidP="009A3017">
      <w:pPr>
        <w:spacing w:after="240"/>
        <w:jc w:val="both"/>
        <w:rPr>
          <w:rStyle w:val="nfasissutil"/>
          <w:b w:val="0"/>
          <w:sz w:val="22"/>
          <w:lang w:eastAsia="en-GB"/>
        </w:rPr>
      </w:pPr>
      <w:r w:rsidRPr="00E40A5C">
        <w:rPr>
          <w:rStyle w:val="nfasissutil"/>
          <w:b w:val="0"/>
          <w:sz w:val="22"/>
          <w:lang w:eastAsia="en-GB"/>
        </w:rPr>
        <w:t xml:space="preserve">All contributions received will be published following the close of the consultation, unless you request otherwise. </w:t>
      </w:r>
      <w:r w:rsidRPr="00963D60">
        <w:rPr>
          <w:rStyle w:val="nfasissutil"/>
          <w:sz w:val="22"/>
          <w:lang w:eastAsia="en-GB"/>
        </w:rPr>
        <w:t>Please clearly indicate by ticking the appropriate checkbox on the we</w:t>
      </w:r>
      <w:r w:rsidRPr="00963D60">
        <w:rPr>
          <w:rStyle w:val="nfasissutil"/>
          <w:sz w:val="22"/>
          <w:lang w:eastAsia="en-GB"/>
        </w:rPr>
        <w:t>b</w:t>
      </w:r>
      <w:r w:rsidRPr="00963D60">
        <w:rPr>
          <w:rStyle w:val="nfasissutil"/>
          <w:sz w:val="22"/>
          <w:lang w:eastAsia="en-GB"/>
        </w:rPr>
        <w:t>site submission page if you do not wish your contribution to be publicly disclosed.</w:t>
      </w:r>
      <w:r w:rsidRPr="00E40A5C">
        <w:rPr>
          <w:rStyle w:val="nfasissutil"/>
          <w:b w:val="0"/>
          <w:sz w:val="22"/>
          <w:lang w:eastAsia="en-GB"/>
        </w:rPr>
        <w:t xml:space="preserve"> A confidential response may be requested from us in accordance with ESMA’s rules on access to documents. We may consult you if we receive such a request. Any decision we make not to disclose the response is reviewable by ESMA’s Board of Appeal and the European Ombud</w:t>
      </w:r>
      <w:r w:rsidRPr="00E40A5C">
        <w:rPr>
          <w:rStyle w:val="nfasissutil"/>
          <w:b w:val="0"/>
          <w:sz w:val="22"/>
          <w:lang w:eastAsia="en-GB"/>
        </w:rPr>
        <w:t>s</w:t>
      </w:r>
      <w:r w:rsidRPr="00E40A5C">
        <w:rPr>
          <w:rStyle w:val="nfasissutil"/>
          <w:b w:val="0"/>
          <w:sz w:val="22"/>
          <w:lang w:eastAsia="en-GB"/>
        </w:rPr>
        <w:t>man.</w:t>
      </w:r>
    </w:p>
    <w:p w14:paraId="59E3D6D9" w14:textId="77777777" w:rsidR="009A3017" w:rsidRPr="00E40A5C" w:rsidRDefault="00315895" w:rsidP="004E6AE4">
      <w:pPr>
        <w:rPr>
          <w:rStyle w:val="nfasissutil"/>
          <w:sz w:val="22"/>
          <w:lang w:eastAsia="en-GB"/>
        </w:rPr>
      </w:pPr>
      <w:r>
        <w:rPr>
          <w:rStyle w:val="nfasissutil"/>
          <w:sz w:val="22"/>
          <w:lang w:eastAsia="en-GB"/>
        </w:rPr>
        <w:br w:type="page"/>
      </w:r>
      <w:r w:rsidR="009A3017" w:rsidRPr="00E40A5C">
        <w:rPr>
          <w:rStyle w:val="nfasissutil"/>
          <w:sz w:val="22"/>
          <w:lang w:eastAsia="en-GB"/>
        </w:rPr>
        <w:lastRenderedPageBreak/>
        <w:t>Data protection</w:t>
      </w:r>
    </w:p>
    <w:p w14:paraId="14B620CC" w14:textId="77777777" w:rsidR="009A3017" w:rsidRPr="00E40A5C" w:rsidRDefault="009A3017" w:rsidP="009A3017">
      <w:pPr>
        <w:spacing w:after="240"/>
        <w:jc w:val="both"/>
        <w:rPr>
          <w:rStyle w:val="nfasissutil"/>
          <w:b w:val="0"/>
          <w:sz w:val="22"/>
          <w:lang w:eastAsia="en-GB"/>
        </w:rPr>
      </w:pPr>
      <w:r w:rsidRPr="00E40A5C">
        <w:rPr>
          <w:rStyle w:val="nfasissutil"/>
          <w:b w:val="0"/>
          <w:sz w:val="22"/>
          <w:lang w:eastAsia="en-GB"/>
        </w:rPr>
        <w:t xml:space="preserve">Information on data protection can be found at </w:t>
      </w:r>
      <w:hyperlink r:id="rId18" w:history="1">
        <w:r w:rsidRPr="00E40A5C">
          <w:rPr>
            <w:rStyle w:val="Hipervnculo"/>
            <w:rFonts w:cs="Arial"/>
            <w:sz w:val="22"/>
            <w:lang w:eastAsia="en-GB"/>
          </w:rPr>
          <w:t>www.esma.europa.eu</w:t>
        </w:r>
      </w:hyperlink>
      <w:r w:rsidR="006E0A4F">
        <w:rPr>
          <w:rStyle w:val="nfasissutil"/>
          <w:b w:val="0"/>
          <w:sz w:val="22"/>
          <w:lang w:eastAsia="en-GB"/>
        </w:rPr>
        <w:t xml:space="preserve"> under the heading “Data protection”</w:t>
      </w:r>
      <w:r w:rsidRPr="00E40A5C">
        <w:rPr>
          <w:rStyle w:val="nfasissutil"/>
          <w:b w:val="0"/>
          <w:sz w:val="22"/>
          <w:lang w:eastAsia="en-GB"/>
        </w:rPr>
        <w:t>.</w:t>
      </w:r>
    </w:p>
    <w:p w14:paraId="2A14DD0C" w14:textId="77777777" w:rsidR="009A3017" w:rsidRPr="00E40A5C" w:rsidRDefault="009A3017" w:rsidP="009A3017">
      <w:pPr>
        <w:spacing w:after="120"/>
        <w:jc w:val="both"/>
        <w:rPr>
          <w:rStyle w:val="nfasissutil"/>
          <w:sz w:val="22"/>
          <w:lang w:eastAsia="en-GB"/>
        </w:rPr>
      </w:pPr>
      <w:r w:rsidRPr="00E40A5C">
        <w:rPr>
          <w:rStyle w:val="nfasissutil"/>
          <w:sz w:val="22"/>
          <w:lang w:eastAsia="en-GB"/>
        </w:rPr>
        <w:t>Who should read th</w:t>
      </w:r>
      <w:r w:rsidR="00315895">
        <w:rPr>
          <w:rStyle w:val="nfasissutil"/>
          <w:sz w:val="22"/>
          <w:lang w:eastAsia="en-GB"/>
        </w:rPr>
        <w:t>e</w:t>
      </w:r>
      <w:r w:rsidRPr="00E40A5C">
        <w:rPr>
          <w:rStyle w:val="nfasissutil"/>
          <w:sz w:val="22"/>
          <w:lang w:eastAsia="en-GB"/>
        </w:rPr>
        <w:t xml:space="preserve"> Consultation Paper</w:t>
      </w:r>
    </w:p>
    <w:bookmarkEnd w:id="0"/>
    <w:p w14:paraId="7D70CBE7" w14:textId="77777777" w:rsidR="00332304" w:rsidRDefault="002C6AAF" w:rsidP="004E6AE4">
      <w:pPr>
        <w:rPr>
          <w:rFonts w:cs="Arial"/>
          <w:b/>
          <w:bCs/>
          <w:kern w:val="32"/>
          <w:sz w:val="24"/>
          <w:szCs w:val="32"/>
        </w:rPr>
      </w:pPr>
      <w:r>
        <w:rPr>
          <w:rStyle w:val="nfasissutil"/>
          <w:b w:val="0"/>
          <w:sz w:val="22"/>
          <w:lang w:eastAsia="en-GB"/>
        </w:rPr>
        <w:t>This Consultation Paper may be of particular interest to investors, issuers, including issuers already admitted to trading on a regulated market or on a multilateral trading facility, offerors or persons asking for admission to trading on a regulated market as well as to any market partic</w:t>
      </w:r>
      <w:r>
        <w:rPr>
          <w:rStyle w:val="nfasissutil"/>
          <w:b w:val="0"/>
          <w:sz w:val="22"/>
          <w:lang w:eastAsia="en-GB"/>
        </w:rPr>
        <w:t>i</w:t>
      </w:r>
      <w:r>
        <w:rPr>
          <w:rStyle w:val="nfasissutil"/>
          <w:b w:val="0"/>
          <w:sz w:val="22"/>
          <w:lang w:eastAsia="en-GB"/>
        </w:rPr>
        <w:t>pant who is affected by the new Prospectus Regulation.</w:t>
      </w:r>
      <w:r w:rsidR="00332304">
        <w:br w:type="page"/>
      </w:r>
    </w:p>
    <w:p w14:paraId="6B4B661C" w14:textId="77777777" w:rsidR="00B327E9" w:rsidRPr="00AB6D88" w:rsidRDefault="00B327E9" w:rsidP="00B327E9">
      <w:pPr>
        <w:pStyle w:val="Ttulo1"/>
        <w:numPr>
          <w:ilvl w:val="0"/>
          <w:numId w:val="0"/>
        </w:numPr>
      </w:pPr>
      <w:r w:rsidRPr="00AB6D88">
        <w:lastRenderedPageBreak/>
        <w:t>General information about respondent</w:t>
      </w:r>
    </w:p>
    <w:p w14:paraId="4699307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33AA7C88" w14:textId="77777777" w:rsidTr="00F136AD">
        <w:tc>
          <w:tcPr>
            <w:tcW w:w="3929" w:type="dxa"/>
            <w:shd w:val="clear" w:color="auto" w:fill="auto"/>
          </w:tcPr>
          <w:p w14:paraId="7DE61009" w14:textId="77777777" w:rsidR="00B327E9" w:rsidRPr="00E40A5C" w:rsidRDefault="00B327E9" w:rsidP="00F136AD">
            <w:pPr>
              <w:rPr>
                <w:rFonts w:cs="Arial"/>
                <w:sz w:val="22"/>
              </w:rPr>
            </w:pPr>
            <w:permStart w:id="446505005" w:edGrp="everyone" w:colFirst="1" w:colLast="1"/>
            <w:r w:rsidRPr="00E40A5C">
              <w:rPr>
                <w:rFonts w:cs="Arial"/>
                <w:sz w:val="22"/>
              </w:rPr>
              <w:t>Name of the company / organisation</w:t>
            </w:r>
          </w:p>
        </w:tc>
        <w:sdt>
          <w:sdtPr>
            <w:rPr>
              <w:rStyle w:val="Textodelmarcadordeposicin"/>
              <w:rFonts w:cs="Arial"/>
            </w:rPr>
            <w:id w:val="-1905066999"/>
            <w:text/>
          </w:sdtPr>
          <w:sdtEndPr>
            <w:rPr>
              <w:rStyle w:val="Textodelmarcadordeposicin"/>
            </w:rPr>
          </w:sdtEndPr>
          <w:sdtContent>
            <w:tc>
              <w:tcPr>
                <w:tcW w:w="5595" w:type="dxa"/>
                <w:shd w:val="clear" w:color="auto" w:fill="auto"/>
              </w:tcPr>
              <w:p w14:paraId="7E02274C" w14:textId="5AC73C4A" w:rsidR="00B327E9" w:rsidRPr="00AB6D88" w:rsidRDefault="00A555EE" w:rsidP="00A555EE">
                <w:pPr>
                  <w:rPr>
                    <w:rStyle w:val="Textodelmarcadordeposicin"/>
                    <w:rFonts w:cs="Arial"/>
                  </w:rPr>
                </w:pPr>
                <w:r>
                  <w:rPr>
                    <w:rStyle w:val="Textodelmarcadordeposicin"/>
                    <w:rFonts w:cs="Arial"/>
                  </w:rPr>
                  <w:t>CNMV Advisory Committee</w:t>
                </w:r>
              </w:p>
            </w:tc>
          </w:sdtContent>
        </w:sdt>
      </w:tr>
      <w:tr w:rsidR="00B327E9" w:rsidRPr="00AB6D88" w14:paraId="570E7E14" w14:textId="77777777" w:rsidTr="00F136AD">
        <w:tc>
          <w:tcPr>
            <w:tcW w:w="3929" w:type="dxa"/>
            <w:shd w:val="clear" w:color="auto" w:fill="auto"/>
          </w:tcPr>
          <w:p w14:paraId="2E7832DE" w14:textId="77777777" w:rsidR="00B327E9" w:rsidRPr="00E40A5C" w:rsidRDefault="00B327E9" w:rsidP="00F136AD">
            <w:pPr>
              <w:rPr>
                <w:rFonts w:cs="Arial"/>
                <w:sz w:val="22"/>
              </w:rPr>
            </w:pPr>
            <w:permStart w:id="1463430675" w:edGrp="everyone" w:colFirst="1" w:colLast="1"/>
            <w:permEnd w:id="446505005"/>
            <w:r w:rsidRPr="00E40A5C">
              <w:rPr>
                <w:rFonts w:cs="Arial"/>
                <w:sz w:val="22"/>
              </w:rPr>
              <w:t>Activity</w:t>
            </w:r>
          </w:p>
        </w:tc>
        <w:tc>
          <w:tcPr>
            <w:tcW w:w="5595" w:type="dxa"/>
            <w:shd w:val="clear" w:color="auto" w:fill="auto"/>
          </w:tcPr>
          <w:p w14:paraId="544430BC" w14:textId="1DDC3D22" w:rsidR="00B327E9" w:rsidRPr="00AB6D88" w:rsidRDefault="00464227"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A555EE">
                  <w:rPr>
                    <w:rFonts w:cs="Arial"/>
                  </w:rPr>
                  <w:t>Government, Regulatory and Enforcement</w:t>
                </w:r>
              </w:sdtContent>
            </w:sdt>
          </w:p>
        </w:tc>
      </w:tr>
      <w:tr w:rsidR="00B327E9" w:rsidRPr="00AB6D88" w14:paraId="363317C7" w14:textId="77777777" w:rsidTr="00F136AD">
        <w:tc>
          <w:tcPr>
            <w:tcW w:w="3929" w:type="dxa"/>
            <w:shd w:val="clear" w:color="auto" w:fill="auto"/>
          </w:tcPr>
          <w:p w14:paraId="6207A0AD" w14:textId="77777777" w:rsidR="00B327E9" w:rsidRPr="00E40A5C" w:rsidRDefault="00B327E9" w:rsidP="00F136AD">
            <w:pPr>
              <w:rPr>
                <w:rFonts w:cs="Arial"/>
                <w:sz w:val="22"/>
              </w:rPr>
            </w:pPr>
            <w:permStart w:id="1342120390" w:edGrp="everyone" w:colFirst="1" w:colLast="1"/>
            <w:permEnd w:id="1463430675"/>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59ABFDC3" w14:textId="77777777" w:rsidR="00B327E9" w:rsidRPr="00AB6D88" w:rsidRDefault="00B327E9" w:rsidP="00F136AD">
                <w:pPr>
                  <w:rPr>
                    <w:rFonts w:cs="Arial"/>
                  </w:rPr>
                </w:pPr>
                <w:r>
                  <w:rPr>
                    <w:rFonts w:ascii="MS Gothic" w:eastAsia="MS Gothic" w:hAnsi="MS Gothic" w:cs="Arial" w:hint="eastAsia"/>
                  </w:rPr>
                  <w:t>☐</w:t>
                </w:r>
              </w:p>
            </w:tc>
          </w:sdtContent>
        </w:sdt>
      </w:tr>
      <w:tr w:rsidR="00B327E9" w:rsidRPr="00AB6D88" w14:paraId="26FF920A" w14:textId="77777777" w:rsidTr="00F136AD">
        <w:tc>
          <w:tcPr>
            <w:tcW w:w="3929" w:type="dxa"/>
            <w:shd w:val="clear" w:color="auto" w:fill="auto"/>
          </w:tcPr>
          <w:p w14:paraId="61240362" w14:textId="77777777" w:rsidR="00B327E9" w:rsidRPr="00E40A5C" w:rsidRDefault="00B327E9" w:rsidP="00F136AD">
            <w:pPr>
              <w:rPr>
                <w:rFonts w:cs="Arial"/>
                <w:sz w:val="22"/>
              </w:rPr>
            </w:pPr>
            <w:permStart w:id="1227631396" w:edGrp="everyone" w:colFirst="1" w:colLast="1"/>
            <w:permEnd w:id="1342120390"/>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3DA2BB7D" w14:textId="6AA7BD53" w:rsidR="00B327E9" w:rsidRPr="00AB6D88" w:rsidRDefault="00A555EE" w:rsidP="00F136AD">
                <w:pPr>
                  <w:rPr>
                    <w:rFonts w:cs="Arial"/>
                  </w:rPr>
                </w:pPr>
                <w:r>
                  <w:rPr>
                    <w:rFonts w:cs="Arial"/>
                  </w:rPr>
                  <w:t>Spain</w:t>
                </w:r>
              </w:p>
            </w:tc>
          </w:sdtContent>
        </w:sdt>
      </w:tr>
      <w:permEnd w:id="1227631396"/>
    </w:tbl>
    <w:p w14:paraId="35924520" w14:textId="77777777" w:rsidR="00B327E9" w:rsidRDefault="00B327E9" w:rsidP="00B327E9">
      <w:pPr>
        <w:spacing w:after="120" w:line="264" w:lineRule="auto"/>
      </w:pPr>
    </w:p>
    <w:p w14:paraId="4772BF01" w14:textId="77777777" w:rsidR="00B327E9" w:rsidRDefault="00B327E9" w:rsidP="00B327E9">
      <w:pPr>
        <w:pStyle w:val="Ttulo1"/>
        <w:numPr>
          <w:ilvl w:val="0"/>
          <w:numId w:val="0"/>
        </w:numPr>
        <w:ind w:left="431" w:hanging="431"/>
      </w:pPr>
      <w:r>
        <w:t>Introduction</w:t>
      </w:r>
    </w:p>
    <w:p w14:paraId="18167629" w14:textId="77777777" w:rsidR="00B327E9" w:rsidRPr="00E40A5C" w:rsidRDefault="00B327E9" w:rsidP="00B327E9">
      <w:pPr>
        <w:rPr>
          <w:rStyle w:val="nfasisintenso"/>
          <w:sz w:val="22"/>
        </w:rPr>
      </w:pPr>
      <w:r w:rsidRPr="00E40A5C">
        <w:rPr>
          <w:rStyle w:val="nfasisintenso"/>
          <w:sz w:val="22"/>
        </w:rPr>
        <w:t>Please make your introductory comments below, if any:</w:t>
      </w:r>
    </w:p>
    <w:p w14:paraId="30BFD2D8" w14:textId="77777777" w:rsidR="00B327E9" w:rsidRPr="00BF28DA" w:rsidRDefault="00B327E9" w:rsidP="00B327E9"/>
    <w:p w14:paraId="4A087B0A" w14:textId="77777777" w:rsidR="00B327E9" w:rsidRPr="006F4535" w:rsidRDefault="00B327E9" w:rsidP="00B327E9">
      <w:r w:rsidRPr="006F4535">
        <w:t>&lt;ESMA_COMMENT_</w:t>
      </w:r>
      <w:r w:rsidR="007243F1">
        <w:rPr>
          <w:rFonts w:cs="Arial"/>
        </w:rPr>
        <w:t>GRF</w:t>
      </w:r>
      <w:r w:rsidRPr="006F4535">
        <w:t>_1&gt;</w:t>
      </w:r>
    </w:p>
    <w:p w14:paraId="252204B7" w14:textId="77777777" w:rsidR="00A555EE" w:rsidRPr="00A555EE" w:rsidRDefault="00A555EE" w:rsidP="00A555EE">
      <w:pPr>
        <w:rPr>
          <w:rFonts w:cs="Arial"/>
        </w:rPr>
      </w:pPr>
      <w:permStart w:id="153252471" w:edGrp="everyone"/>
      <w:r w:rsidRPr="00A555EE">
        <w:rPr>
          <w:rFonts w:cs="Arial"/>
        </w:rPr>
        <w:t>The Advisory Committee of the CNMV has been set by the Spanish Securities Market Law as the consu</w:t>
      </w:r>
      <w:r w:rsidRPr="00A555EE">
        <w:rPr>
          <w:rFonts w:cs="Arial"/>
        </w:rPr>
        <w:t>l</w:t>
      </w:r>
      <w:r w:rsidRPr="00A555EE">
        <w:rPr>
          <w:rFonts w:cs="Arial"/>
        </w:rPr>
        <w:t>tative body of the CNMV. This Committee is composed by market participants (members of secondary markets, issuers, retail investors, intermediaries, the collective investment industry, etc) and its opinions are ind</w:t>
      </w:r>
      <w:r w:rsidRPr="00A555EE">
        <w:rPr>
          <w:rFonts w:cs="Arial"/>
        </w:rPr>
        <w:t>e</w:t>
      </w:r>
      <w:r w:rsidRPr="00A555EE">
        <w:rPr>
          <w:rFonts w:cs="Arial"/>
        </w:rPr>
        <w:t xml:space="preserve">pendent from those of the CNMV. </w:t>
      </w:r>
    </w:p>
    <w:permEnd w:id="153252471"/>
    <w:p w14:paraId="39FA1082" w14:textId="77777777" w:rsidR="00B327E9" w:rsidRPr="00BF28DA" w:rsidRDefault="00B327E9" w:rsidP="00B327E9">
      <w:r w:rsidRPr="00BF28DA">
        <w:t>&lt;ESMA_COMMENT_</w:t>
      </w:r>
      <w:r w:rsidR="007243F1">
        <w:rPr>
          <w:rFonts w:cs="Arial"/>
        </w:rPr>
        <w:t>GRF</w:t>
      </w:r>
      <w:r w:rsidR="000A58BE">
        <w:t>_</w:t>
      </w:r>
      <w:r w:rsidRPr="00BF28DA">
        <w:t>1&gt;</w:t>
      </w:r>
    </w:p>
    <w:p w14:paraId="49581B79" w14:textId="77777777" w:rsidR="002E7113" w:rsidRDefault="002E7113" w:rsidP="002E7113">
      <w:pPr>
        <w:pStyle w:val="Ttulo1"/>
        <w:numPr>
          <w:ilvl w:val="0"/>
          <w:numId w:val="0"/>
        </w:numPr>
      </w:pPr>
      <w:bookmarkStart w:id="1" w:name="_GoBack"/>
      <w:bookmarkEnd w:id="1"/>
    </w:p>
    <w:p w14:paraId="5422DF67" w14:textId="77777777" w:rsidR="00F31E57" w:rsidRPr="00BF28DA" w:rsidRDefault="00F31E57" w:rsidP="00D34282"/>
    <w:p w14:paraId="58E14237" w14:textId="77777777" w:rsidR="00AF38AF" w:rsidRDefault="00F31E57" w:rsidP="00AF38AF">
      <w:pPr>
        <w:rPr>
          <w:rFonts w:cs="Arial"/>
          <w:sz w:val="18"/>
          <w:szCs w:val="18"/>
        </w:rPr>
      </w:pPr>
      <w:r w:rsidRPr="0075015C">
        <w:br w:type="page"/>
      </w:r>
    </w:p>
    <w:p w14:paraId="54B622FA" w14:textId="77777777" w:rsidR="00170D44" w:rsidRDefault="00170D44" w:rsidP="00170D44">
      <w:pPr>
        <w:rPr>
          <w:b/>
        </w:rPr>
      </w:pPr>
    </w:p>
    <w:p w14:paraId="6A68B958" w14:textId="77777777" w:rsidR="00CC38E9" w:rsidRDefault="00CC38E9" w:rsidP="00170D44">
      <w:pPr>
        <w:rPr>
          <w:b/>
        </w:rPr>
      </w:pPr>
    </w:p>
    <w:p w14:paraId="4E9B4DB8" w14:textId="77777777" w:rsidR="007243F1" w:rsidRDefault="007243F1" w:rsidP="00170D44">
      <w:pPr>
        <w:rPr>
          <w:b/>
        </w:rPr>
      </w:pPr>
    </w:p>
    <w:p w14:paraId="37016323" w14:textId="77777777" w:rsidR="007243F1" w:rsidRPr="005B1CA9" w:rsidRDefault="007243F1" w:rsidP="007243F1">
      <w:pPr>
        <w:rPr>
          <w:i/>
        </w:rPr>
      </w:pPr>
      <w:r w:rsidRPr="005B1CA9">
        <w:rPr>
          <w:i/>
        </w:rPr>
        <w:t>Specificity</w:t>
      </w:r>
    </w:p>
    <w:p w14:paraId="4B4500A5" w14:textId="77777777"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guidelines on specificity? If not, please provide your reasoning. </w:t>
      </w:r>
    </w:p>
    <w:p w14:paraId="313685FF" w14:textId="77777777" w:rsidR="00EE53D1" w:rsidRDefault="00EE53D1" w:rsidP="00EE53D1">
      <w:pPr>
        <w:rPr>
          <w:rFonts w:cs="Arial"/>
        </w:rPr>
      </w:pPr>
      <w:r>
        <w:rPr>
          <w:rFonts w:cs="Arial"/>
        </w:rPr>
        <w:t>&lt;ESMA_QUESTION_GRF_1&gt;</w:t>
      </w:r>
    </w:p>
    <w:p w14:paraId="09849AA6" w14:textId="576E579E" w:rsidR="008A1398" w:rsidRDefault="008A1398" w:rsidP="00EE53D1">
      <w:pPr>
        <w:rPr>
          <w:rFonts w:cs="Arial"/>
        </w:rPr>
      </w:pPr>
      <w:permStart w:id="820380816" w:edGrp="everyone"/>
      <w:r w:rsidRPr="008A1398">
        <w:rPr>
          <w:rFonts w:cs="Arial"/>
        </w:rPr>
        <w:t>Yes. In general terms we agree with the content of the Guideline, however, we think that it would be worthy to mention that the simple fact that the prospectus of issuers from the same activity sector and/or related to the same type of securities contain similar risk factors should not be considered by itself as a ‘boiler-plate’ disclosure when there is a clear and direct link between the described risk and the iss</w:t>
      </w:r>
      <w:r w:rsidRPr="008A1398">
        <w:rPr>
          <w:rFonts w:cs="Arial"/>
        </w:rPr>
        <w:t>u</w:t>
      </w:r>
      <w:r w:rsidRPr="008A1398">
        <w:rPr>
          <w:rFonts w:cs="Arial"/>
        </w:rPr>
        <w:t>er/guarantor  and/or the securities</w:t>
      </w:r>
    </w:p>
    <w:permEnd w:id="820380816"/>
    <w:p w14:paraId="2C652106" w14:textId="54ACF01E" w:rsidR="00EE53D1" w:rsidRDefault="00EE53D1" w:rsidP="00EE53D1">
      <w:pPr>
        <w:rPr>
          <w:rFonts w:cs="Arial"/>
        </w:rPr>
      </w:pPr>
      <w:r>
        <w:rPr>
          <w:rFonts w:cs="Arial"/>
        </w:rPr>
        <w:t>&lt;ESMA_QUESTION_GRF_1&gt;</w:t>
      </w:r>
    </w:p>
    <w:p w14:paraId="3EB0B933" w14:textId="77777777" w:rsidR="007243F1" w:rsidRPr="007243F1" w:rsidRDefault="007243F1" w:rsidP="007243F1">
      <w:pPr>
        <w:rPr>
          <w:b/>
        </w:rPr>
      </w:pPr>
    </w:p>
    <w:p w14:paraId="1CBDA116" w14:textId="77777777" w:rsidR="007243F1" w:rsidRDefault="007243F1" w:rsidP="007243F1">
      <w:pPr>
        <w:rPr>
          <w:i/>
        </w:rPr>
      </w:pPr>
      <w:r>
        <w:rPr>
          <w:i/>
        </w:rPr>
        <w:t>Materiality</w:t>
      </w:r>
    </w:p>
    <w:p w14:paraId="31D98E61" w14:textId="77777777"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 3? If not, please provide your reasoning.</w:t>
      </w:r>
    </w:p>
    <w:p w14:paraId="0237DA5C" w14:textId="77777777" w:rsidR="00EE53D1" w:rsidRDefault="00EE53D1" w:rsidP="00EE53D1">
      <w:pPr>
        <w:rPr>
          <w:rFonts w:cs="Arial"/>
        </w:rPr>
      </w:pPr>
      <w:r>
        <w:rPr>
          <w:rFonts w:cs="Arial"/>
        </w:rPr>
        <w:t>&lt;ESMA_QUESTION_GRF_2&gt;</w:t>
      </w:r>
    </w:p>
    <w:p w14:paraId="7E20964A" w14:textId="74513DA5" w:rsidR="00F61B4F" w:rsidRDefault="00F65E4B" w:rsidP="00F65E4B">
      <w:pPr>
        <w:rPr>
          <w:rFonts w:cs="Arial"/>
        </w:rPr>
      </w:pPr>
      <w:permStart w:id="1609836598" w:edGrp="everyone"/>
      <w:r w:rsidRPr="00F65E4B">
        <w:rPr>
          <w:rFonts w:cs="Arial"/>
        </w:rPr>
        <w:t xml:space="preserve">Yes. In general terms we agree with the content of the Guideline, however, </w:t>
      </w:r>
      <w:r w:rsidR="008B3AC4">
        <w:rPr>
          <w:rFonts w:cs="Arial"/>
        </w:rPr>
        <w:t>it should be analysed whether</w:t>
      </w:r>
      <w:r w:rsidRPr="00F65E4B">
        <w:rPr>
          <w:rFonts w:cs="Arial"/>
        </w:rPr>
        <w:t xml:space="preserve"> it is appropriate to define the materiality concept for  the risk factors assessment by a cross-reference to the IFRS conceptual framework. </w:t>
      </w:r>
    </w:p>
    <w:p w14:paraId="18FC22D0" w14:textId="6A7AA533" w:rsidR="00F65E4B" w:rsidRPr="00F65E4B" w:rsidRDefault="00F65E4B" w:rsidP="00F65E4B">
      <w:pPr>
        <w:rPr>
          <w:rFonts w:cs="Arial"/>
        </w:rPr>
      </w:pPr>
      <w:r w:rsidRPr="00F65E4B">
        <w:rPr>
          <w:rFonts w:cs="Arial"/>
        </w:rPr>
        <w:t>In this regard, art. 16.1 of the Prospectus Regulation describes the materiality concept for the risk factors assessment on the following terms: “When drawing up the prospectus, the issuer, the offeror or the person asking for admission to trading on a regulated market shall assess the materiality of the risk factors based on the probability of their occurrence and the expected magnitude of their negative impact.”</w:t>
      </w:r>
    </w:p>
    <w:p w14:paraId="1BD039F1" w14:textId="13A729AD" w:rsidR="00F65E4B" w:rsidRPr="00F65E4B" w:rsidRDefault="00F65E4B" w:rsidP="00F65E4B">
      <w:pPr>
        <w:rPr>
          <w:rFonts w:cs="Arial"/>
        </w:rPr>
      </w:pPr>
      <w:r w:rsidRPr="00F65E4B">
        <w:rPr>
          <w:rFonts w:cs="Arial"/>
        </w:rPr>
        <w:t xml:space="preserve">The relevance of the risk factors in the prospectus framework should be </w:t>
      </w:r>
      <w:r w:rsidR="00F61B4F" w:rsidRPr="00F65E4B">
        <w:rPr>
          <w:rFonts w:cs="Arial"/>
        </w:rPr>
        <w:t>analysed</w:t>
      </w:r>
      <w:r w:rsidRPr="00F65E4B">
        <w:rPr>
          <w:rFonts w:cs="Arial"/>
        </w:rPr>
        <w:t xml:space="preserve"> on the basis of the criteria established by the legislator on art. 16.1 and not under the conceptual framework of another Reg</w:t>
      </w:r>
      <w:r w:rsidRPr="00F65E4B">
        <w:rPr>
          <w:rFonts w:cs="Arial"/>
        </w:rPr>
        <w:t>u</w:t>
      </w:r>
      <w:r w:rsidRPr="00F65E4B">
        <w:rPr>
          <w:rFonts w:cs="Arial"/>
        </w:rPr>
        <w:t>lation.</w:t>
      </w:r>
    </w:p>
    <w:p w14:paraId="03D14A69" w14:textId="1E4B84C1" w:rsidR="00EE53D1" w:rsidRDefault="00F65E4B" w:rsidP="00EE53D1">
      <w:pPr>
        <w:rPr>
          <w:rFonts w:cs="Arial"/>
        </w:rPr>
      </w:pPr>
      <w:r w:rsidRPr="00F65E4B">
        <w:rPr>
          <w:rFonts w:cs="Arial"/>
        </w:rPr>
        <w:t xml:space="preserve">In the context of a Guideline, a different solution would amount to overstep the level one mandate. </w:t>
      </w:r>
      <w:permEnd w:id="1609836598"/>
      <w:r w:rsidR="00EE53D1">
        <w:rPr>
          <w:rFonts w:cs="Arial"/>
        </w:rPr>
        <w:t>&lt;E</w:t>
      </w:r>
      <w:r w:rsidR="00EE53D1">
        <w:rPr>
          <w:rFonts w:cs="Arial"/>
        </w:rPr>
        <w:t>S</w:t>
      </w:r>
      <w:r w:rsidR="00EE53D1">
        <w:rPr>
          <w:rFonts w:cs="Arial"/>
        </w:rPr>
        <w:t>MA_QUESTION_GRF_2&gt;</w:t>
      </w:r>
    </w:p>
    <w:p w14:paraId="0F205CDD" w14:textId="77777777" w:rsidR="00EE53D1" w:rsidRDefault="00EE53D1" w:rsidP="00EE53D1">
      <w:pPr>
        <w:rPr>
          <w:rFonts w:cs="Arial"/>
        </w:rPr>
      </w:pPr>
    </w:p>
    <w:p w14:paraId="67973F08" w14:textId="77777777" w:rsidR="00EE53D1" w:rsidRPr="00303C9E" w:rsidRDefault="00EE53D1" w:rsidP="00EE53D1">
      <w:pPr>
        <w:pStyle w:val="Questionstyle"/>
        <w:numPr>
          <w:ilvl w:val="0"/>
          <w:numId w:val="39"/>
        </w:numPr>
      </w:pPr>
      <w:r w:rsidRPr="00303C9E">
        <w:t xml:space="preserve">: Do you agree with </w:t>
      </w:r>
      <w:r w:rsidR="007303AD">
        <w:t>the suggested draft</w:t>
      </w:r>
      <w:r w:rsidRPr="00303C9E">
        <w:t xml:space="preserve"> guideline 4 on quantitative information? If not, please provide your reasoning. </w:t>
      </w:r>
    </w:p>
    <w:p w14:paraId="305A1150" w14:textId="77777777" w:rsidR="00EE53D1" w:rsidRDefault="00EE53D1" w:rsidP="00EE53D1">
      <w:pPr>
        <w:rPr>
          <w:rFonts w:cs="Arial"/>
        </w:rPr>
      </w:pPr>
      <w:r>
        <w:rPr>
          <w:rFonts w:cs="Arial"/>
        </w:rPr>
        <w:t>&lt;ESMA_QUESTION_GRF_3&gt;</w:t>
      </w:r>
    </w:p>
    <w:p w14:paraId="482C1BDB" w14:textId="6B584F0C" w:rsidR="00EE53D1" w:rsidRDefault="00B56BBF" w:rsidP="00EE53D1">
      <w:pPr>
        <w:rPr>
          <w:rFonts w:cs="Arial"/>
        </w:rPr>
      </w:pPr>
      <w:permStart w:id="2135451984" w:edGrp="everyone"/>
      <w:r w:rsidRPr="00B56BBF">
        <w:rPr>
          <w:rFonts w:cs="Arial"/>
        </w:rPr>
        <w:t>In general terms we agree with the content of the Guideline, but not with the explanatory text suggesting the need to disclose quantitative information when it is available. The disclosure of that kind of information is not a requirements under the level 1 and may raise significant concerns about the responsibility of the issuers in the cases where those quantitative elements results to be inaccurate or incomplete</w:t>
      </w:r>
      <w:r w:rsidR="00CA6B3E">
        <w:rPr>
          <w:rFonts w:cs="Arial"/>
        </w:rPr>
        <w:t>.</w:t>
      </w:r>
      <w:r w:rsidRPr="00B56BBF">
        <w:rPr>
          <w:rFonts w:cs="Arial"/>
        </w:rPr>
        <w:t xml:space="preserve"> </w:t>
      </w:r>
      <w:permEnd w:id="2135451984"/>
      <w:r w:rsidR="00EE53D1">
        <w:rPr>
          <w:rFonts w:cs="Arial"/>
        </w:rPr>
        <w:t>&lt;E</w:t>
      </w:r>
      <w:r w:rsidR="00EE53D1">
        <w:rPr>
          <w:rFonts w:cs="Arial"/>
        </w:rPr>
        <w:t>S</w:t>
      </w:r>
      <w:r w:rsidR="00EE53D1">
        <w:rPr>
          <w:rFonts w:cs="Arial"/>
        </w:rPr>
        <w:t>MA_QUESTION_GRF_3&gt;</w:t>
      </w:r>
    </w:p>
    <w:p w14:paraId="5F357D2B" w14:textId="77777777" w:rsidR="00EE53D1" w:rsidRDefault="00EE53D1" w:rsidP="00EE53D1">
      <w:pPr>
        <w:rPr>
          <w:rFonts w:cs="Arial"/>
        </w:rPr>
      </w:pPr>
    </w:p>
    <w:p w14:paraId="220FC7F2" w14:textId="77777777"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 5 on mitigating language? If not,</w:t>
      </w:r>
      <w:r w:rsidRPr="007243F1">
        <w:t xml:space="preserve"> please </w:t>
      </w:r>
      <w:r w:rsidRPr="00303C9E">
        <w:t>pr</w:t>
      </w:r>
      <w:r w:rsidRPr="00303C9E">
        <w:t>o</w:t>
      </w:r>
      <w:r w:rsidRPr="00303C9E">
        <w:t>vide your reasoning.</w:t>
      </w:r>
    </w:p>
    <w:p w14:paraId="527642EA" w14:textId="77777777" w:rsidR="00EE53D1" w:rsidRDefault="00EE53D1" w:rsidP="00EE53D1">
      <w:pPr>
        <w:rPr>
          <w:rFonts w:cs="Arial"/>
        </w:rPr>
      </w:pPr>
      <w:r>
        <w:rPr>
          <w:rFonts w:cs="Arial"/>
        </w:rPr>
        <w:t>&lt;ESMA_QUESTION_GRF_4&gt;</w:t>
      </w:r>
    </w:p>
    <w:p w14:paraId="6AE541F8" w14:textId="6BCDFE49" w:rsidR="00B440D7" w:rsidRPr="00B440D7" w:rsidRDefault="00B440D7" w:rsidP="00B440D7">
      <w:pPr>
        <w:rPr>
          <w:rFonts w:cs="Arial"/>
        </w:rPr>
      </w:pPr>
      <w:permStart w:id="1053963091" w:edGrp="everyone"/>
      <w:r w:rsidRPr="00B440D7">
        <w:rPr>
          <w:rFonts w:cs="Arial"/>
        </w:rPr>
        <w:t xml:space="preserve">We totally agree with the proposed Guideline that the use of mitigating language which could limit the perception of the risk factors must be avoided. However, we do not agree with the explanation </w:t>
      </w:r>
      <w:r w:rsidR="00E528DF">
        <w:rPr>
          <w:rFonts w:cs="Arial"/>
        </w:rPr>
        <w:t>that qual</w:t>
      </w:r>
      <w:r w:rsidR="00E528DF">
        <w:rPr>
          <w:rFonts w:cs="Arial"/>
        </w:rPr>
        <w:t>i</w:t>
      </w:r>
      <w:r w:rsidR="00E528DF">
        <w:rPr>
          <w:rFonts w:cs="Arial"/>
        </w:rPr>
        <w:t xml:space="preserve">fies </w:t>
      </w:r>
      <w:r w:rsidRPr="00B440D7">
        <w:rPr>
          <w:rFonts w:cs="Arial"/>
        </w:rPr>
        <w:t>the risk management techniques description</w:t>
      </w:r>
      <w:r w:rsidR="00F12BFE">
        <w:rPr>
          <w:rFonts w:cs="Arial"/>
        </w:rPr>
        <w:t>s</w:t>
      </w:r>
      <w:r w:rsidRPr="00B440D7">
        <w:rPr>
          <w:rFonts w:cs="Arial"/>
        </w:rPr>
        <w:t xml:space="preserve"> as mitigating language. The tools and techniques used by the issuer in order to reduce the company exposure to certain risks can not be qualified as mitigating language, on the contrary these explanations must be included to make it clear the real materiality of the relevant risk.</w:t>
      </w:r>
    </w:p>
    <w:p w14:paraId="0332C40D" w14:textId="2F79AAB4" w:rsidR="004D274E" w:rsidRDefault="00B440D7" w:rsidP="00B440D7">
      <w:pPr>
        <w:rPr>
          <w:rFonts w:cs="Arial"/>
        </w:rPr>
      </w:pPr>
      <w:r w:rsidRPr="00B440D7">
        <w:rPr>
          <w:rFonts w:cs="Arial"/>
        </w:rPr>
        <w:t>Therefore, we suggest adding the following statement in the explanatory text following draft guideline 5: « Any description of the measures and/or policies in place to prevent, manage and/or monitor the risks identified, should not be considered mitigating language. »</w:t>
      </w:r>
      <w:r w:rsidR="00193924">
        <w:rPr>
          <w:rFonts w:cs="Arial"/>
        </w:rPr>
        <w:t>.</w:t>
      </w:r>
    </w:p>
    <w:permEnd w:id="1053963091"/>
    <w:p w14:paraId="643B669F" w14:textId="02C2B8A8" w:rsidR="00EE53D1" w:rsidRDefault="00EE53D1" w:rsidP="00EE53D1">
      <w:pPr>
        <w:rPr>
          <w:rFonts w:cs="Arial"/>
        </w:rPr>
      </w:pPr>
      <w:r>
        <w:rPr>
          <w:rFonts w:cs="Arial"/>
        </w:rPr>
        <w:lastRenderedPageBreak/>
        <w:t>&lt;ESMA_QUESTION_GRF_4&gt;</w:t>
      </w:r>
    </w:p>
    <w:p w14:paraId="55DCD8F9" w14:textId="77777777" w:rsidR="007243F1" w:rsidRPr="007243F1" w:rsidRDefault="007243F1" w:rsidP="007243F1">
      <w:pPr>
        <w:rPr>
          <w:b/>
        </w:rPr>
      </w:pPr>
    </w:p>
    <w:p w14:paraId="147CA1ED" w14:textId="77777777" w:rsidR="007243F1" w:rsidRPr="007243F1" w:rsidRDefault="007243F1" w:rsidP="007243F1">
      <w:pPr>
        <w:rPr>
          <w:i/>
        </w:rPr>
      </w:pPr>
      <w:r w:rsidRPr="007243F1">
        <w:rPr>
          <w:i/>
        </w:rPr>
        <w:t>Corroboration</w:t>
      </w:r>
    </w:p>
    <w:p w14:paraId="0C5CAFEE" w14:textId="77777777"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 6 on corroboration of specificity and mater</w:t>
      </w:r>
      <w:r w:rsidRPr="00303C9E">
        <w:t>i</w:t>
      </w:r>
      <w:r w:rsidRPr="00303C9E">
        <w:t>ality? If not, please provide your reasoning.</w:t>
      </w:r>
    </w:p>
    <w:p w14:paraId="5AD60517" w14:textId="77777777" w:rsidR="00EE53D1" w:rsidRDefault="00EE53D1" w:rsidP="00EE53D1">
      <w:pPr>
        <w:rPr>
          <w:rFonts w:cs="Arial"/>
        </w:rPr>
      </w:pPr>
      <w:r>
        <w:rPr>
          <w:rFonts w:cs="Arial"/>
        </w:rPr>
        <w:t>&lt;ESMA_QUESTION_GRF_5&gt;</w:t>
      </w:r>
    </w:p>
    <w:p w14:paraId="48A6FDF8" w14:textId="52F64A36" w:rsidR="00140E41" w:rsidRDefault="00140E41" w:rsidP="00EE53D1">
      <w:pPr>
        <w:rPr>
          <w:rFonts w:cs="Arial"/>
        </w:rPr>
      </w:pPr>
      <w:permStart w:id="1640123379" w:edGrp="everyone"/>
      <w:r w:rsidRPr="00140E41">
        <w:rPr>
          <w:rFonts w:cs="Arial"/>
        </w:rPr>
        <w:t>[</w:t>
      </w:r>
      <w:r w:rsidR="005D2A83" w:rsidRPr="005D2A83">
        <w:rPr>
          <w:rFonts w:cs="Arial"/>
        </w:rPr>
        <w:t>Yes. In general terms we agree with the content of the Guideline, however, we think that the corrobor</w:t>
      </w:r>
      <w:r w:rsidR="005D2A83" w:rsidRPr="005D2A83">
        <w:rPr>
          <w:rFonts w:cs="Arial"/>
        </w:rPr>
        <w:t>a</w:t>
      </w:r>
      <w:r w:rsidR="005D2A83" w:rsidRPr="005D2A83">
        <w:rPr>
          <w:rFonts w:cs="Arial"/>
        </w:rPr>
        <w:t>tion explanation may also include an specific cross-reference  to the consistency scrutiny criteria on the RTS Draft about scrutiny and approval of the prospectus. In this regards Article A of the said RTS draft about Criteria for scrutiny of the draft prospectus and criteria for review of the draft universal registration document and amendments thereto… establishes the following technical standard “3. When scrutinizing or reviewing the consistency of the information given in the draft prospectus, the competent authority shall consider whether the draft prospectus Is free of material discrepancies between the different pieces of information provided in the draft prospectus, including any information incorporated by reference. To this end, the competent authority shall consider in particular whether the draft prospectus, meets the following criteria: (a) Any material and specific risks disclosed elsewhere in the draft prospectus are included in the risk factors section…  ]</w:t>
      </w:r>
    </w:p>
    <w:permEnd w:id="1640123379"/>
    <w:p w14:paraId="6DBD2DE6" w14:textId="7C5449FA" w:rsidR="00EE53D1" w:rsidRDefault="00EE53D1" w:rsidP="00EE53D1">
      <w:pPr>
        <w:rPr>
          <w:rFonts w:cs="Arial"/>
        </w:rPr>
      </w:pPr>
      <w:r>
        <w:rPr>
          <w:rFonts w:cs="Arial"/>
        </w:rPr>
        <w:t>&lt;ESMA_QUESTION_GRF_5&gt;</w:t>
      </w:r>
    </w:p>
    <w:p w14:paraId="0D96B6D6" w14:textId="77777777" w:rsidR="007243F1" w:rsidRDefault="007243F1" w:rsidP="007243F1">
      <w:pPr>
        <w:rPr>
          <w:b/>
        </w:rPr>
      </w:pPr>
    </w:p>
    <w:p w14:paraId="69F0E0F8" w14:textId="77777777" w:rsidR="007243F1" w:rsidRPr="007243F1" w:rsidRDefault="007243F1" w:rsidP="007243F1">
      <w:pPr>
        <w:rPr>
          <w:b/>
        </w:rPr>
      </w:pPr>
    </w:p>
    <w:p w14:paraId="58F370E5" w14:textId="77777777" w:rsidR="007243F1" w:rsidRDefault="007243F1" w:rsidP="007243F1">
      <w:pPr>
        <w:rPr>
          <w:b/>
        </w:rPr>
      </w:pPr>
      <w:r w:rsidRPr="007243F1">
        <w:rPr>
          <w:i/>
        </w:rPr>
        <w:t>Presentation of risk factors across categories</w:t>
      </w:r>
      <w:r w:rsidRPr="007243F1" w:rsidDel="00A16F38">
        <w:rPr>
          <w:i/>
        </w:rPr>
        <w:t xml:space="preserve"> </w:t>
      </w:r>
    </w:p>
    <w:p w14:paraId="0E3EE320" w14:textId="77777777" w:rsidR="007243F1" w:rsidRPr="007243F1" w:rsidRDefault="007243F1" w:rsidP="007243F1">
      <w:pPr>
        <w:rPr>
          <w:b/>
        </w:rPr>
      </w:pPr>
    </w:p>
    <w:p w14:paraId="1D9C059D" w14:textId="77777777"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guidelines on Presentation of risk factors across cat</w:t>
      </w:r>
      <w:r w:rsidRPr="00303C9E">
        <w:t>e</w:t>
      </w:r>
      <w:r w:rsidRPr="00303C9E">
        <w:t>gories? If not, please provide your reasoning.</w:t>
      </w:r>
    </w:p>
    <w:p w14:paraId="05901A5A" w14:textId="77777777" w:rsidR="00EE53D1" w:rsidRDefault="00EE53D1" w:rsidP="00EE53D1">
      <w:pPr>
        <w:rPr>
          <w:rFonts w:cs="Arial"/>
        </w:rPr>
      </w:pPr>
      <w:r>
        <w:rPr>
          <w:rFonts w:cs="Arial"/>
        </w:rPr>
        <w:t>&lt;ESMA_QUESTION_GRF_6&gt;</w:t>
      </w:r>
    </w:p>
    <w:p w14:paraId="0A1E3E67" w14:textId="77777777" w:rsidR="00BE54DB" w:rsidRPr="00BE54DB" w:rsidRDefault="00BE54DB" w:rsidP="00BE54DB">
      <w:pPr>
        <w:rPr>
          <w:rFonts w:cs="Arial"/>
        </w:rPr>
      </w:pPr>
      <w:permStart w:id="136981126" w:edGrp="everyone"/>
      <w:r w:rsidRPr="00BE54DB">
        <w:rPr>
          <w:rFonts w:cs="Arial"/>
        </w:rPr>
        <w:t xml:space="preserve">Yes. In general terms we agree with the draft guidelines 7, 8, 9 and 10 regarding the presentation of risks factors across categories. </w:t>
      </w:r>
    </w:p>
    <w:p w14:paraId="454CA3E0" w14:textId="77777777" w:rsidR="00BE54DB" w:rsidRPr="00BE54DB" w:rsidRDefault="00BE54DB" w:rsidP="00BE54DB">
      <w:pPr>
        <w:rPr>
          <w:rFonts w:cs="Arial"/>
        </w:rPr>
      </w:pPr>
      <w:r w:rsidRPr="00BE54DB">
        <w:rPr>
          <w:rFonts w:cs="Arial"/>
        </w:rPr>
        <w:t>Art.16 of the Prospectus regulation establishes that risk factors shall be presented in a limited number of categories depending on their nature and that most material risk factors shall be mentioned first.</w:t>
      </w:r>
    </w:p>
    <w:p w14:paraId="28379388" w14:textId="77777777" w:rsidR="00BE54DB" w:rsidRPr="00BE54DB" w:rsidRDefault="00BE54DB" w:rsidP="00BE54DB">
      <w:pPr>
        <w:rPr>
          <w:rFonts w:cs="Arial"/>
        </w:rPr>
      </w:pPr>
      <w:r w:rsidRPr="00BE54DB">
        <w:rPr>
          <w:rFonts w:cs="Arial"/>
        </w:rPr>
        <w:t>In this regard  we think that the Guideline proposed categories are a good example of the kind of categ</w:t>
      </w:r>
      <w:r w:rsidRPr="00BE54DB">
        <w:rPr>
          <w:rFonts w:cs="Arial"/>
        </w:rPr>
        <w:t>o</w:t>
      </w:r>
      <w:r w:rsidRPr="00BE54DB">
        <w:rPr>
          <w:rFonts w:cs="Arial"/>
        </w:rPr>
        <w:t>ries that we will find in many draft prospectuses, however, taking into account that the  purpose of this categorization is the , that is, the improvement of the comprehensibility the flexibility in the determination of the categories on  each particular case is basic. Companies should be able to determine themselves what categories are best relevant for them.</w:t>
      </w:r>
    </w:p>
    <w:p w14:paraId="772382FF" w14:textId="77777777" w:rsidR="00BE54DB" w:rsidRPr="00BE54DB" w:rsidRDefault="00BE54DB" w:rsidP="00BE54DB">
      <w:pPr>
        <w:rPr>
          <w:rFonts w:cs="Arial"/>
        </w:rPr>
      </w:pPr>
      <w:r w:rsidRPr="00BE54DB">
        <w:rPr>
          <w:rFonts w:cs="Arial"/>
        </w:rPr>
        <w:t>As regards the presentation of the most material risk factors in each category, we would like to insist on the fact that there should not be any ranking of the risk factors whether most material or not: the most material risk factors must be presented first in each category according to article 16 of the Prospectus Regulation but must not be ranked in order of their materiality.</w:t>
      </w:r>
    </w:p>
    <w:p w14:paraId="4F41DA26" w14:textId="77777777" w:rsidR="00BE54DB" w:rsidRDefault="00BE54DB" w:rsidP="00EE53D1">
      <w:pPr>
        <w:rPr>
          <w:rFonts w:cs="Arial"/>
        </w:rPr>
      </w:pPr>
      <w:r w:rsidRPr="00BE54DB">
        <w:rPr>
          <w:rFonts w:cs="Arial"/>
        </w:rPr>
        <w:t>We are suggesting some amendments to draft guideline 7 to clarify this: « In accordance with Article 16 of the Prospectus Regulation, the most material risk factors must be presented first in each category. It is not mandatory to rank risk factors within each category in order of their materiality. »]</w:t>
      </w:r>
    </w:p>
    <w:permEnd w:id="136981126"/>
    <w:p w14:paraId="7CA03414" w14:textId="56E5F702" w:rsidR="00EE53D1" w:rsidRDefault="00EE53D1" w:rsidP="00EE53D1">
      <w:pPr>
        <w:rPr>
          <w:rFonts w:cs="Arial"/>
        </w:rPr>
      </w:pPr>
      <w:r>
        <w:rPr>
          <w:rFonts w:cs="Arial"/>
        </w:rPr>
        <w:t>&lt;ESMA_QUESTION_GRF_6&gt;</w:t>
      </w:r>
    </w:p>
    <w:p w14:paraId="28FAD54F" w14:textId="77777777" w:rsidR="00EE53D1" w:rsidRDefault="00EE53D1" w:rsidP="00EE53D1">
      <w:pPr>
        <w:rPr>
          <w:rFonts w:cs="Arial"/>
        </w:rPr>
      </w:pPr>
    </w:p>
    <w:p w14:paraId="39D5FCDC" w14:textId="77777777" w:rsidR="00EE53D1" w:rsidRPr="00303C9E" w:rsidRDefault="00EE53D1" w:rsidP="00EE53D1">
      <w:pPr>
        <w:pStyle w:val="Questionstyle"/>
        <w:numPr>
          <w:ilvl w:val="0"/>
          <w:numId w:val="39"/>
        </w:numPr>
      </w:pPr>
      <w:r w:rsidRPr="00303C9E">
        <w:t>: Do you agree with that the number of categories to be included in a risk factor section, should not usually exceed 10? If not, please provide your reasoning.</w:t>
      </w:r>
    </w:p>
    <w:p w14:paraId="6152507F" w14:textId="77777777" w:rsidR="00EE53D1" w:rsidRDefault="00EE53D1" w:rsidP="00EE53D1">
      <w:pPr>
        <w:rPr>
          <w:rFonts w:cs="Arial"/>
        </w:rPr>
      </w:pPr>
      <w:r>
        <w:rPr>
          <w:rFonts w:cs="Arial"/>
        </w:rPr>
        <w:t>&lt;ESMA_QUESTION_GRF_7&gt;</w:t>
      </w:r>
    </w:p>
    <w:p w14:paraId="71157BD5" w14:textId="6888184F" w:rsidR="000B5521" w:rsidRPr="000B5521" w:rsidRDefault="000B5521" w:rsidP="000B5521">
      <w:pPr>
        <w:rPr>
          <w:rFonts w:cs="Arial"/>
        </w:rPr>
      </w:pPr>
      <w:permStart w:id="1954376440" w:edGrp="everyone"/>
      <w:r w:rsidRPr="000B5521">
        <w:rPr>
          <w:rFonts w:cs="Arial"/>
        </w:rPr>
        <w:t>Having in mind that one of the objectives of the new Prospectus Regulation was to reduce the number of pages of these documents in order to improve the “fit for purpose”. That is, allow the investor to take an informed decision, and avoid the incorporation of many pieces of irrelevant information, the limitation of the number of categories in art. 16 goes on the right direction.</w:t>
      </w:r>
    </w:p>
    <w:p w14:paraId="7A32F234" w14:textId="77777777" w:rsidR="000B5521" w:rsidRDefault="000B5521" w:rsidP="00EE53D1">
      <w:pPr>
        <w:rPr>
          <w:rFonts w:cs="Arial"/>
        </w:rPr>
      </w:pPr>
      <w:r w:rsidRPr="000B5521">
        <w:rPr>
          <w:rFonts w:cs="Arial"/>
        </w:rPr>
        <w:t xml:space="preserve">However, as we mentioned on the answer to the question 6 above, we should keep in mind that the main purpose of the categorization is to improve the compressibility so any departure from that reference </w:t>
      </w:r>
      <w:r w:rsidRPr="000B5521">
        <w:rPr>
          <w:rFonts w:cs="Arial"/>
        </w:rPr>
        <w:lastRenderedPageBreak/>
        <w:t>should not be considered by itself a breach of the “limited” number of categories  principle established on art. 16]</w:t>
      </w:r>
    </w:p>
    <w:permEnd w:id="1954376440"/>
    <w:p w14:paraId="1386EB56" w14:textId="36EE9766" w:rsidR="00EE53D1" w:rsidRDefault="00EE53D1" w:rsidP="00EE53D1">
      <w:pPr>
        <w:rPr>
          <w:rFonts w:cs="Arial"/>
        </w:rPr>
      </w:pPr>
      <w:r>
        <w:rPr>
          <w:rFonts w:cs="Arial"/>
        </w:rPr>
        <w:t>&lt;ESMA_QUESTION_GRF_7&gt;</w:t>
      </w:r>
    </w:p>
    <w:p w14:paraId="39FEF485" w14:textId="77777777" w:rsidR="007243F1" w:rsidRPr="007243F1" w:rsidRDefault="007243F1" w:rsidP="007243F1">
      <w:pPr>
        <w:rPr>
          <w:b/>
        </w:rPr>
      </w:pPr>
    </w:p>
    <w:p w14:paraId="04F76797" w14:textId="77777777" w:rsidR="007243F1" w:rsidRPr="007243F1" w:rsidRDefault="007243F1" w:rsidP="007243F1">
      <w:pPr>
        <w:rPr>
          <w:i/>
        </w:rPr>
      </w:pPr>
      <w:r w:rsidRPr="007243F1">
        <w:rPr>
          <w:i/>
        </w:rPr>
        <w:t>Focused/concise risk factors</w:t>
      </w:r>
    </w:p>
    <w:p w14:paraId="224DB418" w14:textId="77777777" w:rsidR="007243F1" w:rsidRPr="007243F1" w:rsidRDefault="007243F1" w:rsidP="007243F1">
      <w:pPr>
        <w:rPr>
          <w:b/>
        </w:rPr>
      </w:pPr>
    </w:p>
    <w:p w14:paraId="1A02C4F4" w14:textId="77777777"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guidelines on focused/concise risk factors? If not, please provide your reasoning.</w:t>
      </w:r>
    </w:p>
    <w:p w14:paraId="774A7C02" w14:textId="77777777" w:rsidR="00EE53D1" w:rsidRDefault="00EE53D1" w:rsidP="00EE53D1">
      <w:pPr>
        <w:rPr>
          <w:rFonts w:cs="Arial"/>
        </w:rPr>
      </w:pPr>
      <w:r>
        <w:rPr>
          <w:rFonts w:cs="Arial"/>
        </w:rPr>
        <w:t>&lt;ESMA_QUESTION_GRF_8&gt;</w:t>
      </w:r>
    </w:p>
    <w:p w14:paraId="68C1357F" w14:textId="6E59067F" w:rsidR="006B1827" w:rsidRDefault="0047208A" w:rsidP="00EE53D1">
      <w:pPr>
        <w:rPr>
          <w:rFonts w:cs="Arial"/>
        </w:rPr>
      </w:pPr>
      <w:permStart w:id="56836166" w:edGrp="everyone"/>
      <w:r>
        <w:rPr>
          <w:rFonts w:cs="Arial"/>
        </w:rPr>
        <w:t>W</w:t>
      </w:r>
      <w:r w:rsidRPr="0047208A">
        <w:rPr>
          <w:rFonts w:cs="Arial"/>
        </w:rPr>
        <w:t xml:space="preserve">e agree with  the need to disclose the risk factors in a concise manner, however, it should also </w:t>
      </w:r>
      <w:r w:rsidR="00397155">
        <w:rPr>
          <w:rFonts w:cs="Arial"/>
        </w:rPr>
        <w:t xml:space="preserve">be </w:t>
      </w:r>
      <w:r w:rsidRPr="0047208A">
        <w:rPr>
          <w:rFonts w:cs="Arial"/>
        </w:rPr>
        <w:t>mention that this is not a question of size only but of the complexity of the relevant securities and issuer activity.</w:t>
      </w:r>
    </w:p>
    <w:permEnd w:id="56836166"/>
    <w:p w14:paraId="14AA84E5" w14:textId="31B0DAA8" w:rsidR="00EE53D1" w:rsidRDefault="00EE53D1" w:rsidP="00EE53D1">
      <w:pPr>
        <w:rPr>
          <w:rFonts w:cs="Arial"/>
        </w:rPr>
      </w:pPr>
      <w:r>
        <w:rPr>
          <w:rFonts w:cs="Arial"/>
        </w:rPr>
        <w:t>&lt;ESMA_QUESTION_GRF_8&gt;</w:t>
      </w:r>
    </w:p>
    <w:p w14:paraId="6CB90E8B" w14:textId="77777777" w:rsidR="007243F1" w:rsidRPr="007243F1" w:rsidRDefault="007243F1" w:rsidP="007243F1">
      <w:pPr>
        <w:rPr>
          <w:b/>
        </w:rPr>
      </w:pPr>
    </w:p>
    <w:p w14:paraId="126FE408" w14:textId="77777777" w:rsidR="007243F1" w:rsidRPr="007243F1" w:rsidRDefault="007243F1" w:rsidP="007243F1">
      <w:pPr>
        <w:rPr>
          <w:i/>
        </w:rPr>
      </w:pPr>
      <w:r w:rsidRPr="007243F1">
        <w:rPr>
          <w:i/>
        </w:rPr>
        <w:t>Summary</w:t>
      </w:r>
    </w:p>
    <w:p w14:paraId="698BD25B" w14:textId="77777777" w:rsidR="007243F1" w:rsidRPr="007243F1" w:rsidRDefault="007243F1" w:rsidP="007243F1">
      <w:pPr>
        <w:rPr>
          <w:b/>
        </w:rPr>
      </w:pPr>
    </w:p>
    <w:p w14:paraId="3411E9E4" w14:textId="77777777" w:rsidR="00EE53D1" w:rsidRPr="00277C86" w:rsidRDefault="00EE53D1" w:rsidP="00EE53D1">
      <w:pPr>
        <w:pStyle w:val="Questionstyle"/>
        <w:numPr>
          <w:ilvl w:val="0"/>
          <w:numId w:val="39"/>
        </w:numPr>
      </w:pPr>
      <w:r w:rsidRPr="00303C9E">
        <w:t>: D</w:t>
      </w:r>
      <w:r w:rsidR="007303AD">
        <w:t>o you agree with the suggested draft</w:t>
      </w:r>
      <w:r w:rsidRPr="00303C9E">
        <w:t xml:space="preserve"> guideline on risk factors in the summary? If not, please provide your reasoning.</w:t>
      </w:r>
    </w:p>
    <w:p w14:paraId="2E469AD5" w14:textId="77777777" w:rsidR="00EE53D1" w:rsidRDefault="00EE53D1" w:rsidP="00EE53D1">
      <w:pPr>
        <w:rPr>
          <w:rFonts w:cs="Arial"/>
        </w:rPr>
      </w:pPr>
      <w:r>
        <w:rPr>
          <w:rFonts w:cs="Arial"/>
        </w:rPr>
        <w:t>&lt;ESMA_QUESTION_GRF_9&gt;</w:t>
      </w:r>
    </w:p>
    <w:p w14:paraId="4D17F285" w14:textId="6ABA14E7" w:rsidR="000E22BD" w:rsidRDefault="000E22BD" w:rsidP="00EE53D1">
      <w:pPr>
        <w:rPr>
          <w:rFonts w:cs="Arial"/>
        </w:rPr>
      </w:pPr>
      <w:permStart w:id="1413418873" w:edGrp="everyone"/>
      <w:r w:rsidRPr="000E22BD">
        <w:rPr>
          <w:rFonts w:cs="Arial"/>
        </w:rPr>
        <w:t>We agree with draft guideline 12.</w:t>
      </w:r>
    </w:p>
    <w:permEnd w:id="1413418873"/>
    <w:p w14:paraId="79B21CC8" w14:textId="2749964E" w:rsidR="00EE53D1" w:rsidRDefault="00EE53D1" w:rsidP="00EE53D1">
      <w:pPr>
        <w:rPr>
          <w:rFonts w:cs="Arial"/>
        </w:rPr>
      </w:pPr>
      <w:r>
        <w:rPr>
          <w:rFonts w:cs="Arial"/>
        </w:rPr>
        <w:t>&lt;ESMA_QUESTION_GRF_9&gt;</w:t>
      </w:r>
    </w:p>
    <w:p w14:paraId="41071BCB" w14:textId="77777777" w:rsidR="007243F1" w:rsidRPr="007243F1" w:rsidRDefault="007243F1" w:rsidP="007243F1">
      <w:pPr>
        <w:rPr>
          <w:b/>
        </w:rPr>
      </w:pPr>
    </w:p>
    <w:p w14:paraId="48C20D64" w14:textId="77777777" w:rsidR="007243F1" w:rsidRPr="007243F1" w:rsidRDefault="007243F1" w:rsidP="007243F1">
      <w:pPr>
        <w:rPr>
          <w:i/>
        </w:rPr>
      </w:pPr>
      <w:r w:rsidRPr="007243F1">
        <w:rPr>
          <w:i/>
        </w:rPr>
        <w:t>General</w:t>
      </w:r>
    </w:p>
    <w:p w14:paraId="57889C94" w14:textId="77777777" w:rsidR="007243F1" w:rsidRPr="007243F1" w:rsidRDefault="007243F1" w:rsidP="007243F1">
      <w:pPr>
        <w:rPr>
          <w:b/>
        </w:rPr>
      </w:pPr>
    </w:p>
    <w:p w14:paraId="2EEBBF25" w14:textId="77777777" w:rsidR="00EE53D1" w:rsidRPr="00277C86" w:rsidRDefault="00EE53D1" w:rsidP="00EE53D1">
      <w:pPr>
        <w:pStyle w:val="Questionstyle"/>
        <w:numPr>
          <w:ilvl w:val="0"/>
          <w:numId w:val="39"/>
        </w:numPr>
      </w:pPr>
      <w:r w:rsidRPr="00303C9E">
        <w:t xml:space="preserve">: </w:t>
      </w:r>
      <w:r w:rsidR="007303AD">
        <w:t>Do you agree with the proposed draft</w:t>
      </w:r>
      <w:r w:rsidRPr="00303C9E">
        <w:t xml:space="preserve"> guidelines? Have you any furt</w:t>
      </w:r>
      <w:r w:rsidR="007303AD">
        <w:t>her suggestions with regard to draft</w:t>
      </w:r>
      <w:r w:rsidRPr="00303C9E">
        <w:t xml:space="preserve"> guidelines addressing a particular section or the guidelines in general?</w:t>
      </w:r>
    </w:p>
    <w:p w14:paraId="2510BF11" w14:textId="77777777" w:rsidR="00EE53D1" w:rsidRDefault="00EE53D1" w:rsidP="00EE53D1">
      <w:pPr>
        <w:rPr>
          <w:rFonts w:cs="Arial"/>
        </w:rPr>
      </w:pPr>
      <w:r>
        <w:rPr>
          <w:rFonts w:cs="Arial"/>
        </w:rPr>
        <w:t>&lt;ESMA_QUESTION_GRF_10&gt;</w:t>
      </w:r>
    </w:p>
    <w:p w14:paraId="31FBF83B" w14:textId="77777777" w:rsidR="00175B0F" w:rsidRDefault="00082DCE" w:rsidP="00082DCE">
      <w:pPr>
        <w:rPr>
          <w:rFonts w:cs="Arial"/>
        </w:rPr>
      </w:pPr>
      <w:permStart w:id="980494876" w:edGrp="everyone"/>
      <w:r w:rsidRPr="00082DCE">
        <w:rPr>
          <w:rFonts w:cs="Arial"/>
        </w:rPr>
        <w:t>The approval of a prospectus is defined by the Prospectus Regulation as “the positive act at the outcome of the scrutiny by the home Member State’s competent authority of the completeness, the consistency and the comprehensibility of the information given in the prospectus”.</w:t>
      </w:r>
    </w:p>
    <w:p w14:paraId="47B6D4B2" w14:textId="77777777" w:rsidR="00AD017A" w:rsidRDefault="00082DCE" w:rsidP="00082DCE">
      <w:pPr>
        <w:rPr>
          <w:rFonts w:cs="Arial"/>
        </w:rPr>
      </w:pPr>
      <w:r w:rsidRPr="00082DCE">
        <w:rPr>
          <w:rFonts w:cs="Arial"/>
        </w:rPr>
        <w:t>At the end of the day, and after having reviewed the entire prospectus, competent authorities are sole responsible for deciding whether the prospectus should be approved or not. We consider thus that it is inappropriate, in a “level 3” measure</w:t>
      </w:r>
      <w:r w:rsidR="00AD017A">
        <w:rPr>
          <w:rFonts w:cs="Arial"/>
        </w:rPr>
        <w:t>s</w:t>
      </w:r>
      <w:r w:rsidRPr="00082DCE">
        <w:rPr>
          <w:rFonts w:cs="Arial"/>
        </w:rPr>
        <w:t xml:space="preserve">, to recommend to competent authorities to refuse the approval of a prospectus. </w:t>
      </w:r>
    </w:p>
    <w:p w14:paraId="77C503A7" w14:textId="5179C63C" w:rsidR="00082DCE" w:rsidRPr="00082DCE" w:rsidRDefault="00082DCE" w:rsidP="00082DCE">
      <w:pPr>
        <w:rPr>
          <w:rFonts w:cs="Arial"/>
        </w:rPr>
      </w:pPr>
      <w:r w:rsidRPr="00082DCE">
        <w:rPr>
          <w:rFonts w:cs="Arial"/>
        </w:rPr>
        <w:t>Therefore, and regarding more specifically draft guidelines 2, 3, 6 and 7, we consider that the sentence starting with “The competent authority should not approve a prospectus where…” should be deleted.</w:t>
      </w:r>
    </w:p>
    <w:permEnd w:id="980494876"/>
    <w:p w14:paraId="2DC214DB" w14:textId="3867C12F" w:rsidR="00EE53D1" w:rsidRDefault="00EE53D1" w:rsidP="00EE53D1">
      <w:pPr>
        <w:rPr>
          <w:rFonts w:cs="Arial"/>
        </w:rPr>
      </w:pPr>
      <w:r>
        <w:rPr>
          <w:rFonts w:cs="Arial"/>
        </w:rPr>
        <w:t>&lt;ESMA_QUESTION_GRF_10&gt;</w:t>
      </w:r>
    </w:p>
    <w:p w14:paraId="09A6DC12" w14:textId="77777777" w:rsidR="00EE53D1" w:rsidRDefault="00EE53D1" w:rsidP="00EE53D1">
      <w:pPr>
        <w:rPr>
          <w:rFonts w:cs="Arial"/>
        </w:rPr>
      </w:pPr>
    </w:p>
    <w:p w14:paraId="61554F17" w14:textId="77777777" w:rsidR="00EE53D1" w:rsidRPr="00277C86" w:rsidRDefault="00EE53D1" w:rsidP="00EE53D1">
      <w:pPr>
        <w:pStyle w:val="Questionstyle"/>
        <w:numPr>
          <w:ilvl w:val="0"/>
          <w:numId w:val="39"/>
        </w:numPr>
      </w:pPr>
      <w:r w:rsidRPr="00303C9E">
        <w:t>: Do you believe that market participants will bear any additional cost as an in</w:t>
      </w:r>
      <w:r w:rsidR="007303AD">
        <w:t>direct e</w:t>
      </w:r>
      <w:r w:rsidR="007303AD">
        <w:t>f</w:t>
      </w:r>
      <w:r w:rsidR="007303AD">
        <w:t>fect of the suggested draft</w:t>
      </w:r>
      <w:r w:rsidRPr="00303C9E">
        <w:t xml:space="preserve"> guidelines? If yes, please indicate the nature of such costs and pr</w:t>
      </w:r>
      <w:r w:rsidRPr="00303C9E">
        <w:t>o</w:t>
      </w:r>
      <w:r w:rsidRPr="00303C9E">
        <w:t>vide an estimation.</w:t>
      </w:r>
    </w:p>
    <w:p w14:paraId="20C81A2C" w14:textId="77777777" w:rsidR="00EE53D1" w:rsidRDefault="00EE53D1" w:rsidP="00EE53D1">
      <w:pPr>
        <w:rPr>
          <w:rFonts w:cs="Arial"/>
        </w:rPr>
      </w:pPr>
      <w:r>
        <w:rPr>
          <w:rFonts w:cs="Arial"/>
        </w:rPr>
        <w:t>&lt;ESMA_QUESTION_GRF_11&gt;</w:t>
      </w:r>
    </w:p>
    <w:p w14:paraId="5091AA44" w14:textId="77777777" w:rsidR="0099053C" w:rsidRDefault="0099053C" w:rsidP="0099053C">
      <w:permStart w:id="2020097447" w:edGrp="everyone"/>
      <w:r>
        <w:t>TYPE YOUR TEXT HERE</w:t>
      </w:r>
    </w:p>
    <w:permEnd w:id="2020097447"/>
    <w:p w14:paraId="2D96BDC6" w14:textId="475C9B6E" w:rsidR="00EE53D1" w:rsidRDefault="00EE53D1" w:rsidP="00EE53D1">
      <w:pPr>
        <w:rPr>
          <w:rFonts w:cs="Arial"/>
        </w:rPr>
      </w:pPr>
      <w:r>
        <w:rPr>
          <w:rFonts w:cs="Arial"/>
        </w:rPr>
        <w:t>&lt;ESMA_QUESTION_GRF_11&gt;</w:t>
      </w:r>
    </w:p>
    <w:p w14:paraId="0AFB1094" w14:textId="77777777" w:rsidR="007243F1" w:rsidRDefault="007243F1" w:rsidP="00170D44">
      <w:pPr>
        <w:rPr>
          <w:b/>
        </w:rPr>
      </w:pPr>
    </w:p>
    <w:p w14:paraId="5CB7A15B" w14:textId="77777777" w:rsidR="007243F1" w:rsidRDefault="007243F1" w:rsidP="00170D44">
      <w:pPr>
        <w:rPr>
          <w:b/>
        </w:rPr>
      </w:pPr>
    </w:p>
    <w:p w14:paraId="0BB6049E" w14:textId="77777777" w:rsidR="007243F1" w:rsidRDefault="007243F1" w:rsidP="00170D44">
      <w:pPr>
        <w:rPr>
          <w:b/>
        </w:rPr>
      </w:pPr>
    </w:p>
    <w:p w14:paraId="60DBCBBB" w14:textId="77777777" w:rsidR="007243F1" w:rsidRPr="00170D44" w:rsidRDefault="007243F1" w:rsidP="00170D44">
      <w:pPr>
        <w:rPr>
          <w:b/>
        </w:rPr>
      </w:pPr>
    </w:p>
    <w:sectPr w:rsidR="007243F1" w:rsidRPr="00170D44"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39495" w14:textId="77777777" w:rsidR="00464227" w:rsidRDefault="00464227">
      <w:r>
        <w:separator/>
      </w:r>
    </w:p>
    <w:p w14:paraId="6CA80AEB" w14:textId="77777777" w:rsidR="00464227" w:rsidRDefault="00464227"/>
  </w:endnote>
  <w:endnote w:type="continuationSeparator" w:id="0">
    <w:p w14:paraId="74F55E41" w14:textId="77777777" w:rsidR="00464227" w:rsidRDefault="00464227">
      <w:r>
        <w:continuationSeparator/>
      </w:r>
    </w:p>
    <w:p w14:paraId="042DE8D7" w14:textId="77777777" w:rsidR="00464227" w:rsidRDefault="00464227"/>
  </w:endnote>
  <w:endnote w:type="continuationNotice" w:id="1">
    <w:p w14:paraId="69702F63" w14:textId="77777777" w:rsidR="00464227" w:rsidRDefault="00464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charset w:val="00"/>
    <w:family w:val="roman"/>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panose1 w:val="020B0403030403020204"/>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2884D9BA" w14:textId="77777777" w:rsidTr="00315E96">
      <w:trPr>
        <w:trHeight w:val="284"/>
      </w:trPr>
      <w:tc>
        <w:tcPr>
          <w:tcW w:w="8460" w:type="dxa"/>
        </w:tcPr>
        <w:p w14:paraId="51E05BDE" w14:textId="77777777" w:rsidR="00811EDA" w:rsidRPr="00315E96" w:rsidRDefault="00811EDA" w:rsidP="00315E96">
          <w:pPr>
            <w:pStyle w:val="00Footer"/>
            <w:rPr>
              <w:lang w:val="fr-FR"/>
            </w:rPr>
          </w:pPr>
        </w:p>
      </w:tc>
      <w:tc>
        <w:tcPr>
          <w:tcW w:w="952" w:type="dxa"/>
        </w:tcPr>
        <w:p w14:paraId="27314731"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A555EE">
            <w:rPr>
              <w:rFonts w:cs="Arial"/>
              <w:noProof/>
              <w:sz w:val="22"/>
              <w:szCs w:val="22"/>
            </w:rPr>
            <w:t>4</w:t>
          </w:r>
          <w:r w:rsidRPr="00616B9B">
            <w:rPr>
              <w:rFonts w:cs="Arial"/>
              <w:noProof/>
              <w:sz w:val="22"/>
              <w:szCs w:val="22"/>
            </w:rPr>
            <w:fldChar w:fldCharType="end"/>
          </w:r>
        </w:p>
      </w:tc>
    </w:tr>
  </w:tbl>
  <w:p w14:paraId="0BA16D85" w14:textId="77777777" w:rsidR="00811EDA" w:rsidRDefault="00811ED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9201E" w14:textId="77777777" w:rsidR="00811EDA" w:rsidRDefault="00811E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07521" w14:textId="77777777" w:rsidR="00464227" w:rsidRDefault="00464227">
      <w:r>
        <w:separator/>
      </w:r>
    </w:p>
    <w:p w14:paraId="1D2A299D" w14:textId="77777777" w:rsidR="00464227" w:rsidRDefault="00464227"/>
  </w:footnote>
  <w:footnote w:type="continuationSeparator" w:id="0">
    <w:p w14:paraId="77A8FAB6" w14:textId="77777777" w:rsidR="00464227" w:rsidRDefault="00464227">
      <w:r>
        <w:continuationSeparator/>
      </w:r>
    </w:p>
    <w:p w14:paraId="28A71C84" w14:textId="77777777" w:rsidR="00464227" w:rsidRDefault="00464227"/>
  </w:footnote>
  <w:footnote w:type="continuationNotice" w:id="1">
    <w:p w14:paraId="7C933900" w14:textId="77777777" w:rsidR="00464227" w:rsidRDefault="004642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C2E0F" w14:textId="77777777" w:rsidR="00811EDA" w:rsidRDefault="00DE66EB">
    <w:pPr>
      <w:pStyle w:val="Encabezado"/>
    </w:pPr>
    <w:r>
      <w:rPr>
        <w:noProof/>
        <w:lang w:val="es-ES" w:eastAsia="es-ES"/>
      </w:rPr>
      <w:drawing>
        <wp:anchor distT="0" distB="0" distL="114300" distR="114300" simplePos="0" relativeHeight="251658240" behindDoc="0" locked="0" layoutInCell="1" allowOverlap="1" wp14:anchorId="2ECBDBA7" wp14:editId="5DB6708E">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295" distR="114295" simplePos="0" relativeHeight="251656192" behindDoc="0" locked="0" layoutInCell="1" allowOverlap="1" wp14:anchorId="3B08DE17" wp14:editId="5E3CDE69">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038A81"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84C50" w14:textId="77777777" w:rsidR="00811EDA" w:rsidRDefault="00DE66EB" w:rsidP="00013CCE">
    <w:pPr>
      <w:pStyle w:val="Encabezado"/>
      <w:jc w:val="right"/>
    </w:pPr>
    <w:r>
      <w:rPr>
        <w:noProof/>
        <w:lang w:val="es-ES" w:eastAsia="es-ES"/>
      </w:rPr>
      <w:drawing>
        <wp:anchor distT="0" distB="0" distL="114300" distR="114300" simplePos="0" relativeHeight="251657216" behindDoc="0" locked="0" layoutInCell="1" allowOverlap="1" wp14:anchorId="602D5BFA" wp14:editId="472E6CFF">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5168" behindDoc="1" locked="0" layoutInCell="1" allowOverlap="1" wp14:anchorId="5B18510C" wp14:editId="4EEA0E1A">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47E82" w14:textId="77777777"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0AEE02CA" w14:textId="77777777" w:rsidTr="000C06C9">
      <w:trPr>
        <w:trHeight w:val="284"/>
      </w:trPr>
      <w:tc>
        <w:tcPr>
          <w:tcW w:w="8460" w:type="dxa"/>
        </w:tcPr>
        <w:p w14:paraId="18900675" w14:textId="77777777" w:rsidR="00811EDA" w:rsidRPr="000C3B6D" w:rsidRDefault="00811EDA" w:rsidP="000C06C9">
          <w:pPr>
            <w:pStyle w:val="00Footer"/>
            <w:rPr>
              <w:lang w:val="fr-FR"/>
            </w:rPr>
          </w:pPr>
        </w:p>
      </w:tc>
      <w:tc>
        <w:tcPr>
          <w:tcW w:w="952" w:type="dxa"/>
        </w:tcPr>
        <w:p w14:paraId="685473DE" w14:textId="77777777" w:rsidR="00811EDA" w:rsidRPr="00146B34" w:rsidRDefault="00811EDA" w:rsidP="000C06C9">
          <w:pPr>
            <w:pStyle w:val="00aPagenumber"/>
            <w:rPr>
              <w:lang w:val="fr-FR"/>
            </w:rPr>
          </w:pPr>
        </w:p>
      </w:tc>
    </w:tr>
  </w:tbl>
  <w:p w14:paraId="67EDAB83" w14:textId="77777777" w:rsidR="00811EDA" w:rsidRPr="00DB46C3" w:rsidRDefault="00811EDA">
    <w:pPr>
      <w:rPr>
        <w:lang w:val="fr-FR"/>
      </w:rPr>
    </w:pPr>
  </w:p>
  <w:p w14:paraId="23D9C045" w14:textId="77777777" w:rsidR="00811EDA" w:rsidRPr="002F4496" w:rsidRDefault="00811EDA">
    <w:pPr>
      <w:pStyle w:val="Encabezado"/>
      <w:rPr>
        <w:lang w:val="fr-FR"/>
      </w:rPr>
    </w:pPr>
  </w:p>
  <w:p w14:paraId="73B1DE52" w14:textId="77777777" w:rsidR="00811EDA" w:rsidRPr="002F4496" w:rsidRDefault="00811EDA" w:rsidP="000C06C9">
    <w:pPr>
      <w:pStyle w:val="Encabezado"/>
      <w:tabs>
        <w:tab w:val="clear" w:pos="4536"/>
        <w:tab w:val="clear" w:pos="9072"/>
        <w:tab w:val="left" w:pos="8227"/>
      </w:tabs>
      <w:rPr>
        <w:lang w:val="fr-FR"/>
      </w:rPr>
    </w:pPr>
  </w:p>
  <w:p w14:paraId="09AAE608" w14:textId="77777777" w:rsidR="00811EDA" w:rsidRPr="002F4496" w:rsidRDefault="00811EDA" w:rsidP="000C06C9">
    <w:pPr>
      <w:pStyle w:val="Encabezado"/>
      <w:tabs>
        <w:tab w:val="clear" w:pos="4536"/>
        <w:tab w:val="clear" w:pos="9072"/>
        <w:tab w:val="left" w:pos="8227"/>
      </w:tabs>
      <w:rPr>
        <w:lang w:val="fr-FR"/>
      </w:rPr>
    </w:pPr>
  </w:p>
  <w:p w14:paraId="7C47664B" w14:textId="77777777" w:rsidR="00811EDA" w:rsidRPr="002F4496" w:rsidRDefault="00811EDA">
    <w:pPr>
      <w:pStyle w:val="Encabezado"/>
      <w:rPr>
        <w:lang w:val="fr-FR"/>
      </w:rPr>
    </w:pPr>
  </w:p>
  <w:p w14:paraId="5A2C3D96" w14:textId="77777777" w:rsidR="00811EDA" w:rsidRPr="002F4496" w:rsidRDefault="00811EDA">
    <w:pPr>
      <w:pStyle w:val="Encabezado"/>
      <w:rPr>
        <w:lang w:val="fr-FR"/>
      </w:rPr>
    </w:pPr>
  </w:p>
  <w:p w14:paraId="6E438486" w14:textId="77777777" w:rsidR="00811EDA" w:rsidRPr="002F4496" w:rsidRDefault="00811EDA">
    <w:pPr>
      <w:pStyle w:val="Encabezado"/>
      <w:rPr>
        <w:lang w:val="fr-FR"/>
      </w:rPr>
    </w:pPr>
  </w:p>
  <w:p w14:paraId="2F3FEB23" w14:textId="77777777" w:rsidR="00811EDA" w:rsidRPr="002F4496" w:rsidRDefault="00811EDA">
    <w:pPr>
      <w:pStyle w:val="Encabezado"/>
      <w:rPr>
        <w:lang w:val="fr-FR"/>
      </w:rPr>
    </w:pPr>
  </w:p>
  <w:p w14:paraId="422C6B44" w14:textId="77777777" w:rsidR="00811EDA" w:rsidRPr="002F4496" w:rsidRDefault="00811EDA">
    <w:pPr>
      <w:pStyle w:val="Encabezado"/>
      <w:rPr>
        <w:highlight w:val="yellow"/>
        <w:lang w:val="fr-FR"/>
      </w:rPr>
    </w:pPr>
  </w:p>
  <w:p w14:paraId="3D1BE978" w14:textId="77777777" w:rsidR="00811EDA" w:rsidRDefault="00DE66EB">
    <w:pPr>
      <w:pStyle w:val="Encabezado"/>
    </w:pPr>
    <w:r>
      <w:rPr>
        <w:noProof/>
        <w:lang w:val="es-ES" w:eastAsia="es-ES"/>
      </w:rPr>
      <mc:AlternateContent>
        <mc:Choice Requires="wps">
          <w:drawing>
            <wp:anchor distT="0" distB="0" distL="114299" distR="114299" simplePos="0" relativeHeight="251660288" behindDoc="0" locked="0" layoutInCell="1" allowOverlap="1" wp14:anchorId="042BE5FF" wp14:editId="2323265B">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C6942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s-ES" w:eastAsia="es-ES"/>
      </w:rPr>
      <w:drawing>
        <wp:anchor distT="0" distB="0" distL="114300" distR="114300" simplePos="0" relativeHeight="251659264" behindDoc="0" locked="0" layoutInCell="1" allowOverlap="1" wp14:anchorId="168325D0" wp14:editId="404E4B3E">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aconvieta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nsid w:val="1DAE53C8"/>
    <w:multiLevelType w:val="multilevel"/>
    <w:tmpl w:val="ACFA87A8"/>
    <w:lvl w:ilvl="0">
      <w:start w:val="1"/>
      <w:numFmt w:val="decimal"/>
      <w:pStyle w:val="Textoindependien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2FBF7A9F"/>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4A679E2"/>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1C1E7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8">
    <w:nsid w:val="3A841364"/>
    <w:multiLevelType w:val="hybridMultilevel"/>
    <w:tmpl w:val="21CCF614"/>
    <w:lvl w:ilvl="0" w:tplc="08090017">
      <w:start w:val="1"/>
      <w:numFmt w:val="lowerLetter"/>
      <w:pStyle w:val="Listaconvieta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2">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nsid w:val="4C7151D2"/>
    <w:multiLevelType w:val="hybridMultilevel"/>
    <w:tmpl w:val="DE90C632"/>
    <w:lvl w:ilvl="0" w:tplc="08090001">
      <w:start w:val="1"/>
      <w:numFmt w:val="bullet"/>
      <w:pStyle w:val="Listaconvieta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3E65345"/>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nsid w:val="55DE60E9"/>
    <w:multiLevelType w:val="hybridMultilevel"/>
    <w:tmpl w:val="1084069A"/>
    <w:lvl w:ilvl="0" w:tplc="B532C018">
      <w:start w:val="2"/>
      <w:numFmt w:val="upperRoman"/>
      <w:pStyle w:val="Ttu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5">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6">
    <w:nsid w:val="605735B9"/>
    <w:multiLevelType w:val="hybridMultilevel"/>
    <w:tmpl w:val="AD1C76E8"/>
    <w:lvl w:ilvl="0" w:tplc="6658B948">
      <w:start w:val="1"/>
      <w:numFmt w:val="decimal"/>
      <w:pStyle w:val="Ttu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970F71"/>
    <w:multiLevelType w:val="singleLevel"/>
    <w:tmpl w:val="A8CADBFA"/>
    <w:name w:val="Bullet 0"/>
    <w:lvl w:ilvl="0">
      <w:start w:val="1"/>
      <w:numFmt w:val="bullet"/>
      <w:pStyle w:val="Listaconnmeros"/>
      <w:lvlText w:val="–"/>
      <w:lvlJc w:val="left"/>
      <w:pPr>
        <w:tabs>
          <w:tab w:val="num" w:pos="1417"/>
        </w:tabs>
        <w:ind w:left="1417" w:hanging="567"/>
      </w:pPr>
    </w:lvl>
  </w:abstractNum>
  <w:abstractNum w:abstractNumId="38">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3">
    <w:nsid w:val="7AB3030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5">
    <w:nsid w:val="7F633C10"/>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2"/>
  </w:num>
  <w:num w:numId="3">
    <w:abstractNumId w:val="15"/>
  </w:num>
  <w:num w:numId="4">
    <w:abstractNumId w:val="28"/>
  </w:num>
  <w:num w:numId="5">
    <w:abstractNumId w:val="31"/>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6"/>
  </w:num>
  <w:num w:numId="14">
    <w:abstractNumId w:val="26"/>
  </w:num>
  <w:num w:numId="15">
    <w:abstractNumId w:val="8"/>
  </w:num>
  <w:num w:numId="16">
    <w:abstractNumId w:val="1"/>
  </w:num>
  <w:num w:numId="17">
    <w:abstractNumId w:val="18"/>
  </w:num>
  <w:num w:numId="18">
    <w:abstractNumId w:val="19"/>
  </w:num>
  <w:num w:numId="19">
    <w:abstractNumId w:val="21"/>
  </w:num>
  <w:num w:numId="20">
    <w:abstractNumId w:val="32"/>
  </w:num>
  <w:num w:numId="21">
    <w:abstractNumId w:val="41"/>
  </w:num>
  <w:num w:numId="22">
    <w:abstractNumId w:val="30"/>
  </w:num>
  <w:num w:numId="23">
    <w:abstractNumId w:val="7"/>
  </w:num>
  <w:num w:numId="24">
    <w:abstractNumId w:val="35"/>
  </w:num>
  <w:num w:numId="25">
    <w:abstractNumId w:val="34"/>
  </w:num>
  <w:num w:numId="26">
    <w:abstractNumId w:val="23"/>
  </w:num>
  <w:num w:numId="27">
    <w:abstractNumId w:val="38"/>
  </w:num>
  <w:num w:numId="28">
    <w:abstractNumId w:val="44"/>
  </w:num>
  <w:num w:numId="29">
    <w:abstractNumId w:val="5"/>
  </w:num>
  <w:num w:numId="30">
    <w:abstractNumId w:val="2"/>
  </w:num>
  <w:num w:numId="31">
    <w:abstractNumId w:val="25"/>
  </w:num>
  <w:num w:numId="32">
    <w:abstractNumId w:val="24"/>
  </w:num>
  <w:num w:numId="33">
    <w:abstractNumId w:val="40"/>
  </w:num>
  <w:num w:numId="34">
    <w:abstractNumId w:val="39"/>
  </w:num>
  <w:num w:numId="35">
    <w:abstractNumId w:val="9"/>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7"/>
  </w:num>
  <w:num w:numId="39">
    <w:abstractNumId w:val="16"/>
  </w:num>
  <w:num w:numId="40">
    <w:abstractNumId w:val="11"/>
  </w:num>
  <w:num w:numId="41">
    <w:abstractNumId w:val="10"/>
  </w:num>
  <w:num w:numId="42">
    <w:abstractNumId w:val="13"/>
  </w:num>
  <w:num w:numId="43">
    <w:abstractNumId w:val="29"/>
  </w:num>
  <w:num w:numId="44">
    <w:abstractNumId w:val="45"/>
  </w:num>
  <w:num w:numId="45">
    <w:abstractNumId w:val="43"/>
  </w:num>
  <w:num w:numId="46">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R3fqvBZXG21S4GLcZce42SbXdunGxCsGYNWkIIreJ5Wyv0rG4x8bISirlRjTp9zS7u4cY3PaAZyRwrkQiq5oXg==" w:salt="7rLABRv2KDNi9BExK1z3gw=="/>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AB3"/>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DC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21"/>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22BD"/>
    <w:rsid w:val="000E3937"/>
    <w:rsid w:val="000E4926"/>
    <w:rsid w:val="000E5F7F"/>
    <w:rsid w:val="000E667A"/>
    <w:rsid w:val="000E7086"/>
    <w:rsid w:val="000E7819"/>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0E41"/>
    <w:rsid w:val="00141497"/>
    <w:rsid w:val="0014253A"/>
    <w:rsid w:val="001425C8"/>
    <w:rsid w:val="001431AE"/>
    <w:rsid w:val="00143B87"/>
    <w:rsid w:val="001459E3"/>
    <w:rsid w:val="00146A0B"/>
    <w:rsid w:val="0014761E"/>
    <w:rsid w:val="00151907"/>
    <w:rsid w:val="001541FE"/>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5B0F"/>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3924"/>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1F718E"/>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1A0"/>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AF"/>
    <w:rsid w:val="002C6AF9"/>
    <w:rsid w:val="002C7DFC"/>
    <w:rsid w:val="002D14F3"/>
    <w:rsid w:val="002D16E4"/>
    <w:rsid w:val="002D2FEF"/>
    <w:rsid w:val="002D36C2"/>
    <w:rsid w:val="002D3FCB"/>
    <w:rsid w:val="002D4D33"/>
    <w:rsid w:val="002D4FEF"/>
    <w:rsid w:val="002D502D"/>
    <w:rsid w:val="002D63F5"/>
    <w:rsid w:val="002D6E1A"/>
    <w:rsid w:val="002E036D"/>
    <w:rsid w:val="002E1517"/>
    <w:rsid w:val="002E1B22"/>
    <w:rsid w:val="002E30BB"/>
    <w:rsid w:val="002E387F"/>
    <w:rsid w:val="002E7113"/>
    <w:rsid w:val="002E7F4B"/>
    <w:rsid w:val="002E7FB3"/>
    <w:rsid w:val="002F0C91"/>
    <w:rsid w:val="002F0E3E"/>
    <w:rsid w:val="002F1B19"/>
    <w:rsid w:val="002F1FBF"/>
    <w:rsid w:val="002F4139"/>
    <w:rsid w:val="00300624"/>
    <w:rsid w:val="00300F56"/>
    <w:rsid w:val="00301006"/>
    <w:rsid w:val="00303565"/>
    <w:rsid w:val="00304A71"/>
    <w:rsid w:val="00305B2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02"/>
    <w:rsid w:val="00332D8D"/>
    <w:rsid w:val="00336B56"/>
    <w:rsid w:val="003370F5"/>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97155"/>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3F6295"/>
    <w:rsid w:val="00400195"/>
    <w:rsid w:val="0040075B"/>
    <w:rsid w:val="0040254B"/>
    <w:rsid w:val="00403086"/>
    <w:rsid w:val="00403460"/>
    <w:rsid w:val="004040FF"/>
    <w:rsid w:val="00404284"/>
    <w:rsid w:val="004042C4"/>
    <w:rsid w:val="00406E90"/>
    <w:rsid w:val="00410240"/>
    <w:rsid w:val="00412253"/>
    <w:rsid w:val="0041286B"/>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4227"/>
    <w:rsid w:val="00466926"/>
    <w:rsid w:val="00466FDA"/>
    <w:rsid w:val="004671D0"/>
    <w:rsid w:val="004674D1"/>
    <w:rsid w:val="00470773"/>
    <w:rsid w:val="00471FF9"/>
    <w:rsid w:val="0047208A"/>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74E"/>
    <w:rsid w:val="004D2D3A"/>
    <w:rsid w:val="004D374D"/>
    <w:rsid w:val="004D3DEC"/>
    <w:rsid w:val="004D42C8"/>
    <w:rsid w:val="004D4F57"/>
    <w:rsid w:val="004D50F6"/>
    <w:rsid w:val="004D5A0D"/>
    <w:rsid w:val="004D6287"/>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1B17"/>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979EC"/>
    <w:rsid w:val="005A150A"/>
    <w:rsid w:val="005A2B3E"/>
    <w:rsid w:val="005A3644"/>
    <w:rsid w:val="005A4087"/>
    <w:rsid w:val="005A4B18"/>
    <w:rsid w:val="005A537E"/>
    <w:rsid w:val="005A6F43"/>
    <w:rsid w:val="005A767D"/>
    <w:rsid w:val="005B00F1"/>
    <w:rsid w:val="005B02D1"/>
    <w:rsid w:val="005B0CE7"/>
    <w:rsid w:val="005B10E2"/>
    <w:rsid w:val="005B1346"/>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83"/>
    <w:rsid w:val="005D2AD2"/>
    <w:rsid w:val="005D4A86"/>
    <w:rsid w:val="005D5EB1"/>
    <w:rsid w:val="005D6A29"/>
    <w:rsid w:val="005D7AC5"/>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3D26"/>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3FC5"/>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1827"/>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2976"/>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3F1"/>
    <w:rsid w:val="00724C18"/>
    <w:rsid w:val="00726630"/>
    <w:rsid w:val="00727F73"/>
    <w:rsid w:val="007303AD"/>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67A6B"/>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25"/>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37C0"/>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5F52"/>
    <w:rsid w:val="008861AC"/>
    <w:rsid w:val="008868E4"/>
    <w:rsid w:val="00886A60"/>
    <w:rsid w:val="0088759B"/>
    <w:rsid w:val="008909B4"/>
    <w:rsid w:val="008922E8"/>
    <w:rsid w:val="00893916"/>
    <w:rsid w:val="008941B9"/>
    <w:rsid w:val="0089442C"/>
    <w:rsid w:val="00895818"/>
    <w:rsid w:val="008A1398"/>
    <w:rsid w:val="008A2585"/>
    <w:rsid w:val="008A2718"/>
    <w:rsid w:val="008A4CF6"/>
    <w:rsid w:val="008A4E42"/>
    <w:rsid w:val="008A51AA"/>
    <w:rsid w:val="008A6A12"/>
    <w:rsid w:val="008B0DC6"/>
    <w:rsid w:val="008B2B9E"/>
    <w:rsid w:val="008B31F5"/>
    <w:rsid w:val="008B3AC4"/>
    <w:rsid w:val="008B4C79"/>
    <w:rsid w:val="008B5D2D"/>
    <w:rsid w:val="008B6361"/>
    <w:rsid w:val="008C0320"/>
    <w:rsid w:val="008C0A49"/>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354"/>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26F"/>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053C"/>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88E"/>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6D2A"/>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5EE"/>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155"/>
    <w:rsid w:val="00A966B6"/>
    <w:rsid w:val="00A96B46"/>
    <w:rsid w:val="00A96C55"/>
    <w:rsid w:val="00AA003B"/>
    <w:rsid w:val="00AA016B"/>
    <w:rsid w:val="00AA15DD"/>
    <w:rsid w:val="00AA1C09"/>
    <w:rsid w:val="00AA2F67"/>
    <w:rsid w:val="00AA3569"/>
    <w:rsid w:val="00AA5F4C"/>
    <w:rsid w:val="00AA615C"/>
    <w:rsid w:val="00AA6711"/>
    <w:rsid w:val="00AA79E7"/>
    <w:rsid w:val="00AB2AEC"/>
    <w:rsid w:val="00AB2DC1"/>
    <w:rsid w:val="00AB3102"/>
    <w:rsid w:val="00AB3D9A"/>
    <w:rsid w:val="00AB4B1D"/>
    <w:rsid w:val="00AB6B5E"/>
    <w:rsid w:val="00AC047F"/>
    <w:rsid w:val="00AC3934"/>
    <w:rsid w:val="00AC50C8"/>
    <w:rsid w:val="00AC5581"/>
    <w:rsid w:val="00AC56AD"/>
    <w:rsid w:val="00AC61BD"/>
    <w:rsid w:val="00AC61BE"/>
    <w:rsid w:val="00AD017A"/>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1EB1"/>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1855"/>
    <w:rsid w:val="00B420CB"/>
    <w:rsid w:val="00B428D1"/>
    <w:rsid w:val="00B4401C"/>
    <w:rsid w:val="00B440D7"/>
    <w:rsid w:val="00B44802"/>
    <w:rsid w:val="00B455D1"/>
    <w:rsid w:val="00B46135"/>
    <w:rsid w:val="00B472AB"/>
    <w:rsid w:val="00B47CE4"/>
    <w:rsid w:val="00B503A8"/>
    <w:rsid w:val="00B5121D"/>
    <w:rsid w:val="00B51F69"/>
    <w:rsid w:val="00B525C0"/>
    <w:rsid w:val="00B52FAB"/>
    <w:rsid w:val="00B5319A"/>
    <w:rsid w:val="00B539F9"/>
    <w:rsid w:val="00B53E56"/>
    <w:rsid w:val="00B546C3"/>
    <w:rsid w:val="00B54BD9"/>
    <w:rsid w:val="00B5503C"/>
    <w:rsid w:val="00B55640"/>
    <w:rsid w:val="00B56BBF"/>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54DB"/>
    <w:rsid w:val="00BE7595"/>
    <w:rsid w:val="00BE77D3"/>
    <w:rsid w:val="00BF0138"/>
    <w:rsid w:val="00BF114B"/>
    <w:rsid w:val="00BF1620"/>
    <w:rsid w:val="00BF1AC3"/>
    <w:rsid w:val="00BF28DA"/>
    <w:rsid w:val="00BF373A"/>
    <w:rsid w:val="00BF505E"/>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BBC"/>
    <w:rsid w:val="00C86F96"/>
    <w:rsid w:val="00C909C6"/>
    <w:rsid w:val="00C923B7"/>
    <w:rsid w:val="00C94D4C"/>
    <w:rsid w:val="00CA012C"/>
    <w:rsid w:val="00CA0AA6"/>
    <w:rsid w:val="00CA2897"/>
    <w:rsid w:val="00CA3B3C"/>
    <w:rsid w:val="00CA44F3"/>
    <w:rsid w:val="00CA51BA"/>
    <w:rsid w:val="00CA582C"/>
    <w:rsid w:val="00CA6077"/>
    <w:rsid w:val="00CA6B3E"/>
    <w:rsid w:val="00CA715B"/>
    <w:rsid w:val="00CA7988"/>
    <w:rsid w:val="00CA7BA2"/>
    <w:rsid w:val="00CB0B78"/>
    <w:rsid w:val="00CB12A5"/>
    <w:rsid w:val="00CB17FA"/>
    <w:rsid w:val="00CB23D8"/>
    <w:rsid w:val="00CB2EB9"/>
    <w:rsid w:val="00CB2ED9"/>
    <w:rsid w:val="00CB36A5"/>
    <w:rsid w:val="00CB56B4"/>
    <w:rsid w:val="00CB7286"/>
    <w:rsid w:val="00CB7947"/>
    <w:rsid w:val="00CC1783"/>
    <w:rsid w:val="00CC38E9"/>
    <w:rsid w:val="00CC3B46"/>
    <w:rsid w:val="00CC3D8B"/>
    <w:rsid w:val="00CC3FE7"/>
    <w:rsid w:val="00CC4E27"/>
    <w:rsid w:val="00CC560F"/>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469D"/>
    <w:rsid w:val="00D56AC0"/>
    <w:rsid w:val="00D6081B"/>
    <w:rsid w:val="00D61A37"/>
    <w:rsid w:val="00D6240A"/>
    <w:rsid w:val="00D63093"/>
    <w:rsid w:val="00D63599"/>
    <w:rsid w:val="00D63EBD"/>
    <w:rsid w:val="00D64B69"/>
    <w:rsid w:val="00D67101"/>
    <w:rsid w:val="00D67B6D"/>
    <w:rsid w:val="00D7106D"/>
    <w:rsid w:val="00D71B45"/>
    <w:rsid w:val="00D71F8A"/>
    <w:rsid w:val="00D7528B"/>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57C4"/>
    <w:rsid w:val="00E47430"/>
    <w:rsid w:val="00E50FB7"/>
    <w:rsid w:val="00E5199F"/>
    <w:rsid w:val="00E526DF"/>
    <w:rsid w:val="00E528DF"/>
    <w:rsid w:val="00E53C15"/>
    <w:rsid w:val="00E54EE6"/>
    <w:rsid w:val="00E56715"/>
    <w:rsid w:val="00E56C2C"/>
    <w:rsid w:val="00E57F8E"/>
    <w:rsid w:val="00E611C8"/>
    <w:rsid w:val="00E63256"/>
    <w:rsid w:val="00E6344A"/>
    <w:rsid w:val="00E64E69"/>
    <w:rsid w:val="00E64FB7"/>
    <w:rsid w:val="00E669A1"/>
    <w:rsid w:val="00E66FE1"/>
    <w:rsid w:val="00E679BA"/>
    <w:rsid w:val="00E70243"/>
    <w:rsid w:val="00E70EDB"/>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B79DD"/>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0E9"/>
    <w:rsid w:val="00ED351E"/>
    <w:rsid w:val="00ED4063"/>
    <w:rsid w:val="00ED4B27"/>
    <w:rsid w:val="00ED543C"/>
    <w:rsid w:val="00ED6BA4"/>
    <w:rsid w:val="00ED7DA7"/>
    <w:rsid w:val="00EE0598"/>
    <w:rsid w:val="00EE2737"/>
    <w:rsid w:val="00EE311C"/>
    <w:rsid w:val="00EE53D1"/>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2BFE"/>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4F"/>
    <w:rsid w:val="00F61B99"/>
    <w:rsid w:val="00F61BA8"/>
    <w:rsid w:val="00F64C45"/>
    <w:rsid w:val="00F6502B"/>
    <w:rsid w:val="00F65811"/>
    <w:rsid w:val="00F65E4B"/>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14D"/>
    <w:rsid w:val="00FC578C"/>
    <w:rsid w:val="00FC5A37"/>
    <w:rsid w:val="00FC7223"/>
    <w:rsid w:val="00FD0F60"/>
    <w:rsid w:val="00FD13EA"/>
    <w:rsid w:val="00FD5EC4"/>
    <w:rsid w:val="00FD7858"/>
    <w:rsid w:val="00FD7A8D"/>
    <w:rsid w:val="00FE1330"/>
    <w:rsid w:val="00FE1CE5"/>
    <w:rsid w:val="00FE2832"/>
    <w:rsid w:val="00FE2D38"/>
    <w:rsid w:val="00FE3929"/>
    <w:rsid w:val="00FE4B97"/>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7C44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Ttulo1">
    <w:name w:val="heading 1"/>
    <w:basedOn w:val="Normal"/>
    <w:next w:val="Normal"/>
    <w:link w:val="Ttulo1Car"/>
    <w:qFormat/>
    <w:rsid w:val="009E7724"/>
    <w:pPr>
      <w:keepNext/>
      <w:numPr>
        <w:numId w:val="5"/>
      </w:numPr>
      <w:spacing w:before="240" w:after="60"/>
      <w:outlineLvl w:val="0"/>
    </w:pPr>
    <w:rPr>
      <w:rFonts w:cs="Arial"/>
      <w:b/>
      <w:bCs/>
      <w:kern w:val="32"/>
      <w:sz w:val="24"/>
      <w:szCs w:val="32"/>
    </w:rPr>
  </w:style>
  <w:style w:type="paragraph" w:styleId="Ttulo2">
    <w:name w:val="heading 2"/>
    <w:basedOn w:val="Normal"/>
    <w:next w:val="Normal"/>
    <w:link w:val="Ttulo2Car"/>
    <w:qFormat/>
    <w:rsid w:val="00886A60"/>
    <w:pPr>
      <w:keepNext/>
      <w:keepLines/>
      <w:spacing w:before="200" w:after="120"/>
      <w:outlineLvl w:val="1"/>
    </w:pPr>
    <w:rPr>
      <w:b/>
      <w:bCs/>
      <w:szCs w:val="26"/>
    </w:rPr>
  </w:style>
  <w:style w:type="paragraph" w:styleId="Ttulo3">
    <w:name w:val="heading 3"/>
    <w:basedOn w:val="Normal"/>
    <w:next w:val="Normal"/>
    <w:link w:val="Ttulo3Car"/>
    <w:qFormat/>
    <w:rsid w:val="003865E5"/>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tulo5">
    <w:name w:val="heading 5"/>
    <w:aliases w:val="Questions"/>
    <w:basedOn w:val="Normal"/>
    <w:next w:val="Normal"/>
    <w:link w:val="Ttulo5Car"/>
    <w:qFormat/>
    <w:rsid w:val="00E9344E"/>
    <w:pPr>
      <w:keepNext/>
      <w:keepLines/>
      <w:numPr>
        <w:numId w:val="13"/>
      </w:numPr>
      <w:spacing w:before="200"/>
      <w:jc w:val="both"/>
      <w:outlineLvl w:val="4"/>
    </w:pPr>
    <w:rPr>
      <w:b/>
    </w:rPr>
  </w:style>
  <w:style w:type="paragraph" w:styleId="Ttulo6">
    <w:name w:val="heading 6"/>
    <w:basedOn w:val="Normal"/>
    <w:next w:val="Normal"/>
    <w:link w:val="Ttulo6Car"/>
    <w:qFormat/>
    <w:rsid w:val="003609B6"/>
    <w:pPr>
      <w:numPr>
        <w:ilvl w:val="5"/>
        <w:numId w:val="4"/>
      </w:numPr>
      <w:spacing w:before="240" w:after="60"/>
      <w:outlineLvl w:val="5"/>
    </w:pPr>
    <w:rPr>
      <w:rFonts w:ascii="Times New Roman" w:hAnsi="Times New Roman"/>
      <w:b/>
      <w:bCs/>
      <w:szCs w:val="22"/>
    </w:rPr>
  </w:style>
  <w:style w:type="paragraph" w:styleId="Ttulo7">
    <w:name w:val="heading 7"/>
    <w:basedOn w:val="Normal"/>
    <w:next w:val="Normal"/>
    <w:link w:val="Ttulo7Car"/>
    <w:unhideWhenUsed/>
    <w:qFormat/>
    <w:rsid w:val="002D6E1A"/>
    <w:pPr>
      <w:spacing w:before="240" w:after="60"/>
      <w:ind w:left="1296" w:hanging="1296"/>
      <w:outlineLvl w:val="6"/>
    </w:pPr>
    <w:rPr>
      <w:rFonts w:ascii="Times New Roman" w:hAnsi="Times New Roman"/>
    </w:rPr>
  </w:style>
  <w:style w:type="paragraph" w:styleId="Ttulo8">
    <w:name w:val="heading 8"/>
    <w:basedOn w:val="Normal"/>
    <w:next w:val="Normal"/>
    <w:link w:val="Ttulo8Car"/>
    <w:qFormat/>
    <w:rsid w:val="003609B6"/>
    <w:pPr>
      <w:numPr>
        <w:ilvl w:val="7"/>
        <w:numId w:val="4"/>
      </w:numPr>
      <w:spacing w:before="240" w:after="60"/>
      <w:outlineLvl w:val="7"/>
    </w:pPr>
    <w:rPr>
      <w:rFonts w:ascii="Times New Roman" w:hAnsi="Times New Roman"/>
      <w:i/>
      <w:iCs/>
    </w:rPr>
  </w:style>
  <w:style w:type="paragraph" w:styleId="Ttulo9">
    <w:name w:val="heading 9"/>
    <w:basedOn w:val="Normal"/>
    <w:next w:val="Normal"/>
    <w:link w:val="Ttulo9Car"/>
    <w:qFormat/>
    <w:rsid w:val="00A06867"/>
    <w:pPr>
      <w:tabs>
        <w:tab w:val="num" w:pos="1584"/>
      </w:tabs>
      <w:spacing w:before="240" w:after="60"/>
      <w:ind w:left="1584" w:hanging="1584"/>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B64CB"/>
    <w:pPr>
      <w:tabs>
        <w:tab w:val="center" w:pos="4536"/>
        <w:tab w:val="right" w:pos="9072"/>
      </w:tabs>
    </w:pPr>
  </w:style>
  <w:style w:type="paragraph" w:styleId="Piedepgina">
    <w:name w:val="footer"/>
    <w:basedOn w:val="Normal"/>
    <w:link w:val="PiedepginaCar"/>
    <w:rsid w:val="005B64CB"/>
    <w:pPr>
      <w:tabs>
        <w:tab w:val="center" w:pos="4536"/>
        <w:tab w:val="right" w:pos="9072"/>
      </w:tabs>
    </w:pPr>
  </w:style>
  <w:style w:type="table" w:styleId="Tablaconcuadrcula">
    <w:name w:val="Table Grid"/>
    <w:basedOn w:val="Tabla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merodepgina">
    <w:name w:val="page number"/>
    <w:basedOn w:val="Fuentedeprrafopredeter"/>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D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vnculo">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xtonotapie">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TextonotapieCar"/>
    <w:qFormat/>
    <w:rsid w:val="001725A5"/>
    <w:pPr>
      <w:spacing w:line="200" w:lineRule="exact"/>
    </w:pPr>
    <w:rPr>
      <w:sz w:val="16"/>
      <w:szCs w:val="20"/>
    </w:rPr>
  </w:style>
  <w:style w:type="character" w:styleId="Refdenotaalpi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D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efdecomentario">
    <w:name w:val="annotation reference"/>
    <w:rsid w:val="004B1E61"/>
    <w:rPr>
      <w:sz w:val="16"/>
      <w:szCs w:val="16"/>
    </w:rPr>
  </w:style>
  <w:style w:type="paragraph" w:styleId="Textocomentario">
    <w:name w:val="annotation text"/>
    <w:basedOn w:val="Normal"/>
    <w:link w:val="TextocomentarioCar"/>
    <w:rsid w:val="004B1E61"/>
    <w:rPr>
      <w:szCs w:val="20"/>
    </w:rPr>
  </w:style>
  <w:style w:type="character" w:customStyle="1" w:styleId="TextocomentarioCar">
    <w:name w:val="Texto comentario Car"/>
    <w:link w:val="Textocomentario"/>
    <w:uiPriority w:val="99"/>
    <w:rsid w:val="004B1E61"/>
    <w:rPr>
      <w:rFonts w:ascii="Georgia" w:hAnsi="Georgia"/>
      <w:lang w:eastAsia="de-DE"/>
    </w:rPr>
  </w:style>
  <w:style w:type="paragraph" w:styleId="Asuntodelcomentario">
    <w:name w:val="annotation subject"/>
    <w:basedOn w:val="Textocomentario"/>
    <w:next w:val="Textocomentario"/>
    <w:link w:val="AsuntodelcomentarioCar"/>
    <w:rsid w:val="004B1E61"/>
    <w:rPr>
      <w:b/>
      <w:bCs/>
    </w:rPr>
  </w:style>
  <w:style w:type="character" w:customStyle="1" w:styleId="AsuntodelcomentarioCar">
    <w:name w:val="Asunto del comentario Car"/>
    <w:link w:val="Asuntodelcomentario"/>
    <w:rsid w:val="004B1E61"/>
    <w:rPr>
      <w:rFonts w:ascii="Georgia" w:hAnsi="Georgia"/>
      <w:b/>
      <w:bCs/>
      <w:lang w:eastAsia="de-DE"/>
    </w:rPr>
  </w:style>
  <w:style w:type="paragraph" w:styleId="Textodeglobo">
    <w:name w:val="Balloon Text"/>
    <w:basedOn w:val="Normal"/>
    <w:link w:val="TextodegloboCar"/>
    <w:rsid w:val="004B1E61"/>
    <w:rPr>
      <w:rFonts w:ascii="Tahoma" w:hAnsi="Tahoma" w:cs="Tahoma"/>
      <w:sz w:val="16"/>
      <w:szCs w:val="16"/>
    </w:rPr>
  </w:style>
  <w:style w:type="character" w:customStyle="1" w:styleId="TextodegloboCar">
    <w:name w:val="Texto de globo Car"/>
    <w:link w:val="Textodeglobo"/>
    <w:rsid w:val="004B1E61"/>
    <w:rPr>
      <w:rFonts w:ascii="Tahoma" w:hAnsi="Tahoma" w:cs="Tahoma"/>
      <w:sz w:val="16"/>
      <w:szCs w:val="16"/>
      <w:lang w:eastAsia="de-DE"/>
    </w:rPr>
  </w:style>
  <w:style w:type="paragraph" w:styleId="Prrafodelista">
    <w:name w:val="List Paragraph"/>
    <w:aliases w:val="Paragraphe EI,Paragraphe de liste1,EC"/>
    <w:basedOn w:val="Normal"/>
    <w:link w:val="PrrafodelistaCar"/>
    <w:uiPriority w:val="34"/>
    <w:qFormat/>
    <w:rsid w:val="002A0C82"/>
    <w:pPr>
      <w:ind w:left="720"/>
      <w:contextualSpacing/>
    </w:pPr>
  </w:style>
  <w:style w:type="paragraph" w:styleId="TtulodeTDC">
    <w:name w:val="TOC Heading"/>
    <w:basedOn w:val="Ttulo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onotapieCar">
    <w:name w:val="Texto nota pie Car"/>
    <w:aliases w:val="Char3 Car, Char3 Car,Fußnotentextf Car,Fußnotentextr Car,stile 1 Car,Footnote1 Car,Footnote2 Car,Footnote3 Car,Footnote4 Car,Footnote5 Car,Footnote6 Car,Footnote7 Car,Footnote8 Car,Footnote9 Car,Footnote10 Car,Footnote11 Car"/>
    <w:link w:val="Textonotapie"/>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Fuentedeprrafopredeter"/>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tulo1Car">
    <w:name w:val="Título 1 Car"/>
    <w:link w:val="Ttulo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fasis">
    <w:name w:val="Emphasis"/>
    <w:uiPriority w:val="20"/>
    <w:qFormat/>
    <w:rsid w:val="005F028E"/>
    <w:rPr>
      <w:i/>
      <w:iCs/>
    </w:rPr>
  </w:style>
  <w:style w:type="paragraph" w:styleId="Revisin">
    <w:name w:val="Revision"/>
    <w:link w:val="RevisinCar"/>
    <w:hidden/>
    <w:uiPriority w:val="99"/>
    <w:semiHidden/>
    <w:rsid w:val="008E6A37"/>
    <w:rPr>
      <w:rFonts w:ascii="Georgia" w:hAnsi="Georgia"/>
      <w:sz w:val="22"/>
      <w:szCs w:val="24"/>
      <w:lang w:eastAsia="de-DE"/>
    </w:rPr>
  </w:style>
  <w:style w:type="paragraph" w:styleId="TD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D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D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D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D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D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D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Epgraf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adeldocumento">
    <w:name w:val="Document Map"/>
    <w:basedOn w:val="Normal"/>
    <w:link w:val="MapadeldocumentoCar"/>
    <w:rsid w:val="00AA016B"/>
    <w:rPr>
      <w:rFonts w:ascii="Tahoma" w:hAnsi="Tahoma" w:cs="Tahoma"/>
      <w:sz w:val="16"/>
      <w:szCs w:val="16"/>
    </w:rPr>
  </w:style>
  <w:style w:type="character" w:customStyle="1" w:styleId="MapadeldocumentoCar">
    <w:name w:val="Mapa del documento Car"/>
    <w:link w:val="Mapadeldocumento"/>
    <w:rsid w:val="00AA016B"/>
    <w:rPr>
      <w:rFonts w:ascii="Tahoma" w:hAnsi="Tahoma" w:cs="Tahoma"/>
      <w:sz w:val="16"/>
      <w:szCs w:val="16"/>
      <w:lang w:eastAsia="de-DE"/>
    </w:rPr>
  </w:style>
  <w:style w:type="paragraph" w:styleId="Textosinformato">
    <w:name w:val="Plain Text"/>
    <w:basedOn w:val="Normal"/>
    <w:link w:val="TextosinformatoCar"/>
    <w:unhideWhenUsed/>
    <w:rsid w:val="00AA016B"/>
    <w:rPr>
      <w:rFonts w:ascii="Consolas" w:hAnsi="Consolas"/>
      <w:sz w:val="21"/>
      <w:szCs w:val="21"/>
      <w:lang w:val="de-DE"/>
    </w:rPr>
  </w:style>
  <w:style w:type="character" w:customStyle="1" w:styleId="TextosinformatoCar">
    <w:name w:val="Texto sin formato Car"/>
    <w:link w:val="Textosinformato"/>
    <w:rsid w:val="00AA016B"/>
    <w:rPr>
      <w:rFonts w:ascii="Consolas" w:hAnsi="Consolas"/>
      <w:sz w:val="21"/>
      <w:szCs w:val="21"/>
      <w:lang w:val="de-DE" w:eastAsia="de-DE"/>
    </w:rPr>
  </w:style>
  <w:style w:type="paragraph" w:styleId="Textoindependiente">
    <w:name w:val="Body Text"/>
    <w:basedOn w:val="Normal"/>
    <w:link w:val="TextoindependienteCar"/>
    <w:unhideWhenUsed/>
    <w:rsid w:val="00AA016B"/>
    <w:pPr>
      <w:numPr>
        <w:numId w:val="8"/>
      </w:numPr>
      <w:spacing w:after="240"/>
      <w:jc w:val="both"/>
    </w:pPr>
    <w:rPr>
      <w:rFonts w:ascii="Times New Roman" w:hAnsi="Times New Roman"/>
      <w:sz w:val="24"/>
      <w:szCs w:val="20"/>
      <w:lang w:eastAsia="en-GB"/>
    </w:rPr>
  </w:style>
  <w:style w:type="character" w:customStyle="1" w:styleId="TextoindependienteCar">
    <w:name w:val="Texto independiente Car"/>
    <w:link w:val="Textoindependien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Textoennegrita">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tulo2Car">
    <w:name w:val="Título 2 Car"/>
    <w:link w:val="Ttu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tulo9Car">
    <w:name w:val="Título 9 Car"/>
    <w:link w:val="Ttu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tulo7Car">
    <w:name w:val="Título 7 Car"/>
    <w:link w:val="Ttulo7"/>
    <w:rsid w:val="002D6E1A"/>
    <w:rPr>
      <w:sz w:val="22"/>
      <w:szCs w:val="24"/>
      <w:lang w:eastAsia="de-DE"/>
    </w:rPr>
  </w:style>
  <w:style w:type="character" w:customStyle="1" w:styleId="Ttulo6Car">
    <w:name w:val="Título 6 Car"/>
    <w:link w:val="Ttulo6"/>
    <w:rsid w:val="002D6E1A"/>
    <w:rPr>
      <w:b/>
      <w:bCs/>
      <w:szCs w:val="22"/>
      <w:lang w:eastAsia="de-DE"/>
    </w:rPr>
  </w:style>
  <w:style w:type="character" w:customStyle="1" w:styleId="Ttulo8Car">
    <w:name w:val="Título 8 Car"/>
    <w:link w:val="Ttulo8"/>
    <w:rsid w:val="002D6E1A"/>
    <w:rPr>
      <w:i/>
      <w:iCs/>
      <w:szCs w:val="24"/>
      <w:lang w:eastAsia="de-DE"/>
    </w:rPr>
  </w:style>
  <w:style w:type="numbering" w:customStyle="1" w:styleId="NoList1">
    <w:name w:val="No List1"/>
    <w:next w:val="Sinlista"/>
    <w:uiPriority w:val="99"/>
    <w:semiHidden/>
    <w:unhideWhenUsed/>
    <w:rsid w:val="002D6E1A"/>
  </w:style>
  <w:style w:type="character" w:styleId="Hipervnculovisitado">
    <w:name w:val="FollowedHyperlink"/>
    <w:unhideWhenUsed/>
    <w:rsid w:val="002D6E1A"/>
    <w:rPr>
      <w:color w:val="800080"/>
      <w:u w:val="single"/>
    </w:rPr>
  </w:style>
  <w:style w:type="character" w:customStyle="1" w:styleId="EncabezadoCar">
    <w:name w:val="Encabezado Car"/>
    <w:link w:val="Encabezado"/>
    <w:rsid w:val="002D6E1A"/>
    <w:rPr>
      <w:rFonts w:ascii="Georgia" w:hAnsi="Georgia"/>
      <w:sz w:val="22"/>
      <w:szCs w:val="24"/>
      <w:lang w:eastAsia="de-DE"/>
    </w:rPr>
  </w:style>
  <w:style w:type="character" w:customStyle="1" w:styleId="PiedepginaCar">
    <w:name w:val="Pie de página Car"/>
    <w:link w:val="Piedepgina"/>
    <w:rsid w:val="002D6E1A"/>
    <w:rPr>
      <w:rFonts w:ascii="Georgia" w:hAnsi="Georgia"/>
      <w:sz w:val="22"/>
      <w:szCs w:val="24"/>
      <w:lang w:eastAsia="de-DE"/>
    </w:rPr>
  </w:style>
  <w:style w:type="paragraph" w:styleId="Textonotaalfinal">
    <w:name w:val="endnote text"/>
    <w:basedOn w:val="Normal"/>
    <w:link w:val="TextonotaalfinalCar"/>
    <w:unhideWhenUsed/>
    <w:rsid w:val="002D6E1A"/>
    <w:rPr>
      <w:szCs w:val="20"/>
    </w:rPr>
  </w:style>
  <w:style w:type="character" w:customStyle="1" w:styleId="TextonotaalfinalCar">
    <w:name w:val="Texto nota al final Car"/>
    <w:link w:val="Textonotaalfinal"/>
    <w:rsid w:val="002D6E1A"/>
    <w:rPr>
      <w:rFonts w:ascii="Georgia" w:hAnsi="Georgia"/>
      <w:lang w:eastAsia="de-DE"/>
    </w:rPr>
  </w:style>
  <w:style w:type="paragraph" w:styleId="Listaconnme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rrafodelistaCar">
    <w:name w:val="Párrafo de lista Car"/>
    <w:aliases w:val="Paragraphe EI Car,Paragraphe de liste1 Car,EC Car"/>
    <w:link w:val="Prrafodelista"/>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rrafodelista"/>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Refdenotaalfinal">
    <w:name w:val="endnote reference"/>
    <w:unhideWhenUsed/>
    <w:rsid w:val="002D6E1A"/>
    <w:rPr>
      <w:vertAlign w:val="superscript"/>
    </w:rPr>
  </w:style>
  <w:style w:type="character" w:styleId="Textodelmarcadordeposicin">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a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i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merodelnea">
    <w:name w:val="line number"/>
    <w:basedOn w:val="Fuentedeprrafopredeter"/>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Epgraf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tulo5Car">
    <w:name w:val="Título 5 Car"/>
    <w:aliases w:val="Questions Car"/>
    <w:link w:val="Ttulo5"/>
    <w:rsid w:val="00E9344E"/>
    <w:rPr>
      <w:rFonts w:ascii="Arial" w:hAnsi="Arial"/>
      <w:b/>
      <w:szCs w:val="24"/>
      <w:lang w:eastAsia="de-DE"/>
    </w:rPr>
  </w:style>
  <w:style w:type="character" w:customStyle="1" w:styleId="Ttulo3Car">
    <w:name w:val="Título 3 Car"/>
    <w:link w:val="Ttulo3"/>
    <w:rsid w:val="003865E5"/>
    <w:rPr>
      <w:rFonts w:ascii="Cambria" w:eastAsia="Times New Roman" w:hAnsi="Cambria" w:cs="Times New Roman"/>
      <w:b/>
      <w:bCs/>
      <w:color w:val="4F81BD"/>
      <w:sz w:val="22"/>
      <w:szCs w:val="24"/>
      <w:lang w:eastAsia="de-DE"/>
    </w:rPr>
  </w:style>
  <w:style w:type="character" w:customStyle="1" w:styleId="Ttulo4Car">
    <w:name w:val="Título 4 Car"/>
    <w:link w:val="Ttulo4"/>
    <w:rsid w:val="00CB7286"/>
    <w:rPr>
      <w:b/>
      <w:bCs/>
      <w:sz w:val="28"/>
      <w:szCs w:val="28"/>
      <w:lang w:eastAsia="de-DE"/>
    </w:rPr>
  </w:style>
  <w:style w:type="table" w:styleId="Listaclara-nfasis3">
    <w:name w:val="Light List Accent 3"/>
    <w:basedOn w:val="Tabla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a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tu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tulo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tu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aconnme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aconnme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aconnme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convieta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convieta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convieta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convieta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adeilustracion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tulo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tulo">
    <w:name w:val="Title"/>
    <w:basedOn w:val="Normal"/>
    <w:next w:val="Normal"/>
    <w:link w:val="Ttulo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tuloCar">
    <w:name w:val="Título Car"/>
    <w:link w:val="Ttu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nCar">
    <w:name w:val="Revisión Car"/>
    <w:link w:val="Revisin"/>
    <w:uiPriority w:val="99"/>
    <w:semiHidden/>
    <w:locked/>
    <w:rsid w:val="000D2D0B"/>
    <w:rPr>
      <w:rFonts w:ascii="Georgia" w:hAnsi="Georgia"/>
      <w:sz w:val="22"/>
      <w:szCs w:val="24"/>
      <w:lang w:eastAsia="de-DE"/>
    </w:rPr>
  </w:style>
  <w:style w:type="table" w:customStyle="1" w:styleId="TableGrid2">
    <w:name w:val="Table Grid2"/>
    <w:basedOn w:val="Tablanormal"/>
    <w:next w:val="Tablaconcuadrcul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Fuentedeprrafopredeter"/>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nfasisintenso">
    <w:name w:val="Intense Emphasis"/>
    <w:basedOn w:val="Fuentedeprrafopredeter"/>
    <w:uiPriority w:val="21"/>
    <w:qFormat/>
    <w:rsid w:val="00D34282"/>
    <w:rPr>
      <w:b/>
      <w:bCs/>
      <w:i/>
      <w:iCs/>
    </w:rPr>
  </w:style>
  <w:style w:type="character" w:customStyle="1" w:styleId="CPTitle1Char">
    <w:name w:val="CP_Title1 Char"/>
    <w:basedOn w:val="Fuentedeprrafopredeter"/>
    <w:link w:val="CPTitle1"/>
    <w:locked/>
    <w:rsid w:val="00D34282"/>
    <w:rPr>
      <w:rFonts w:asciiTheme="majorHAnsi" w:eastAsiaTheme="majorEastAsia" w:hAnsiTheme="majorHAnsi" w:cstheme="majorHAnsi"/>
      <w:b/>
      <w:sz w:val="32"/>
      <w:szCs w:val="32"/>
    </w:rPr>
  </w:style>
  <w:style w:type="paragraph" w:customStyle="1" w:styleId="CPTitle1">
    <w:name w:val="CP_Title1"/>
    <w:basedOn w:val="Ttulo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tulo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Fuentedeprrafopredeter"/>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Fuentedeprrafopredeter"/>
    <w:link w:val="Questionstyle"/>
    <w:rsid w:val="008701E5"/>
    <w:rPr>
      <w:rFonts w:asciiTheme="minorHAnsi" w:eastAsiaTheme="minorEastAsia" w:hAnsiTheme="minorHAnsi" w:cstheme="minorBidi"/>
      <w:b/>
      <w:sz w:val="22"/>
      <w:lang w:eastAsia="en-US"/>
    </w:rPr>
  </w:style>
  <w:style w:type="paragraph" w:styleId="Subttulo">
    <w:name w:val="Subtitle"/>
    <w:basedOn w:val="Normal"/>
    <w:next w:val="Normal"/>
    <w:link w:val="SubttuloC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tuloCar">
    <w:name w:val="Subtítulo Car"/>
    <w:basedOn w:val="Fuentedeprrafopredeter"/>
    <w:link w:val="Subttulo"/>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Prrafodelista"/>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Fuentedeprrafopredeter"/>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Fuentedeprrafopredeter"/>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Ttulo1">
    <w:name w:val="heading 1"/>
    <w:basedOn w:val="Normal"/>
    <w:next w:val="Normal"/>
    <w:link w:val="Ttulo1Car"/>
    <w:qFormat/>
    <w:rsid w:val="009E7724"/>
    <w:pPr>
      <w:keepNext/>
      <w:numPr>
        <w:numId w:val="5"/>
      </w:numPr>
      <w:spacing w:before="240" w:after="60"/>
      <w:outlineLvl w:val="0"/>
    </w:pPr>
    <w:rPr>
      <w:rFonts w:cs="Arial"/>
      <w:b/>
      <w:bCs/>
      <w:kern w:val="32"/>
      <w:sz w:val="24"/>
      <w:szCs w:val="32"/>
    </w:rPr>
  </w:style>
  <w:style w:type="paragraph" w:styleId="Ttulo2">
    <w:name w:val="heading 2"/>
    <w:basedOn w:val="Normal"/>
    <w:next w:val="Normal"/>
    <w:link w:val="Ttulo2Car"/>
    <w:qFormat/>
    <w:rsid w:val="00886A60"/>
    <w:pPr>
      <w:keepNext/>
      <w:keepLines/>
      <w:spacing w:before="200" w:after="120"/>
      <w:outlineLvl w:val="1"/>
    </w:pPr>
    <w:rPr>
      <w:b/>
      <w:bCs/>
      <w:szCs w:val="26"/>
    </w:rPr>
  </w:style>
  <w:style w:type="paragraph" w:styleId="Ttulo3">
    <w:name w:val="heading 3"/>
    <w:basedOn w:val="Normal"/>
    <w:next w:val="Normal"/>
    <w:link w:val="Ttulo3Car"/>
    <w:qFormat/>
    <w:rsid w:val="003865E5"/>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tulo5">
    <w:name w:val="heading 5"/>
    <w:aliases w:val="Questions"/>
    <w:basedOn w:val="Normal"/>
    <w:next w:val="Normal"/>
    <w:link w:val="Ttulo5Car"/>
    <w:qFormat/>
    <w:rsid w:val="00E9344E"/>
    <w:pPr>
      <w:keepNext/>
      <w:keepLines/>
      <w:numPr>
        <w:numId w:val="13"/>
      </w:numPr>
      <w:spacing w:before="200"/>
      <w:jc w:val="both"/>
      <w:outlineLvl w:val="4"/>
    </w:pPr>
    <w:rPr>
      <w:b/>
    </w:rPr>
  </w:style>
  <w:style w:type="paragraph" w:styleId="Ttulo6">
    <w:name w:val="heading 6"/>
    <w:basedOn w:val="Normal"/>
    <w:next w:val="Normal"/>
    <w:link w:val="Ttulo6Car"/>
    <w:qFormat/>
    <w:rsid w:val="003609B6"/>
    <w:pPr>
      <w:numPr>
        <w:ilvl w:val="5"/>
        <w:numId w:val="4"/>
      </w:numPr>
      <w:spacing w:before="240" w:after="60"/>
      <w:outlineLvl w:val="5"/>
    </w:pPr>
    <w:rPr>
      <w:rFonts w:ascii="Times New Roman" w:hAnsi="Times New Roman"/>
      <w:b/>
      <w:bCs/>
      <w:szCs w:val="22"/>
    </w:rPr>
  </w:style>
  <w:style w:type="paragraph" w:styleId="Ttulo7">
    <w:name w:val="heading 7"/>
    <w:basedOn w:val="Normal"/>
    <w:next w:val="Normal"/>
    <w:link w:val="Ttulo7Car"/>
    <w:unhideWhenUsed/>
    <w:qFormat/>
    <w:rsid w:val="002D6E1A"/>
    <w:pPr>
      <w:spacing w:before="240" w:after="60"/>
      <w:ind w:left="1296" w:hanging="1296"/>
      <w:outlineLvl w:val="6"/>
    </w:pPr>
    <w:rPr>
      <w:rFonts w:ascii="Times New Roman" w:hAnsi="Times New Roman"/>
    </w:rPr>
  </w:style>
  <w:style w:type="paragraph" w:styleId="Ttulo8">
    <w:name w:val="heading 8"/>
    <w:basedOn w:val="Normal"/>
    <w:next w:val="Normal"/>
    <w:link w:val="Ttulo8Car"/>
    <w:qFormat/>
    <w:rsid w:val="003609B6"/>
    <w:pPr>
      <w:numPr>
        <w:ilvl w:val="7"/>
        <w:numId w:val="4"/>
      </w:numPr>
      <w:spacing w:before="240" w:after="60"/>
      <w:outlineLvl w:val="7"/>
    </w:pPr>
    <w:rPr>
      <w:rFonts w:ascii="Times New Roman" w:hAnsi="Times New Roman"/>
      <w:i/>
      <w:iCs/>
    </w:rPr>
  </w:style>
  <w:style w:type="paragraph" w:styleId="Ttulo9">
    <w:name w:val="heading 9"/>
    <w:basedOn w:val="Normal"/>
    <w:next w:val="Normal"/>
    <w:link w:val="Ttulo9Car"/>
    <w:qFormat/>
    <w:rsid w:val="00A06867"/>
    <w:pPr>
      <w:tabs>
        <w:tab w:val="num" w:pos="1584"/>
      </w:tabs>
      <w:spacing w:before="240" w:after="60"/>
      <w:ind w:left="1584" w:hanging="1584"/>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B64CB"/>
    <w:pPr>
      <w:tabs>
        <w:tab w:val="center" w:pos="4536"/>
        <w:tab w:val="right" w:pos="9072"/>
      </w:tabs>
    </w:pPr>
  </w:style>
  <w:style w:type="paragraph" w:styleId="Piedepgina">
    <w:name w:val="footer"/>
    <w:basedOn w:val="Normal"/>
    <w:link w:val="PiedepginaCar"/>
    <w:rsid w:val="005B64CB"/>
    <w:pPr>
      <w:tabs>
        <w:tab w:val="center" w:pos="4536"/>
        <w:tab w:val="right" w:pos="9072"/>
      </w:tabs>
    </w:pPr>
  </w:style>
  <w:style w:type="table" w:styleId="Tablaconcuadrcula">
    <w:name w:val="Table Grid"/>
    <w:basedOn w:val="Tabla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merodepgina">
    <w:name w:val="page number"/>
    <w:basedOn w:val="Fuentedeprrafopredeter"/>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D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vnculo">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xtonotapie">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TextonotapieCar"/>
    <w:qFormat/>
    <w:rsid w:val="001725A5"/>
    <w:pPr>
      <w:spacing w:line="200" w:lineRule="exact"/>
    </w:pPr>
    <w:rPr>
      <w:sz w:val="16"/>
      <w:szCs w:val="20"/>
    </w:rPr>
  </w:style>
  <w:style w:type="character" w:styleId="Refdenotaalpi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D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efdecomentario">
    <w:name w:val="annotation reference"/>
    <w:rsid w:val="004B1E61"/>
    <w:rPr>
      <w:sz w:val="16"/>
      <w:szCs w:val="16"/>
    </w:rPr>
  </w:style>
  <w:style w:type="paragraph" w:styleId="Textocomentario">
    <w:name w:val="annotation text"/>
    <w:basedOn w:val="Normal"/>
    <w:link w:val="TextocomentarioCar"/>
    <w:rsid w:val="004B1E61"/>
    <w:rPr>
      <w:szCs w:val="20"/>
    </w:rPr>
  </w:style>
  <w:style w:type="character" w:customStyle="1" w:styleId="TextocomentarioCar">
    <w:name w:val="Texto comentario Car"/>
    <w:link w:val="Textocomentario"/>
    <w:uiPriority w:val="99"/>
    <w:rsid w:val="004B1E61"/>
    <w:rPr>
      <w:rFonts w:ascii="Georgia" w:hAnsi="Georgia"/>
      <w:lang w:eastAsia="de-DE"/>
    </w:rPr>
  </w:style>
  <w:style w:type="paragraph" w:styleId="Asuntodelcomentario">
    <w:name w:val="annotation subject"/>
    <w:basedOn w:val="Textocomentario"/>
    <w:next w:val="Textocomentario"/>
    <w:link w:val="AsuntodelcomentarioCar"/>
    <w:rsid w:val="004B1E61"/>
    <w:rPr>
      <w:b/>
      <w:bCs/>
    </w:rPr>
  </w:style>
  <w:style w:type="character" w:customStyle="1" w:styleId="AsuntodelcomentarioCar">
    <w:name w:val="Asunto del comentario Car"/>
    <w:link w:val="Asuntodelcomentario"/>
    <w:rsid w:val="004B1E61"/>
    <w:rPr>
      <w:rFonts w:ascii="Georgia" w:hAnsi="Georgia"/>
      <w:b/>
      <w:bCs/>
      <w:lang w:eastAsia="de-DE"/>
    </w:rPr>
  </w:style>
  <w:style w:type="paragraph" w:styleId="Textodeglobo">
    <w:name w:val="Balloon Text"/>
    <w:basedOn w:val="Normal"/>
    <w:link w:val="TextodegloboCar"/>
    <w:rsid w:val="004B1E61"/>
    <w:rPr>
      <w:rFonts w:ascii="Tahoma" w:hAnsi="Tahoma" w:cs="Tahoma"/>
      <w:sz w:val="16"/>
      <w:szCs w:val="16"/>
    </w:rPr>
  </w:style>
  <w:style w:type="character" w:customStyle="1" w:styleId="TextodegloboCar">
    <w:name w:val="Texto de globo Car"/>
    <w:link w:val="Textodeglobo"/>
    <w:rsid w:val="004B1E61"/>
    <w:rPr>
      <w:rFonts w:ascii="Tahoma" w:hAnsi="Tahoma" w:cs="Tahoma"/>
      <w:sz w:val="16"/>
      <w:szCs w:val="16"/>
      <w:lang w:eastAsia="de-DE"/>
    </w:rPr>
  </w:style>
  <w:style w:type="paragraph" w:styleId="Prrafodelista">
    <w:name w:val="List Paragraph"/>
    <w:aliases w:val="Paragraphe EI,Paragraphe de liste1,EC"/>
    <w:basedOn w:val="Normal"/>
    <w:link w:val="PrrafodelistaCar"/>
    <w:uiPriority w:val="34"/>
    <w:qFormat/>
    <w:rsid w:val="002A0C82"/>
    <w:pPr>
      <w:ind w:left="720"/>
      <w:contextualSpacing/>
    </w:pPr>
  </w:style>
  <w:style w:type="paragraph" w:styleId="TtulodeTDC">
    <w:name w:val="TOC Heading"/>
    <w:basedOn w:val="Ttulo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onotapieCar">
    <w:name w:val="Texto nota pie Car"/>
    <w:aliases w:val="Char3 Car, Char3 Car,Fußnotentextf Car,Fußnotentextr Car,stile 1 Car,Footnote1 Car,Footnote2 Car,Footnote3 Car,Footnote4 Car,Footnote5 Car,Footnote6 Car,Footnote7 Car,Footnote8 Car,Footnote9 Car,Footnote10 Car,Footnote11 Car"/>
    <w:link w:val="Textonotapie"/>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Fuentedeprrafopredeter"/>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tulo1Car">
    <w:name w:val="Título 1 Car"/>
    <w:link w:val="Ttulo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fasis">
    <w:name w:val="Emphasis"/>
    <w:uiPriority w:val="20"/>
    <w:qFormat/>
    <w:rsid w:val="005F028E"/>
    <w:rPr>
      <w:i/>
      <w:iCs/>
    </w:rPr>
  </w:style>
  <w:style w:type="paragraph" w:styleId="Revisin">
    <w:name w:val="Revision"/>
    <w:link w:val="RevisinCar"/>
    <w:hidden/>
    <w:uiPriority w:val="99"/>
    <w:semiHidden/>
    <w:rsid w:val="008E6A37"/>
    <w:rPr>
      <w:rFonts w:ascii="Georgia" w:hAnsi="Georgia"/>
      <w:sz w:val="22"/>
      <w:szCs w:val="24"/>
      <w:lang w:eastAsia="de-DE"/>
    </w:rPr>
  </w:style>
  <w:style w:type="paragraph" w:styleId="TD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D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D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D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D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D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D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Epgraf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adeldocumento">
    <w:name w:val="Document Map"/>
    <w:basedOn w:val="Normal"/>
    <w:link w:val="MapadeldocumentoCar"/>
    <w:rsid w:val="00AA016B"/>
    <w:rPr>
      <w:rFonts w:ascii="Tahoma" w:hAnsi="Tahoma" w:cs="Tahoma"/>
      <w:sz w:val="16"/>
      <w:szCs w:val="16"/>
    </w:rPr>
  </w:style>
  <w:style w:type="character" w:customStyle="1" w:styleId="MapadeldocumentoCar">
    <w:name w:val="Mapa del documento Car"/>
    <w:link w:val="Mapadeldocumento"/>
    <w:rsid w:val="00AA016B"/>
    <w:rPr>
      <w:rFonts w:ascii="Tahoma" w:hAnsi="Tahoma" w:cs="Tahoma"/>
      <w:sz w:val="16"/>
      <w:szCs w:val="16"/>
      <w:lang w:eastAsia="de-DE"/>
    </w:rPr>
  </w:style>
  <w:style w:type="paragraph" w:styleId="Textosinformato">
    <w:name w:val="Plain Text"/>
    <w:basedOn w:val="Normal"/>
    <w:link w:val="TextosinformatoCar"/>
    <w:unhideWhenUsed/>
    <w:rsid w:val="00AA016B"/>
    <w:rPr>
      <w:rFonts w:ascii="Consolas" w:hAnsi="Consolas"/>
      <w:sz w:val="21"/>
      <w:szCs w:val="21"/>
      <w:lang w:val="de-DE"/>
    </w:rPr>
  </w:style>
  <w:style w:type="character" w:customStyle="1" w:styleId="TextosinformatoCar">
    <w:name w:val="Texto sin formato Car"/>
    <w:link w:val="Textosinformato"/>
    <w:rsid w:val="00AA016B"/>
    <w:rPr>
      <w:rFonts w:ascii="Consolas" w:hAnsi="Consolas"/>
      <w:sz w:val="21"/>
      <w:szCs w:val="21"/>
      <w:lang w:val="de-DE" w:eastAsia="de-DE"/>
    </w:rPr>
  </w:style>
  <w:style w:type="paragraph" w:styleId="Textoindependiente">
    <w:name w:val="Body Text"/>
    <w:basedOn w:val="Normal"/>
    <w:link w:val="TextoindependienteCar"/>
    <w:unhideWhenUsed/>
    <w:rsid w:val="00AA016B"/>
    <w:pPr>
      <w:numPr>
        <w:numId w:val="8"/>
      </w:numPr>
      <w:spacing w:after="240"/>
      <w:jc w:val="both"/>
    </w:pPr>
    <w:rPr>
      <w:rFonts w:ascii="Times New Roman" w:hAnsi="Times New Roman"/>
      <w:sz w:val="24"/>
      <w:szCs w:val="20"/>
      <w:lang w:eastAsia="en-GB"/>
    </w:rPr>
  </w:style>
  <w:style w:type="character" w:customStyle="1" w:styleId="TextoindependienteCar">
    <w:name w:val="Texto independiente Car"/>
    <w:link w:val="Textoindependien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Textoennegrita">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tulo2Car">
    <w:name w:val="Título 2 Car"/>
    <w:link w:val="Ttu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tulo9Car">
    <w:name w:val="Título 9 Car"/>
    <w:link w:val="Ttu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tulo7Car">
    <w:name w:val="Título 7 Car"/>
    <w:link w:val="Ttulo7"/>
    <w:rsid w:val="002D6E1A"/>
    <w:rPr>
      <w:sz w:val="22"/>
      <w:szCs w:val="24"/>
      <w:lang w:eastAsia="de-DE"/>
    </w:rPr>
  </w:style>
  <w:style w:type="character" w:customStyle="1" w:styleId="Ttulo6Car">
    <w:name w:val="Título 6 Car"/>
    <w:link w:val="Ttulo6"/>
    <w:rsid w:val="002D6E1A"/>
    <w:rPr>
      <w:b/>
      <w:bCs/>
      <w:szCs w:val="22"/>
      <w:lang w:eastAsia="de-DE"/>
    </w:rPr>
  </w:style>
  <w:style w:type="character" w:customStyle="1" w:styleId="Ttulo8Car">
    <w:name w:val="Título 8 Car"/>
    <w:link w:val="Ttulo8"/>
    <w:rsid w:val="002D6E1A"/>
    <w:rPr>
      <w:i/>
      <w:iCs/>
      <w:szCs w:val="24"/>
      <w:lang w:eastAsia="de-DE"/>
    </w:rPr>
  </w:style>
  <w:style w:type="numbering" w:customStyle="1" w:styleId="NoList1">
    <w:name w:val="No List1"/>
    <w:next w:val="Sinlista"/>
    <w:uiPriority w:val="99"/>
    <w:semiHidden/>
    <w:unhideWhenUsed/>
    <w:rsid w:val="002D6E1A"/>
  </w:style>
  <w:style w:type="character" w:styleId="Hipervnculovisitado">
    <w:name w:val="FollowedHyperlink"/>
    <w:unhideWhenUsed/>
    <w:rsid w:val="002D6E1A"/>
    <w:rPr>
      <w:color w:val="800080"/>
      <w:u w:val="single"/>
    </w:rPr>
  </w:style>
  <w:style w:type="character" w:customStyle="1" w:styleId="EncabezadoCar">
    <w:name w:val="Encabezado Car"/>
    <w:link w:val="Encabezado"/>
    <w:rsid w:val="002D6E1A"/>
    <w:rPr>
      <w:rFonts w:ascii="Georgia" w:hAnsi="Georgia"/>
      <w:sz w:val="22"/>
      <w:szCs w:val="24"/>
      <w:lang w:eastAsia="de-DE"/>
    </w:rPr>
  </w:style>
  <w:style w:type="character" w:customStyle="1" w:styleId="PiedepginaCar">
    <w:name w:val="Pie de página Car"/>
    <w:link w:val="Piedepgina"/>
    <w:rsid w:val="002D6E1A"/>
    <w:rPr>
      <w:rFonts w:ascii="Georgia" w:hAnsi="Georgia"/>
      <w:sz w:val="22"/>
      <w:szCs w:val="24"/>
      <w:lang w:eastAsia="de-DE"/>
    </w:rPr>
  </w:style>
  <w:style w:type="paragraph" w:styleId="Textonotaalfinal">
    <w:name w:val="endnote text"/>
    <w:basedOn w:val="Normal"/>
    <w:link w:val="TextonotaalfinalCar"/>
    <w:unhideWhenUsed/>
    <w:rsid w:val="002D6E1A"/>
    <w:rPr>
      <w:szCs w:val="20"/>
    </w:rPr>
  </w:style>
  <w:style w:type="character" w:customStyle="1" w:styleId="TextonotaalfinalCar">
    <w:name w:val="Texto nota al final Car"/>
    <w:link w:val="Textonotaalfinal"/>
    <w:rsid w:val="002D6E1A"/>
    <w:rPr>
      <w:rFonts w:ascii="Georgia" w:hAnsi="Georgia"/>
      <w:lang w:eastAsia="de-DE"/>
    </w:rPr>
  </w:style>
  <w:style w:type="paragraph" w:styleId="Listaconnme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rrafodelistaCar">
    <w:name w:val="Párrafo de lista Car"/>
    <w:aliases w:val="Paragraphe EI Car,Paragraphe de liste1 Car,EC Car"/>
    <w:link w:val="Prrafodelista"/>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rrafodelista"/>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Refdenotaalfinal">
    <w:name w:val="endnote reference"/>
    <w:unhideWhenUsed/>
    <w:rsid w:val="002D6E1A"/>
    <w:rPr>
      <w:vertAlign w:val="superscript"/>
    </w:rPr>
  </w:style>
  <w:style w:type="character" w:styleId="Textodelmarcadordeposicin">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a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i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merodelnea">
    <w:name w:val="line number"/>
    <w:basedOn w:val="Fuentedeprrafopredeter"/>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Epgraf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tulo5Car">
    <w:name w:val="Título 5 Car"/>
    <w:aliases w:val="Questions Car"/>
    <w:link w:val="Ttulo5"/>
    <w:rsid w:val="00E9344E"/>
    <w:rPr>
      <w:rFonts w:ascii="Arial" w:hAnsi="Arial"/>
      <w:b/>
      <w:szCs w:val="24"/>
      <w:lang w:eastAsia="de-DE"/>
    </w:rPr>
  </w:style>
  <w:style w:type="character" w:customStyle="1" w:styleId="Ttulo3Car">
    <w:name w:val="Título 3 Car"/>
    <w:link w:val="Ttulo3"/>
    <w:rsid w:val="003865E5"/>
    <w:rPr>
      <w:rFonts w:ascii="Cambria" w:eastAsia="Times New Roman" w:hAnsi="Cambria" w:cs="Times New Roman"/>
      <w:b/>
      <w:bCs/>
      <w:color w:val="4F81BD"/>
      <w:sz w:val="22"/>
      <w:szCs w:val="24"/>
      <w:lang w:eastAsia="de-DE"/>
    </w:rPr>
  </w:style>
  <w:style w:type="character" w:customStyle="1" w:styleId="Ttulo4Car">
    <w:name w:val="Título 4 Car"/>
    <w:link w:val="Ttulo4"/>
    <w:rsid w:val="00CB7286"/>
    <w:rPr>
      <w:b/>
      <w:bCs/>
      <w:sz w:val="28"/>
      <w:szCs w:val="28"/>
      <w:lang w:eastAsia="de-DE"/>
    </w:rPr>
  </w:style>
  <w:style w:type="table" w:styleId="Listaclara-nfasis3">
    <w:name w:val="Light List Accent 3"/>
    <w:basedOn w:val="Tabla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a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tu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tulo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tu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aconnme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aconnme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aconnme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convieta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convieta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convieta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convieta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adeilustracion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tulo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tulo">
    <w:name w:val="Title"/>
    <w:basedOn w:val="Normal"/>
    <w:next w:val="Normal"/>
    <w:link w:val="Ttulo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tuloCar">
    <w:name w:val="Título Car"/>
    <w:link w:val="Ttu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nCar">
    <w:name w:val="Revisión Car"/>
    <w:link w:val="Revisin"/>
    <w:uiPriority w:val="99"/>
    <w:semiHidden/>
    <w:locked/>
    <w:rsid w:val="000D2D0B"/>
    <w:rPr>
      <w:rFonts w:ascii="Georgia" w:hAnsi="Georgia"/>
      <w:sz w:val="22"/>
      <w:szCs w:val="24"/>
      <w:lang w:eastAsia="de-DE"/>
    </w:rPr>
  </w:style>
  <w:style w:type="table" w:customStyle="1" w:styleId="TableGrid2">
    <w:name w:val="Table Grid2"/>
    <w:basedOn w:val="Tablanormal"/>
    <w:next w:val="Tablaconcuadrcul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Fuentedeprrafopredeter"/>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nfasisintenso">
    <w:name w:val="Intense Emphasis"/>
    <w:basedOn w:val="Fuentedeprrafopredeter"/>
    <w:uiPriority w:val="21"/>
    <w:qFormat/>
    <w:rsid w:val="00D34282"/>
    <w:rPr>
      <w:b/>
      <w:bCs/>
      <w:i/>
      <w:iCs/>
    </w:rPr>
  </w:style>
  <w:style w:type="character" w:customStyle="1" w:styleId="CPTitle1Char">
    <w:name w:val="CP_Title1 Char"/>
    <w:basedOn w:val="Fuentedeprrafopredeter"/>
    <w:link w:val="CPTitle1"/>
    <w:locked/>
    <w:rsid w:val="00D34282"/>
    <w:rPr>
      <w:rFonts w:asciiTheme="majorHAnsi" w:eastAsiaTheme="majorEastAsia" w:hAnsiTheme="majorHAnsi" w:cstheme="majorHAnsi"/>
      <w:b/>
      <w:sz w:val="32"/>
      <w:szCs w:val="32"/>
    </w:rPr>
  </w:style>
  <w:style w:type="paragraph" w:customStyle="1" w:styleId="CPTitle1">
    <w:name w:val="CP_Title1"/>
    <w:basedOn w:val="Ttulo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tulo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Fuentedeprrafopredeter"/>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Fuentedeprrafopredeter"/>
    <w:link w:val="Questionstyle"/>
    <w:rsid w:val="008701E5"/>
    <w:rPr>
      <w:rFonts w:asciiTheme="minorHAnsi" w:eastAsiaTheme="minorEastAsia" w:hAnsiTheme="minorHAnsi" w:cstheme="minorBidi"/>
      <w:b/>
      <w:sz w:val="22"/>
      <w:lang w:eastAsia="en-US"/>
    </w:rPr>
  </w:style>
  <w:style w:type="paragraph" w:styleId="Subttulo">
    <w:name w:val="Subtitle"/>
    <w:basedOn w:val="Normal"/>
    <w:next w:val="Normal"/>
    <w:link w:val="SubttuloC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tuloCar">
    <w:name w:val="Subtítulo Car"/>
    <w:basedOn w:val="Fuentedeprrafopredeter"/>
    <w:link w:val="Subttulo"/>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Prrafodelista"/>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Fuentedeprrafopredeter"/>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Fuentedeprrafopredeter"/>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090d947-cb5a-4e71-a094-4f979ca4aec0">ESMA33-128-184</_dlc_DocId>
    <_dlc_DocIdUrl xmlns="a090d947-cb5a-4e71-a094-4f979ca4aec0">
      <Url>http://sherpa.esma.europa.eu/sites/INICRA/_layouts/15/DocIdRedir.aspx?ID=ESMA33-128-184</Url>
      <Description>ESMA33-128-184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2E78A1C66BD3428DF3CE26B104127B" ma:contentTypeVersion="3" ma:contentTypeDescription="Create a new document." ma:contentTypeScope="" ma:versionID="a762bd3d9ad0398cd6855bbf79597b58">
  <xsd:schema xmlns:xsd="http://www.w3.org/2001/XMLSchema" xmlns:xs="http://www.w3.org/2001/XMLSchema" xmlns:p="http://schemas.microsoft.com/office/2006/metadata/properties" xmlns:ns2="a090d947-cb5a-4e71-a094-4f979ca4aec0" targetNamespace="http://schemas.microsoft.com/office/2006/metadata/properties" ma:root="true" ma:fieldsID="6e1bad992cbcbbc9f9e232bfe1c09753" ns2:_="">
    <xsd:import namespace="a090d947-cb5a-4e71-a094-4f979ca4ae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0d947-cb5a-4e71-a094-4f979ca4a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a090d947-cb5a-4e71-a094-4f979ca4aec0"/>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1648C755-30CC-4E64-89D3-6D332F34C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0d947-cb5a-4e71-a094-4f979ca4a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C829C3-8780-45CD-AEA5-6A73927B8309}">
  <ds:schemaRefs>
    <ds:schemaRef ds:uri="http://schemas.openxmlformats.org/officeDocument/2006/bibliography"/>
  </ds:schemaRefs>
</ds:datastoreItem>
</file>

<file path=customXml/itemProps6.xml><?xml version="1.0" encoding="utf-8"?>
<ds:datastoreItem xmlns:ds="http://schemas.openxmlformats.org/officeDocument/2006/customXml" ds:itemID="{8AFC4151-1276-4D75-BA3A-FB592E9DD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1935</Words>
  <Characters>10647</Characters>
  <Application>Microsoft Office Word</Application>
  <DocSecurity>8</DocSecurity>
  <Lines>88</Lines>
  <Paragraphs>25</Paragraphs>
  <ScaleCrop>false</ScaleCrop>
  <HeadingPairs>
    <vt:vector size="10" baseType="variant">
      <vt:variant>
        <vt:lpstr>Título</vt:lpstr>
      </vt:variant>
      <vt:variant>
        <vt:i4>1</vt:i4>
      </vt:variant>
      <vt:variant>
        <vt:lpstr>Title</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12557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CNMV</cp:lastModifiedBy>
  <cp:revision>2</cp:revision>
  <cp:lastPrinted>2015-02-18T11:01:00Z</cp:lastPrinted>
  <dcterms:created xsi:type="dcterms:W3CDTF">2018-09-21T10:59:00Z</dcterms:created>
  <dcterms:modified xsi:type="dcterms:W3CDTF">2018-09-21T10:59:00Z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0x0101000A2E78A1C66BD3428DF3CE26B104127B</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4d6eacbf-271d-4e26-8cb1-0125de674a37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ies>
</file>