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294E0FDB" w14:textId="77777777" w:rsidTr="00315E96">
        <w:trPr>
          <w:trHeight w:val="284"/>
        </w:trPr>
        <w:tc>
          <w:tcPr>
            <w:tcW w:w="9412" w:type="dxa"/>
          </w:tcPr>
          <w:p w14:paraId="294E0FDA" w14:textId="77777777"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14:paraId="294E0FDC"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294E0FDF" w14:textId="77777777" w:rsidTr="006E0A4F">
        <w:trPr>
          <w:trHeight w:hRule="exact" w:val="2475"/>
        </w:trPr>
        <w:tc>
          <w:tcPr>
            <w:tcW w:w="9646" w:type="dxa"/>
            <w:vAlign w:val="bottom"/>
          </w:tcPr>
          <w:p w14:paraId="294E0FDD" w14:textId="77777777"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14:paraId="294E0FDE"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94E0FE1" w14:textId="77777777" w:rsidTr="006E0A4F">
        <w:trPr>
          <w:trHeight w:hRule="exact" w:val="1237"/>
        </w:trPr>
        <w:tc>
          <w:tcPr>
            <w:tcW w:w="9646" w:type="dxa"/>
            <w:tcMar>
              <w:top w:w="142" w:type="dxa"/>
            </w:tcMar>
          </w:tcPr>
          <w:p w14:paraId="294E0FE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294E0FE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94E0FE4" w14:textId="77777777" w:rsidTr="00315E96">
        <w:trPr>
          <w:trHeight w:hRule="exact" w:val="964"/>
        </w:trPr>
        <w:tc>
          <w:tcPr>
            <w:tcW w:w="2325" w:type="dxa"/>
          </w:tcPr>
          <w:p w14:paraId="294E0FE3" w14:textId="77777777"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14:paraId="294E0FE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294E0FE6" w14:textId="77777777" w:rsidR="009A3017" w:rsidRDefault="009A3017" w:rsidP="00E66FE1">
      <w:pPr>
        <w:jc w:val="both"/>
        <w:rPr>
          <w:rStyle w:val="Svagfremhvning"/>
          <w:b w:val="0"/>
          <w:sz w:val="22"/>
        </w:rPr>
      </w:pPr>
      <w:r w:rsidRPr="00EB79DD">
        <w:rPr>
          <w:rStyle w:val="Svagfremhvning"/>
          <w:b w:val="0"/>
          <w:sz w:val="22"/>
        </w:rPr>
        <w:t xml:space="preserve">ESMA invites responses to the questions set out throughout </w:t>
      </w:r>
      <w:r w:rsidR="00963D60" w:rsidRPr="00EB79DD">
        <w:rPr>
          <w:rStyle w:val="Svagfremhvning"/>
          <w:b w:val="0"/>
          <w:sz w:val="22"/>
        </w:rPr>
        <w:t xml:space="preserve">its </w:t>
      </w:r>
      <w:r w:rsidR="00EF5FB9" w:rsidRPr="00EB79DD">
        <w:rPr>
          <w:rStyle w:val="Svagfremhvning"/>
          <w:b w:val="0"/>
          <w:sz w:val="22"/>
        </w:rPr>
        <w:t xml:space="preserve">Consultation Paper </w:t>
      </w:r>
      <w:r w:rsidR="00767A6B">
        <w:rPr>
          <w:rStyle w:val="Svagfremhvning"/>
          <w:b w:val="0"/>
          <w:sz w:val="22"/>
        </w:rPr>
        <w:t xml:space="preserve">on </w:t>
      </w:r>
      <w:r w:rsidR="00ED30E9" w:rsidRPr="00ED30E9">
        <w:rPr>
          <w:rStyle w:val="Svagfremhvning"/>
          <w:b w:val="0"/>
          <w:sz w:val="22"/>
        </w:rPr>
        <w:t>Guideline</w:t>
      </w:r>
      <w:r w:rsidR="00ED30E9">
        <w:rPr>
          <w:rStyle w:val="Svagfremhvning"/>
          <w:b w:val="0"/>
          <w:sz w:val="22"/>
        </w:rPr>
        <w:t xml:space="preserve">s on risk factors under </w:t>
      </w:r>
      <w:r w:rsidR="00673FC5">
        <w:rPr>
          <w:rStyle w:val="Svagfremhvning"/>
          <w:b w:val="0"/>
          <w:sz w:val="22"/>
        </w:rPr>
        <w:t xml:space="preserve">the </w:t>
      </w:r>
      <w:r w:rsidR="00ED30E9">
        <w:rPr>
          <w:rStyle w:val="Svagfremhvning"/>
          <w:b w:val="0"/>
          <w:sz w:val="22"/>
        </w:rPr>
        <w:t>Prospec</w:t>
      </w:r>
      <w:r w:rsidR="00ED30E9" w:rsidRPr="00ED30E9">
        <w:rPr>
          <w:rStyle w:val="Svagfremhvning"/>
          <w:b w:val="0"/>
          <w:sz w:val="22"/>
        </w:rPr>
        <w:t>tus Regulation</w:t>
      </w:r>
      <w:r w:rsidRPr="00EB79DD">
        <w:rPr>
          <w:rStyle w:val="Svagfremhvning"/>
          <w:b w:val="0"/>
          <w:sz w:val="22"/>
        </w:rPr>
        <w:t>. Responses are most helpful if they:</w:t>
      </w:r>
    </w:p>
    <w:p w14:paraId="294E0FE7" w14:textId="77777777" w:rsidR="00AF38AF" w:rsidRPr="00E40A5C" w:rsidRDefault="00AF38AF" w:rsidP="00AF38AF">
      <w:pPr>
        <w:rPr>
          <w:rStyle w:val="Svagfremhvning"/>
          <w:b w:val="0"/>
          <w:sz w:val="22"/>
        </w:rPr>
      </w:pPr>
    </w:p>
    <w:p w14:paraId="294E0FE8" w14:textId="77777777" w:rsidR="009A3017" w:rsidRPr="00E40A5C" w:rsidRDefault="009A3017" w:rsidP="00967674">
      <w:pPr>
        <w:pStyle w:val="Listeafsnit"/>
        <w:numPr>
          <w:ilvl w:val="0"/>
          <w:numId w:val="37"/>
        </w:numPr>
        <w:spacing w:after="240" w:line="276" w:lineRule="auto"/>
        <w:ind w:left="567" w:hanging="567"/>
        <w:contextualSpacing w:val="0"/>
        <w:jc w:val="both"/>
        <w:rPr>
          <w:rStyle w:val="Svagfremhvning"/>
          <w:b w:val="0"/>
          <w:sz w:val="22"/>
        </w:rPr>
      </w:pPr>
      <w:r w:rsidRPr="00E40A5C">
        <w:rPr>
          <w:rStyle w:val="Svagfremhvning"/>
          <w:b w:val="0"/>
          <w:sz w:val="22"/>
        </w:rPr>
        <w:t>respond to the question stated;</w:t>
      </w:r>
    </w:p>
    <w:p w14:paraId="294E0FE9" w14:textId="77777777" w:rsidR="009A3017" w:rsidRPr="00E40A5C" w:rsidRDefault="009A3017" w:rsidP="00967674">
      <w:pPr>
        <w:pStyle w:val="Listeafsnit"/>
        <w:numPr>
          <w:ilvl w:val="0"/>
          <w:numId w:val="37"/>
        </w:numPr>
        <w:spacing w:after="240" w:line="276" w:lineRule="auto"/>
        <w:ind w:left="567" w:hanging="567"/>
        <w:contextualSpacing w:val="0"/>
        <w:jc w:val="both"/>
        <w:rPr>
          <w:rStyle w:val="Svagfremhvning"/>
          <w:b w:val="0"/>
          <w:sz w:val="22"/>
        </w:rPr>
      </w:pPr>
      <w:r w:rsidRPr="00E40A5C">
        <w:rPr>
          <w:rStyle w:val="Svagfremhvning"/>
          <w:b w:val="0"/>
          <w:sz w:val="22"/>
        </w:rPr>
        <w:t>contain a clear rationale; and</w:t>
      </w:r>
    </w:p>
    <w:p w14:paraId="294E0FEA" w14:textId="77777777" w:rsidR="009A3017" w:rsidRPr="00E40A5C" w:rsidRDefault="009A3017" w:rsidP="00967674">
      <w:pPr>
        <w:pStyle w:val="Listeafsnit"/>
        <w:numPr>
          <w:ilvl w:val="0"/>
          <w:numId w:val="37"/>
        </w:numPr>
        <w:spacing w:after="240" w:line="276" w:lineRule="auto"/>
        <w:ind w:left="567" w:hanging="567"/>
        <w:contextualSpacing w:val="0"/>
        <w:jc w:val="both"/>
        <w:rPr>
          <w:rStyle w:val="Svagfremhvning"/>
          <w:b w:val="0"/>
          <w:sz w:val="22"/>
        </w:rPr>
      </w:pPr>
      <w:r w:rsidRPr="00E40A5C">
        <w:rPr>
          <w:rStyle w:val="Svagfremhvning"/>
          <w:b w:val="0"/>
          <w:sz w:val="22"/>
        </w:rPr>
        <w:t>describe any alternatives ESMA should consider.</w:t>
      </w:r>
    </w:p>
    <w:p w14:paraId="294E0FEB" w14:textId="77777777" w:rsidR="009A3017" w:rsidRPr="00E40A5C" w:rsidRDefault="009A3017" w:rsidP="009A3017">
      <w:pPr>
        <w:spacing w:after="240"/>
        <w:jc w:val="both"/>
        <w:rPr>
          <w:rStyle w:val="Svagfremhvning"/>
          <w:b w:val="0"/>
          <w:sz w:val="22"/>
        </w:rPr>
      </w:pPr>
      <w:r w:rsidRPr="00E40A5C">
        <w:rPr>
          <w:rStyle w:val="Svagfremhvning"/>
          <w:b w:val="0"/>
          <w:sz w:val="22"/>
        </w:rPr>
        <w:t xml:space="preserve">ESMA will consider all responses received by </w:t>
      </w:r>
      <w:r w:rsidR="00EB79DD" w:rsidRPr="00EB79DD">
        <w:rPr>
          <w:rStyle w:val="Svagfremhvning"/>
          <w:b w:val="0"/>
          <w:sz w:val="22"/>
        </w:rPr>
        <w:t>0</w:t>
      </w:r>
      <w:r w:rsidR="00AF38AF" w:rsidRPr="00EB79DD">
        <w:rPr>
          <w:rStyle w:val="Svagfremhvning"/>
          <w:b w:val="0"/>
          <w:sz w:val="22"/>
        </w:rPr>
        <w:t xml:space="preserve">5 </w:t>
      </w:r>
      <w:r w:rsidR="00EB79DD" w:rsidRPr="00EB79DD">
        <w:rPr>
          <w:rStyle w:val="Svagfremhvning"/>
          <w:b w:val="0"/>
          <w:sz w:val="22"/>
        </w:rPr>
        <w:t>October</w:t>
      </w:r>
      <w:r w:rsidR="005C6485" w:rsidRPr="00EB79DD">
        <w:rPr>
          <w:rStyle w:val="Svagfremhvning"/>
          <w:b w:val="0"/>
          <w:sz w:val="22"/>
        </w:rPr>
        <w:t xml:space="preserve"> 2018</w:t>
      </w:r>
      <w:r w:rsidRPr="00EB79DD">
        <w:rPr>
          <w:rStyle w:val="Svagfremhvning"/>
          <w:b w:val="0"/>
          <w:sz w:val="22"/>
        </w:rPr>
        <w:t>.</w:t>
      </w:r>
    </w:p>
    <w:p w14:paraId="294E0FEC" w14:textId="77777777" w:rsidR="009A3017" w:rsidRPr="00E40A5C" w:rsidRDefault="009A3017" w:rsidP="009A3017">
      <w:pPr>
        <w:spacing w:after="120"/>
        <w:jc w:val="both"/>
        <w:rPr>
          <w:rStyle w:val="Svagfremhvning"/>
          <w:sz w:val="22"/>
        </w:rPr>
      </w:pPr>
      <w:r w:rsidRPr="00E40A5C">
        <w:rPr>
          <w:rStyle w:val="Svagfremhvning"/>
          <w:sz w:val="22"/>
        </w:rPr>
        <w:t>Instructions</w:t>
      </w:r>
    </w:p>
    <w:p w14:paraId="294E0FED" w14:textId="77777777" w:rsidR="009A3017" w:rsidRPr="00E40A5C" w:rsidRDefault="009A3017" w:rsidP="009A3017">
      <w:pPr>
        <w:spacing w:after="240"/>
        <w:jc w:val="both"/>
        <w:rPr>
          <w:rStyle w:val="Svagfremhvning"/>
          <w:b w:val="0"/>
          <w:sz w:val="22"/>
        </w:rPr>
      </w:pPr>
      <w:r w:rsidRPr="00E40A5C">
        <w:rPr>
          <w:rStyle w:val="Svagfremhvning"/>
          <w:b w:val="0"/>
          <w:sz w:val="22"/>
        </w:rPr>
        <w:t>In order to facilitate analysis of responses to the Consultation Paper, respondents are requested to follow the below steps when preparing and submitting their response:</w:t>
      </w:r>
    </w:p>
    <w:p w14:paraId="294E0FEE" w14:textId="77777777" w:rsidR="009A3017" w:rsidRPr="00E40A5C" w:rsidRDefault="009A3017" w:rsidP="00967674">
      <w:pPr>
        <w:pStyle w:val="Listeafsnit"/>
        <w:numPr>
          <w:ilvl w:val="0"/>
          <w:numId w:val="37"/>
        </w:numPr>
        <w:spacing w:after="240" w:line="276" w:lineRule="auto"/>
        <w:ind w:left="567" w:hanging="567"/>
        <w:contextualSpacing w:val="0"/>
        <w:jc w:val="both"/>
        <w:rPr>
          <w:rStyle w:val="Svagfremhvning"/>
          <w:b w:val="0"/>
          <w:sz w:val="22"/>
        </w:rPr>
      </w:pPr>
      <w:r w:rsidRPr="00E40A5C">
        <w:rPr>
          <w:rStyle w:val="Svagfremhvning"/>
          <w:b w:val="0"/>
          <w:sz w:val="22"/>
        </w:rPr>
        <w:t xml:space="preserve">Insert your responses to the questions in the Consultation Paper in </w:t>
      </w:r>
      <w:r w:rsidR="00963D60">
        <w:rPr>
          <w:rStyle w:val="Svagfremhvning"/>
          <w:b w:val="0"/>
          <w:sz w:val="22"/>
        </w:rPr>
        <w:t>the present</w:t>
      </w:r>
      <w:r w:rsidR="00963D60" w:rsidRPr="00E40A5C">
        <w:rPr>
          <w:rStyle w:val="Svagfremhvning"/>
          <w:b w:val="0"/>
          <w:sz w:val="22"/>
        </w:rPr>
        <w:t xml:space="preserve"> </w:t>
      </w:r>
      <w:r w:rsidR="00315895">
        <w:rPr>
          <w:rStyle w:val="Svagfremhvning"/>
          <w:b w:val="0"/>
          <w:sz w:val="22"/>
        </w:rPr>
        <w:t xml:space="preserve">response </w:t>
      </w:r>
      <w:r w:rsidRPr="00E40A5C">
        <w:rPr>
          <w:rStyle w:val="Svagfremhvning"/>
          <w:b w:val="0"/>
          <w:sz w:val="22"/>
        </w:rPr>
        <w:t>form</w:t>
      </w:r>
      <w:r w:rsidR="00963D60">
        <w:rPr>
          <w:rStyle w:val="Svagfremhvning"/>
          <w:b w:val="0"/>
          <w:sz w:val="22"/>
        </w:rPr>
        <w:t>.</w:t>
      </w:r>
      <w:r w:rsidRPr="00E40A5C">
        <w:rPr>
          <w:rStyle w:val="Svagfremhvning"/>
          <w:b w:val="0"/>
          <w:sz w:val="22"/>
        </w:rPr>
        <w:t xml:space="preserve"> </w:t>
      </w:r>
    </w:p>
    <w:p w14:paraId="294E0FEF" w14:textId="77777777" w:rsidR="009A3017" w:rsidRPr="00E40A5C" w:rsidRDefault="009A3017" w:rsidP="00967674">
      <w:pPr>
        <w:pStyle w:val="Listeafsnit"/>
        <w:numPr>
          <w:ilvl w:val="0"/>
          <w:numId w:val="37"/>
        </w:numPr>
        <w:spacing w:after="240" w:line="276" w:lineRule="auto"/>
        <w:ind w:left="567" w:hanging="567"/>
        <w:contextualSpacing w:val="0"/>
        <w:jc w:val="both"/>
        <w:rPr>
          <w:rStyle w:val="Svagfremhvning"/>
          <w:b w:val="0"/>
          <w:sz w:val="22"/>
        </w:rPr>
      </w:pPr>
      <w:r w:rsidRPr="00E40A5C">
        <w:rPr>
          <w:rStyle w:val="Svagfremhvning"/>
          <w:b w:val="0"/>
          <w:sz w:val="22"/>
        </w:rPr>
        <w:t>Please do not remove tags of the type &lt;ESMA_QUESTION_</w:t>
      </w:r>
      <w:r w:rsidR="007243F1">
        <w:rPr>
          <w:rStyle w:val="Svagfremhvning"/>
          <w:b w:val="0"/>
          <w:sz w:val="22"/>
        </w:rPr>
        <w:t>GRF</w:t>
      </w:r>
      <w:r w:rsidRPr="00E40A5C">
        <w:rPr>
          <w:rStyle w:val="Svagfremhvning"/>
          <w:b w:val="0"/>
          <w:sz w:val="22"/>
        </w:rPr>
        <w:t>_1&gt;. Your response to each question has to be framed by the two tags corresponding to the question.</w:t>
      </w:r>
    </w:p>
    <w:p w14:paraId="294E0FF0" w14:textId="77777777" w:rsidR="009A3017" w:rsidRPr="00E40A5C" w:rsidRDefault="009A3017" w:rsidP="00967674">
      <w:pPr>
        <w:pStyle w:val="Listeafsnit"/>
        <w:numPr>
          <w:ilvl w:val="0"/>
          <w:numId w:val="37"/>
        </w:numPr>
        <w:spacing w:after="240" w:line="276" w:lineRule="auto"/>
        <w:ind w:left="567" w:hanging="567"/>
        <w:contextualSpacing w:val="0"/>
        <w:jc w:val="both"/>
        <w:rPr>
          <w:rStyle w:val="Svagfremhvning"/>
          <w:b w:val="0"/>
          <w:sz w:val="22"/>
        </w:rPr>
      </w:pPr>
      <w:r w:rsidRPr="00E40A5C">
        <w:rPr>
          <w:rStyle w:val="Svagfremhvning"/>
          <w:b w:val="0"/>
          <w:sz w:val="22"/>
        </w:rPr>
        <w:t>If you do not wish to respond to a given question, please do not delete it but simply leave the text “TYPE YOUR TEXT HERE” between the tags.</w:t>
      </w:r>
    </w:p>
    <w:p w14:paraId="294E0FF1" w14:textId="77777777" w:rsidR="009A3017" w:rsidRPr="00E40A5C" w:rsidRDefault="009A3017" w:rsidP="00967674">
      <w:pPr>
        <w:pStyle w:val="Listeafsnit"/>
        <w:numPr>
          <w:ilvl w:val="0"/>
          <w:numId w:val="37"/>
        </w:numPr>
        <w:spacing w:after="240" w:line="276" w:lineRule="auto"/>
        <w:ind w:left="567" w:hanging="567"/>
        <w:contextualSpacing w:val="0"/>
        <w:jc w:val="both"/>
        <w:rPr>
          <w:rStyle w:val="Svagfremhvning"/>
          <w:b w:val="0"/>
          <w:sz w:val="22"/>
        </w:rPr>
      </w:pPr>
      <w:r w:rsidRPr="00E40A5C">
        <w:rPr>
          <w:rStyle w:val="Svagfremhvning"/>
          <w:b w:val="0"/>
          <w:sz w:val="22"/>
        </w:rPr>
        <w:t>When you have drafted your response, name your response form according to the following convention: ESMA_</w:t>
      </w:r>
      <w:r w:rsidR="007243F1">
        <w:rPr>
          <w:rStyle w:val="Svagfremhvning"/>
          <w:b w:val="0"/>
          <w:sz w:val="22"/>
        </w:rPr>
        <w:t>GRF</w:t>
      </w:r>
      <w:r w:rsidRPr="00E40A5C">
        <w:rPr>
          <w:rStyle w:val="Svagfremhvning"/>
          <w:b w:val="0"/>
          <w:sz w:val="22"/>
        </w:rPr>
        <w:t>_nameofrespondent_RESPONSEFORM. For example, for a respondent named ABCD, the response form would be entitled ESMA_</w:t>
      </w:r>
      <w:r w:rsidR="007243F1">
        <w:rPr>
          <w:rStyle w:val="Svagfremhvning"/>
          <w:b w:val="0"/>
          <w:sz w:val="22"/>
        </w:rPr>
        <w:t>GRF</w:t>
      </w:r>
      <w:r w:rsidRPr="00E40A5C">
        <w:rPr>
          <w:rStyle w:val="Svagfremhvning"/>
          <w:b w:val="0"/>
          <w:sz w:val="22"/>
        </w:rPr>
        <w:t>_ABCD_RESPONSEFORM.</w:t>
      </w:r>
    </w:p>
    <w:p w14:paraId="294E0FF2" w14:textId="77777777" w:rsidR="009A3017" w:rsidRPr="00E40A5C" w:rsidRDefault="009A3017" w:rsidP="00831A25">
      <w:pPr>
        <w:pStyle w:val="Listeafsnit"/>
        <w:numPr>
          <w:ilvl w:val="0"/>
          <w:numId w:val="37"/>
        </w:numPr>
        <w:spacing w:after="240" w:line="276" w:lineRule="auto"/>
        <w:contextualSpacing w:val="0"/>
        <w:jc w:val="both"/>
        <w:rPr>
          <w:rStyle w:val="Svagfremhvning"/>
          <w:b w:val="0"/>
          <w:sz w:val="22"/>
        </w:rPr>
      </w:pPr>
      <w:r w:rsidRPr="00E40A5C">
        <w:rPr>
          <w:rStyle w:val="Svagfremhvning"/>
          <w:b w:val="0"/>
          <w:sz w:val="22"/>
        </w:rPr>
        <w:t xml:space="preserve">Upload the form containing your responses, </w:t>
      </w:r>
      <w:r w:rsidRPr="00963D60">
        <w:rPr>
          <w:rStyle w:val="Svagfremhvning"/>
          <w:sz w:val="22"/>
        </w:rPr>
        <w:t>in Word format</w:t>
      </w:r>
      <w:r w:rsidRPr="00E40A5C">
        <w:rPr>
          <w:rStyle w:val="Svagfremhvning"/>
          <w:b w:val="0"/>
          <w:sz w:val="22"/>
        </w:rPr>
        <w:t>, to ESMA’s website (</w:t>
      </w:r>
      <w:hyperlink r:id="rId16" w:history="1">
        <w:r w:rsidRPr="00E40A5C">
          <w:rPr>
            <w:rStyle w:val="Hyperlink"/>
            <w:rFonts w:cs="Arial"/>
            <w:sz w:val="22"/>
          </w:rPr>
          <w:t>www.esma.europa.eu</w:t>
        </w:r>
      </w:hyperlink>
      <w:r w:rsidR="006E0A4F">
        <w:rPr>
          <w:rStyle w:val="Svagfremhvning"/>
          <w:b w:val="0"/>
          <w:sz w:val="22"/>
        </w:rPr>
        <w:t xml:space="preserve"> under the heading “Your input – Open consultatio</w:t>
      </w:r>
      <w:r w:rsidR="006E0A4F" w:rsidRPr="001D5360">
        <w:rPr>
          <w:rStyle w:val="Svagfremhvning"/>
          <w:b w:val="0"/>
          <w:sz w:val="22"/>
        </w:rPr>
        <w:t>ns”</w:t>
      </w:r>
      <w:r w:rsidRPr="001D5360">
        <w:rPr>
          <w:rStyle w:val="Svagfremhvning"/>
          <w:b w:val="0"/>
          <w:sz w:val="22"/>
        </w:rPr>
        <w:t xml:space="preserve"> </w:t>
      </w:r>
      <w:r w:rsidRPr="001D5360">
        <w:rPr>
          <w:rStyle w:val="Svagfremhvning"/>
          <w:b w:val="0"/>
          <w:sz w:val="22"/>
        </w:rPr>
        <w:sym w:font="Wingdings" w:char="F0E0"/>
      </w:r>
      <w:r w:rsidRPr="001D5360">
        <w:rPr>
          <w:rStyle w:val="Svagfremhvning"/>
          <w:b w:val="0"/>
          <w:sz w:val="22"/>
        </w:rPr>
        <w:t xml:space="preserve"> </w:t>
      </w:r>
      <w:r w:rsidR="006E0A4F" w:rsidRPr="001D5360">
        <w:rPr>
          <w:rStyle w:val="Svagfremhvning"/>
          <w:b w:val="0"/>
          <w:sz w:val="22"/>
        </w:rPr>
        <w:t>“</w:t>
      </w:r>
      <w:r w:rsidR="00EF5FB9" w:rsidRPr="00EF5FB9">
        <w:rPr>
          <w:rStyle w:val="Svagfremhvning"/>
          <w:b w:val="0"/>
          <w:sz w:val="22"/>
        </w:rPr>
        <w:t xml:space="preserve">Consultation </w:t>
      </w:r>
      <w:r w:rsidR="00767A6B">
        <w:rPr>
          <w:rStyle w:val="Svagfremhvning"/>
          <w:b w:val="0"/>
          <w:sz w:val="22"/>
        </w:rPr>
        <w:t>on</w:t>
      </w:r>
      <w:r w:rsidR="00ED30E9" w:rsidRPr="00ED30E9">
        <w:rPr>
          <w:rStyle w:val="Svagfremhvning"/>
          <w:b w:val="0"/>
          <w:sz w:val="22"/>
        </w:rPr>
        <w:t xml:space="preserve"> Guideline</w:t>
      </w:r>
      <w:r w:rsidR="00ED30E9">
        <w:rPr>
          <w:rStyle w:val="Svagfremhvning"/>
          <w:b w:val="0"/>
          <w:sz w:val="22"/>
        </w:rPr>
        <w:t xml:space="preserve">s on risk factors under </w:t>
      </w:r>
      <w:r w:rsidR="00673FC5">
        <w:rPr>
          <w:rStyle w:val="Svagfremhvning"/>
          <w:b w:val="0"/>
          <w:sz w:val="22"/>
        </w:rPr>
        <w:t xml:space="preserve">the </w:t>
      </w:r>
      <w:r w:rsidR="00ED30E9">
        <w:rPr>
          <w:rStyle w:val="Svagfremhvning"/>
          <w:b w:val="0"/>
          <w:sz w:val="22"/>
        </w:rPr>
        <w:t>Prospec</w:t>
      </w:r>
      <w:r w:rsidR="00ED30E9" w:rsidRPr="00ED30E9">
        <w:rPr>
          <w:rStyle w:val="Svagfremhvning"/>
          <w:b w:val="0"/>
          <w:sz w:val="22"/>
        </w:rPr>
        <w:t>tus Regulation</w:t>
      </w:r>
      <w:r w:rsidR="006E0A4F" w:rsidRPr="001D5360">
        <w:rPr>
          <w:rStyle w:val="Svagfremhvning"/>
          <w:b w:val="0"/>
          <w:sz w:val="22"/>
        </w:rPr>
        <w:t>”</w:t>
      </w:r>
      <w:r w:rsidRPr="001D5360">
        <w:rPr>
          <w:rStyle w:val="Svagfremhvning"/>
          <w:b w:val="0"/>
          <w:sz w:val="22"/>
        </w:rPr>
        <w:t>).</w:t>
      </w:r>
    </w:p>
    <w:p w14:paraId="294E0FF3" w14:textId="77777777" w:rsidR="009A3017" w:rsidRPr="00E40A5C" w:rsidRDefault="009A3017" w:rsidP="009A3017">
      <w:pPr>
        <w:spacing w:after="120"/>
        <w:jc w:val="both"/>
        <w:rPr>
          <w:rStyle w:val="Svagfremhvning"/>
          <w:sz w:val="22"/>
          <w:lang w:eastAsia="en-GB"/>
        </w:rPr>
      </w:pPr>
      <w:r w:rsidRPr="00E40A5C">
        <w:rPr>
          <w:rStyle w:val="Svagfremhvning"/>
          <w:sz w:val="22"/>
          <w:lang w:eastAsia="en-GB"/>
        </w:rPr>
        <w:t>Publication of responses</w:t>
      </w:r>
    </w:p>
    <w:p w14:paraId="294E0FF4" w14:textId="77777777" w:rsidR="009A3017" w:rsidRPr="00E40A5C" w:rsidRDefault="009A3017" w:rsidP="009A3017">
      <w:pPr>
        <w:spacing w:after="240"/>
        <w:jc w:val="both"/>
        <w:rPr>
          <w:rStyle w:val="Svagfremhvning"/>
          <w:b w:val="0"/>
          <w:sz w:val="22"/>
          <w:lang w:eastAsia="en-GB"/>
        </w:rPr>
      </w:pPr>
      <w:r w:rsidRPr="00E40A5C">
        <w:rPr>
          <w:rStyle w:val="Svagfremhvning"/>
          <w:b w:val="0"/>
          <w:sz w:val="22"/>
          <w:lang w:eastAsia="en-GB"/>
        </w:rPr>
        <w:t xml:space="preserve">All contributions received will be published following the close of the consultation, unless you request otherwise. </w:t>
      </w:r>
      <w:r w:rsidRPr="00963D60">
        <w:rPr>
          <w:rStyle w:val="Svagfremhvning"/>
          <w:sz w:val="22"/>
          <w:lang w:eastAsia="en-GB"/>
        </w:rPr>
        <w:t>Please clearly indicate by ticking the appropriate checkbox on the website submission page if you do not wish your contribution to be publicly disclosed.</w:t>
      </w:r>
      <w:r w:rsidRPr="00E40A5C">
        <w:rPr>
          <w:rStyle w:val="Svagfremhvni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294E0FF5" w14:textId="77777777" w:rsidR="009A3017" w:rsidRPr="00E40A5C" w:rsidRDefault="00315895" w:rsidP="004E6AE4">
      <w:pPr>
        <w:rPr>
          <w:rStyle w:val="Svagfremhvning"/>
          <w:sz w:val="22"/>
          <w:lang w:eastAsia="en-GB"/>
        </w:rPr>
      </w:pPr>
      <w:r>
        <w:rPr>
          <w:rStyle w:val="Svagfremhvning"/>
          <w:sz w:val="22"/>
          <w:lang w:eastAsia="en-GB"/>
        </w:rPr>
        <w:br w:type="page"/>
      </w:r>
      <w:r w:rsidR="009A3017" w:rsidRPr="00E40A5C">
        <w:rPr>
          <w:rStyle w:val="Svagfremhvning"/>
          <w:sz w:val="22"/>
          <w:lang w:eastAsia="en-GB"/>
        </w:rPr>
        <w:lastRenderedPageBreak/>
        <w:t>Data protection</w:t>
      </w:r>
    </w:p>
    <w:p w14:paraId="294E0FF6" w14:textId="77777777" w:rsidR="009A3017" w:rsidRPr="00E40A5C" w:rsidRDefault="009A3017" w:rsidP="009A3017">
      <w:pPr>
        <w:spacing w:after="240"/>
        <w:jc w:val="both"/>
        <w:rPr>
          <w:rStyle w:val="Svagfremhvning"/>
          <w:b w:val="0"/>
          <w:sz w:val="22"/>
          <w:lang w:eastAsia="en-GB"/>
        </w:rPr>
      </w:pPr>
      <w:r w:rsidRPr="00E40A5C">
        <w:rPr>
          <w:rStyle w:val="Svagfremhvni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vagfremhvning"/>
          <w:b w:val="0"/>
          <w:sz w:val="22"/>
          <w:lang w:eastAsia="en-GB"/>
        </w:rPr>
        <w:t xml:space="preserve"> under the heading “Data protection”</w:t>
      </w:r>
      <w:r w:rsidRPr="00E40A5C">
        <w:rPr>
          <w:rStyle w:val="Svagfremhvning"/>
          <w:b w:val="0"/>
          <w:sz w:val="22"/>
          <w:lang w:eastAsia="en-GB"/>
        </w:rPr>
        <w:t>.</w:t>
      </w:r>
    </w:p>
    <w:p w14:paraId="294E0FF7" w14:textId="77777777" w:rsidR="009A3017" w:rsidRPr="00E40A5C" w:rsidRDefault="009A3017" w:rsidP="009A3017">
      <w:pPr>
        <w:spacing w:after="120"/>
        <w:jc w:val="both"/>
        <w:rPr>
          <w:rStyle w:val="Svagfremhvning"/>
          <w:sz w:val="22"/>
          <w:lang w:eastAsia="en-GB"/>
        </w:rPr>
      </w:pPr>
      <w:r w:rsidRPr="00E40A5C">
        <w:rPr>
          <w:rStyle w:val="Svagfremhvning"/>
          <w:sz w:val="22"/>
          <w:lang w:eastAsia="en-GB"/>
        </w:rPr>
        <w:t>Who should read th</w:t>
      </w:r>
      <w:r w:rsidR="00315895">
        <w:rPr>
          <w:rStyle w:val="Svagfremhvning"/>
          <w:sz w:val="22"/>
          <w:lang w:eastAsia="en-GB"/>
        </w:rPr>
        <w:t>e</w:t>
      </w:r>
      <w:r w:rsidRPr="00E40A5C">
        <w:rPr>
          <w:rStyle w:val="Svagfremhvning"/>
          <w:sz w:val="22"/>
          <w:lang w:eastAsia="en-GB"/>
        </w:rPr>
        <w:t xml:space="preserve"> Consultation Paper</w:t>
      </w:r>
    </w:p>
    <w:bookmarkEnd w:id="0"/>
    <w:p w14:paraId="294E0FF8" w14:textId="77777777" w:rsidR="00332304" w:rsidRDefault="002C6AAF" w:rsidP="004E6AE4">
      <w:pPr>
        <w:rPr>
          <w:rFonts w:cs="Arial"/>
          <w:b/>
          <w:bCs/>
          <w:kern w:val="32"/>
          <w:sz w:val="24"/>
          <w:szCs w:val="32"/>
        </w:rPr>
      </w:pPr>
      <w:r>
        <w:rPr>
          <w:rStyle w:val="Svagfremhvni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14:paraId="294E0FF9" w14:textId="77777777" w:rsidR="00B327E9" w:rsidRPr="00AB6D88" w:rsidRDefault="00B327E9" w:rsidP="00B327E9">
      <w:pPr>
        <w:pStyle w:val="Overskrift1"/>
        <w:numPr>
          <w:ilvl w:val="0"/>
          <w:numId w:val="0"/>
        </w:numPr>
      </w:pPr>
      <w:r w:rsidRPr="00AB6D88">
        <w:lastRenderedPageBreak/>
        <w:t>General information about respondent</w:t>
      </w:r>
    </w:p>
    <w:p w14:paraId="294E0FFA"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294E0FFD" w14:textId="77777777" w:rsidTr="00F136AD">
        <w:tc>
          <w:tcPr>
            <w:tcW w:w="3929" w:type="dxa"/>
            <w:shd w:val="clear" w:color="auto" w:fill="auto"/>
          </w:tcPr>
          <w:p w14:paraId="294E0FFB" w14:textId="77777777" w:rsidR="00B327E9" w:rsidRPr="00E40A5C" w:rsidRDefault="00B327E9" w:rsidP="00F136AD">
            <w:pPr>
              <w:rPr>
                <w:rFonts w:cs="Arial"/>
                <w:sz w:val="22"/>
              </w:rPr>
            </w:pPr>
            <w:permStart w:id="1264149445" w:edGrp="everyone" w:colFirst="1" w:colLast="1"/>
            <w:r w:rsidRPr="00E40A5C">
              <w:rPr>
                <w:rFonts w:cs="Arial"/>
                <w:sz w:val="22"/>
              </w:rPr>
              <w:t>Name of the company / organisation</w:t>
            </w:r>
          </w:p>
        </w:tc>
        <w:sdt>
          <w:sdtPr>
            <w:rPr>
              <w:rStyle w:val="Pladsholdertekst"/>
              <w:rFonts w:cs="Arial"/>
            </w:rPr>
            <w:id w:val="-1905066999"/>
            <w:text/>
          </w:sdtPr>
          <w:sdtEndPr>
            <w:rPr>
              <w:rStyle w:val="Pladsholdertekst"/>
            </w:rPr>
          </w:sdtEndPr>
          <w:sdtContent>
            <w:tc>
              <w:tcPr>
                <w:tcW w:w="5595" w:type="dxa"/>
                <w:shd w:val="clear" w:color="auto" w:fill="auto"/>
              </w:tcPr>
              <w:p w14:paraId="294E0FFC" w14:textId="331A9835" w:rsidR="00B327E9" w:rsidRPr="00AB6D88" w:rsidRDefault="00B00436" w:rsidP="00F136AD">
                <w:pPr>
                  <w:rPr>
                    <w:rStyle w:val="Pladsholdertekst"/>
                    <w:rFonts w:cs="Arial"/>
                  </w:rPr>
                </w:pPr>
                <w:r>
                  <w:rPr>
                    <w:rStyle w:val="Pladsholdertekst"/>
                    <w:rFonts w:cs="Arial"/>
                  </w:rPr>
                  <w:t>Finance Denmark</w:t>
                </w:r>
              </w:p>
            </w:tc>
          </w:sdtContent>
        </w:sdt>
      </w:tr>
      <w:tr w:rsidR="00B327E9" w:rsidRPr="00AB6D88" w14:paraId="294E1000" w14:textId="77777777" w:rsidTr="00F136AD">
        <w:tc>
          <w:tcPr>
            <w:tcW w:w="3929" w:type="dxa"/>
            <w:shd w:val="clear" w:color="auto" w:fill="auto"/>
          </w:tcPr>
          <w:p w14:paraId="294E0FFE" w14:textId="77777777" w:rsidR="00B327E9" w:rsidRPr="00E40A5C" w:rsidRDefault="00B327E9" w:rsidP="00F136AD">
            <w:pPr>
              <w:rPr>
                <w:rFonts w:cs="Arial"/>
                <w:sz w:val="22"/>
              </w:rPr>
            </w:pPr>
            <w:permStart w:id="1668502562" w:edGrp="everyone" w:colFirst="1" w:colLast="1"/>
            <w:permEnd w:id="1264149445"/>
            <w:r w:rsidRPr="00E40A5C">
              <w:rPr>
                <w:rFonts w:cs="Arial"/>
                <w:sz w:val="22"/>
              </w:rPr>
              <w:t>Activity</w:t>
            </w:r>
          </w:p>
        </w:tc>
        <w:tc>
          <w:tcPr>
            <w:tcW w:w="5595" w:type="dxa"/>
            <w:shd w:val="clear" w:color="auto" w:fill="auto"/>
          </w:tcPr>
          <w:p w14:paraId="294E0FFF" w14:textId="7406ACD2" w:rsidR="00B327E9" w:rsidRPr="00AB6D88" w:rsidRDefault="00B249A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294E1003" w14:textId="77777777" w:rsidTr="00F136AD">
        <w:tc>
          <w:tcPr>
            <w:tcW w:w="3929" w:type="dxa"/>
            <w:shd w:val="clear" w:color="auto" w:fill="auto"/>
          </w:tcPr>
          <w:p w14:paraId="294E1001" w14:textId="77777777" w:rsidR="00B327E9" w:rsidRPr="00E40A5C" w:rsidRDefault="00B327E9" w:rsidP="00F136AD">
            <w:pPr>
              <w:rPr>
                <w:rFonts w:cs="Arial"/>
                <w:sz w:val="22"/>
              </w:rPr>
            </w:pPr>
            <w:permStart w:id="714016085" w:edGrp="everyone" w:colFirst="1" w:colLast="1"/>
            <w:permEnd w:id="1668502562"/>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294E1002" w14:textId="22CBC3CC" w:rsidR="00B327E9" w:rsidRPr="00AB6D88" w:rsidRDefault="00CE7CA9" w:rsidP="00F136AD">
                <w:pPr>
                  <w:rPr>
                    <w:rFonts w:cs="Arial"/>
                  </w:rPr>
                </w:pPr>
                <w:r>
                  <w:rPr>
                    <w:rFonts w:ascii="MS Gothic" w:eastAsia="MS Gothic" w:hAnsi="MS Gothic" w:cs="Arial" w:hint="eastAsia"/>
                  </w:rPr>
                  <w:t>☒</w:t>
                </w:r>
              </w:p>
            </w:tc>
          </w:sdtContent>
        </w:sdt>
      </w:tr>
      <w:tr w:rsidR="00B327E9" w:rsidRPr="00AB6D88" w14:paraId="294E1006" w14:textId="77777777" w:rsidTr="00F136AD">
        <w:tc>
          <w:tcPr>
            <w:tcW w:w="3929" w:type="dxa"/>
            <w:shd w:val="clear" w:color="auto" w:fill="auto"/>
          </w:tcPr>
          <w:p w14:paraId="294E1004" w14:textId="77777777" w:rsidR="00B327E9" w:rsidRPr="00E40A5C" w:rsidRDefault="00B327E9" w:rsidP="00F136AD">
            <w:pPr>
              <w:rPr>
                <w:rFonts w:cs="Arial"/>
                <w:sz w:val="22"/>
              </w:rPr>
            </w:pPr>
            <w:permStart w:id="1232496551" w:edGrp="everyone" w:colFirst="1" w:colLast="1"/>
            <w:permEnd w:id="714016085"/>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94E1005" w14:textId="74E453B5" w:rsidR="00B327E9" w:rsidRPr="00AB6D88" w:rsidRDefault="00CE7CA9" w:rsidP="00F136AD">
                <w:pPr>
                  <w:rPr>
                    <w:rFonts w:cs="Arial"/>
                  </w:rPr>
                </w:pPr>
                <w:r>
                  <w:rPr>
                    <w:rFonts w:cs="Arial"/>
                  </w:rPr>
                  <w:t>Denmark</w:t>
                </w:r>
              </w:p>
            </w:tc>
          </w:sdtContent>
        </w:sdt>
      </w:tr>
      <w:permEnd w:id="1232496551"/>
    </w:tbl>
    <w:p w14:paraId="294E1007" w14:textId="77777777" w:rsidR="00B327E9" w:rsidRDefault="00B327E9" w:rsidP="00B327E9">
      <w:pPr>
        <w:spacing w:after="120" w:line="264" w:lineRule="auto"/>
      </w:pPr>
    </w:p>
    <w:p w14:paraId="294E1008" w14:textId="77777777" w:rsidR="00B327E9" w:rsidRDefault="00B327E9" w:rsidP="00B327E9">
      <w:pPr>
        <w:pStyle w:val="Overskrift1"/>
        <w:numPr>
          <w:ilvl w:val="0"/>
          <w:numId w:val="0"/>
        </w:numPr>
        <w:ind w:left="431" w:hanging="431"/>
      </w:pPr>
      <w:r>
        <w:t>Introduction</w:t>
      </w:r>
    </w:p>
    <w:p w14:paraId="294E1009" w14:textId="77777777" w:rsidR="00B327E9" w:rsidRPr="00E40A5C" w:rsidRDefault="00B327E9" w:rsidP="00B327E9">
      <w:pPr>
        <w:rPr>
          <w:rStyle w:val="Kraftigfremhvning"/>
          <w:sz w:val="22"/>
        </w:rPr>
      </w:pPr>
      <w:r w:rsidRPr="00E40A5C">
        <w:rPr>
          <w:rStyle w:val="Kraftigfremhvning"/>
          <w:sz w:val="22"/>
        </w:rPr>
        <w:t>Please make your introductory comments below, if any:</w:t>
      </w:r>
    </w:p>
    <w:p w14:paraId="294E100A" w14:textId="77777777" w:rsidR="00B327E9" w:rsidRPr="00BF28DA" w:rsidRDefault="00B327E9" w:rsidP="00B327E9"/>
    <w:p w14:paraId="294E100B" w14:textId="77777777" w:rsidR="00B327E9" w:rsidRPr="006F4535" w:rsidRDefault="00B327E9" w:rsidP="00B327E9">
      <w:r w:rsidRPr="006F4535">
        <w:t>&lt;ESMA_COMMENT_</w:t>
      </w:r>
      <w:r w:rsidR="007243F1">
        <w:rPr>
          <w:rFonts w:cs="Arial"/>
        </w:rPr>
        <w:t>GRF</w:t>
      </w:r>
      <w:r w:rsidRPr="006F4535">
        <w:t>_1&gt;</w:t>
      </w:r>
    </w:p>
    <w:p w14:paraId="294E100C" w14:textId="77777777" w:rsidR="00B327E9" w:rsidRDefault="00B327E9" w:rsidP="00B327E9">
      <w:permStart w:id="1553793512" w:edGrp="everyone"/>
      <w:r>
        <w:t>TYPE YOUR TEXT HERE</w:t>
      </w:r>
    </w:p>
    <w:permEnd w:id="1553793512"/>
    <w:p w14:paraId="294E100D" w14:textId="77777777" w:rsidR="00B327E9" w:rsidRPr="00BF28DA" w:rsidRDefault="00B327E9" w:rsidP="00B327E9">
      <w:r w:rsidRPr="00BF28DA">
        <w:t>&lt;ESMA_COMMENT_</w:t>
      </w:r>
      <w:r w:rsidR="007243F1">
        <w:rPr>
          <w:rFonts w:cs="Arial"/>
        </w:rPr>
        <w:t>GRF</w:t>
      </w:r>
      <w:r w:rsidR="000A58BE">
        <w:t>_</w:t>
      </w:r>
      <w:r w:rsidRPr="00BF28DA">
        <w:t>1&gt;</w:t>
      </w:r>
    </w:p>
    <w:p w14:paraId="294E100E" w14:textId="77777777" w:rsidR="002E7113" w:rsidRDefault="002E7113" w:rsidP="002E7113">
      <w:pPr>
        <w:pStyle w:val="Overskrift1"/>
        <w:numPr>
          <w:ilvl w:val="0"/>
          <w:numId w:val="0"/>
        </w:numPr>
      </w:pPr>
    </w:p>
    <w:p w14:paraId="294E100F" w14:textId="77777777" w:rsidR="00F31E57" w:rsidRPr="00BF28DA" w:rsidRDefault="00F31E57" w:rsidP="00D34282"/>
    <w:p w14:paraId="294E1010" w14:textId="77777777" w:rsidR="00AF38AF" w:rsidRDefault="00F31E57" w:rsidP="00AF38AF">
      <w:pPr>
        <w:rPr>
          <w:rFonts w:cs="Arial"/>
          <w:sz w:val="18"/>
          <w:szCs w:val="18"/>
        </w:rPr>
      </w:pPr>
      <w:r w:rsidRPr="0075015C">
        <w:br w:type="page"/>
      </w:r>
    </w:p>
    <w:p w14:paraId="294E1011" w14:textId="77777777" w:rsidR="00170D44" w:rsidRDefault="00170D44" w:rsidP="00170D44">
      <w:pPr>
        <w:rPr>
          <w:b/>
        </w:rPr>
      </w:pPr>
    </w:p>
    <w:p w14:paraId="294E1012" w14:textId="77777777" w:rsidR="00CC38E9" w:rsidRDefault="00CC38E9" w:rsidP="00170D44">
      <w:pPr>
        <w:rPr>
          <w:b/>
        </w:rPr>
      </w:pPr>
    </w:p>
    <w:p w14:paraId="294E1013" w14:textId="77777777" w:rsidR="007243F1" w:rsidRDefault="007243F1" w:rsidP="00170D44">
      <w:pPr>
        <w:rPr>
          <w:b/>
        </w:rPr>
      </w:pPr>
    </w:p>
    <w:p w14:paraId="294E1014" w14:textId="77777777" w:rsidR="007243F1" w:rsidRPr="005B1CA9" w:rsidRDefault="007243F1" w:rsidP="007243F1">
      <w:pPr>
        <w:rPr>
          <w:i/>
        </w:rPr>
      </w:pPr>
      <w:r w:rsidRPr="005B1CA9">
        <w:rPr>
          <w:i/>
        </w:rPr>
        <w:t>Specificity</w:t>
      </w:r>
    </w:p>
    <w:p w14:paraId="294E1015"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14:paraId="294E1016" w14:textId="77777777" w:rsidR="00EE53D1" w:rsidRDefault="00EE53D1" w:rsidP="00EE53D1">
      <w:pPr>
        <w:rPr>
          <w:rFonts w:cs="Arial"/>
        </w:rPr>
      </w:pPr>
      <w:r>
        <w:rPr>
          <w:rFonts w:cs="Arial"/>
        </w:rPr>
        <w:t>&lt;ESMA_QUESTION_GRF_1&gt;</w:t>
      </w:r>
    </w:p>
    <w:p w14:paraId="2CC6F51A" w14:textId="77777777" w:rsidR="00E841D3" w:rsidRPr="00C150C1" w:rsidRDefault="00E841D3" w:rsidP="00EC489B">
      <w:permStart w:id="414333182" w:edGrp="everyone"/>
      <w:r w:rsidRPr="13712703">
        <w:t xml:space="preserve">We agree that as a rule of thumb risk factors should be specified to the individual issuer and the nature of its business and the security in question, but as illustrated in para 21, example 3, certain generic risk factors may be relevant for many issuers such as macro-economic risks and geopolitical risks. Issuers should be allowed to continue including “boiler-plate” risk descriptions in respect of such generic factors. </w:t>
      </w:r>
    </w:p>
    <w:p w14:paraId="67B5A7B5" w14:textId="77777777" w:rsidR="00E841D3" w:rsidRPr="00C150C1" w:rsidRDefault="00E841D3" w:rsidP="00EC489B">
      <w:r w:rsidRPr="00C150C1">
        <w:t xml:space="preserve">In the same way issuers should be allowed to include market driven “boiler-plate” risk factors within the same group of peers like insurance companies looking at each other’s Solvency II risk factors.   </w:t>
      </w:r>
    </w:p>
    <w:p w14:paraId="3EEFAC9C" w14:textId="77777777" w:rsidR="00E841D3" w:rsidRPr="00C150C1" w:rsidRDefault="00E841D3" w:rsidP="00EC489B">
      <w:r w:rsidRPr="13712703">
        <w:t xml:space="preserve">We recommend that the specificity guideline </w:t>
      </w:r>
      <w:proofErr w:type="gramStart"/>
      <w:r w:rsidRPr="13712703">
        <w:t>takes into account</w:t>
      </w:r>
      <w:proofErr w:type="gramEnd"/>
      <w:r w:rsidRPr="13712703">
        <w:t xml:space="preserve"> also the specific industry of the issuer. For example, if an issuer does not include generic industry or market driven risk factors, investors may question this and why issuer X is not exposed to the same industry risks as industry peers in the form of Issuer A, B and C.</w:t>
      </w:r>
    </w:p>
    <w:p w14:paraId="294E1018" w14:textId="0BBDBF0E" w:rsidR="00EE53D1" w:rsidRDefault="00E841D3" w:rsidP="00EE53D1">
      <w:pPr>
        <w:rPr>
          <w:rFonts w:cs="Arial"/>
        </w:rPr>
      </w:pPr>
      <w:r w:rsidRPr="13712703">
        <w:t>The guidelines seem to impose quite strict requirements on specificity considering the examples given in the draft guidelines</w:t>
      </w:r>
      <w:r>
        <w:t>’</w:t>
      </w:r>
      <w:r w:rsidRPr="13712703">
        <w:t xml:space="preserve"> para 21-24. We therefore recommend including additional flexibility in the guidelines as in our experience it may not always be possible for issuers to be so concrete as in ESMA’s examples. </w:t>
      </w:r>
      <w:permEnd w:id="414333182"/>
      <w:r w:rsidR="00EE53D1">
        <w:rPr>
          <w:rFonts w:cs="Arial"/>
        </w:rPr>
        <w:t>&lt;ESMA_QUESTION_GRF_1&gt;</w:t>
      </w:r>
    </w:p>
    <w:p w14:paraId="294E1019" w14:textId="77777777" w:rsidR="007243F1" w:rsidRPr="007243F1" w:rsidRDefault="007243F1" w:rsidP="007243F1">
      <w:pPr>
        <w:rPr>
          <w:b/>
        </w:rPr>
      </w:pPr>
    </w:p>
    <w:p w14:paraId="294E101A" w14:textId="77777777" w:rsidR="007243F1" w:rsidRDefault="007243F1" w:rsidP="007243F1">
      <w:pPr>
        <w:rPr>
          <w:i/>
        </w:rPr>
      </w:pPr>
      <w:r>
        <w:rPr>
          <w:i/>
        </w:rPr>
        <w:t>Materiality</w:t>
      </w:r>
    </w:p>
    <w:p w14:paraId="294E101B"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14:paraId="294E101C" w14:textId="77777777" w:rsidR="00EE53D1" w:rsidRDefault="00EE53D1" w:rsidP="00EE53D1">
      <w:pPr>
        <w:rPr>
          <w:rFonts w:cs="Arial"/>
        </w:rPr>
      </w:pPr>
      <w:r>
        <w:rPr>
          <w:rFonts w:cs="Arial"/>
        </w:rPr>
        <w:t>&lt;ESMA_QUESTION_GRF_2&gt;</w:t>
      </w:r>
    </w:p>
    <w:p w14:paraId="294E101E" w14:textId="484E979E" w:rsidR="00EE53D1" w:rsidRDefault="00E53B5C" w:rsidP="00EE53D1">
      <w:pPr>
        <w:rPr>
          <w:rFonts w:cs="Arial"/>
        </w:rPr>
      </w:pPr>
      <w:permStart w:id="49091631" w:edGrp="everyone"/>
      <w:r w:rsidRPr="00C150C1">
        <w:t xml:space="preserve">We agree that the concept of materiality should be related to the individual issuer and the nature of its business. NCAs should ultimately leave issuers with room to consider a risk to be potential material to its </w:t>
      </w:r>
      <w:proofErr w:type="gramStart"/>
      <w:r w:rsidRPr="00C150C1">
        <w:t>business.</w:t>
      </w:r>
      <w:permEnd w:id="49091631"/>
      <w:r w:rsidR="00EE53D1">
        <w:rPr>
          <w:rFonts w:cs="Arial"/>
        </w:rPr>
        <w:t>&lt;</w:t>
      </w:r>
      <w:proofErr w:type="gramEnd"/>
      <w:r w:rsidR="00EE53D1">
        <w:rPr>
          <w:rFonts w:cs="Arial"/>
        </w:rPr>
        <w:t>ESMA_QUESTION_GRF_2&gt;</w:t>
      </w:r>
    </w:p>
    <w:p w14:paraId="294E101F" w14:textId="77777777" w:rsidR="00EE53D1" w:rsidRDefault="00EE53D1" w:rsidP="00EE53D1">
      <w:pPr>
        <w:rPr>
          <w:rFonts w:cs="Arial"/>
        </w:rPr>
      </w:pPr>
    </w:p>
    <w:p w14:paraId="294E1020" w14:textId="77777777"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14:paraId="294E1021" w14:textId="77777777" w:rsidR="00EE53D1" w:rsidRDefault="00EE53D1" w:rsidP="00EE53D1">
      <w:pPr>
        <w:rPr>
          <w:rFonts w:cs="Arial"/>
        </w:rPr>
      </w:pPr>
      <w:r>
        <w:rPr>
          <w:rFonts w:cs="Arial"/>
        </w:rPr>
        <w:t>&lt;ESMA_QUESTION_GRF_3&gt;</w:t>
      </w:r>
    </w:p>
    <w:p w14:paraId="294E1023" w14:textId="0AECCA5A" w:rsidR="00EE53D1" w:rsidRDefault="00F803AF" w:rsidP="00EE53D1">
      <w:pPr>
        <w:rPr>
          <w:rFonts w:cs="Arial"/>
        </w:rPr>
      </w:pPr>
      <w:permStart w:id="200762354" w:edGrp="everyone"/>
      <w:r w:rsidRPr="13712703">
        <w:t xml:space="preserve">Level 1 Article 16 does not require a quantitative assessment of each risk. It may be burdensome for issuers to add a number/percentage to each risk factor </w:t>
      </w:r>
      <w:proofErr w:type="gramStart"/>
      <w:r w:rsidRPr="13712703">
        <w:t>for the purpose of</w:t>
      </w:r>
      <w:proofErr w:type="gramEnd"/>
      <w:r w:rsidRPr="13712703">
        <w:t xml:space="preserve"> assessing its materiality. If issuers are required to be very detailed in assessing the potential effect of a risk materialising it could expose an issuer to litigation and liability risk for misleading disclosure if the real effect exceeds the quantitative assessment in the prospectus e.g. an event is assessed to have a negative impact of EUR 75,000,000, but it turns out that the real effect is </w:t>
      </w:r>
      <w:proofErr w:type="gramStart"/>
      <w:r w:rsidRPr="13712703">
        <w:t>actually EUR</w:t>
      </w:r>
      <w:proofErr w:type="gramEnd"/>
      <w:r w:rsidRPr="13712703">
        <w:t xml:space="preserve"> 100,000,000. Allowing issuers to include “open” risk like “may have a material negative effect on….” is </w:t>
      </w:r>
      <w:proofErr w:type="gramStart"/>
      <w:r w:rsidRPr="13712703">
        <w:t>preferable.</w:t>
      </w:r>
      <w:permEnd w:id="200762354"/>
      <w:r w:rsidR="00EE53D1">
        <w:rPr>
          <w:rFonts w:cs="Arial"/>
        </w:rPr>
        <w:t>&lt;</w:t>
      </w:r>
      <w:proofErr w:type="gramEnd"/>
      <w:r w:rsidR="00EE53D1">
        <w:rPr>
          <w:rFonts w:cs="Arial"/>
        </w:rPr>
        <w:t>ESMA_QUESTION_GRF_3&gt;</w:t>
      </w:r>
    </w:p>
    <w:p w14:paraId="294E1024" w14:textId="77777777" w:rsidR="00EE53D1" w:rsidRDefault="00EE53D1" w:rsidP="00EE53D1">
      <w:pPr>
        <w:rPr>
          <w:rFonts w:cs="Arial"/>
        </w:rPr>
      </w:pPr>
    </w:p>
    <w:p w14:paraId="294E1025"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provide your reasoning.</w:t>
      </w:r>
    </w:p>
    <w:p w14:paraId="294E1026" w14:textId="77777777" w:rsidR="00EE53D1" w:rsidRDefault="00EE53D1" w:rsidP="00EE53D1">
      <w:pPr>
        <w:rPr>
          <w:rFonts w:cs="Arial"/>
        </w:rPr>
      </w:pPr>
      <w:r>
        <w:rPr>
          <w:rFonts w:cs="Arial"/>
        </w:rPr>
        <w:t>&lt;ESMA_QUESTION_GRF_4&gt;</w:t>
      </w:r>
    </w:p>
    <w:p w14:paraId="294E1028" w14:textId="4E99880A" w:rsidR="00EE53D1" w:rsidRDefault="00CD61A6" w:rsidP="00EE53D1">
      <w:pPr>
        <w:rPr>
          <w:rFonts w:cs="Arial"/>
        </w:rPr>
      </w:pPr>
      <w:permStart w:id="340011164" w:edGrp="everyone"/>
      <w:r w:rsidRPr="00C150C1">
        <w:t xml:space="preserve">We agree in principle on not including mitigating language that could blur the risk described in a risk factor but assume that the guidelines are not intended to prevent or limit issuers in describing traditional risk mitigation techniques in other parts of the prospectus such as hedging of interest – and/or currency risks in the issuer description </w:t>
      </w:r>
      <w:proofErr w:type="gramStart"/>
      <w:r w:rsidRPr="00C150C1">
        <w:t>section.</w:t>
      </w:r>
      <w:permEnd w:id="340011164"/>
      <w:r w:rsidR="00EE53D1">
        <w:rPr>
          <w:rFonts w:cs="Arial"/>
        </w:rPr>
        <w:t>&lt;</w:t>
      </w:r>
      <w:proofErr w:type="gramEnd"/>
      <w:r w:rsidR="00EE53D1">
        <w:rPr>
          <w:rFonts w:cs="Arial"/>
        </w:rPr>
        <w:t>ESMA_QUESTION_GRF_4&gt;</w:t>
      </w:r>
    </w:p>
    <w:p w14:paraId="294E1029" w14:textId="77777777" w:rsidR="007243F1" w:rsidRPr="007243F1" w:rsidRDefault="007243F1" w:rsidP="007243F1">
      <w:pPr>
        <w:rPr>
          <w:b/>
        </w:rPr>
      </w:pPr>
    </w:p>
    <w:p w14:paraId="294E102A" w14:textId="77777777" w:rsidR="007243F1" w:rsidRPr="007243F1" w:rsidRDefault="007243F1" w:rsidP="007243F1">
      <w:pPr>
        <w:rPr>
          <w:i/>
        </w:rPr>
      </w:pPr>
      <w:r w:rsidRPr="007243F1">
        <w:rPr>
          <w:i/>
        </w:rPr>
        <w:t>Corroboration</w:t>
      </w:r>
    </w:p>
    <w:p w14:paraId="294E102B" w14:textId="77777777" w:rsidR="00EE53D1" w:rsidRPr="00303C9E" w:rsidRDefault="00EE53D1" w:rsidP="00EE53D1">
      <w:pPr>
        <w:pStyle w:val="Questionstyle"/>
        <w:numPr>
          <w:ilvl w:val="0"/>
          <w:numId w:val="39"/>
        </w:numPr>
      </w:pPr>
      <w:r w:rsidRPr="00303C9E">
        <w:lastRenderedPageBreak/>
        <w:t>: D</w:t>
      </w:r>
      <w:r w:rsidR="007303AD">
        <w:t>o you agree with the suggested draft</w:t>
      </w:r>
      <w:r w:rsidRPr="00303C9E">
        <w:t xml:space="preserve"> guideline 6 on corroboration of specificity and materiality? If not, please provide your reasoning.</w:t>
      </w:r>
    </w:p>
    <w:p w14:paraId="294E102C" w14:textId="77777777" w:rsidR="00EE53D1" w:rsidRDefault="00EE53D1" w:rsidP="00EE53D1">
      <w:pPr>
        <w:rPr>
          <w:rFonts w:cs="Arial"/>
        </w:rPr>
      </w:pPr>
      <w:r>
        <w:rPr>
          <w:rFonts w:cs="Arial"/>
        </w:rPr>
        <w:t>&lt;ESMA_QUESTION_GRF_5&gt;</w:t>
      </w:r>
    </w:p>
    <w:p w14:paraId="294E102E" w14:textId="6CE97003" w:rsidR="00EE53D1" w:rsidRDefault="0072068B" w:rsidP="00EE53D1">
      <w:pPr>
        <w:rPr>
          <w:rFonts w:cs="Arial"/>
        </w:rPr>
      </w:pPr>
      <w:permStart w:id="544547906" w:edGrp="everyone"/>
      <w:r w:rsidRPr="00C150C1">
        <w:t xml:space="preserve">Issuers should not in all circumstances be required to corroborate a risk by expressly describing the relevant fact in the issuer description. If corroboration can be implied from the overall picture which the issuer description provides that should </w:t>
      </w:r>
      <w:proofErr w:type="gramStart"/>
      <w:r w:rsidRPr="00C150C1">
        <w:t>suffice.</w:t>
      </w:r>
      <w:permEnd w:id="544547906"/>
      <w:r w:rsidR="00EE53D1">
        <w:rPr>
          <w:rFonts w:cs="Arial"/>
        </w:rPr>
        <w:t>&lt;</w:t>
      </w:r>
      <w:proofErr w:type="gramEnd"/>
      <w:r w:rsidR="00EE53D1">
        <w:rPr>
          <w:rFonts w:cs="Arial"/>
        </w:rPr>
        <w:t>ESMA_QUESTION_GRF_5&gt;</w:t>
      </w:r>
    </w:p>
    <w:p w14:paraId="294E102F" w14:textId="77777777" w:rsidR="007243F1" w:rsidRDefault="007243F1" w:rsidP="007243F1">
      <w:pPr>
        <w:rPr>
          <w:b/>
        </w:rPr>
      </w:pPr>
    </w:p>
    <w:p w14:paraId="294E1030" w14:textId="77777777" w:rsidR="007243F1" w:rsidRPr="007243F1" w:rsidRDefault="007243F1" w:rsidP="007243F1">
      <w:pPr>
        <w:rPr>
          <w:b/>
        </w:rPr>
      </w:pPr>
    </w:p>
    <w:p w14:paraId="294E1031" w14:textId="77777777" w:rsidR="007243F1" w:rsidRDefault="007243F1" w:rsidP="007243F1">
      <w:pPr>
        <w:rPr>
          <w:b/>
        </w:rPr>
      </w:pPr>
      <w:r w:rsidRPr="007243F1">
        <w:rPr>
          <w:i/>
        </w:rPr>
        <w:t>Presentation of risk factors across categories</w:t>
      </w:r>
      <w:r w:rsidRPr="007243F1" w:rsidDel="00A16F38">
        <w:rPr>
          <w:i/>
        </w:rPr>
        <w:t xml:space="preserve"> </w:t>
      </w:r>
    </w:p>
    <w:p w14:paraId="294E1032" w14:textId="77777777" w:rsidR="007243F1" w:rsidRPr="007243F1" w:rsidRDefault="007243F1" w:rsidP="007243F1">
      <w:pPr>
        <w:rPr>
          <w:b/>
        </w:rPr>
      </w:pPr>
    </w:p>
    <w:p w14:paraId="294E1033"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Presentation of risk factors across categories? If not, please provide your reasoning.</w:t>
      </w:r>
    </w:p>
    <w:p w14:paraId="294E1034" w14:textId="77777777" w:rsidR="00EE53D1" w:rsidRDefault="00EE53D1" w:rsidP="00EE53D1">
      <w:pPr>
        <w:rPr>
          <w:rFonts w:cs="Arial"/>
        </w:rPr>
      </w:pPr>
      <w:r>
        <w:rPr>
          <w:rFonts w:cs="Arial"/>
        </w:rPr>
        <w:t>&lt;ESMA_QUESTION_GRF_6&gt;</w:t>
      </w:r>
    </w:p>
    <w:p w14:paraId="294E1036" w14:textId="40361FF2" w:rsidR="00EE53D1" w:rsidRDefault="008D05F8" w:rsidP="00EE53D1">
      <w:pPr>
        <w:rPr>
          <w:rFonts w:cs="Arial"/>
        </w:rPr>
      </w:pPr>
      <w:permStart w:id="1203334926" w:edGrp="everyone"/>
      <w:r w:rsidRPr="00C150C1">
        <w:t xml:space="preserve">Agreed. In our experience this is already the case </w:t>
      </w:r>
      <w:proofErr w:type="gramStart"/>
      <w:r w:rsidRPr="00C150C1">
        <w:t>today.</w:t>
      </w:r>
      <w:permEnd w:id="1203334926"/>
      <w:r w:rsidR="00EE53D1">
        <w:rPr>
          <w:rFonts w:cs="Arial"/>
        </w:rPr>
        <w:t>&lt;</w:t>
      </w:r>
      <w:proofErr w:type="gramEnd"/>
      <w:r w:rsidR="00EE53D1">
        <w:rPr>
          <w:rFonts w:cs="Arial"/>
        </w:rPr>
        <w:t>ESMA_QUESTION_GRF_6&gt;</w:t>
      </w:r>
    </w:p>
    <w:p w14:paraId="294E1037" w14:textId="77777777" w:rsidR="00EE53D1" w:rsidRDefault="00EE53D1" w:rsidP="00EE53D1">
      <w:pPr>
        <w:rPr>
          <w:rFonts w:cs="Arial"/>
        </w:rPr>
      </w:pPr>
    </w:p>
    <w:p w14:paraId="294E1038" w14:textId="77777777" w:rsidR="00EE53D1" w:rsidRPr="00303C9E" w:rsidRDefault="00EE53D1" w:rsidP="00EE53D1">
      <w:pPr>
        <w:pStyle w:val="Questionstyle"/>
        <w:numPr>
          <w:ilvl w:val="0"/>
          <w:numId w:val="39"/>
        </w:numPr>
      </w:pPr>
      <w:r w:rsidRPr="00303C9E">
        <w:t>: Do you agree with that the number of categories to be included in a risk factor section, should not usually exceed 10? If not, please provide your reasoning.</w:t>
      </w:r>
    </w:p>
    <w:p w14:paraId="294E1039" w14:textId="77777777" w:rsidR="00EE53D1" w:rsidRDefault="00EE53D1" w:rsidP="00EE53D1">
      <w:pPr>
        <w:rPr>
          <w:rFonts w:cs="Arial"/>
        </w:rPr>
      </w:pPr>
      <w:r>
        <w:rPr>
          <w:rFonts w:cs="Arial"/>
        </w:rPr>
        <w:t>&lt;ESMA_QUESTION_GRF_7&gt;</w:t>
      </w:r>
    </w:p>
    <w:p w14:paraId="79AEAC33" w14:textId="77777777" w:rsidR="00166BFE" w:rsidRDefault="00166BFE" w:rsidP="00EC489B">
      <w:permStart w:id="818427935" w:edGrp="everyone"/>
      <w:r w:rsidRPr="0079203B">
        <w:t xml:space="preserve">No. Such guideline is too detailed. The risk factors should be limited to the risks which are specific and material to the specific issuer/securities and not to a fixed number. The consequence will likely be that many issuers will have 10 risk factor categories included, regardless of the risk level of the issuer and the securities, which will be misleading for the investors. It may also lead to the use of very wide categories under which many risk factors can fit, why the category itself will not contribute to clarity for investors. Even though ESMA says that there is flexibility to adapt the number to the specific case, our experience is that such detailed guidelines are implemented quite strictly by competent authorities, why stating a number will very likely cause more work for everyone involves in a prospectus (including the competent authority) as there will be many discussions on the actual number of categories </w:t>
      </w:r>
      <w:r w:rsidRPr="00C67560">
        <w:t>instead of the materiality.</w:t>
      </w:r>
    </w:p>
    <w:p w14:paraId="3D1128F9" w14:textId="77777777" w:rsidR="00166BFE" w:rsidRDefault="00166BFE" w:rsidP="00EC489B"/>
    <w:p w14:paraId="294E103B" w14:textId="565DA974" w:rsidR="00EE53D1" w:rsidRDefault="00166BFE" w:rsidP="00EE53D1">
      <w:pPr>
        <w:rPr>
          <w:rFonts w:cs="Arial"/>
        </w:rPr>
      </w:pPr>
      <w:r w:rsidRPr="00424EB5">
        <w:t xml:space="preserve">In addition, the proposal of challenging the use of sub-categories in the risk factors section in other circumstances in Guideline 10 can lead to that the risk factors become long and hard to overview. As this is not investor friendly, we suggest that sub-categories can be </w:t>
      </w:r>
      <w:proofErr w:type="gramStart"/>
      <w:r w:rsidRPr="00424EB5">
        <w:t>used.</w:t>
      </w:r>
      <w:permEnd w:id="818427935"/>
      <w:r w:rsidR="00EE53D1">
        <w:rPr>
          <w:rFonts w:cs="Arial"/>
        </w:rPr>
        <w:t>&lt;</w:t>
      </w:r>
      <w:proofErr w:type="gramEnd"/>
      <w:r w:rsidR="00EE53D1">
        <w:rPr>
          <w:rFonts w:cs="Arial"/>
        </w:rPr>
        <w:t>ESMA_QUESTION_GRF_7&gt;</w:t>
      </w:r>
    </w:p>
    <w:p w14:paraId="294E103C" w14:textId="77777777" w:rsidR="007243F1" w:rsidRPr="007243F1" w:rsidRDefault="007243F1" w:rsidP="007243F1">
      <w:pPr>
        <w:rPr>
          <w:b/>
        </w:rPr>
      </w:pPr>
    </w:p>
    <w:p w14:paraId="294E103D" w14:textId="77777777" w:rsidR="007243F1" w:rsidRPr="007243F1" w:rsidRDefault="007243F1" w:rsidP="007243F1">
      <w:pPr>
        <w:rPr>
          <w:i/>
        </w:rPr>
      </w:pPr>
      <w:r w:rsidRPr="007243F1">
        <w:rPr>
          <w:i/>
        </w:rPr>
        <w:t>Focused/concise risk factors</w:t>
      </w:r>
    </w:p>
    <w:p w14:paraId="294E103E" w14:textId="77777777" w:rsidR="007243F1" w:rsidRPr="007243F1" w:rsidRDefault="007243F1" w:rsidP="007243F1">
      <w:pPr>
        <w:rPr>
          <w:b/>
        </w:rPr>
      </w:pPr>
    </w:p>
    <w:p w14:paraId="294E103F"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focused/concise risk factors? If not, please provide your reasoning.</w:t>
      </w:r>
    </w:p>
    <w:p w14:paraId="294E1040" w14:textId="77777777" w:rsidR="00EE53D1" w:rsidRDefault="00EE53D1" w:rsidP="00EE53D1">
      <w:pPr>
        <w:rPr>
          <w:rFonts w:cs="Arial"/>
        </w:rPr>
      </w:pPr>
      <w:r>
        <w:rPr>
          <w:rFonts w:cs="Arial"/>
        </w:rPr>
        <w:t>&lt;ESMA_QUESTION_GRF_8&gt;</w:t>
      </w:r>
    </w:p>
    <w:p w14:paraId="294E1042" w14:textId="4560B07C" w:rsidR="00EE53D1" w:rsidRDefault="00A75924" w:rsidP="00EE53D1">
      <w:pPr>
        <w:rPr>
          <w:rFonts w:cs="Arial"/>
        </w:rPr>
      </w:pPr>
      <w:permStart w:id="904733302" w:edGrp="everyone"/>
      <w:r w:rsidRPr="00C150C1">
        <w:t xml:space="preserve">Agreed. Risk factors should be concise bearing in mind that e.g. banking regulation can be hard to describe in a short and concise </w:t>
      </w:r>
      <w:proofErr w:type="gramStart"/>
      <w:r w:rsidRPr="00C150C1">
        <w:t>way.</w:t>
      </w:r>
      <w:permEnd w:id="904733302"/>
      <w:r w:rsidR="00EE53D1">
        <w:rPr>
          <w:rFonts w:cs="Arial"/>
        </w:rPr>
        <w:t>&lt;</w:t>
      </w:r>
      <w:proofErr w:type="gramEnd"/>
      <w:r w:rsidR="00EE53D1">
        <w:rPr>
          <w:rFonts w:cs="Arial"/>
        </w:rPr>
        <w:t>ESMA_QUESTION_GRF_8&gt;</w:t>
      </w:r>
    </w:p>
    <w:p w14:paraId="294E1043" w14:textId="77777777" w:rsidR="007243F1" w:rsidRPr="007243F1" w:rsidRDefault="007243F1" w:rsidP="007243F1">
      <w:pPr>
        <w:rPr>
          <w:b/>
        </w:rPr>
      </w:pPr>
    </w:p>
    <w:p w14:paraId="294E1044" w14:textId="77777777" w:rsidR="007243F1" w:rsidRPr="007243F1" w:rsidRDefault="007243F1" w:rsidP="007243F1">
      <w:pPr>
        <w:rPr>
          <w:i/>
        </w:rPr>
      </w:pPr>
      <w:r w:rsidRPr="007243F1">
        <w:rPr>
          <w:i/>
        </w:rPr>
        <w:t>Summary</w:t>
      </w:r>
    </w:p>
    <w:p w14:paraId="294E1045" w14:textId="77777777" w:rsidR="007243F1" w:rsidRPr="007243F1" w:rsidRDefault="007243F1" w:rsidP="007243F1">
      <w:pPr>
        <w:rPr>
          <w:b/>
        </w:rPr>
      </w:pPr>
    </w:p>
    <w:p w14:paraId="294E1046" w14:textId="77777777"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14:paraId="294E1047" w14:textId="77777777" w:rsidR="00EE53D1" w:rsidRDefault="00EE53D1" w:rsidP="00EE53D1">
      <w:pPr>
        <w:rPr>
          <w:rFonts w:cs="Arial"/>
        </w:rPr>
      </w:pPr>
      <w:r>
        <w:rPr>
          <w:rFonts w:cs="Arial"/>
        </w:rPr>
        <w:t>&lt;ESMA_QUESTION_GRF_9&gt;</w:t>
      </w:r>
    </w:p>
    <w:p w14:paraId="294E1049" w14:textId="30012953" w:rsidR="00EE53D1" w:rsidRDefault="00942EB3" w:rsidP="00EE53D1">
      <w:pPr>
        <w:rPr>
          <w:rFonts w:cs="Arial"/>
        </w:rPr>
      </w:pPr>
      <w:permStart w:id="1496909849" w:edGrp="everyone"/>
      <w:proofErr w:type="gramStart"/>
      <w:r w:rsidRPr="00C150C1">
        <w:t>Agreed.</w:t>
      </w:r>
      <w:permEnd w:id="1496909849"/>
      <w:r w:rsidR="00EE53D1">
        <w:rPr>
          <w:rFonts w:cs="Arial"/>
        </w:rPr>
        <w:t>&lt;</w:t>
      </w:r>
      <w:proofErr w:type="gramEnd"/>
      <w:r w:rsidR="00EE53D1">
        <w:rPr>
          <w:rFonts w:cs="Arial"/>
        </w:rPr>
        <w:t>ESMA_QUESTION_GRF_9&gt;</w:t>
      </w:r>
    </w:p>
    <w:p w14:paraId="294E104A" w14:textId="77777777" w:rsidR="007243F1" w:rsidRPr="007243F1" w:rsidRDefault="007243F1" w:rsidP="007243F1">
      <w:pPr>
        <w:rPr>
          <w:b/>
        </w:rPr>
      </w:pPr>
    </w:p>
    <w:p w14:paraId="294E104B" w14:textId="77777777" w:rsidR="007243F1" w:rsidRPr="007243F1" w:rsidRDefault="007243F1" w:rsidP="007243F1">
      <w:pPr>
        <w:rPr>
          <w:i/>
        </w:rPr>
      </w:pPr>
      <w:r w:rsidRPr="007243F1">
        <w:rPr>
          <w:i/>
        </w:rPr>
        <w:t>General</w:t>
      </w:r>
    </w:p>
    <w:p w14:paraId="294E104C" w14:textId="77777777" w:rsidR="007243F1" w:rsidRPr="007243F1" w:rsidRDefault="007243F1" w:rsidP="007243F1">
      <w:pPr>
        <w:rPr>
          <w:b/>
        </w:rPr>
      </w:pPr>
    </w:p>
    <w:p w14:paraId="294E104D" w14:textId="77777777"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14:paraId="294E104E" w14:textId="77777777" w:rsidR="00EE53D1" w:rsidRDefault="00EE53D1" w:rsidP="00EE53D1">
      <w:pPr>
        <w:rPr>
          <w:rFonts w:cs="Arial"/>
        </w:rPr>
      </w:pPr>
      <w:r>
        <w:rPr>
          <w:rFonts w:cs="Arial"/>
        </w:rPr>
        <w:t>&lt;ESMA_QUESTION_GRF_10&gt;</w:t>
      </w:r>
    </w:p>
    <w:p w14:paraId="718F9E36" w14:textId="77777777" w:rsidR="00CB4227" w:rsidRDefault="00CB4227" w:rsidP="00EC489B">
      <w:permStart w:id="751777529" w:edGrp="everyone"/>
      <w:r w:rsidRPr="00C150C1">
        <w:t xml:space="preserve">A clear majority of prospectuses related to issues of debt securities are prepared </w:t>
      </w:r>
      <w:proofErr w:type="gramStart"/>
      <w:r w:rsidRPr="00C150C1">
        <w:t>for the purpose of</w:t>
      </w:r>
      <w:proofErr w:type="gramEnd"/>
      <w:r w:rsidRPr="00C150C1">
        <w:t xml:space="preserve"> offering such debt securities to professional investors only (qualified investors). This investor category is highly sophisticated and will not normally only base their investments on the prospectus but also their own assessment of the issuer in question. For such “professionals only prospectuses” NCAs should allow issuers more flexibility in how to describe their risk factors as the professional investors are able to deduce the relevant risks from the prospectus.</w:t>
      </w:r>
    </w:p>
    <w:p w14:paraId="2DB56612" w14:textId="77777777" w:rsidR="00CB4227" w:rsidRPr="00C150C1" w:rsidRDefault="00CB4227" w:rsidP="00EC489B"/>
    <w:p w14:paraId="294E1050" w14:textId="23197C1C" w:rsidR="00EE53D1" w:rsidRDefault="00CB4227" w:rsidP="00EE53D1">
      <w:pPr>
        <w:rPr>
          <w:rFonts w:cs="Arial"/>
        </w:rPr>
      </w:pPr>
      <w:r w:rsidRPr="00C150C1">
        <w:t xml:space="preserve">Requirements to be quite detailed on specificity and include a quantitative assessment of the effects of risks materialising may </w:t>
      </w:r>
      <w:proofErr w:type="gramStart"/>
      <w:r w:rsidRPr="00C150C1">
        <w:t>be seen as</w:t>
      </w:r>
      <w:proofErr w:type="gramEnd"/>
      <w:r w:rsidRPr="00C150C1">
        <w:t xml:space="preserve"> too burdensome for some issuers which may the refrain from accessing the capital markets and rely on e.g. bank financing instead. This could </w:t>
      </w:r>
      <w:proofErr w:type="gramStart"/>
      <w:r w:rsidRPr="00C150C1">
        <w:t>in particular be</w:t>
      </w:r>
      <w:proofErr w:type="gramEnd"/>
      <w:r w:rsidRPr="00C150C1">
        <w:t xml:space="preserve"> the case for SME issuers. </w:t>
      </w:r>
      <w:permEnd w:id="751777529"/>
      <w:r w:rsidR="00EE53D1">
        <w:rPr>
          <w:rFonts w:cs="Arial"/>
        </w:rPr>
        <w:t>&lt;ESMA_QUESTION_GRF_10&gt;</w:t>
      </w:r>
    </w:p>
    <w:p w14:paraId="294E1051" w14:textId="77777777" w:rsidR="00EE53D1" w:rsidRDefault="00EE53D1" w:rsidP="00EE53D1">
      <w:pPr>
        <w:rPr>
          <w:rFonts w:cs="Arial"/>
        </w:rPr>
      </w:pPr>
    </w:p>
    <w:p w14:paraId="294E1052" w14:textId="77777777" w:rsidR="00EE53D1" w:rsidRPr="00277C86" w:rsidRDefault="00EE53D1" w:rsidP="00EE53D1">
      <w:pPr>
        <w:pStyle w:val="Questionstyle"/>
        <w:numPr>
          <w:ilvl w:val="0"/>
          <w:numId w:val="39"/>
        </w:numPr>
      </w:pPr>
      <w:r w:rsidRPr="00303C9E">
        <w:t>: Do you believe that market participants will bear any additional cost as an in</w:t>
      </w:r>
      <w:r w:rsidR="007303AD">
        <w:t>direct effect of the suggested draft</w:t>
      </w:r>
      <w:r w:rsidRPr="00303C9E">
        <w:t xml:space="preserve"> guidelines? If yes, please indicate the nature of such costs and provide an estimation.</w:t>
      </w:r>
    </w:p>
    <w:p w14:paraId="294E1053" w14:textId="77777777" w:rsidR="00EE53D1" w:rsidRDefault="00EE53D1" w:rsidP="00EE53D1">
      <w:pPr>
        <w:rPr>
          <w:rFonts w:cs="Arial"/>
        </w:rPr>
      </w:pPr>
      <w:r>
        <w:rPr>
          <w:rFonts w:cs="Arial"/>
        </w:rPr>
        <w:t>&lt;ESMA_QUESTION_GRF_11&gt;</w:t>
      </w:r>
    </w:p>
    <w:p w14:paraId="294E1055" w14:textId="4D417D39" w:rsidR="00EE53D1" w:rsidRDefault="00181E83" w:rsidP="00EE53D1">
      <w:pPr>
        <w:rPr>
          <w:rFonts w:cs="Arial"/>
        </w:rPr>
      </w:pPr>
      <w:permStart w:id="1834634848" w:edGrp="everyone"/>
      <w:r w:rsidRPr="00C150C1">
        <w:t xml:space="preserve">Issuers may incur more legal costs and require more internal resources to draft a prospectus if NCAs do not take a flexible approach to the guidelines. “Time to market” may also be longer if NCAs requests multiple changes to and expansions of risk factors thereby prolonging the prospectus approval process. </w:t>
      </w:r>
      <w:permEnd w:id="1834634848"/>
      <w:r w:rsidR="00EE53D1">
        <w:rPr>
          <w:rFonts w:cs="Arial"/>
        </w:rPr>
        <w:t>&lt;ESMA_QUESTION_GRF_11&gt;</w:t>
      </w:r>
    </w:p>
    <w:p w14:paraId="294E1056" w14:textId="77777777" w:rsidR="007243F1" w:rsidRDefault="007243F1" w:rsidP="00170D44">
      <w:pPr>
        <w:rPr>
          <w:b/>
        </w:rPr>
      </w:pPr>
    </w:p>
    <w:p w14:paraId="294E1057" w14:textId="77777777" w:rsidR="007243F1" w:rsidRDefault="007243F1" w:rsidP="00170D44">
      <w:pPr>
        <w:rPr>
          <w:b/>
        </w:rPr>
      </w:pPr>
    </w:p>
    <w:p w14:paraId="294E1058" w14:textId="77777777" w:rsidR="007243F1" w:rsidRDefault="007243F1" w:rsidP="00170D44">
      <w:pPr>
        <w:rPr>
          <w:b/>
        </w:rPr>
      </w:pPr>
    </w:p>
    <w:p w14:paraId="294E1059" w14:textId="77777777" w:rsidR="007243F1" w:rsidRPr="00170D44" w:rsidRDefault="007243F1" w:rsidP="00170D44">
      <w:pPr>
        <w:rPr>
          <w:b/>
        </w:rPr>
      </w:pPr>
    </w:p>
    <w:sectPr w:rsidR="007243F1" w:rsidRPr="00170D4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E105F" w14:textId="77777777" w:rsidR="00E96DFD" w:rsidRDefault="00E96DFD">
      <w:r>
        <w:separator/>
      </w:r>
    </w:p>
    <w:p w14:paraId="294E1060" w14:textId="77777777" w:rsidR="00E96DFD" w:rsidRDefault="00E96DFD"/>
  </w:endnote>
  <w:endnote w:type="continuationSeparator" w:id="0">
    <w:p w14:paraId="294E1061" w14:textId="77777777" w:rsidR="00E96DFD" w:rsidRDefault="00E96DFD">
      <w:r>
        <w:continuationSeparator/>
      </w:r>
    </w:p>
    <w:p w14:paraId="294E1062" w14:textId="77777777" w:rsidR="00E96DFD" w:rsidRDefault="00E96DFD"/>
  </w:endnote>
  <w:endnote w:type="continuationNotice" w:id="1">
    <w:p w14:paraId="294E1063" w14:textId="77777777" w:rsidR="00E96DFD" w:rsidRDefault="00E96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294E1067" w14:textId="77777777" w:rsidTr="00315E96">
      <w:trPr>
        <w:trHeight w:val="284"/>
      </w:trPr>
      <w:tc>
        <w:tcPr>
          <w:tcW w:w="8460" w:type="dxa"/>
        </w:tcPr>
        <w:p w14:paraId="294E1065" w14:textId="77777777" w:rsidR="00811EDA" w:rsidRPr="00315E96" w:rsidRDefault="00811EDA" w:rsidP="00315E96">
          <w:pPr>
            <w:pStyle w:val="00Footer"/>
            <w:rPr>
              <w:lang w:val="fr-FR"/>
            </w:rPr>
          </w:pPr>
        </w:p>
      </w:tc>
      <w:tc>
        <w:tcPr>
          <w:tcW w:w="952" w:type="dxa"/>
        </w:tcPr>
        <w:p w14:paraId="294E1066"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7A6B">
            <w:rPr>
              <w:rFonts w:cs="Arial"/>
              <w:noProof/>
              <w:sz w:val="22"/>
              <w:szCs w:val="22"/>
            </w:rPr>
            <w:t>6</w:t>
          </w:r>
          <w:r w:rsidRPr="00616B9B">
            <w:rPr>
              <w:rFonts w:cs="Arial"/>
              <w:noProof/>
              <w:sz w:val="22"/>
              <w:szCs w:val="22"/>
            </w:rPr>
            <w:fldChar w:fldCharType="end"/>
          </w:r>
        </w:p>
      </w:tc>
    </w:tr>
  </w:tbl>
  <w:p w14:paraId="294E1068" w14:textId="77777777" w:rsidR="00811EDA" w:rsidRDefault="00811ED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1078" w14:textId="77777777" w:rsidR="00811EDA" w:rsidRDefault="00811E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E105A" w14:textId="77777777" w:rsidR="00E96DFD" w:rsidRDefault="00E96DFD">
      <w:r>
        <w:separator/>
      </w:r>
    </w:p>
    <w:p w14:paraId="294E105B" w14:textId="77777777" w:rsidR="00E96DFD" w:rsidRDefault="00E96DFD"/>
  </w:footnote>
  <w:footnote w:type="continuationSeparator" w:id="0">
    <w:p w14:paraId="294E105C" w14:textId="77777777" w:rsidR="00E96DFD" w:rsidRDefault="00E96DFD">
      <w:r>
        <w:continuationSeparator/>
      </w:r>
    </w:p>
    <w:p w14:paraId="294E105D" w14:textId="77777777" w:rsidR="00E96DFD" w:rsidRDefault="00E96DFD"/>
  </w:footnote>
  <w:footnote w:type="continuationNotice" w:id="1">
    <w:p w14:paraId="294E105E" w14:textId="77777777" w:rsidR="00E96DFD" w:rsidRDefault="00E96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1064" w14:textId="77777777" w:rsidR="00811EDA" w:rsidRDefault="00DE66EB">
    <w:pPr>
      <w:pStyle w:val="Sidehoved"/>
    </w:pPr>
    <w:r>
      <w:rPr>
        <w:noProof/>
        <w:lang w:eastAsia="en-GB"/>
      </w:rPr>
      <w:drawing>
        <wp:anchor distT="0" distB="0" distL="114300" distR="114300" simplePos="0" relativeHeight="251658240" behindDoc="0" locked="0" layoutInCell="1" allowOverlap="1" wp14:anchorId="294E1079" wp14:editId="294E107A">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294E107B" wp14:editId="294E107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0BA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1069" w14:textId="77777777" w:rsidR="00811EDA" w:rsidRDefault="00DE66EB" w:rsidP="00013CCE">
    <w:pPr>
      <w:pStyle w:val="Sidehoved"/>
      <w:jc w:val="right"/>
    </w:pPr>
    <w:r>
      <w:rPr>
        <w:noProof/>
        <w:lang w:eastAsia="en-GB"/>
      </w:rPr>
      <w:drawing>
        <wp:anchor distT="0" distB="0" distL="114300" distR="114300" simplePos="0" relativeHeight="251657216" behindDoc="0" locked="0" layoutInCell="1" allowOverlap="1" wp14:anchorId="294E107D" wp14:editId="294E107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294E107F" wp14:editId="294E1080">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106A"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294E106D" w14:textId="77777777" w:rsidTr="000C06C9">
      <w:trPr>
        <w:trHeight w:val="284"/>
      </w:trPr>
      <w:tc>
        <w:tcPr>
          <w:tcW w:w="8460" w:type="dxa"/>
        </w:tcPr>
        <w:p w14:paraId="294E106B" w14:textId="77777777" w:rsidR="00811EDA" w:rsidRPr="000C3B6D" w:rsidRDefault="00811EDA" w:rsidP="000C06C9">
          <w:pPr>
            <w:pStyle w:val="00Footer"/>
            <w:rPr>
              <w:lang w:val="fr-FR"/>
            </w:rPr>
          </w:pPr>
        </w:p>
      </w:tc>
      <w:tc>
        <w:tcPr>
          <w:tcW w:w="952" w:type="dxa"/>
        </w:tcPr>
        <w:p w14:paraId="294E106C" w14:textId="77777777" w:rsidR="00811EDA" w:rsidRPr="00146B34" w:rsidRDefault="00811EDA" w:rsidP="000C06C9">
          <w:pPr>
            <w:pStyle w:val="00aPagenumber"/>
            <w:rPr>
              <w:lang w:val="fr-FR"/>
            </w:rPr>
          </w:pPr>
        </w:p>
      </w:tc>
    </w:tr>
  </w:tbl>
  <w:p w14:paraId="294E106E" w14:textId="77777777" w:rsidR="00811EDA" w:rsidRPr="00DB46C3" w:rsidRDefault="00811EDA">
    <w:pPr>
      <w:rPr>
        <w:lang w:val="fr-FR"/>
      </w:rPr>
    </w:pPr>
  </w:p>
  <w:p w14:paraId="294E106F" w14:textId="77777777" w:rsidR="00811EDA" w:rsidRPr="002F4496" w:rsidRDefault="00811EDA">
    <w:pPr>
      <w:pStyle w:val="Sidehoved"/>
      <w:rPr>
        <w:lang w:val="fr-FR"/>
      </w:rPr>
    </w:pPr>
  </w:p>
  <w:p w14:paraId="294E1070" w14:textId="77777777" w:rsidR="00811EDA" w:rsidRPr="002F4496" w:rsidRDefault="00811EDA" w:rsidP="000C06C9">
    <w:pPr>
      <w:pStyle w:val="Sidehoved"/>
      <w:tabs>
        <w:tab w:val="clear" w:pos="4536"/>
        <w:tab w:val="clear" w:pos="9072"/>
        <w:tab w:val="left" w:pos="8227"/>
      </w:tabs>
      <w:rPr>
        <w:lang w:val="fr-FR"/>
      </w:rPr>
    </w:pPr>
  </w:p>
  <w:p w14:paraId="294E1071" w14:textId="77777777" w:rsidR="00811EDA" w:rsidRPr="002F4496" w:rsidRDefault="00811EDA" w:rsidP="000C06C9">
    <w:pPr>
      <w:pStyle w:val="Sidehoved"/>
      <w:tabs>
        <w:tab w:val="clear" w:pos="4536"/>
        <w:tab w:val="clear" w:pos="9072"/>
        <w:tab w:val="left" w:pos="8227"/>
      </w:tabs>
      <w:rPr>
        <w:lang w:val="fr-FR"/>
      </w:rPr>
    </w:pPr>
  </w:p>
  <w:p w14:paraId="294E1072" w14:textId="77777777" w:rsidR="00811EDA" w:rsidRPr="002F4496" w:rsidRDefault="00811EDA">
    <w:pPr>
      <w:pStyle w:val="Sidehoved"/>
      <w:rPr>
        <w:lang w:val="fr-FR"/>
      </w:rPr>
    </w:pPr>
  </w:p>
  <w:p w14:paraId="294E1073" w14:textId="77777777" w:rsidR="00811EDA" w:rsidRPr="002F4496" w:rsidRDefault="00811EDA">
    <w:pPr>
      <w:pStyle w:val="Sidehoved"/>
      <w:rPr>
        <w:lang w:val="fr-FR"/>
      </w:rPr>
    </w:pPr>
  </w:p>
  <w:p w14:paraId="294E1074" w14:textId="77777777" w:rsidR="00811EDA" w:rsidRPr="002F4496" w:rsidRDefault="00811EDA">
    <w:pPr>
      <w:pStyle w:val="Sidehoved"/>
      <w:rPr>
        <w:lang w:val="fr-FR"/>
      </w:rPr>
    </w:pPr>
  </w:p>
  <w:p w14:paraId="294E1075" w14:textId="77777777" w:rsidR="00811EDA" w:rsidRPr="002F4496" w:rsidRDefault="00811EDA">
    <w:pPr>
      <w:pStyle w:val="Sidehoved"/>
      <w:rPr>
        <w:lang w:val="fr-FR"/>
      </w:rPr>
    </w:pPr>
  </w:p>
  <w:p w14:paraId="294E1076" w14:textId="77777777" w:rsidR="00811EDA" w:rsidRPr="002F4496" w:rsidRDefault="00811EDA">
    <w:pPr>
      <w:pStyle w:val="Sidehoved"/>
      <w:rPr>
        <w:highlight w:val="yellow"/>
        <w:lang w:val="fr-FR"/>
      </w:rPr>
    </w:pPr>
  </w:p>
  <w:p w14:paraId="294E1077" w14:textId="77777777" w:rsidR="00811EDA" w:rsidRDefault="00DE66EB">
    <w:pPr>
      <w:pStyle w:val="Sidehoved"/>
    </w:pPr>
    <w:r>
      <w:rPr>
        <w:noProof/>
        <w:lang w:eastAsia="en-GB"/>
      </w:rPr>
      <mc:AlternateContent>
        <mc:Choice Requires="wps">
          <w:drawing>
            <wp:anchor distT="0" distB="0" distL="114299" distR="114299" simplePos="0" relativeHeight="251660288" behindDoc="0" locked="0" layoutInCell="1" allowOverlap="1" wp14:anchorId="294E1081" wp14:editId="294E1082">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B5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294E1083" wp14:editId="294E108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Oversk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5"/>
  </w:num>
  <w:num w:numId="45">
    <w:abstractNumId w:val="43"/>
  </w:num>
  <w:num w:numId="4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3fqvBZXG21S4GLcZce42SbXdunGxCsGYNWkIIreJ5Wyv0rG4x8bISirlRjTp9zS7u4cY3PaAZyRwrkQiq5oXg==" w:salt="7rLABRv2KDNi9BExK1z3g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819"/>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6BFE"/>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1E83"/>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1B17"/>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68B"/>
    <w:rsid w:val="007209DD"/>
    <w:rsid w:val="00722E49"/>
    <w:rsid w:val="00723A08"/>
    <w:rsid w:val="00723B5C"/>
    <w:rsid w:val="00724391"/>
    <w:rsid w:val="007243F1"/>
    <w:rsid w:val="00724C18"/>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7A6B"/>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5F52"/>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BD1"/>
    <w:rsid w:val="008D05F8"/>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2EB3"/>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D2A"/>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5924"/>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0436"/>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9A9"/>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4227"/>
    <w:rsid w:val="00CB56B4"/>
    <w:rsid w:val="00CB7286"/>
    <w:rsid w:val="00CB7947"/>
    <w:rsid w:val="00CC1783"/>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1A6"/>
    <w:rsid w:val="00CD6F6E"/>
    <w:rsid w:val="00CE08D1"/>
    <w:rsid w:val="00CE157F"/>
    <w:rsid w:val="00CE1966"/>
    <w:rsid w:val="00CE1ED4"/>
    <w:rsid w:val="00CE2216"/>
    <w:rsid w:val="00CE3014"/>
    <w:rsid w:val="00CE30E5"/>
    <w:rsid w:val="00CE6FC6"/>
    <w:rsid w:val="00CE7CA9"/>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69D"/>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B5C"/>
    <w:rsid w:val="00E53C15"/>
    <w:rsid w:val="00E54EE6"/>
    <w:rsid w:val="00E56715"/>
    <w:rsid w:val="00E56C2C"/>
    <w:rsid w:val="00E57F8E"/>
    <w:rsid w:val="00E611C8"/>
    <w:rsid w:val="00E63256"/>
    <w:rsid w:val="00E6344A"/>
    <w:rsid w:val="00E64E69"/>
    <w:rsid w:val="00E64FB7"/>
    <w:rsid w:val="00E669A1"/>
    <w:rsid w:val="00E66FE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41D3"/>
    <w:rsid w:val="00E8713B"/>
    <w:rsid w:val="00E90C61"/>
    <w:rsid w:val="00E92A82"/>
    <w:rsid w:val="00E92AA8"/>
    <w:rsid w:val="00E9344E"/>
    <w:rsid w:val="00E93E39"/>
    <w:rsid w:val="00E94391"/>
    <w:rsid w:val="00E96DFD"/>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5EF6"/>
    <w:rsid w:val="00F77D43"/>
    <w:rsid w:val="00F803AF"/>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294E0FDA"/>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Overskrift1">
    <w:name w:val="heading 1"/>
    <w:basedOn w:val="Normal"/>
    <w:next w:val="Normal"/>
    <w:link w:val="Overskrift1Tegn"/>
    <w:qFormat/>
    <w:rsid w:val="009E7724"/>
    <w:pPr>
      <w:keepNext/>
      <w:numPr>
        <w:numId w:val="5"/>
      </w:numPr>
      <w:spacing w:before="240" w:after="60"/>
      <w:outlineLvl w:val="0"/>
    </w:pPr>
    <w:rPr>
      <w:rFonts w:cs="Arial"/>
      <w:b/>
      <w:bCs/>
      <w:kern w:val="32"/>
      <w:sz w:val="24"/>
      <w:szCs w:val="32"/>
    </w:rPr>
  </w:style>
  <w:style w:type="paragraph" w:styleId="Overskrift2">
    <w:name w:val="heading 2"/>
    <w:basedOn w:val="Normal"/>
    <w:next w:val="Normal"/>
    <w:link w:val="Overskrift2Tegn"/>
    <w:qFormat/>
    <w:rsid w:val="00886A60"/>
    <w:pPr>
      <w:keepNext/>
      <w:keepLines/>
      <w:spacing w:before="200" w:after="120"/>
      <w:outlineLvl w:val="1"/>
    </w:pPr>
    <w:rPr>
      <w:b/>
      <w:bCs/>
      <w:szCs w:val="26"/>
    </w:rPr>
  </w:style>
  <w:style w:type="paragraph" w:styleId="Overskrift3">
    <w:name w:val="heading 3"/>
    <w:basedOn w:val="Normal"/>
    <w:next w:val="Normal"/>
    <w:link w:val="Overskrift3Tegn"/>
    <w:qFormat/>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qFormat/>
    <w:rsid w:val="00E9344E"/>
    <w:pPr>
      <w:keepNext/>
      <w:keepLines/>
      <w:numPr>
        <w:numId w:val="13"/>
      </w:numPr>
      <w:spacing w:before="200"/>
      <w:jc w:val="both"/>
      <w:outlineLvl w:val="4"/>
    </w:pPr>
    <w:rPr>
      <w:b/>
    </w:rPr>
  </w:style>
  <w:style w:type="paragraph" w:styleId="Overskrift6">
    <w:name w:val="heading 6"/>
    <w:basedOn w:val="Normal"/>
    <w:next w:val="Normal"/>
    <w:link w:val="Overskrift6Tegn"/>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B64CB"/>
    <w:pPr>
      <w:tabs>
        <w:tab w:val="center" w:pos="4536"/>
        <w:tab w:val="right" w:pos="9072"/>
      </w:tabs>
    </w:pPr>
  </w:style>
  <w:style w:type="paragraph" w:styleId="Sidefod">
    <w:name w:val="footer"/>
    <w:basedOn w:val="Normal"/>
    <w:link w:val="SidefodTegn"/>
    <w:rsid w:val="005B64CB"/>
    <w:pPr>
      <w:tabs>
        <w:tab w:val="center" w:pos="4536"/>
        <w:tab w:val="right" w:pos="9072"/>
      </w:tabs>
    </w:pPr>
  </w:style>
  <w:style w:type="table" w:styleId="Tabel-Gitter">
    <w:name w:val="Table Grid"/>
    <w:basedOn w:val="Tabel-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etal">
    <w:name w:val="page number"/>
    <w:basedOn w:val="Standardskrifttypeiafsni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dnotetekstTegn"/>
    <w:qFormat/>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dholdsfortegnelse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henvisning">
    <w:name w:val="annotation reference"/>
    <w:rsid w:val="004B1E61"/>
    <w:rPr>
      <w:sz w:val="16"/>
      <w:szCs w:val="16"/>
    </w:rPr>
  </w:style>
  <w:style w:type="paragraph" w:styleId="Kommentartekst">
    <w:name w:val="annotation text"/>
    <w:basedOn w:val="Normal"/>
    <w:link w:val="KommentartekstTegn"/>
    <w:rsid w:val="004B1E61"/>
    <w:rPr>
      <w:szCs w:val="20"/>
    </w:rPr>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
    <w:basedOn w:val="Normal"/>
    <w:link w:val="ListeafsnitTegn"/>
    <w:uiPriority w:val="34"/>
    <w:qFormat/>
    <w:rsid w:val="002A0C82"/>
    <w:pPr>
      <w:ind w:left="720"/>
      <w:contextualSpacing/>
    </w:pPr>
  </w:style>
  <w:style w:type="paragraph" w:styleId="Overskrift">
    <w:name w:val="TOC Heading"/>
    <w:basedOn w:val="Overskrift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Cha Tegn"/>
    <w:link w:val="Fodnote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Fremhv">
    <w:name w:val="Emphasis"/>
    <w:uiPriority w:val="20"/>
    <w:qFormat/>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lledtekst">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oversigt">
    <w:name w:val="Document Map"/>
    <w:basedOn w:val="Normal"/>
    <w:link w:val="DokumentoversigtTegn"/>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rsid w:val="00AA016B"/>
    <w:pPr>
      <w:numPr>
        <w:numId w:val="8"/>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rsid w:val="002D6E1A"/>
  </w:style>
  <w:style w:type="character" w:styleId="BesgtLink">
    <w:name w:val="FollowedHyperlink"/>
    <w:unhideWhenUs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rsid w:val="002D6E1A"/>
    <w:rPr>
      <w:rFonts w:ascii="Georgia" w:hAnsi="Georgia"/>
      <w:sz w:val="22"/>
      <w:szCs w:val="24"/>
      <w:lang w:eastAsia="de-DE"/>
    </w:rPr>
  </w:style>
  <w:style w:type="paragraph" w:styleId="Slutnotetekst">
    <w:name w:val="endnote text"/>
    <w:basedOn w:val="Normal"/>
    <w:link w:val="SlutnotetekstTegn"/>
    <w:unhideWhenUsed/>
    <w:rsid w:val="002D6E1A"/>
    <w:rPr>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
    <w:link w:val="Listeafsnit"/>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ehenvisning">
    <w:name w:val="endnote reference"/>
    <w:unhideWhenUsed/>
    <w:rsid w:val="002D6E1A"/>
    <w:rPr>
      <w:vertAlign w:val="superscript"/>
    </w:rPr>
  </w:style>
  <w:style w:type="character" w:styleId="Pladsholderteks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verskrift5Tegn">
    <w:name w:val="Overskrift 5 Tegn"/>
    <w:aliases w:val="Questions Tegn"/>
    <w:link w:val="Overskrift5"/>
    <w:rsid w:val="00E9344E"/>
    <w:rPr>
      <w:rFonts w:ascii="Arial" w:hAnsi="Arial"/>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versk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verskrift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Opstilling-talellerbogst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Normal"/>
    <w:next w:val="Normal"/>
    <w:link w:val="TitelTeg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krifttypeiafsni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Kraftigfremhvning">
    <w:name w:val="Intense Emphasis"/>
    <w:basedOn w:val="Standardskrifttypeiafsnit"/>
    <w:uiPriority w:val="21"/>
    <w:qFormat/>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krifttypeiafsni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krifttypeiafsnit"/>
    <w:link w:val="Questionstyle"/>
    <w:rsid w:val="008701E5"/>
    <w:rPr>
      <w:rFonts w:asciiTheme="minorHAnsi" w:eastAsiaTheme="minorEastAsia" w:hAnsiTheme="minorHAnsi" w:cstheme="minorBidi"/>
      <w:b/>
      <w:sz w:val="22"/>
      <w:lang w:eastAsia="en-US"/>
    </w:rPr>
  </w:style>
  <w:style w:type="paragraph" w:styleId="Undertitel">
    <w:name w:val="Subtitle"/>
    <w:basedOn w:val="Normal"/>
    <w:next w:val="Normal"/>
    <w:link w:val="UndertitelTeg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titelTegn">
    <w:name w:val="Undertitel Tegn"/>
    <w:basedOn w:val="Standardskrifttypeiafsnit"/>
    <w:link w:val="Und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afsnit"/>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rdskrifttypeiafsni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rdskrifttypeiafsni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63DF08F052542BBEC4B7143196D92" ma:contentTypeVersion="13" ma:contentTypeDescription="Create a new document." ma:contentTypeScope="" ma:versionID="70526798fb6dcd6dc5ba23cc316f9140">
  <xsd:schema xmlns:xsd="http://www.w3.org/2001/XMLSchema" xmlns:xs="http://www.w3.org/2001/XMLSchema" xmlns:p="http://schemas.microsoft.com/office/2006/metadata/properties" xmlns:ns2="24943991-94d7-4778-a9b3-19e5f2086ea5" xmlns:ns3="a8b3785c-1687-4cfb-bb96-457c34477ce8" targetNamespace="http://schemas.microsoft.com/office/2006/metadata/properties" ma:root="true" ma:fieldsID="f99fd427c453dfd57d9d1d0d703477d1" ns2:_="" ns3:_="">
    <xsd:import namespace="24943991-94d7-4778-a9b3-19e5f2086ea5"/>
    <xsd:import namespace="a8b3785c-1687-4cfb-bb96-457c34477ce8"/>
    <xsd:element name="properties">
      <xsd:complexType>
        <xsd:sequence>
          <xsd:element name="documentManagement">
            <xsd:complexType>
              <xsd:all>
                <xsd:element ref="ns2:_dlc_DocId" minOccurs="0"/>
                <xsd:element ref="ns2:_dlc_DocIdUrl" minOccurs="0"/>
                <xsd:element ref="ns2:_dlc_DocIdPersistId" minOccurs="0"/>
                <xsd:element ref="ns2:fd_documentDate" minOccurs="0"/>
                <xsd:element ref="ns2:ob7afa27584f400f95462db069cc28f2" minOccurs="0"/>
                <xsd:element ref="ns2:TaxCatchAll" minOccurs="0"/>
                <xsd:element ref="ns2:fd_owner" minOccurs="0"/>
                <xsd:element ref="ns3:MediaServiceMetadata" minOccurs="0"/>
                <xsd:element ref="ns3:MediaServiceFastMetadata" minOccurs="0"/>
                <xsd:element ref="ns2:SharedWithUsers" minOccurs="0"/>
                <xsd:element ref="ns2:SharedWithDetails"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3991-94d7-4778-a9b3-19e5f2086e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d_documentDate" ma:index="11" nillable="true" ma:displayName="Document Date" ma:format="DateOnly" ma:internalName="fd_documentDate">
      <xsd:simpleType>
        <xsd:restriction base="dms:DateTime"/>
      </xsd:simpleType>
    </xsd:element>
    <xsd:element name="ob7afa27584f400f95462db069cc28f2" ma:index="13" nillable="true" ma:taxonomy="true" ma:internalName="ob7afa27584f400f95462db069cc28f2" ma:taxonomyFieldName="fd_journal" ma:displayName="Journal" ma:readOnly="false" ma:default="" ma:fieldId="{8b7afa27-584f-400f-9546-2db069cc28f2}" ma:taxonomyMulti="true" ma:sspId="6f0cbb39-80df-46cc-b4ae-a450fbe8aaff" ma:termSetId="eff4ded4-4221-4ac8-94b2-15177ff2d36d"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0d50d06-2bfc-473a-b0a8-bd4ab380f6a6}" ma:internalName="TaxCatchAll" ma:showField="CatchAllData" ma:web="24943991-94d7-4778-a9b3-19e5f2086ea5">
      <xsd:complexType>
        <xsd:complexContent>
          <xsd:extension base="dms:MultiChoiceLookup">
            <xsd:sequence>
              <xsd:element name="Value" type="dms:Lookup" maxOccurs="unbounded" minOccurs="0" nillable="true"/>
            </xsd:sequence>
          </xsd:extension>
        </xsd:complexContent>
      </xsd:complexType>
    </xsd:element>
    <xsd:element name="fd_owner" ma:index="15" nillable="true" ma:displayName="Owner" ma:internalName="fd_owner">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3785c-1687-4cfb-bb96-457c34477ce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Person" ma:index="20" nillable="true" ma:displayName="Perso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4943991-94d7-4778-a9b3-19e5f2086ea5">FIDA-1344658213-685369</_dlc_DocId>
    <_dlc_DocIdUrl xmlns="24943991-94d7-4778-a9b3-19e5f2086ea5">
      <Url>https://fida.sharepoint.com/sites/INT-Rega/_layouts/15/DocIdRedir.aspx?ID=FIDA-1344658213-685369</Url>
      <Description>FIDA-1344658213-685369</Description>
    </_dlc_DocIdUrl>
    <ob7afa27584f400f95462db069cc28f2 xmlns="24943991-94d7-4778-a9b3-19e5f2086ea5">
      <Terms xmlns="http://schemas.microsoft.com/office/infopath/2007/PartnerControls">
        <TermInfo xmlns="http://schemas.microsoft.com/office/infopath/2007/PartnerControls">
          <TermName xmlns="http://schemas.microsoft.com/office/infopath/2007/PartnerControls">514/02. Prospektdirektivet og prospekt- og udbudsregler</TermName>
          <TermId xmlns="http://schemas.microsoft.com/office/infopath/2007/PartnerControls">5282f200-bb03-4e53-952d-99cc72836787</TermId>
        </TermInfo>
      </Terms>
    </ob7afa27584f400f95462db069cc28f2>
    <fd_documentDate xmlns="24943991-94d7-4778-a9b3-19e5f2086ea5">2018-10-04T22:00:00+00:00</fd_documentDate>
    <Person xmlns="a8b3785c-1687-4cfb-bb96-457c34477ce8">
      <UserInfo>
        <DisplayName/>
        <AccountId xsi:nil="true"/>
        <AccountType/>
      </UserInfo>
    </Person>
    <TaxCatchAll xmlns="24943991-94d7-4778-a9b3-19e5f2086ea5">
      <Value>38</Value>
    </TaxCatchAll>
    <fd_owner xmlns="24943991-94d7-4778-a9b3-19e5f2086e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F373-AD56-4977-A30C-48084E93A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3991-94d7-4778-a9b3-19e5f2086ea5"/>
    <ds:schemaRef ds:uri="a8b3785c-1687-4cfb-bb96-457c34477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4943991-94d7-4778-a9b3-19e5f2086ea5"/>
    <ds:schemaRef ds:uri="a8b3785c-1687-4cfb-bb96-457c34477ce8"/>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120E369A-F7D9-4381-8625-839556C78B16}">
  <ds:schemaRefs>
    <ds:schemaRef ds:uri="http://schemas.microsoft.com/sharepoint/events"/>
  </ds:schemaRefs>
</ds:datastoreItem>
</file>

<file path=customXml/itemProps5.xml><?xml version="1.0" encoding="utf-8"?>
<ds:datastoreItem xmlns:ds="http://schemas.openxmlformats.org/officeDocument/2006/customXml" ds:itemID="{EF41E8C3-0635-4CED-854A-4019CE4EFD76}">
  <ds:schemaRefs>
    <ds:schemaRef ds:uri="http://schemas.openxmlformats.org/officeDocument/2006/bibliography"/>
  </ds:schemaRefs>
</ds:datastoreItem>
</file>

<file path=customXml/itemProps6.xml><?xml version="1.0" encoding="utf-8"?>
<ds:datastoreItem xmlns:ds="http://schemas.openxmlformats.org/officeDocument/2006/customXml" ds:itemID="{7D882BF9-9321-40DF-BEE5-98EE95D0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1612</Words>
  <Characters>9057</Characters>
  <Application>Microsoft Office Word</Application>
  <DocSecurity>8</DocSecurity>
  <Lines>75</Lines>
  <Paragraphs>21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10648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ESMA consultation 31-62-996 on Guidelines on risk factors under the Prospectus Regulation</dc:title>
  <dc:creator>ESMA</dc:creator>
  <cp:lastModifiedBy>Lars Ravn Knudsen</cp:lastModifiedBy>
  <cp:revision>16</cp:revision>
  <cp:lastPrinted>2015-02-18T11:01:00Z</cp:lastPrinted>
  <dcterms:created xsi:type="dcterms:W3CDTF">2018-10-05T08:38:00Z</dcterms:created>
  <dcterms:modified xsi:type="dcterms:W3CDTF">2018-10-05T12:01:00Z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0x0101005BA63DF08F052542BBEC4B7143196D92</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b23c9653-b45e-4ba4-808b-24b8b2ea1bca</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fd_journal">
    <vt:lpwstr>38;#514/02. Prospektdirektivet og prospekt- og udbudsregler|5282f200-bb03-4e53-952d-99cc72836787</vt:lpwstr>
  </property>
</Properties>
</file>