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D5469D" w:rsidP="007243F1">
            <w:pPr>
              <w:pStyle w:val="00bDBInfo"/>
              <w:rPr>
                <w:rFonts w:cs="Arial"/>
              </w:rPr>
            </w:pPr>
            <w:r>
              <w:rPr>
                <w:rFonts w:cs="Arial"/>
              </w:rPr>
              <w:t>13</w:t>
            </w:r>
            <w:r w:rsidR="007243F1">
              <w:rPr>
                <w:rFonts w:cs="Arial"/>
              </w:rPr>
              <w:t xml:space="preserve"> July </w:t>
            </w:r>
            <w:r w:rsidR="00EF5FB9">
              <w:rPr>
                <w:rFonts w:cs="Arial"/>
              </w:rPr>
              <w:t>2018</w:t>
            </w:r>
          </w:p>
        </w:tc>
      </w:tr>
    </w:tbl>
    <w:p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rsidTr="006E0A4F">
        <w:trPr>
          <w:trHeight w:hRule="exact" w:val="2475"/>
        </w:trPr>
        <w:tc>
          <w:tcPr>
            <w:tcW w:w="9646" w:type="dxa"/>
            <w:vAlign w:val="bottom"/>
          </w:tcPr>
          <w:p w:rsidR="00AF38AF" w:rsidRPr="00AF38AF" w:rsidRDefault="006F4535" w:rsidP="00AF38A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w:t>
            </w:r>
            <w:r w:rsidR="00AF38AF">
              <w:rPr>
                <w:rFonts w:cs="Arial"/>
                <w:szCs w:val="56"/>
              </w:rPr>
              <w:t xml:space="preserve">the </w:t>
            </w:r>
            <w:r w:rsidRPr="006E0A4F">
              <w:rPr>
                <w:rFonts w:cs="Arial"/>
                <w:szCs w:val="56"/>
              </w:rPr>
              <w:t>Consultation Paper on</w:t>
            </w:r>
            <w:r w:rsidR="00AF38AF" w:rsidRPr="00AF38AF">
              <w:rPr>
                <w:rFonts w:cs="Arial"/>
                <w:szCs w:val="56"/>
              </w:rPr>
              <w:t xml:space="preserve"> </w:t>
            </w:r>
            <w:r w:rsidR="00ED30E9">
              <w:rPr>
                <w:rFonts w:cs="Arial"/>
                <w:szCs w:val="56"/>
              </w:rPr>
              <w:t>Guidelines on risk f</w:t>
            </w:r>
            <w:r w:rsidR="007243F1">
              <w:rPr>
                <w:rFonts w:cs="Arial"/>
                <w:szCs w:val="56"/>
              </w:rPr>
              <w:t>actors</w:t>
            </w:r>
            <w:r w:rsidR="00ED30E9">
              <w:rPr>
                <w:rFonts w:cs="Arial"/>
                <w:szCs w:val="56"/>
              </w:rPr>
              <w:t xml:space="preserve"> under </w:t>
            </w:r>
            <w:r w:rsidR="00673FC5">
              <w:rPr>
                <w:rFonts w:cs="Arial"/>
                <w:szCs w:val="56"/>
              </w:rPr>
              <w:t xml:space="preserve">the </w:t>
            </w:r>
            <w:r w:rsidR="00ED30E9">
              <w:rPr>
                <w:rFonts w:cs="Arial"/>
                <w:szCs w:val="56"/>
              </w:rPr>
              <w:t>Prospectus Regulation</w:t>
            </w:r>
          </w:p>
          <w:p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rsidTr="006E0A4F">
        <w:trPr>
          <w:trHeight w:hRule="exact" w:val="1237"/>
        </w:trPr>
        <w:tc>
          <w:tcPr>
            <w:tcW w:w="9646"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7243F1">
            <w:pPr>
              <w:pStyle w:val="02Date"/>
              <w:rPr>
                <w:rFonts w:cs="Arial"/>
              </w:rPr>
            </w:pPr>
            <w:r w:rsidRPr="001541FE">
              <w:rPr>
                <w:rFonts w:cs="Arial"/>
              </w:rPr>
              <w:lastRenderedPageBreak/>
              <w:t xml:space="preserve">Date: </w:t>
            </w:r>
            <w:r w:rsidR="002C6AAF" w:rsidRPr="001541FE">
              <w:rPr>
                <w:rFonts w:cs="Arial"/>
              </w:rPr>
              <w:t>13</w:t>
            </w:r>
            <w:r w:rsidR="007243F1" w:rsidRPr="001541FE">
              <w:rPr>
                <w:rFonts w:cs="Arial"/>
              </w:rPr>
              <w:t xml:space="preserve"> July</w:t>
            </w:r>
            <w:r w:rsidR="005738DE" w:rsidRPr="001541FE">
              <w:rPr>
                <w:rFonts w:cs="Arial"/>
              </w:rPr>
              <w:t xml:space="preserve"> 2018</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9A3017" w:rsidRDefault="009A3017" w:rsidP="00E66FE1">
      <w:pPr>
        <w:jc w:val="both"/>
        <w:rPr>
          <w:rStyle w:val="Accentuationlgre"/>
          <w:b w:val="0"/>
          <w:sz w:val="22"/>
        </w:rPr>
      </w:pPr>
      <w:r w:rsidRPr="00EB79DD">
        <w:rPr>
          <w:rStyle w:val="Accentuationlgre"/>
          <w:b w:val="0"/>
          <w:sz w:val="22"/>
        </w:rPr>
        <w:t xml:space="preserve">ESMA invites responses to the questions set out throughout </w:t>
      </w:r>
      <w:r w:rsidR="00963D60" w:rsidRPr="00EB79DD">
        <w:rPr>
          <w:rStyle w:val="Accentuationlgre"/>
          <w:b w:val="0"/>
          <w:sz w:val="22"/>
        </w:rPr>
        <w:t xml:space="preserve">its </w:t>
      </w:r>
      <w:r w:rsidR="00EF5FB9" w:rsidRPr="00EB79DD">
        <w:rPr>
          <w:rStyle w:val="Accentuationlgre"/>
          <w:b w:val="0"/>
          <w:sz w:val="22"/>
        </w:rPr>
        <w:t xml:space="preserve">Consultation Paper </w:t>
      </w:r>
      <w:r w:rsidR="00767A6B">
        <w:rPr>
          <w:rStyle w:val="Accentuationlgre"/>
          <w:b w:val="0"/>
          <w:sz w:val="22"/>
        </w:rPr>
        <w:t xml:space="preserve">on </w:t>
      </w:r>
      <w:r w:rsidR="00ED30E9" w:rsidRPr="00ED30E9">
        <w:rPr>
          <w:rStyle w:val="Accentuationlgre"/>
          <w:b w:val="0"/>
          <w:sz w:val="22"/>
        </w:rPr>
        <w:t>Guideline</w:t>
      </w:r>
      <w:r w:rsidR="00ED30E9">
        <w:rPr>
          <w:rStyle w:val="Accentuationlgre"/>
          <w:b w:val="0"/>
          <w:sz w:val="22"/>
        </w:rPr>
        <w:t xml:space="preserve">s on risk factors under </w:t>
      </w:r>
      <w:r w:rsidR="00673FC5">
        <w:rPr>
          <w:rStyle w:val="Accentuationlgre"/>
          <w:b w:val="0"/>
          <w:sz w:val="22"/>
        </w:rPr>
        <w:t xml:space="preserve">the </w:t>
      </w:r>
      <w:r w:rsidR="00ED30E9">
        <w:rPr>
          <w:rStyle w:val="Accentuationlgre"/>
          <w:b w:val="0"/>
          <w:sz w:val="22"/>
        </w:rPr>
        <w:t>Prospec</w:t>
      </w:r>
      <w:r w:rsidR="00ED30E9" w:rsidRPr="00ED30E9">
        <w:rPr>
          <w:rStyle w:val="Accentuationlgre"/>
          <w:b w:val="0"/>
          <w:sz w:val="22"/>
        </w:rPr>
        <w:t>tus Regulation</w:t>
      </w:r>
      <w:r w:rsidRPr="00EB79DD">
        <w:rPr>
          <w:rStyle w:val="Accentuationlgre"/>
          <w:b w:val="0"/>
          <w:sz w:val="22"/>
        </w:rPr>
        <w:t>. Responses are most helpful if they:</w:t>
      </w:r>
    </w:p>
    <w:p w:rsidR="00AF38AF" w:rsidRPr="00E40A5C" w:rsidRDefault="00AF38AF" w:rsidP="00AF38AF">
      <w:pPr>
        <w:rPr>
          <w:rStyle w:val="Accentuationlgre"/>
          <w:b w:val="0"/>
          <w:sz w:val="22"/>
        </w:rPr>
      </w:pPr>
    </w:p>
    <w:p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respond to the question stated;</w:t>
      </w:r>
    </w:p>
    <w:p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contain a clear rationale; and</w:t>
      </w:r>
    </w:p>
    <w:p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describe any alternatives ESMA should consider.</w:t>
      </w:r>
    </w:p>
    <w:p w:rsidR="009A3017" w:rsidRPr="00E40A5C" w:rsidRDefault="009A3017" w:rsidP="009A3017">
      <w:pPr>
        <w:spacing w:after="240"/>
        <w:jc w:val="both"/>
        <w:rPr>
          <w:rStyle w:val="Accentuationlgre"/>
          <w:b w:val="0"/>
          <w:sz w:val="22"/>
        </w:rPr>
      </w:pPr>
      <w:r w:rsidRPr="00E40A5C">
        <w:rPr>
          <w:rStyle w:val="Accentuationlgre"/>
          <w:b w:val="0"/>
          <w:sz w:val="22"/>
        </w:rPr>
        <w:t xml:space="preserve">ESMA will consider all responses received by </w:t>
      </w:r>
      <w:r w:rsidR="00EB79DD" w:rsidRPr="00EB79DD">
        <w:rPr>
          <w:rStyle w:val="Accentuationlgre"/>
          <w:b w:val="0"/>
          <w:sz w:val="22"/>
        </w:rPr>
        <w:t>0</w:t>
      </w:r>
      <w:r w:rsidR="00AF38AF" w:rsidRPr="00EB79DD">
        <w:rPr>
          <w:rStyle w:val="Accentuationlgre"/>
          <w:b w:val="0"/>
          <w:sz w:val="22"/>
        </w:rPr>
        <w:t xml:space="preserve">5 </w:t>
      </w:r>
      <w:r w:rsidR="00EB79DD" w:rsidRPr="00EB79DD">
        <w:rPr>
          <w:rStyle w:val="Accentuationlgre"/>
          <w:b w:val="0"/>
          <w:sz w:val="22"/>
        </w:rPr>
        <w:t>October</w:t>
      </w:r>
      <w:r w:rsidR="005C6485" w:rsidRPr="00EB79DD">
        <w:rPr>
          <w:rStyle w:val="Accentuationlgre"/>
          <w:b w:val="0"/>
          <w:sz w:val="22"/>
        </w:rPr>
        <w:t xml:space="preserve"> 2018</w:t>
      </w:r>
      <w:r w:rsidRPr="00EB79DD">
        <w:rPr>
          <w:rStyle w:val="Accentuationlgre"/>
          <w:b w:val="0"/>
          <w:sz w:val="22"/>
        </w:rPr>
        <w:t>.</w:t>
      </w:r>
    </w:p>
    <w:p w:rsidR="009A3017" w:rsidRPr="00E40A5C" w:rsidRDefault="009A3017" w:rsidP="009A3017">
      <w:pPr>
        <w:spacing w:after="120"/>
        <w:jc w:val="both"/>
        <w:rPr>
          <w:rStyle w:val="Accentuationlgre"/>
          <w:sz w:val="22"/>
        </w:rPr>
      </w:pPr>
      <w:r w:rsidRPr="00E40A5C">
        <w:rPr>
          <w:rStyle w:val="Accentuationlgre"/>
          <w:sz w:val="22"/>
        </w:rPr>
        <w:t>Instructions</w:t>
      </w:r>
    </w:p>
    <w:p w:rsidR="009A3017" w:rsidRPr="00E40A5C" w:rsidRDefault="009A3017" w:rsidP="009A3017">
      <w:pPr>
        <w:spacing w:after="240"/>
        <w:jc w:val="both"/>
        <w:rPr>
          <w:rStyle w:val="Accentuationlgre"/>
          <w:b w:val="0"/>
          <w:sz w:val="22"/>
        </w:rPr>
      </w:pPr>
      <w:r w:rsidRPr="00E40A5C">
        <w:rPr>
          <w:rStyle w:val="Accentuationlgre"/>
          <w:b w:val="0"/>
          <w:sz w:val="22"/>
        </w:rPr>
        <w:t>In order to facilitate analysis of responses to the Consultation Paper, respondents are requested to follow the below steps when preparing and submitting their response:</w:t>
      </w:r>
    </w:p>
    <w:p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 xml:space="preserve">Insert your responses to the questions in the Consultation Paper in </w:t>
      </w:r>
      <w:r w:rsidR="00963D60">
        <w:rPr>
          <w:rStyle w:val="Accentuationlgre"/>
          <w:b w:val="0"/>
          <w:sz w:val="22"/>
        </w:rPr>
        <w:t>the present</w:t>
      </w:r>
      <w:r w:rsidR="00963D60" w:rsidRPr="00E40A5C">
        <w:rPr>
          <w:rStyle w:val="Accentuationlgre"/>
          <w:b w:val="0"/>
          <w:sz w:val="22"/>
        </w:rPr>
        <w:t xml:space="preserve"> </w:t>
      </w:r>
      <w:r w:rsidR="00315895">
        <w:rPr>
          <w:rStyle w:val="Accentuationlgre"/>
          <w:b w:val="0"/>
          <w:sz w:val="22"/>
        </w:rPr>
        <w:t xml:space="preserve">response </w:t>
      </w:r>
      <w:r w:rsidRPr="00E40A5C">
        <w:rPr>
          <w:rStyle w:val="Accentuationlgre"/>
          <w:b w:val="0"/>
          <w:sz w:val="22"/>
        </w:rPr>
        <w:t>form</w:t>
      </w:r>
      <w:r w:rsidR="00963D60">
        <w:rPr>
          <w:rStyle w:val="Accentuationlgre"/>
          <w:b w:val="0"/>
          <w:sz w:val="22"/>
        </w:rPr>
        <w:t>.</w:t>
      </w:r>
      <w:r w:rsidRPr="00E40A5C">
        <w:rPr>
          <w:rStyle w:val="Accentuationlgre"/>
          <w:b w:val="0"/>
          <w:sz w:val="22"/>
        </w:rPr>
        <w:t xml:space="preserve"> </w:t>
      </w:r>
    </w:p>
    <w:p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Please do not remove tags of the type &lt;ESMA_QUESTION_</w:t>
      </w:r>
      <w:r w:rsidR="007243F1">
        <w:rPr>
          <w:rStyle w:val="Accentuationlgre"/>
          <w:b w:val="0"/>
          <w:sz w:val="22"/>
        </w:rPr>
        <w:t>GRF</w:t>
      </w:r>
      <w:r w:rsidRPr="00E40A5C">
        <w:rPr>
          <w:rStyle w:val="Accentuationlgre"/>
          <w:b w:val="0"/>
          <w:sz w:val="22"/>
        </w:rPr>
        <w:t>_1&gt;. Your response to each question has to be framed by the two tags corresponding to the question.</w:t>
      </w:r>
    </w:p>
    <w:p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If you do not wish to respond to a given question, please do not delete it but simply leave the text “TYPE YOUR TEXT HERE” between the tags.</w:t>
      </w:r>
    </w:p>
    <w:p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When you have drafted your response, name your response form according to the following convention: ESMA_</w:t>
      </w:r>
      <w:r w:rsidR="007243F1">
        <w:rPr>
          <w:rStyle w:val="Accentuationlgre"/>
          <w:b w:val="0"/>
          <w:sz w:val="22"/>
        </w:rPr>
        <w:t>GRF</w:t>
      </w:r>
      <w:r w:rsidRPr="00E40A5C">
        <w:rPr>
          <w:rStyle w:val="Accentuationlgre"/>
          <w:b w:val="0"/>
          <w:sz w:val="22"/>
        </w:rPr>
        <w:t>_nameofrespondent_RESPONSEFORM. For example, for a respondent named ABCD, the response form would be entitled ESMA_</w:t>
      </w:r>
      <w:r w:rsidR="007243F1">
        <w:rPr>
          <w:rStyle w:val="Accentuationlgre"/>
          <w:b w:val="0"/>
          <w:sz w:val="22"/>
        </w:rPr>
        <w:t>GRF</w:t>
      </w:r>
      <w:r w:rsidRPr="00E40A5C">
        <w:rPr>
          <w:rStyle w:val="Accentuationlgre"/>
          <w:b w:val="0"/>
          <w:sz w:val="22"/>
        </w:rPr>
        <w:t>_ABCD_RESPONSEFORM.</w:t>
      </w:r>
    </w:p>
    <w:p w:rsidR="009A3017" w:rsidRPr="00E40A5C" w:rsidRDefault="009A3017" w:rsidP="00831A25">
      <w:pPr>
        <w:pStyle w:val="Paragraphedeliste"/>
        <w:numPr>
          <w:ilvl w:val="0"/>
          <w:numId w:val="37"/>
        </w:numPr>
        <w:spacing w:after="240" w:line="276" w:lineRule="auto"/>
        <w:contextualSpacing w:val="0"/>
        <w:jc w:val="both"/>
        <w:rPr>
          <w:rStyle w:val="Accentuationlgre"/>
          <w:b w:val="0"/>
          <w:sz w:val="22"/>
        </w:rPr>
      </w:pPr>
      <w:r w:rsidRPr="00E40A5C">
        <w:rPr>
          <w:rStyle w:val="Accentuationlgre"/>
          <w:b w:val="0"/>
          <w:sz w:val="22"/>
        </w:rPr>
        <w:t xml:space="preserve">Upload the form containing your responses, </w:t>
      </w:r>
      <w:r w:rsidRPr="00963D60">
        <w:rPr>
          <w:rStyle w:val="Accentuationlgre"/>
          <w:sz w:val="22"/>
        </w:rPr>
        <w:t>in Word format</w:t>
      </w:r>
      <w:r w:rsidRPr="00E40A5C">
        <w:rPr>
          <w:rStyle w:val="Accentuationlgre"/>
          <w:b w:val="0"/>
          <w:sz w:val="22"/>
        </w:rPr>
        <w:t>, to ESMA’s website (</w:t>
      </w:r>
      <w:hyperlink r:id="rId16" w:history="1">
        <w:r w:rsidRPr="00E40A5C">
          <w:rPr>
            <w:rStyle w:val="Lienhypertexte"/>
            <w:rFonts w:cs="Arial"/>
            <w:sz w:val="22"/>
          </w:rPr>
          <w:t>www.esma.europa.eu</w:t>
        </w:r>
      </w:hyperlink>
      <w:r w:rsidR="006E0A4F">
        <w:rPr>
          <w:rStyle w:val="Accentuationlgre"/>
          <w:b w:val="0"/>
          <w:sz w:val="22"/>
        </w:rPr>
        <w:t xml:space="preserve"> under the heading “Your input – Open consultatio</w:t>
      </w:r>
      <w:r w:rsidR="006E0A4F" w:rsidRPr="001D5360">
        <w:rPr>
          <w:rStyle w:val="Accentuationlgre"/>
          <w:b w:val="0"/>
          <w:sz w:val="22"/>
        </w:rPr>
        <w:t>ns”</w:t>
      </w:r>
      <w:r w:rsidRPr="001D5360">
        <w:rPr>
          <w:rStyle w:val="Accentuationlgre"/>
          <w:b w:val="0"/>
          <w:sz w:val="22"/>
        </w:rPr>
        <w:t xml:space="preserve"> </w:t>
      </w:r>
      <w:r w:rsidRPr="001D5360">
        <w:rPr>
          <w:rStyle w:val="Accentuationlgre"/>
          <w:b w:val="0"/>
          <w:sz w:val="22"/>
        </w:rPr>
        <w:sym w:font="Wingdings" w:char="F0E0"/>
      </w:r>
      <w:r w:rsidRPr="001D5360">
        <w:rPr>
          <w:rStyle w:val="Accentuationlgre"/>
          <w:b w:val="0"/>
          <w:sz w:val="22"/>
        </w:rPr>
        <w:t xml:space="preserve"> </w:t>
      </w:r>
      <w:r w:rsidR="006E0A4F" w:rsidRPr="001D5360">
        <w:rPr>
          <w:rStyle w:val="Accentuationlgre"/>
          <w:b w:val="0"/>
          <w:sz w:val="22"/>
        </w:rPr>
        <w:t>“</w:t>
      </w:r>
      <w:r w:rsidR="00EF5FB9" w:rsidRPr="00EF5FB9">
        <w:rPr>
          <w:rStyle w:val="Accentuationlgre"/>
          <w:b w:val="0"/>
          <w:sz w:val="22"/>
        </w:rPr>
        <w:t xml:space="preserve">Consultation </w:t>
      </w:r>
      <w:r w:rsidR="00767A6B">
        <w:rPr>
          <w:rStyle w:val="Accentuationlgre"/>
          <w:b w:val="0"/>
          <w:sz w:val="22"/>
        </w:rPr>
        <w:t>on</w:t>
      </w:r>
      <w:r w:rsidR="00ED30E9" w:rsidRPr="00ED30E9">
        <w:rPr>
          <w:rStyle w:val="Accentuationlgre"/>
          <w:b w:val="0"/>
          <w:sz w:val="22"/>
        </w:rPr>
        <w:t xml:space="preserve"> Guideline</w:t>
      </w:r>
      <w:r w:rsidR="00ED30E9">
        <w:rPr>
          <w:rStyle w:val="Accentuationlgre"/>
          <w:b w:val="0"/>
          <w:sz w:val="22"/>
        </w:rPr>
        <w:t xml:space="preserve">s on risk factors under </w:t>
      </w:r>
      <w:r w:rsidR="00673FC5">
        <w:rPr>
          <w:rStyle w:val="Accentuationlgre"/>
          <w:b w:val="0"/>
          <w:sz w:val="22"/>
        </w:rPr>
        <w:t xml:space="preserve">the </w:t>
      </w:r>
      <w:r w:rsidR="00ED30E9">
        <w:rPr>
          <w:rStyle w:val="Accentuationlgre"/>
          <w:b w:val="0"/>
          <w:sz w:val="22"/>
        </w:rPr>
        <w:t>Prospec</w:t>
      </w:r>
      <w:r w:rsidR="00ED30E9" w:rsidRPr="00ED30E9">
        <w:rPr>
          <w:rStyle w:val="Accentuationlgre"/>
          <w:b w:val="0"/>
          <w:sz w:val="22"/>
        </w:rPr>
        <w:t>tus Regulation</w:t>
      </w:r>
      <w:r w:rsidR="006E0A4F" w:rsidRPr="001D5360">
        <w:rPr>
          <w:rStyle w:val="Accentuationlgre"/>
          <w:b w:val="0"/>
          <w:sz w:val="22"/>
        </w:rPr>
        <w:t>”</w:t>
      </w:r>
      <w:r w:rsidRPr="001D5360">
        <w:rPr>
          <w:rStyle w:val="Accentuationlgre"/>
          <w:b w:val="0"/>
          <w:sz w:val="22"/>
        </w:rPr>
        <w:t>).</w:t>
      </w:r>
    </w:p>
    <w:p w:rsidR="009A3017" w:rsidRPr="00E40A5C" w:rsidRDefault="009A3017" w:rsidP="009A3017">
      <w:pPr>
        <w:spacing w:after="120"/>
        <w:jc w:val="both"/>
        <w:rPr>
          <w:rStyle w:val="Accentuationlgre"/>
          <w:sz w:val="22"/>
          <w:lang w:eastAsia="en-GB"/>
        </w:rPr>
      </w:pPr>
      <w:r w:rsidRPr="00E40A5C">
        <w:rPr>
          <w:rStyle w:val="Accentuationlgre"/>
          <w:sz w:val="22"/>
          <w:lang w:eastAsia="en-GB"/>
        </w:rPr>
        <w:t>Publication of responses</w:t>
      </w:r>
    </w:p>
    <w:p w:rsidR="009A3017" w:rsidRPr="00E40A5C" w:rsidRDefault="009A3017" w:rsidP="009A3017">
      <w:pPr>
        <w:spacing w:after="240"/>
        <w:jc w:val="both"/>
        <w:rPr>
          <w:rStyle w:val="Accentuationlgre"/>
          <w:b w:val="0"/>
          <w:sz w:val="22"/>
          <w:lang w:eastAsia="en-GB"/>
        </w:rPr>
      </w:pPr>
      <w:r w:rsidRPr="00E40A5C">
        <w:rPr>
          <w:rStyle w:val="Accentuationlgre"/>
          <w:b w:val="0"/>
          <w:sz w:val="22"/>
          <w:lang w:eastAsia="en-GB"/>
        </w:rPr>
        <w:t xml:space="preserve">All contributions received will be published following the close of the consultation, unless you request otherwise. </w:t>
      </w:r>
      <w:r w:rsidRPr="00963D60">
        <w:rPr>
          <w:rStyle w:val="Accentuationlgre"/>
          <w:sz w:val="22"/>
          <w:lang w:eastAsia="en-GB"/>
        </w:rPr>
        <w:t>Please clearly indicate by ticking the appropriate checkbox on the website submission page if you do not wish your contribution to be publicly disclosed.</w:t>
      </w:r>
      <w:r w:rsidRPr="00E40A5C">
        <w:rPr>
          <w:rStyle w:val="Accentuationlgre"/>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9A3017" w:rsidRPr="00E40A5C" w:rsidRDefault="00315895" w:rsidP="004E6AE4">
      <w:pPr>
        <w:rPr>
          <w:rStyle w:val="Accentuationlgre"/>
          <w:sz w:val="22"/>
          <w:lang w:eastAsia="en-GB"/>
        </w:rPr>
      </w:pPr>
      <w:r>
        <w:rPr>
          <w:rStyle w:val="Accentuationlgre"/>
          <w:sz w:val="22"/>
          <w:lang w:eastAsia="en-GB"/>
        </w:rPr>
        <w:br w:type="page"/>
      </w:r>
      <w:r w:rsidR="009A3017" w:rsidRPr="00E40A5C">
        <w:rPr>
          <w:rStyle w:val="Accentuationlgre"/>
          <w:sz w:val="22"/>
          <w:lang w:eastAsia="en-GB"/>
        </w:rPr>
        <w:lastRenderedPageBreak/>
        <w:t>Data protection</w:t>
      </w:r>
    </w:p>
    <w:p w:rsidR="009A3017" w:rsidRPr="00E40A5C" w:rsidRDefault="009A3017" w:rsidP="009A3017">
      <w:pPr>
        <w:spacing w:after="240"/>
        <w:jc w:val="both"/>
        <w:rPr>
          <w:rStyle w:val="Accentuationlgre"/>
          <w:b w:val="0"/>
          <w:sz w:val="22"/>
          <w:lang w:eastAsia="en-GB"/>
        </w:rPr>
      </w:pPr>
      <w:r w:rsidRPr="00E40A5C">
        <w:rPr>
          <w:rStyle w:val="Accentuationlgre"/>
          <w:b w:val="0"/>
          <w:sz w:val="22"/>
          <w:lang w:eastAsia="en-GB"/>
        </w:rPr>
        <w:t xml:space="preserve">Information on data protection can be found at </w:t>
      </w:r>
      <w:hyperlink r:id="rId17" w:history="1">
        <w:r w:rsidRPr="00E40A5C">
          <w:rPr>
            <w:rStyle w:val="Lienhypertexte"/>
            <w:rFonts w:cs="Arial"/>
            <w:sz w:val="22"/>
            <w:lang w:eastAsia="en-GB"/>
          </w:rPr>
          <w:t>www.esma.europa.eu</w:t>
        </w:r>
      </w:hyperlink>
      <w:r w:rsidR="006E0A4F">
        <w:rPr>
          <w:rStyle w:val="Accentuationlgre"/>
          <w:b w:val="0"/>
          <w:sz w:val="22"/>
          <w:lang w:eastAsia="en-GB"/>
        </w:rPr>
        <w:t xml:space="preserve"> under the heading “Data protection”</w:t>
      </w:r>
      <w:r w:rsidRPr="00E40A5C">
        <w:rPr>
          <w:rStyle w:val="Accentuationlgre"/>
          <w:b w:val="0"/>
          <w:sz w:val="22"/>
          <w:lang w:eastAsia="en-GB"/>
        </w:rPr>
        <w:t>.</w:t>
      </w:r>
    </w:p>
    <w:p w:rsidR="009A3017" w:rsidRPr="00E40A5C" w:rsidRDefault="009A3017" w:rsidP="009A3017">
      <w:pPr>
        <w:spacing w:after="120"/>
        <w:jc w:val="both"/>
        <w:rPr>
          <w:rStyle w:val="Accentuationlgre"/>
          <w:sz w:val="22"/>
          <w:lang w:eastAsia="en-GB"/>
        </w:rPr>
      </w:pPr>
      <w:r w:rsidRPr="00E40A5C">
        <w:rPr>
          <w:rStyle w:val="Accentuationlgre"/>
          <w:sz w:val="22"/>
          <w:lang w:eastAsia="en-GB"/>
        </w:rPr>
        <w:t>Who should read th</w:t>
      </w:r>
      <w:r w:rsidR="00315895">
        <w:rPr>
          <w:rStyle w:val="Accentuationlgre"/>
          <w:sz w:val="22"/>
          <w:lang w:eastAsia="en-GB"/>
        </w:rPr>
        <w:t>e</w:t>
      </w:r>
      <w:r w:rsidRPr="00E40A5C">
        <w:rPr>
          <w:rStyle w:val="Accentuationlgre"/>
          <w:sz w:val="22"/>
          <w:lang w:eastAsia="en-GB"/>
        </w:rPr>
        <w:t xml:space="preserve"> Consultation Paper</w:t>
      </w:r>
    </w:p>
    <w:bookmarkEnd w:id="0"/>
    <w:p w:rsidR="00332304" w:rsidRDefault="002C6AAF" w:rsidP="004E6AE4">
      <w:pPr>
        <w:rPr>
          <w:rFonts w:cs="Arial"/>
          <w:b/>
          <w:bCs/>
          <w:kern w:val="32"/>
          <w:sz w:val="24"/>
          <w:szCs w:val="32"/>
        </w:rPr>
      </w:pPr>
      <w:r>
        <w:rPr>
          <w:rStyle w:val="Accentuationlgre"/>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participant who is affected by the new Prospectus Regulation.</w:t>
      </w:r>
      <w:r w:rsidR="00332304">
        <w:br w:type="page"/>
      </w:r>
    </w:p>
    <w:p w:rsidR="00B327E9" w:rsidRPr="00AB6D88" w:rsidRDefault="00B327E9" w:rsidP="00B327E9">
      <w:pPr>
        <w:pStyle w:val="Titre1"/>
        <w:numPr>
          <w:ilvl w:val="0"/>
          <w:numId w:val="0"/>
        </w:numPr>
      </w:pPr>
      <w:r w:rsidRPr="00AB6D88">
        <w:lastRenderedPageBreak/>
        <w:t>General information about respondent</w:t>
      </w:r>
    </w:p>
    <w:p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rsidTr="00F136AD">
        <w:tc>
          <w:tcPr>
            <w:tcW w:w="3929" w:type="dxa"/>
            <w:shd w:val="clear" w:color="auto" w:fill="auto"/>
          </w:tcPr>
          <w:p w:rsidR="00B327E9" w:rsidRPr="00E40A5C" w:rsidRDefault="00B327E9" w:rsidP="00F136AD">
            <w:pPr>
              <w:rPr>
                <w:rFonts w:cs="Arial"/>
                <w:sz w:val="22"/>
              </w:rPr>
            </w:pPr>
            <w:permStart w:id="579666780" w:edGrp="everyone" w:colFirst="1" w:colLast="1"/>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tc>
              <w:tcPr>
                <w:tcW w:w="5595" w:type="dxa"/>
                <w:shd w:val="clear" w:color="auto" w:fill="auto"/>
              </w:tcPr>
              <w:p w:rsidR="00B327E9" w:rsidRPr="00AB6D88" w:rsidRDefault="00C45E98" w:rsidP="00F136AD">
                <w:pPr>
                  <w:rPr>
                    <w:rStyle w:val="Textedelespacerserv"/>
                    <w:rFonts w:cs="Arial"/>
                  </w:rPr>
                </w:pPr>
                <w:r>
                  <w:rPr>
                    <w:rStyle w:val="Textedelespacerserv"/>
                    <w:rFonts w:cs="Arial"/>
                  </w:rPr>
                  <w:t>AFEP</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613300031" w:edGrp="everyone" w:colFirst="1" w:colLast="1"/>
            <w:permEnd w:id="579666780"/>
            <w:r w:rsidRPr="00E40A5C">
              <w:rPr>
                <w:rFonts w:cs="Arial"/>
                <w:sz w:val="22"/>
              </w:rPr>
              <w:t>Activity</w:t>
            </w:r>
          </w:p>
        </w:tc>
        <w:tc>
          <w:tcPr>
            <w:tcW w:w="5595" w:type="dxa"/>
            <w:shd w:val="clear" w:color="auto" w:fill="auto"/>
          </w:tcPr>
          <w:p w:rsidR="00B327E9" w:rsidRPr="00AB6D88" w:rsidRDefault="002727D5"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45E98">
                  <w:rPr>
                    <w:rFonts w:cs="Arial"/>
                  </w:rPr>
                  <w:t>Non-financial counterparty</w:t>
                </w:r>
              </w:sdtContent>
            </w:sdt>
          </w:p>
        </w:tc>
      </w:tr>
      <w:tr w:rsidR="00B327E9" w:rsidRPr="00AB6D88" w:rsidTr="00F136AD">
        <w:tc>
          <w:tcPr>
            <w:tcW w:w="3929" w:type="dxa"/>
            <w:shd w:val="clear" w:color="auto" w:fill="auto"/>
          </w:tcPr>
          <w:p w:rsidR="00B327E9" w:rsidRPr="00E40A5C" w:rsidRDefault="00B327E9" w:rsidP="00F136AD">
            <w:pPr>
              <w:rPr>
                <w:rFonts w:cs="Arial"/>
                <w:sz w:val="22"/>
              </w:rPr>
            </w:pPr>
            <w:permStart w:id="1383475120" w:edGrp="everyone" w:colFirst="1" w:colLast="1"/>
            <w:permEnd w:id="613300031"/>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B327E9" w:rsidRPr="00AB6D88" w:rsidRDefault="00C45E98" w:rsidP="00F136AD">
                <w:pPr>
                  <w:rPr>
                    <w:rFonts w:cs="Arial"/>
                  </w:rPr>
                </w:pPr>
                <w:r>
                  <w:rPr>
                    <w:rFonts w:ascii="MS Gothic" w:eastAsia="MS Gothic" w:hAnsi="MS Gothic" w:cs="Arial" w:hint="eastAsia"/>
                  </w:rPr>
                  <w:t>☒</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1319780494" w:edGrp="everyone" w:colFirst="1" w:colLast="1"/>
            <w:permEnd w:id="1383475120"/>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B327E9" w:rsidRPr="00AB6D88" w:rsidRDefault="00C45E98" w:rsidP="00F136AD">
                <w:pPr>
                  <w:rPr>
                    <w:rFonts w:cs="Arial"/>
                  </w:rPr>
                </w:pPr>
                <w:r>
                  <w:rPr>
                    <w:rFonts w:cs="Arial"/>
                  </w:rPr>
                  <w:t>France</w:t>
                </w:r>
              </w:p>
            </w:tc>
          </w:sdtContent>
        </w:sdt>
      </w:tr>
      <w:permEnd w:id="1319780494"/>
    </w:tbl>
    <w:p w:rsidR="00B327E9" w:rsidRDefault="00B327E9" w:rsidP="00B327E9">
      <w:pPr>
        <w:spacing w:after="120" w:line="264" w:lineRule="auto"/>
      </w:pPr>
    </w:p>
    <w:p w:rsidR="00B327E9" w:rsidRDefault="00B327E9" w:rsidP="00B327E9">
      <w:pPr>
        <w:pStyle w:val="Titre1"/>
        <w:numPr>
          <w:ilvl w:val="0"/>
          <w:numId w:val="0"/>
        </w:numPr>
        <w:ind w:left="431" w:hanging="431"/>
      </w:pPr>
      <w:r>
        <w:t>Introduction</w:t>
      </w:r>
    </w:p>
    <w:p w:rsidR="00B327E9" w:rsidRPr="00E40A5C" w:rsidRDefault="00B327E9" w:rsidP="00B327E9">
      <w:pPr>
        <w:rPr>
          <w:rStyle w:val="Accentuationintense"/>
          <w:sz w:val="22"/>
        </w:rPr>
      </w:pPr>
      <w:r w:rsidRPr="00E40A5C">
        <w:rPr>
          <w:rStyle w:val="Accentuationintense"/>
          <w:sz w:val="22"/>
        </w:rPr>
        <w:t>Please make your introductory comments below, if any:</w:t>
      </w:r>
    </w:p>
    <w:p w:rsidR="00B327E9" w:rsidRPr="00BF28DA" w:rsidRDefault="00B327E9" w:rsidP="00B327E9"/>
    <w:p w:rsidR="00B327E9" w:rsidRPr="006F4535" w:rsidRDefault="00B327E9" w:rsidP="00B327E9">
      <w:r w:rsidRPr="006F4535">
        <w:t>&lt;ESMA_COMMENT_</w:t>
      </w:r>
      <w:r w:rsidR="007243F1">
        <w:rPr>
          <w:rFonts w:cs="Arial"/>
        </w:rPr>
        <w:t>GRF</w:t>
      </w:r>
      <w:r w:rsidRPr="006F4535">
        <w:t>_1&gt;</w:t>
      </w:r>
    </w:p>
    <w:p w:rsidR="00C45E98" w:rsidRDefault="00C45E98" w:rsidP="00C45E98">
      <w:pPr>
        <w:pStyle w:val="Normalcentr"/>
        <w:spacing w:line="300" w:lineRule="atLeast"/>
        <w:ind w:left="0" w:right="0"/>
        <w:jc w:val="both"/>
        <w:rPr>
          <w:rFonts w:ascii="Arial" w:hAnsi="Arial" w:cs="Arial"/>
          <w:b w:val="0"/>
          <w:sz w:val="20"/>
          <w:szCs w:val="20"/>
          <w:lang w:val="en-GB" w:eastAsia="fr-FR"/>
        </w:rPr>
      </w:pPr>
      <w:permStart w:id="869604608" w:edGrp="everyone"/>
      <w:r w:rsidRPr="005B01CA">
        <w:rPr>
          <w:rFonts w:ascii="Arial" w:hAnsi="Arial" w:cs="Arial"/>
          <w:b w:val="0"/>
          <w:sz w:val="20"/>
          <w:szCs w:val="20"/>
          <w:lang w:val="en-GB" w:eastAsia="fr-FR"/>
        </w:rPr>
        <w:t xml:space="preserve">Since 1982, </w:t>
      </w:r>
      <w:r w:rsidRPr="000002F2">
        <w:rPr>
          <w:rFonts w:ascii="Arial" w:hAnsi="Arial" w:cs="Arial"/>
          <w:sz w:val="20"/>
          <w:szCs w:val="20"/>
          <w:lang w:val="en-GB" w:eastAsia="fr-FR"/>
        </w:rPr>
        <w:t xml:space="preserve">Afep (Association </w:t>
      </w:r>
      <w:proofErr w:type="spellStart"/>
      <w:r w:rsidRPr="000002F2">
        <w:rPr>
          <w:rFonts w:ascii="Arial" w:hAnsi="Arial" w:cs="Arial"/>
          <w:sz w:val="20"/>
          <w:szCs w:val="20"/>
          <w:lang w:val="en-GB" w:eastAsia="fr-FR"/>
        </w:rPr>
        <w:t>française</w:t>
      </w:r>
      <w:proofErr w:type="spellEnd"/>
      <w:r w:rsidRPr="000002F2">
        <w:rPr>
          <w:rFonts w:ascii="Arial" w:hAnsi="Arial" w:cs="Arial"/>
          <w:sz w:val="20"/>
          <w:szCs w:val="20"/>
          <w:lang w:val="en-GB" w:eastAsia="fr-FR"/>
        </w:rPr>
        <w:t xml:space="preserve"> des </w:t>
      </w:r>
      <w:proofErr w:type="spellStart"/>
      <w:r w:rsidRPr="000002F2">
        <w:rPr>
          <w:rFonts w:ascii="Arial" w:hAnsi="Arial" w:cs="Arial"/>
          <w:sz w:val="20"/>
          <w:szCs w:val="20"/>
          <w:lang w:val="en-GB" w:eastAsia="fr-FR"/>
        </w:rPr>
        <w:t>entreprises</w:t>
      </w:r>
      <w:proofErr w:type="spellEnd"/>
      <w:r w:rsidRPr="000002F2">
        <w:rPr>
          <w:rFonts w:ascii="Arial" w:hAnsi="Arial" w:cs="Arial"/>
          <w:sz w:val="20"/>
          <w:szCs w:val="20"/>
          <w:lang w:val="en-GB" w:eastAsia="fr-FR"/>
        </w:rPr>
        <w:t xml:space="preserve"> </w:t>
      </w:r>
      <w:proofErr w:type="spellStart"/>
      <w:r w:rsidRPr="000002F2">
        <w:rPr>
          <w:rFonts w:ascii="Arial" w:hAnsi="Arial" w:cs="Arial"/>
          <w:sz w:val="20"/>
          <w:szCs w:val="20"/>
          <w:lang w:val="en-GB" w:eastAsia="fr-FR"/>
        </w:rPr>
        <w:t>privées</w:t>
      </w:r>
      <w:proofErr w:type="spellEnd"/>
      <w:r w:rsidRPr="000002F2">
        <w:rPr>
          <w:rFonts w:ascii="Arial" w:hAnsi="Arial" w:cs="Arial"/>
          <w:sz w:val="20"/>
          <w:szCs w:val="20"/>
          <w:lang w:val="en-GB" w:eastAsia="fr-FR"/>
        </w:rPr>
        <w:t>) is the association which brings together French large companies and companies operating in France</w:t>
      </w:r>
      <w:r w:rsidRPr="005B01CA">
        <w:rPr>
          <w:rFonts w:ascii="Arial" w:hAnsi="Arial" w:cs="Arial"/>
          <w:b w:val="0"/>
          <w:sz w:val="20"/>
          <w:szCs w:val="20"/>
          <w:lang w:val="en-GB" w:eastAsia="fr-FR"/>
        </w:rPr>
        <w:t xml:space="preserve">. Based in Paris and Brussels, Afep aims to foster a business-friendly environment and to present its members’ vision to French public authorities, European institutions and international organisations. Restoring business competitiveness to achieve growth and sustainable employment in Europe and tackle the challenges of globalisation are </w:t>
      </w:r>
      <w:proofErr w:type="spellStart"/>
      <w:r w:rsidRPr="005B01CA">
        <w:rPr>
          <w:rFonts w:ascii="Arial" w:hAnsi="Arial" w:cs="Arial"/>
          <w:b w:val="0"/>
          <w:sz w:val="20"/>
          <w:szCs w:val="20"/>
          <w:lang w:val="en-GB" w:eastAsia="fr-FR"/>
        </w:rPr>
        <w:t>Afep’s</w:t>
      </w:r>
      <w:proofErr w:type="spellEnd"/>
      <w:r w:rsidRPr="005B01CA">
        <w:rPr>
          <w:rFonts w:ascii="Arial" w:hAnsi="Arial" w:cs="Arial"/>
          <w:b w:val="0"/>
          <w:sz w:val="20"/>
          <w:szCs w:val="20"/>
          <w:lang w:val="en-GB" w:eastAsia="fr-FR"/>
        </w:rPr>
        <w:t xml:space="preserve"> core priorities. Afep has around 1</w:t>
      </w:r>
      <w:r>
        <w:rPr>
          <w:rFonts w:ascii="Arial" w:hAnsi="Arial" w:cs="Arial"/>
          <w:b w:val="0"/>
          <w:sz w:val="20"/>
          <w:szCs w:val="20"/>
          <w:lang w:val="en-GB" w:eastAsia="fr-FR"/>
        </w:rPr>
        <w:t>20</w:t>
      </w:r>
      <w:r w:rsidRPr="005B01CA">
        <w:rPr>
          <w:rFonts w:ascii="Arial" w:hAnsi="Arial" w:cs="Arial"/>
          <w:b w:val="0"/>
          <w:sz w:val="20"/>
          <w:szCs w:val="20"/>
          <w:lang w:val="en-GB" w:eastAsia="fr-FR"/>
        </w:rPr>
        <w:t xml:space="preserve"> members and is involved in drafting cross-sectoral legislation, at French and European level, in the following areas: economy, taxation, company law and corporate governance, corporate finance and financial markets, competition, intellectual property and consumer affairs, labour law and social protection, environment and energy, corporate social responsibility.</w:t>
      </w:r>
    </w:p>
    <w:p w:rsidR="00C45E98" w:rsidRPr="00C45E98" w:rsidRDefault="00C45E98" w:rsidP="00C45E98">
      <w:pPr>
        <w:pStyle w:val="Normalcentr"/>
        <w:spacing w:line="300" w:lineRule="atLeast"/>
        <w:ind w:left="0" w:right="0"/>
        <w:jc w:val="both"/>
        <w:rPr>
          <w:rFonts w:ascii="Arial" w:hAnsi="Arial" w:cs="Arial"/>
          <w:b w:val="0"/>
          <w:sz w:val="20"/>
          <w:szCs w:val="20"/>
          <w:lang w:val="en-GB" w:eastAsia="fr-FR"/>
        </w:rPr>
      </w:pPr>
    </w:p>
    <w:p w:rsidR="00C45E98" w:rsidRPr="00C45E98" w:rsidRDefault="00C45E98" w:rsidP="00C45E98">
      <w:pPr>
        <w:spacing w:line="300" w:lineRule="atLeast"/>
        <w:jc w:val="both"/>
        <w:rPr>
          <w:rFonts w:cs="Arial"/>
          <w:szCs w:val="20"/>
          <w:lang w:val="en" w:eastAsia="fr-FR"/>
        </w:rPr>
      </w:pPr>
      <w:r w:rsidRPr="00C45E98">
        <w:rPr>
          <w:rFonts w:cs="Arial"/>
          <w:szCs w:val="20"/>
          <w:lang w:val="en" w:eastAsia="fr-FR"/>
        </w:rPr>
        <w:t xml:space="preserve">We welcome ESMA’s consultation and would like to </w:t>
      </w:r>
      <w:r w:rsidRPr="00C45E98">
        <w:rPr>
          <w:rFonts w:cs="Arial"/>
          <w:b/>
          <w:szCs w:val="20"/>
          <w:lang w:val="en" w:eastAsia="fr-FR"/>
        </w:rPr>
        <w:t>insist on the following points</w:t>
      </w:r>
      <w:r w:rsidRPr="00C45E98">
        <w:rPr>
          <w:rFonts w:cs="Arial"/>
          <w:szCs w:val="20"/>
          <w:lang w:val="en" w:eastAsia="fr-FR"/>
        </w:rPr>
        <w:t>:</w:t>
      </w:r>
    </w:p>
    <w:p w:rsidR="00C45E98" w:rsidRPr="00DC5AF5" w:rsidRDefault="00C45E98" w:rsidP="00C45E98">
      <w:pPr>
        <w:pStyle w:val="Paragraphedeliste"/>
        <w:numPr>
          <w:ilvl w:val="0"/>
          <w:numId w:val="47"/>
        </w:numPr>
        <w:spacing w:line="300" w:lineRule="atLeast"/>
        <w:jc w:val="both"/>
        <w:rPr>
          <w:rFonts w:cs="Arial"/>
          <w:color w:val="333333"/>
          <w:szCs w:val="20"/>
          <w:lang w:val="en" w:eastAsia="fr-FR"/>
        </w:rPr>
      </w:pPr>
      <w:r w:rsidRPr="00DC5AF5">
        <w:rPr>
          <w:rFonts w:cs="Arial"/>
          <w:szCs w:val="20"/>
          <w:lang w:val="en-US"/>
        </w:rPr>
        <w:t>Guideline 1 on</w:t>
      </w:r>
      <w:r w:rsidRPr="00DC5AF5">
        <w:rPr>
          <w:rFonts w:cs="Arial"/>
          <w:szCs w:val="20"/>
          <w:lang w:val="en-US"/>
        </w:rPr>
        <w:t xml:space="preserve"> specificity </w:t>
      </w:r>
      <w:r w:rsidRPr="00DC5AF5">
        <w:rPr>
          <w:rFonts w:cs="Arial"/>
          <w:szCs w:val="20"/>
          <w:lang w:val="en-US"/>
        </w:rPr>
        <w:t>needs clarification to allow</w:t>
      </w:r>
      <w:r w:rsidRPr="00DC5AF5">
        <w:rPr>
          <w:rFonts w:cs="Arial"/>
          <w:szCs w:val="20"/>
          <w:lang w:val="en-US"/>
        </w:rPr>
        <w:t xml:space="preserve"> risk factors that apply to a wide range of companies, but are still specific to every one of those companies, are considered specific.</w:t>
      </w:r>
    </w:p>
    <w:p w:rsidR="00C45E98" w:rsidRPr="00DC5AF5" w:rsidRDefault="00C45E98" w:rsidP="00C45E98">
      <w:pPr>
        <w:pStyle w:val="Paragraphedeliste"/>
        <w:numPr>
          <w:ilvl w:val="0"/>
          <w:numId w:val="47"/>
        </w:numPr>
        <w:spacing w:line="300" w:lineRule="atLeast"/>
        <w:jc w:val="both"/>
        <w:rPr>
          <w:rFonts w:cs="Arial"/>
          <w:color w:val="333333"/>
          <w:szCs w:val="20"/>
          <w:lang w:val="en" w:eastAsia="fr-FR"/>
        </w:rPr>
      </w:pPr>
      <w:r w:rsidRPr="00DC5AF5">
        <w:rPr>
          <w:rFonts w:cs="Arial"/>
          <w:szCs w:val="20"/>
          <w:lang w:val="en-US"/>
        </w:rPr>
        <w:t>As regards guideline 4, t</w:t>
      </w:r>
      <w:r w:rsidRPr="00DC5AF5">
        <w:rPr>
          <w:rFonts w:cs="Arial"/>
          <w:szCs w:val="20"/>
          <w:lang w:val="en-US"/>
        </w:rPr>
        <w:t xml:space="preserve">he </w:t>
      </w:r>
      <w:r w:rsidRPr="00DC5AF5">
        <w:rPr>
          <w:rFonts w:cs="Arial"/>
          <w:szCs w:val="20"/>
          <w:lang w:val="en-US"/>
        </w:rPr>
        <w:t xml:space="preserve">Prospectus Regulation does not require disclosure of quantitative information when </w:t>
      </w:r>
      <w:proofErr w:type="gramStart"/>
      <w:r w:rsidRPr="00DC5AF5">
        <w:rPr>
          <w:rFonts w:cs="Arial"/>
          <w:szCs w:val="20"/>
          <w:lang w:val="en-US"/>
        </w:rPr>
        <w:t>descri</w:t>
      </w:r>
      <w:r w:rsidRPr="00DC5AF5">
        <w:rPr>
          <w:rFonts w:cs="Arial"/>
          <w:szCs w:val="20"/>
          <w:lang w:val="en-US"/>
        </w:rPr>
        <w:t>bing</w:t>
      </w:r>
      <w:r w:rsidRPr="00DC5AF5">
        <w:rPr>
          <w:rFonts w:cs="Arial"/>
          <w:szCs w:val="20"/>
          <w:lang w:val="en-US"/>
        </w:rPr>
        <w:t xml:space="preserve">  the</w:t>
      </w:r>
      <w:proofErr w:type="gramEnd"/>
      <w:r w:rsidRPr="00DC5AF5">
        <w:rPr>
          <w:rFonts w:cs="Arial"/>
          <w:szCs w:val="20"/>
          <w:lang w:val="en-US"/>
        </w:rPr>
        <w:t xml:space="preserve"> potential negative impact of risk factors.</w:t>
      </w:r>
    </w:p>
    <w:p w:rsidR="00C45E98" w:rsidRPr="00DC5AF5" w:rsidRDefault="00C45E98" w:rsidP="00C45E98">
      <w:pPr>
        <w:pStyle w:val="Paragraphedeliste"/>
        <w:numPr>
          <w:ilvl w:val="0"/>
          <w:numId w:val="47"/>
        </w:numPr>
        <w:spacing w:line="300" w:lineRule="atLeast"/>
        <w:jc w:val="both"/>
        <w:rPr>
          <w:rFonts w:cs="Arial"/>
          <w:szCs w:val="20"/>
          <w:lang w:eastAsia="fr-FR"/>
        </w:rPr>
      </w:pPr>
      <w:r w:rsidRPr="00DC5AF5">
        <w:rPr>
          <w:rFonts w:cs="Arial"/>
          <w:szCs w:val="20"/>
          <w:lang w:val="en-US"/>
        </w:rPr>
        <w:t xml:space="preserve">Guideline 5 should clearly state that </w:t>
      </w:r>
      <w:r w:rsidRPr="00DC5AF5">
        <w:rPr>
          <w:rFonts w:cs="Arial"/>
          <w:szCs w:val="20"/>
          <w:lang w:val="en-US"/>
        </w:rPr>
        <w:t xml:space="preserve">description of management strategies and </w:t>
      </w:r>
      <w:r w:rsidRPr="00DC5AF5">
        <w:rPr>
          <w:rFonts w:cs="Arial"/>
          <w:szCs w:val="20"/>
          <w:lang w:val="en-US"/>
        </w:rPr>
        <w:t>measures to mitigate and prevent specific risks</w:t>
      </w:r>
      <w:r w:rsidRPr="00DC5AF5">
        <w:rPr>
          <w:rFonts w:cs="Arial"/>
          <w:szCs w:val="20"/>
          <w:lang w:val="en-US"/>
        </w:rPr>
        <w:t xml:space="preserve"> </w:t>
      </w:r>
      <w:r w:rsidRPr="00DC5AF5">
        <w:rPr>
          <w:rFonts w:cs="Arial"/>
          <w:szCs w:val="20"/>
          <w:lang w:val="en-US"/>
        </w:rPr>
        <w:t>is not mitigating language</w:t>
      </w:r>
      <w:r w:rsidRPr="00DC5AF5">
        <w:rPr>
          <w:rFonts w:cs="Arial"/>
          <w:szCs w:val="20"/>
          <w:lang w:val="en-US"/>
        </w:rPr>
        <w:t xml:space="preserve">. </w:t>
      </w:r>
    </w:p>
    <w:p w:rsidR="00C45E98" w:rsidRPr="002727D5" w:rsidRDefault="00C45E98" w:rsidP="00C45E98">
      <w:pPr>
        <w:pStyle w:val="Paragraphedeliste"/>
        <w:numPr>
          <w:ilvl w:val="0"/>
          <w:numId w:val="47"/>
        </w:numPr>
        <w:spacing w:line="300" w:lineRule="atLeast"/>
        <w:jc w:val="both"/>
        <w:rPr>
          <w:rFonts w:cs="Arial"/>
          <w:szCs w:val="20"/>
          <w:lang w:eastAsia="fr-FR"/>
        </w:rPr>
      </w:pPr>
      <w:r>
        <w:rPr>
          <w:rFonts w:cs="Arial"/>
          <w:szCs w:val="20"/>
          <w:lang w:val="en-US"/>
        </w:rPr>
        <w:t>A</w:t>
      </w:r>
      <w:r w:rsidRPr="00C45E98">
        <w:rPr>
          <w:rFonts w:cs="Arial"/>
          <w:szCs w:val="20"/>
          <w:lang w:val="en-US"/>
        </w:rPr>
        <w:t xml:space="preserve"> limit </w:t>
      </w:r>
      <w:r>
        <w:rPr>
          <w:rFonts w:cs="Arial"/>
          <w:szCs w:val="20"/>
          <w:lang w:val="en-US"/>
        </w:rPr>
        <w:t>in terms of</w:t>
      </w:r>
      <w:r w:rsidRPr="00C45E98">
        <w:rPr>
          <w:rFonts w:cs="Arial"/>
          <w:szCs w:val="20"/>
          <w:lang w:val="en-US"/>
        </w:rPr>
        <w:t xml:space="preserve"> categories of risk factors should not be imposed</w:t>
      </w:r>
      <w:r w:rsidR="00DC5AF5">
        <w:rPr>
          <w:rFonts w:cs="Arial"/>
          <w:szCs w:val="20"/>
          <w:lang w:val="en-US"/>
        </w:rPr>
        <w:t xml:space="preserve"> because it is not required by level 1, does not improve comprehensibility of prospectuses and could prevent issuers from delivering necessary and material information</w:t>
      </w:r>
      <w:r w:rsidRPr="00C45E98">
        <w:rPr>
          <w:rFonts w:cs="Arial"/>
          <w:szCs w:val="20"/>
          <w:lang w:val="en-US"/>
        </w:rPr>
        <w:t>.</w:t>
      </w:r>
    </w:p>
    <w:p w:rsidR="002727D5" w:rsidRPr="00C45E98" w:rsidRDefault="002727D5" w:rsidP="00C45E98">
      <w:pPr>
        <w:pStyle w:val="Paragraphedeliste"/>
        <w:numPr>
          <w:ilvl w:val="0"/>
          <w:numId w:val="47"/>
        </w:numPr>
        <w:spacing w:line="300" w:lineRule="atLeast"/>
        <w:jc w:val="both"/>
        <w:rPr>
          <w:rFonts w:cs="Arial"/>
          <w:szCs w:val="20"/>
          <w:lang w:eastAsia="fr-FR"/>
        </w:rPr>
      </w:pPr>
      <w:r>
        <w:t>We consider that it is inappropriate, in a level 3 measure, to recommend to competent authorities to refuse the approval of a prospectus</w:t>
      </w:r>
      <w:r>
        <w:t>.</w:t>
      </w:r>
      <w:bookmarkStart w:id="1" w:name="_GoBack"/>
      <w:bookmarkEnd w:id="1"/>
    </w:p>
    <w:permEnd w:id="869604608"/>
    <w:p w:rsidR="00B327E9" w:rsidRPr="00BF28DA" w:rsidRDefault="00B327E9" w:rsidP="00B327E9">
      <w:r w:rsidRPr="00BF28DA">
        <w:t>&lt;ESMA_COMMENT_</w:t>
      </w:r>
      <w:r w:rsidR="007243F1">
        <w:rPr>
          <w:rFonts w:cs="Arial"/>
        </w:rPr>
        <w:t>GRF</w:t>
      </w:r>
      <w:r w:rsidR="000A58BE">
        <w:t>_</w:t>
      </w:r>
      <w:r w:rsidRPr="00BF28DA">
        <w:t>1&gt;</w:t>
      </w:r>
    </w:p>
    <w:p w:rsidR="002E7113" w:rsidRDefault="002E7113" w:rsidP="002E7113">
      <w:pPr>
        <w:pStyle w:val="Titre1"/>
        <w:numPr>
          <w:ilvl w:val="0"/>
          <w:numId w:val="0"/>
        </w:numPr>
      </w:pPr>
    </w:p>
    <w:p w:rsidR="00F31E57" w:rsidRPr="00BF28DA" w:rsidRDefault="00F31E57" w:rsidP="00D34282"/>
    <w:p w:rsidR="00AF38AF" w:rsidRDefault="00F31E57" w:rsidP="00AF38AF">
      <w:pPr>
        <w:rPr>
          <w:rFonts w:cs="Arial"/>
          <w:sz w:val="18"/>
          <w:szCs w:val="18"/>
        </w:rPr>
      </w:pPr>
      <w:r w:rsidRPr="0075015C">
        <w:br w:type="page"/>
      </w:r>
    </w:p>
    <w:p w:rsidR="00170D44" w:rsidRDefault="00170D44" w:rsidP="00170D44">
      <w:pPr>
        <w:rPr>
          <w:b/>
        </w:rPr>
      </w:pPr>
    </w:p>
    <w:p w:rsidR="00CC38E9" w:rsidRDefault="00CC38E9" w:rsidP="00170D44">
      <w:pPr>
        <w:rPr>
          <w:b/>
        </w:rPr>
      </w:pPr>
    </w:p>
    <w:p w:rsidR="007243F1" w:rsidRDefault="007243F1" w:rsidP="00170D44">
      <w:pPr>
        <w:rPr>
          <w:b/>
        </w:rPr>
      </w:pPr>
    </w:p>
    <w:p w:rsidR="007243F1" w:rsidRPr="005B1CA9" w:rsidRDefault="007243F1" w:rsidP="007243F1">
      <w:pPr>
        <w:rPr>
          <w:i/>
        </w:rPr>
      </w:pPr>
      <w:r w:rsidRPr="005B1CA9">
        <w:rPr>
          <w:i/>
        </w:rPr>
        <w:t>Specificity</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specificity? If not, please provide your reasoning. </w:t>
      </w:r>
    </w:p>
    <w:p w:rsidR="00EE53D1" w:rsidRDefault="00EE53D1" w:rsidP="00EE53D1">
      <w:pPr>
        <w:rPr>
          <w:rFonts w:cs="Arial"/>
        </w:rPr>
      </w:pPr>
      <w:r>
        <w:rPr>
          <w:rFonts w:cs="Arial"/>
        </w:rPr>
        <w:t>&lt;ESMA_QUESTION_GRF_1&gt;</w:t>
      </w:r>
    </w:p>
    <w:p w:rsidR="001B3C97" w:rsidRDefault="001B3C97" w:rsidP="001B3C97">
      <w:pPr>
        <w:spacing w:line="276" w:lineRule="auto"/>
        <w:jc w:val="both"/>
      </w:pPr>
      <w:permStart w:id="1799369320" w:edGrp="everyone"/>
      <w:r>
        <w:t>We agree that the risks disclosed in a prospectus should be specific to the issuer/guarantor and to the securities concerned and that their description should establish a clear and direct link.</w:t>
      </w:r>
    </w:p>
    <w:p w:rsidR="001B3C97" w:rsidRDefault="001B3C97" w:rsidP="001B3C97">
      <w:pPr>
        <w:spacing w:line="300" w:lineRule="atLeast"/>
        <w:jc w:val="both"/>
      </w:pPr>
      <w:r>
        <w:t>As mentioned by ESMA in the draft guidelines, some risks are however specific to a type of entity (</w:t>
      </w:r>
      <w:proofErr w:type="spellStart"/>
      <w:r>
        <w:t>eg.</w:t>
      </w:r>
      <w:proofErr w:type="spellEnd"/>
      <w:r>
        <w:t xml:space="preserve">: </w:t>
      </w:r>
      <w:r w:rsidRPr="00501A51">
        <w:t>start-up companies, regulated entities, specialist issuers, etc.</w:t>
      </w:r>
      <w:r>
        <w:t>) and would be found in the risk factors section of the prospectuses published by the same type of companies.</w:t>
      </w:r>
      <w:r w:rsidRPr="00B32B01">
        <w:t xml:space="preserve"> </w:t>
      </w:r>
      <w:r>
        <w:t>The same reasoning could also apply to securities of the same type. Investors considering the opportunity to acquire securities issued by a biotechnology company, for instance, should be aware that these compan</w:t>
      </w:r>
      <w:r>
        <w:t>ies</w:t>
      </w:r>
      <w:r>
        <w:t xml:space="preserve"> in the first stage of their development usually burn cash and don’t recognise any revenue: this risk is material for all biotechnology companies.</w:t>
      </w:r>
      <w:r w:rsidRPr="00B32B01">
        <w:t xml:space="preserve"> </w:t>
      </w:r>
      <w:r>
        <w:t xml:space="preserve">International companies are faced with foreign exchange rate risk and a description of this risk would be found in many prospectuses. As regards the securities, where the securities </w:t>
      </w:r>
      <w:r>
        <w:t xml:space="preserve">offered </w:t>
      </w:r>
      <w:r>
        <w:t xml:space="preserve">are equity securities, the risks linked to the fluctuations of the price of the securities and to the fact that investors can lose part or all of their investment also need to be mentioned. </w:t>
      </w:r>
      <w:r w:rsidRPr="00B32B01">
        <w:t>Would th</w:t>
      </w:r>
      <w:r>
        <w:t>ese</w:t>
      </w:r>
      <w:r w:rsidRPr="00B32B01">
        <w:t xml:space="preserve"> risk</w:t>
      </w:r>
      <w:r>
        <w:t xml:space="preserve">s be considered as </w:t>
      </w:r>
      <w:r>
        <w:rPr>
          <w:rFonts w:cstheme="minorHAnsi"/>
        </w:rPr>
        <w:t>«</w:t>
      </w:r>
      <w:r>
        <w:t xml:space="preserve"> boiler-plate risks </w:t>
      </w:r>
      <w:r>
        <w:rPr>
          <w:rFonts w:cstheme="minorHAnsi"/>
        </w:rPr>
        <w:t>»</w:t>
      </w:r>
      <w:r>
        <w:t xml:space="preserve"> because applicable to all biotech companies, international companies and to all public offering of equity securities? We consider that a distinction should be made between boiler-plate language used to describe a risk and the fact that a risk could be relevant for different entities and/or securities depending on their nature. Furthermore, </w:t>
      </w:r>
      <w:r>
        <w:t xml:space="preserve">we consider that </w:t>
      </w:r>
      <w:r>
        <w:t>t</w:t>
      </w:r>
      <w:r w:rsidDel="00DF5A91">
        <w:rPr>
          <w:lang w:val="en-US"/>
        </w:rPr>
        <w:t xml:space="preserve">he reference to boiler-plate risks or disclosures </w:t>
      </w:r>
      <w:r>
        <w:rPr>
          <w:lang w:val="en-US"/>
        </w:rPr>
        <w:t xml:space="preserve">in the draft guideline </w:t>
      </w:r>
      <w:r>
        <w:rPr>
          <w:lang w:val="en-US"/>
        </w:rPr>
        <w:t>is</w:t>
      </w:r>
      <w:r w:rsidDel="00DF5A91">
        <w:rPr>
          <w:lang w:val="en-US"/>
        </w:rPr>
        <w:t xml:space="preserve"> unnecessary</w:t>
      </w:r>
      <w:r>
        <w:rPr>
          <w:lang w:val="en-US"/>
        </w:rPr>
        <w:t>.</w:t>
      </w:r>
    </w:p>
    <w:p w:rsidR="00EE53D1" w:rsidRPr="001B3C97" w:rsidRDefault="001B3C97" w:rsidP="001B3C97">
      <w:pPr>
        <w:spacing w:line="300" w:lineRule="atLeast"/>
        <w:jc w:val="both"/>
      </w:pPr>
      <w:r w:rsidRPr="009D6B56">
        <w:t>Therefore</w:t>
      </w:r>
      <w:r>
        <w:t>,</w:t>
      </w:r>
      <w:r w:rsidRPr="009D6B56">
        <w:t xml:space="preserve"> we suggest </w:t>
      </w:r>
      <w:r>
        <w:t xml:space="preserve">to amend draft guideline 1 as follows: </w:t>
      </w:r>
      <w:r>
        <w:rPr>
          <w:rFonts w:cstheme="minorHAnsi"/>
        </w:rPr>
        <w:t xml:space="preserve">« </w:t>
      </w:r>
      <w:r w:rsidRPr="00B656CB">
        <w:rPr>
          <w:i/>
        </w:rPr>
        <w:t>Each risk factor should identify and disclose a risk that is relevant for the issuer/guarantor or the securities concerned</w:t>
      </w:r>
      <w:r>
        <w:rPr>
          <w:i/>
        </w:rPr>
        <w:t xml:space="preserve">, </w:t>
      </w:r>
      <w:r w:rsidRPr="00477CFA">
        <w:rPr>
          <w:b/>
          <w:i/>
          <w:u w:val="single"/>
        </w:rPr>
        <w:t>or their type</w:t>
      </w:r>
      <w:r w:rsidRPr="00B656CB">
        <w:rPr>
          <w:i/>
        </w:rPr>
        <w:t xml:space="preserve"> </w:t>
      </w:r>
      <w:r w:rsidRPr="00B656CB">
        <w:rPr>
          <w:i/>
          <w:strike/>
        </w:rPr>
        <w:t>rather than simply disclosing ‘boiler-plate’ risks or using</w:t>
      </w:r>
      <w:r w:rsidRPr="00B656CB">
        <w:rPr>
          <w:i/>
        </w:rPr>
        <w:t xml:space="preserve">. </w:t>
      </w:r>
      <w:r>
        <w:rPr>
          <w:rFonts w:cstheme="minorHAnsi"/>
        </w:rPr>
        <w:t>»</w:t>
      </w:r>
    </w:p>
    <w:permEnd w:id="1799369320"/>
    <w:p w:rsidR="00EE53D1" w:rsidRDefault="00EE53D1" w:rsidP="00EE53D1">
      <w:pPr>
        <w:rPr>
          <w:rFonts w:cs="Arial"/>
        </w:rPr>
      </w:pPr>
      <w:r>
        <w:rPr>
          <w:rFonts w:cs="Arial"/>
        </w:rPr>
        <w:t>&lt;ESMA_QUESTION_GRF_1&gt;</w:t>
      </w:r>
    </w:p>
    <w:p w:rsidR="007243F1" w:rsidRPr="007243F1" w:rsidRDefault="007243F1" w:rsidP="007243F1">
      <w:pPr>
        <w:rPr>
          <w:b/>
        </w:rPr>
      </w:pPr>
    </w:p>
    <w:p w:rsidR="007243F1" w:rsidRDefault="007243F1" w:rsidP="007243F1">
      <w:pPr>
        <w:rPr>
          <w:i/>
        </w:rPr>
      </w:pPr>
      <w:r>
        <w:rPr>
          <w:i/>
        </w:rPr>
        <w:t>Materiality</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3? If not, please provide your reasoning.</w:t>
      </w:r>
    </w:p>
    <w:p w:rsidR="00EE53D1" w:rsidRDefault="00EE53D1" w:rsidP="00EE53D1">
      <w:pPr>
        <w:rPr>
          <w:rFonts w:cs="Arial"/>
        </w:rPr>
      </w:pPr>
      <w:r>
        <w:rPr>
          <w:rFonts w:cs="Arial"/>
        </w:rPr>
        <w:t>&lt;ESMA_QUESTION_GRF_2&gt;</w:t>
      </w:r>
    </w:p>
    <w:p w:rsidR="001B3C97" w:rsidRDefault="001B3C97" w:rsidP="001B3C97">
      <w:pPr>
        <w:spacing w:line="276" w:lineRule="auto"/>
        <w:jc w:val="both"/>
      </w:pPr>
      <w:permStart w:id="1785680783" w:edGrp="everyone"/>
      <w:r>
        <w:t xml:space="preserve">Please refer to our answer to question 10: we consider that the sentence starting with </w:t>
      </w:r>
      <w:r>
        <w:rPr>
          <w:rFonts w:cstheme="minorHAnsi"/>
        </w:rPr>
        <w:t>«</w:t>
      </w:r>
      <w:r w:rsidRPr="00B656CB">
        <w:rPr>
          <w:i/>
        </w:rPr>
        <w:t>The competent authority should not approve a prospectus where…</w:t>
      </w:r>
      <w:r>
        <w:rPr>
          <w:rFonts w:cstheme="minorHAnsi"/>
        </w:rPr>
        <w:t>»</w:t>
      </w:r>
      <w:r>
        <w:t xml:space="preserve"> should be deleted.</w:t>
      </w:r>
    </w:p>
    <w:permEnd w:id="1785680783"/>
    <w:p w:rsidR="00EE53D1" w:rsidRDefault="00EE53D1" w:rsidP="00EE53D1">
      <w:pPr>
        <w:rPr>
          <w:rFonts w:cs="Arial"/>
        </w:rPr>
      </w:pPr>
      <w:r>
        <w:rPr>
          <w:rFonts w:cs="Arial"/>
        </w:rPr>
        <w:t>&lt;ESMA_QUESTION_GRF_2&gt;</w:t>
      </w:r>
    </w:p>
    <w:p w:rsidR="00EE53D1" w:rsidRDefault="00EE53D1" w:rsidP="00EE53D1">
      <w:pPr>
        <w:rPr>
          <w:rFonts w:cs="Arial"/>
        </w:rPr>
      </w:pPr>
    </w:p>
    <w:p w:rsidR="00EE53D1" w:rsidRPr="00303C9E" w:rsidRDefault="00EE53D1" w:rsidP="00EE53D1">
      <w:pPr>
        <w:pStyle w:val="Questionstyle"/>
        <w:numPr>
          <w:ilvl w:val="0"/>
          <w:numId w:val="39"/>
        </w:numPr>
      </w:pPr>
      <w:r w:rsidRPr="00303C9E">
        <w:t xml:space="preserve">: Do you agree with </w:t>
      </w:r>
      <w:r w:rsidR="007303AD">
        <w:t>the suggested draft</w:t>
      </w:r>
      <w:r w:rsidRPr="00303C9E">
        <w:t xml:space="preserve"> guideline 4 on quantitative information? If not, please provide your reasoning. </w:t>
      </w:r>
    </w:p>
    <w:p w:rsidR="00EE53D1" w:rsidRDefault="00EE53D1" w:rsidP="00EE53D1">
      <w:pPr>
        <w:rPr>
          <w:rFonts w:cs="Arial"/>
        </w:rPr>
      </w:pPr>
      <w:r>
        <w:rPr>
          <w:rFonts w:cs="Arial"/>
        </w:rPr>
        <w:t>&lt;ESMA_QUESTION_GRF_3&gt;</w:t>
      </w:r>
    </w:p>
    <w:p w:rsidR="001B3C97" w:rsidRDefault="001B3C97" w:rsidP="001B3C97">
      <w:pPr>
        <w:spacing w:line="300" w:lineRule="atLeast"/>
        <w:jc w:val="both"/>
        <w:rPr>
          <w:rFonts w:cstheme="minorHAnsi"/>
          <w:lang w:val="en-US"/>
        </w:rPr>
      </w:pPr>
      <w:permStart w:id="1722710506" w:edGrp="everyone"/>
      <w:r>
        <w:t>Article 16 of the Prospectus Regulation is clear</w:t>
      </w:r>
      <w:r w:rsidRPr="009B64DD">
        <w:t xml:space="preserve"> </w:t>
      </w:r>
      <w:r>
        <w:t>that t</w:t>
      </w:r>
      <w:r w:rsidRPr="007624D5">
        <w:t xml:space="preserve">here is no obligation to </w:t>
      </w:r>
      <w:r>
        <w:t xml:space="preserve">include </w:t>
      </w:r>
      <w:r w:rsidRPr="007624D5">
        <w:t>quantitative information on the potential impacts</w:t>
      </w:r>
      <w:r>
        <w:t xml:space="preserve"> of the risks disclosed in the risk factor</w:t>
      </w:r>
      <w:r w:rsidR="0062615A">
        <w:t>s</w:t>
      </w:r>
      <w:r>
        <w:t xml:space="preserve"> section: </w:t>
      </w:r>
      <w:r>
        <w:rPr>
          <w:rFonts w:cstheme="minorHAnsi"/>
        </w:rPr>
        <w:t>«</w:t>
      </w:r>
      <w:r w:rsidRPr="00B656CB">
        <w:rPr>
          <w:b/>
          <w:bCs/>
          <w:i/>
          <w:lang w:val="en-US"/>
        </w:rPr>
        <w:t xml:space="preserve">Each risk factor shall be adequately described, explaining how it affects the issuer or the securities </w:t>
      </w:r>
      <w:r w:rsidRPr="00B656CB">
        <w:rPr>
          <w:i/>
          <w:lang w:val="en-US"/>
        </w:rPr>
        <w:t xml:space="preserve">being offered or to be admitted to trading. The assessment of the materiality of the risk factors provided for in the second </w:t>
      </w:r>
      <w:r w:rsidRPr="00B56648">
        <w:rPr>
          <w:b/>
          <w:i/>
          <w:lang w:val="en-US"/>
        </w:rPr>
        <w:t>subparagraph may also be disclosed by using a qualitative scale</w:t>
      </w:r>
      <w:r w:rsidRPr="00B656CB">
        <w:rPr>
          <w:i/>
          <w:lang w:val="en-US"/>
        </w:rPr>
        <w:t xml:space="preserve"> of low, medium or high</w:t>
      </w:r>
      <w:r w:rsidRPr="0082258F">
        <w:rPr>
          <w:lang w:val="en-US"/>
        </w:rPr>
        <w:t>.</w:t>
      </w:r>
      <w:r>
        <w:rPr>
          <w:lang w:val="en-US"/>
        </w:rPr>
        <w:t xml:space="preserve"> </w:t>
      </w:r>
      <w:r>
        <w:rPr>
          <w:rFonts w:cstheme="minorHAnsi"/>
          <w:lang w:val="en-US"/>
        </w:rPr>
        <w:t>»</w:t>
      </w:r>
    </w:p>
    <w:p w:rsidR="001B3C97" w:rsidRPr="0043622D" w:rsidRDefault="001B3C97" w:rsidP="001B3C97">
      <w:pPr>
        <w:spacing w:line="300" w:lineRule="atLeast"/>
        <w:jc w:val="both"/>
      </w:pPr>
      <w:r>
        <w:rPr>
          <w:rFonts w:cstheme="minorHAnsi"/>
          <w:lang w:val="en-US"/>
        </w:rPr>
        <w:t xml:space="preserve">The Prospectus Regulation does not include any requirement to disclose quantitative information. In this regard, ESMA’s draft guideline goes beyond the requirement of level 1. </w:t>
      </w:r>
      <w:r>
        <w:rPr>
          <w:lang w:val="en-US"/>
        </w:rPr>
        <w:t xml:space="preserve">Disclosing quantitative information on potential impacts raises major issues for issuers considering that </w:t>
      </w:r>
      <w:r w:rsidRPr="0043622D">
        <w:t>risks are rapidly changing and evolving. Furthermore, materiality is very difficult to assess, given the differing characteristics of risks (probability and timing of occurrence, as well as uncertain effects) and may be subjective: what are the most material risks to certain investors may not be for others (</w:t>
      </w:r>
      <w:r>
        <w:t>e</w:t>
      </w:r>
      <w:r w:rsidRPr="0043622D">
        <w:t xml:space="preserve">.g. if certain investors have a specific focus on green investments, then corporate social responsibility risks will be more material than for other investors, etc.). </w:t>
      </w:r>
      <w:r>
        <w:t>Finally, n</w:t>
      </w:r>
      <w:r w:rsidRPr="0043622D">
        <w:t>ot all the risks can be identified, assessed and/or quantified</w:t>
      </w:r>
      <w:r>
        <w:t>.</w:t>
      </w:r>
    </w:p>
    <w:p w:rsidR="001B3C97" w:rsidRDefault="001B3C97" w:rsidP="001B3C97">
      <w:pPr>
        <w:spacing w:line="300" w:lineRule="atLeast"/>
        <w:jc w:val="both"/>
      </w:pPr>
      <w:r>
        <w:t>Therefore, we suggest the following amendments to draft guideline 4 in order to faithfully reflect the requirement laid down in article 16 of the Prospectus Regulation:</w:t>
      </w:r>
    </w:p>
    <w:p w:rsidR="001B3C97" w:rsidRPr="00B656CB" w:rsidRDefault="001B3C97" w:rsidP="001B3C97">
      <w:pPr>
        <w:spacing w:line="300" w:lineRule="atLeast"/>
        <w:jc w:val="both"/>
        <w:rPr>
          <w:b/>
          <w:i/>
        </w:rPr>
      </w:pPr>
      <w:r w:rsidRPr="00F81836">
        <w:rPr>
          <w:rFonts w:cstheme="minorHAnsi"/>
        </w:rPr>
        <w:t>«</w:t>
      </w:r>
      <w:r w:rsidRPr="00B656CB">
        <w:rPr>
          <w:b/>
          <w:i/>
        </w:rPr>
        <w:t xml:space="preserve">The competent authority should review that the potential negative impact of the risk factor on the issuer/guarantor and/or the securities is </w:t>
      </w:r>
      <w:r w:rsidRPr="00B656CB">
        <w:rPr>
          <w:b/>
          <w:i/>
          <w:strike/>
        </w:rPr>
        <w:t>disclosed</w:t>
      </w:r>
      <w:r w:rsidRPr="00B656CB">
        <w:rPr>
          <w:b/>
          <w:i/>
        </w:rPr>
        <w:t xml:space="preserve"> </w:t>
      </w:r>
      <w:r w:rsidRPr="001B3C97">
        <w:rPr>
          <w:b/>
          <w:i/>
          <w:u w:val="single"/>
        </w:rPr>
        <w:t>adequately described</w:t>
      </w:r>
      <w:r w:rsidRPr="00B656CB">
        <w:rPr>
          <w:b/>
          <w:i/>
        </w:rPr>
        <w:t>.</w:t>
      </w:r>
    </w:p>
    <w:p w:rsidR="001B3C97" w:rsidRPr="00B656CB" w:rsidRDefault="001B3C97" w:rsidP="001B3C97">
      <w:pPr>
        <w:spacing w:line="300" w:lineRule="atLeast"/>
        <w:jc w:val="both"/>
        <w:rPr>
          <w:i/>
        </w:rPr>
      </w:pPr>
      <w:r w:rsidRPr="00B656CB">
        <w:rPr>
          <w:i/>
          <w:strike/>
        </w:rPr>
        <w:t>Where available, the disclosure of quantitative information, in order to illustrate the potential negative impact of a risk factor should be included. However, where quantitative information is not available, t</w:t>
      </w:r>
      <w:r w:rsidRPr="00B656CB">
        <w:rPr>
          <w:i/>
        </w:rPr>
        <w:t xml:space="preserve"> </w:t>
      </w:r>
      <w:proofErr w:type="gramStart"/>
      <w:r w:rsidRPr="001B3C97">
        <w:rPr>
          <w:b/>
          <w:i/>
          <w:u w:val="single"/>
        </w:rPr>
        <w:t>T</w:t>
      </w:r>
      <w:r w:rsidRPr="00B656CB">
        <w:rPr>
          <w:i/>
        </w:rPr>
        <w:t>he</w:t>
      </w:r>
      <w:proofErr w:type="gramEnd"/>
      <w:r w:rsidRPr="00B656CB">
        <w:rPr>
          <w:i/>
        </w:rPr>
        <w:t xml:space="preserve"> description of the potential negative impact of the risk factors may be described using a qualitative approach.  </w:t>
      </w:r>
    </w:p>
    <w:p w:rsidR="001B3C97" w:rsidRPr="007624D5" w:rsidRDefault="001B3C97" w:rsidP="001B3C97">
      <w:pPr>
        <w:spacing w:line="300" w:lineRule="atLeast"/>
        <w:jc w:val="both"/>
        <w:rPr>
          <w:strike/>
        </w:rPr>
      </w:pPr>
      <w:r w:rsidRPr="00B656CB">
        <w:rPr>
          <w:i/>
          <w:strike/>
        </w:rPr>
        <w:t>For example, in relation to qualitative disclosure, to the extent it is explained how the risk factor affects the issuer or the securities one option for the presentation of the materiality of risk factors may be by reference to the scale of low, medium or high as per Article 16(1) subparagraph 3 of the Prospectus Regulation. However, the persons responsible for the prospectus are not obliged to provide such a scaled ranking of risks according to their materiality. The potential impact of the risk factor needs to be disclosed in any case.</w:t>
      </w:r>
      <w:r w:rsidRPr="00B656CB">
        <w:rPr>
          <w:i/>
        </w:rPr>
        <w:t xml:space="preserve"> </w:t>
      </w:r>
      <w:r>
        <w:rPr>
          <w:rFonts w:cstheme="minorHAnsi"/>
        </w:rPr>
        <w:t>»</w:t>
      </w:r>
    </w:p>
    <w:p w:rsidR="001B3C97" w:rsidRPr="007624D5" w:rsidRDefault="001B3C97" w:rsidP="001B3C97">
      <w:pPr>
        <w:spacing w:line="300" w:lineRule="atLeast"/>
        <w:jc w:val="both"/>
      </w:pPr>
    </w:p>
    <w:p w:rsidR="00EE53D1" w:rsidRPr="001B3C97" w:rsidRDefault="001B3C97" w:rsidP="001B3C97">
      <w:pPr>
        <w:spacing w:line="300" w:lineRule="atLeast"/>
        <w:jc w:val="both"/>
      </w:pPr>
      <w:r>
        <w:t xml:space="preserve">As regards the last paragraph above, we are not sure that repeating the level 1 legislation, which already clearly states that the assessment of materiality </w:t>
      </w:r>
      <w:r w:rsidRPr="00BC760C">
        <w:t>may</w:t>
      </w:r>
      <w:r>
        <w:t xml:space="preserve"> be disclosed using a qualitative scale, really helps both regulators and issuers preparing prospectuses.</w:t>
      </w:r>
    </w:p>
    <w:permEnd w:id="1722710506"/>
    <w:p w:rsidR="00EE53D1" w:rsidRDefault="00EE53D1" w:rsidP="00EE53D1">
      <w:pPr>
        <w:rPr>
          <w:rFonts w:cs="Arial"/>
        </w:rPr>
      </w:pPr>
      <w:r>
        <w:rPr>
          <w:rFonts w:cs="Arial"/>
        </w:rPr>
        <w:t>&lt;ESMA_QUESTION_GRF_3&gt;</w:t>
      </w:r>
    </w:p>
    <w:p w:rsidR="00EE53D1" w:rsidRDefault="00EE53D1" w:rsidP="00EE53D1">
      <w:pPr>
        <w:rPr>
          <w:rFonts w:cs="Arial"/>
        </w:rPr>
      </w:pP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5 on mitigating language? If not,</w:t>
      </w:r>
      <w:r w:rsidRPr="007243F1">
        <w:t xml:space="preserve"> please </w:t>
      </w:r>
      <w:r w:rsidRPr="00303C9E">
        <w:t>provide your reasoning.</w:t>
      </w:r>
    </w:p>
    <w:p w:rsidR="00EE53D1" w:rsidRDefault="00EE53D1" w:rsidP="00EE53D1">
      <w:pPr>
        <w:rPr>
          <w:rFonts w:cs="Arial"/>
        </w:rPr>
      </w:pPr>
      <w:r>
        <w:rPr>
          <w:rFonts w:cs="Arial"/>
        </w:rPr>
        <w:t>&lt;ESMA_QUESTION_GRF_4&gt;</w:t>
      </w:r>
    </w:p>
    <w:p w:rsidR="0062615A" w:rsidRDefault="001B3C97" w:rsidP="001B3C97">
      <w:pPr>
        <w:spacing w:line="300" w:lineRule="atLeast"/>
        <w:jc w:val="both"/>
        <w:rPr>
          <w:rFonts w:cstheme="minorHAnsi"/>
          <w:noProof/>
        </w:rPr>
      </w:pPr>
      <w:permStart w:id="1724280741" w:edGrp="everyone"/>
      <w:r w:rsidRPr="001B3C97">
        <w:t>We consider that a description by an issuer of the measures and procedures in place to prevent</w:t>
      </w:r>
      <w:r w:rsidR="0062615A">
        <w:t>,</w:t>
      </w:r>
      <w:r w:rsidRPr="001B3C97">
        <w:t xml:space="preserve"> manage </w:t>
      </w:r>
      <w:r w:rsidR="0062615A">
        <w:t xml:space="preserve">and mitigate </w:t>
      </w:r>
      <w:r w:rsidRPr="001B3C97">
        <w:t xml:space="preserve">specific risks should not be prohibited. Regarding, for instance, risks linked to financial instruments, issuers can cross-reference the content of the risk factors section with information disclosed in the management report and </w:t>
      </w:r>
      <w:r w:rsidR="0062615A">
        <w:t xml:space="preserve">in the </w:t>
      </w:r>
      <w:r w:rsidRPr="001B3C97">
        <w:t xml:space="preserve">notes of their financial statements established under IFRS. In </w:t>
      </w:r>
      <w:r w:rsidRPr="001B3C97">
        <w:rPr>
          <w:rFonts w:cstheme="minorHAnsi"/>
        </w:rPr>
        <w:t>accordance with the Accounting Directive</w:t>
      </w:r>
      <w:r w:rsidRPr="001B3C97">
        <w:rPr>
          <w:rStyle w:val="Appelnotedebasdep"/>
          <w:rFonts w:cstheme="minorHAnsi"/>
        </w:rPr>
        <w:footnoteReference w:id="2"/>
      </w:r>
      <w:r w:rsidRPr="001B3C97">
        <w:rPr>
          <w:rFonts w:cstheme="minorHAnsi"/>
        </w:rPr>
        <w:t xml:space="preserve"> (article 19) and IFRS 7, issuers are required to disclose information about management's objectives, policies, and processes for managing those risks. </w:t>
      </w:r>
      <w:r w:rsidRPr="001B3C97">
        <w:rPr>
          <w:rFonts w:cstheme="minorHAnsi"/>
          <w:noProof/>
        </w:rPr>
        <w:t>Furthermore, the Accounting Directive, as amended by the Non-financial Reporting Directive</w:t>
      </w:r>
      <w:r w:rsidRPr="001B3C97">
        <w:rPr>
          <w:rStyle w:val="Appelnotedebasdep"/>
          <w:rFonts w:cstheme="minorHAnsi"/>
          <w:noProof/>
        </w:rPr>
        <w:footnoteReference w:id="3"/>
      </w:r>
      <w:r w:rsidRPr="001B3C97">
        <w:rPr>
          <w:rFonts w:cstheme="minorHAnsi"/>
          <w:noProof/>
        </w:rPr>
        <w:t>, requires in the management report a description of the principal risks related to environmental, social and employee, human-rights and anti-corruption matters and how the undertaking manages those risks. The Commission, in its guidelines on non-financial reporting</w:t>
      </w:r>
      <w:r w:rsidRPr="001B3C97">
        <w:rPr>
          <w:rStyle w:val="Appelnotedebasdep"/>
          <w:rFonts w:cstheme="minorHAnsi"/>
          <w:noProof/>
        </w:rPr>
        <w:footnoteReference w:id="4"/>
      </w:r>
      <w:r w:rsidRPr="001B3C97">
        <w:rPr>
          <w:rFonts w:cstheme="minorHAnsi"/>
          <w:noProof/>
        </w:rPr>
        <w:t>, clearly state that « </w:t>
      </w:r>
      <w:r w:rsidRPr="001B3C97">
        <w:rPr>
          <w:rFonts w:cstheme="minorHAnsi"/>
          <w:i/>
          <w:noProof/>
        </w:rPr>
        <w:t>Companies should disclose information on their principal risks and on how they are managed and mitigated</w:t>
      </w:r>
      <w:r w:rsidRPr="001B3C97">
        <w:rPr>
          <w:rFonts w:cstheme="minorHAnsi"/>
          <w:noProof/>
        </w:rPr>
        <w:t>. »</w:t>
      </w:r>
    </w:p>
    <w:p w:rsidR="0062615A" w:rsidRDefault="001B3C97" w:rsidP="001B3C97">
      <w:pPr>
        <w:spacing w:line="300" w:lineRule="atLeast"/>
        <w:jc w:val="both"/>
        <w:rPr>
          <w:rFonts w:cstheme="minorHAnsi"/>
        </w:rPr>
      </w:pPr>
      <w:r w:rsidRPr="001B3C97">
        <w:rPr>
          <w:rFonts w:cstheme="minorHAnsi"/>
          <w:noProof/>
        </w:rPr>
        <w:t>It is therefore necessary to clarify that</w:t>
      </w:r>
      <w:r w:rsidRPr="001B3C97">
        <w:rPr>
          <w:rFonts w:cstheme="minorHAnsi"/>
        </w:rPr>
        <w:t xml:space="preserve"> a </w:t>
      </w:r>
      <w:r w:rsidRPr="0062615A">
        <w:rPr>
          <w:rFonts w:cstheme="minorHAnsi"/>
        </w:rPr>
        <w:t xml:space="preserve">description of the measures to prevent, manage and </w:t>
      </w:r>
      <w:r w:rsidR="0062615A">
        <w:rPr>
          <w:rFonts w:cstheme="minorHAnsi"/>
        </w:rPr>
        <w:t>mitigate</w:t>
      </w:r>
      <w:r w:rsidRPr="0062615A">
        <w:rPr>
          <w:rFonts w:cstheme="minorHAnsi"/>
        </w:rPr>
        <w:t xml:space="preserve"> specific risks does not constitute mitigating language, considering that the implementing measures of the Prospectus Regulation explicitly refer to the Accounting Directive and that companies will be allowed to incorporate their management report in a prospectus. </w:t>
      </w:r>
    </w:p>
    <w:p w:rsidR="00EE53D1" w:rsidRPr="001B3C97" w:rsidRDefault="001B3C97" w:rsidP="001B3C97">
      <w:pPr>
        <w:spacing w:line="300" w:lineRule="atLeast"/>
        <w:jc w:val="both"/>
        <w:rPr>
          <w:rFonts w:cstheme="minorHAnsi"/>
        </w:rPr>
      </w:pPr>
      <w:r w:rsidRPr="001B3C97">
        <w:rPr>
          <w:rFonts w:cstheme="minorHAnsi"/>
        </w:rPr>
        <w:t xml:space="preserve">We suggest adding the following statement in the explanatory text following draft guideline 5: « </w:t>
      </w:r>
      <w:r w:rsidRPr="001B3C97">
        <w:rPr>
          <w:rFonts w:cstheme="minorHAnsi"/>
          <w:b/>
          <w:u w:val="single"/>
        </w:rPr>
        <w:t>Any description of the measures and/or policies in place to prevent, manage and/or monitor specific risks identified, should not be considered mitigating language.</w:t>
      </w:r>
      <w:r w:rsidRPr="001B3C97">
        <w:rPr>
          <w:rFonts w:cstheme="minorHAnsi"/>
        </w:rPr>
        <w:t xml:space="preserve"> »</w:t>
      </w:r>
    </w:p>
    <w:permEnd w:id="1724280741"/>
    <w:p w:rsidR="00EE53D1" w:rsidRDefault="00EE53D1" w:rsidP="00EE53D1">
      <w:pPr>
        <w:rPr>
          <w:rFonts w:cs="Arial"/>
        </w:rPr>
      </w:pPr>
      <w:r>
        <w:rPr>
          <w:rFonts w:cs="Arial"/>
        </w:rPr>
        <w:t>&lt;ESMA_QUESTION_GRF_4&gt;</w:t>
      </w:r>
    </w:p>
    <w:p w:rsidR="007243F1" w:rsidRPr="007243F1" w:rsidRDefault="007243F1" w:rsidP="007243F1">
      <w:pPr>
        <w:rPr>
          <w:b/>
        </w:rPr>
      </w:pPr>
    </w:p>
    <w:p w:rsidR="007243F1" w:rsidRPr="007243F1" w:rsidRDefault="007243F1" w:rsidP="007243F1">
      <w:pPr>
        <w:rPr>
          <w:i/>
        </w:rPr>
      </w:pPr>
      <w:r w:rsidRPr="007243F1">
        <w:rPr>
          <w:i/>
        </w:rPr>
        <w:t>Corroboration</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6 on corroboration of specificity and materiality? If not, please provide your reasoning.</w:t>
      </w:r>
    </w:p>
    <w:p w:rsidR="00EE53D1" w:rsidRDefault="00EE53D1" w:rsidP="00EE53D1">
      <w:pPr>
        <w:rPr>
          <w:rFonts w:cs="Arial"/>
        </w:rPr>
      </w:pPr>
      <w:r>
        <w:rPr>
          <w:rFonts w:cs="Arial"/>
        </w:rPr>
        <w:t>&lt;ESMA_QUESTION_GRF_5&gt;</w:t>
      </w:r>
    </w:p>
    <w:p w:rsidR="0062615A" w:rsidRDefault="0062615A" w:rsidP="0062615A">
      <w:pPr>
        <w:spacing w:line="300" w:lineRule="atLeast"/>
        <w:jc w:val="both"/>
      </w:pPr>
      <w:permStart w:id="722863792" w:edGrp="everyone"/>
      <w:r>
        <w:t>To clarify that corroboration does not require the risk factors to be mentioned elsewhere in the prospectus, we suggest that the explanatory text be included in the guideline itself or, at least, the last sentence</w:t>
      </w:r>
      <w:r>
        <w:t xml:space="preserve"> of the explanatory text</w:t>
      </w:r>
      <w:r>
        <w:t xml:space="preserve">: </w:t>
      </w:r>
      <w:r>
        <w:rPr>
          <w:rFonts w:cstheme="minorHAnsi"/>
        </w:rPr>
        <w:t>«</w:t>
      </w:r>
      <w:r>
        <w:t xml:space="preserve"> </w:t>
      </w:r>
      <w:r w:rsidRPr="00BC760C">
        <w:rPr>
          <w:i/>
        </w:rPr>
        <w:t>it is sufficient that materiality and specificity of risk factors is identifiable by reference to the overall picture of the issuer/guarantor and the securities presented in the prospectus</w:t>
      </w:r>
      <w:r>
        <w:t xml:space="preserve"> </w:t>
      </w:r>
      <w:r>
        <w:rPr>
          <w:rFonts w:cstheme="minorHAnsi"/>
        </w:rPr>
        <w:t>»</w:t>
      </w:r>
      <w:r>
        <w:t>. We are concerned that, otherwise, competent authorities may have diverging practices.</w:t>
      </w:r>
    </w:p>
    <w:p w:rsidR="0062615A" w:rsidRDefault="0062615A" w:rsidP="0062615A">
      <w:pPr>
        <w:spacing w:line="300" w:lineRule="atLeast"/>
        <w:jc w:val="both"/>
      </w:pPr>
    </w:p>
    <w:p w:rsidR="00EE53D1" w:rsidRPr="0062615A" w:rsidRDefault="0062615A" w:rsidP="0062615A">
      <w:pPr>
        <w:spacing w:line="300" w:lineRule="atLeast"/>
        <w:jc w:val="both"/>
      </w:pPr>
      <w:r>
        <w:t xml:space="preserve">Please refer also to our answer to question 10: we consider that the sentence starting with </w:t>
      </w:r>
      <w:r>
        <w:rPr>
          <w:rFonts w:cstheme="minorHAnsi"/>
        </w:rPr>
        <w:t>«</w:t>
      </w:r>
      <w:r w:rsidRPr="00BC760C">
        <w:rPr>
          <w:i/>
        </w:rPr>
        <w:t>The competent authority should not approve a prospectus where</w:t>
      </w:r>
      <w:r>
        <w:t>…</w:t>
      </w:r>
      <w:r>
        <w:rPr>
          <w:rFonts w:cstheme="minorHAnsi"/>
        </w:rPr>
        <w:t>»</w:t>
      </w:r>
      <w:r>
        <w:t xml:space="preserve"> should be deleted.</w:t>
      </w:r>
    </w:p>
    <w:permEnd w:id="722863792"/>
    <w:p w:rsidR="00EE53D1" w:rsidRDefault="00EE53D1" w:rsidP="00EE53D1">
      <w:pPr>
        <w:rPr>
          <w:rFonts w:cs="Arial"/>
        </w:rPr>
      </w:pPr>
      <w:r>
        <w:rPr>
          <w:rFonts w:cs="Arial"/>
        </w:rPr>
        <w:t>&lt;ESMA_QUESTION_GRF_5&gt;</w:t>
      </w:r>
    </w:p>
    <w:p w:rsidR="007243F1" w:rsidRDefault="007243F1" w:rsidP="007243F1">
      <w:pPr>
        <w:rPr>
          <w:b/>
        </w:rPr>
      </w:pPr>
    </w:p>
    <w:p w:rsidR="007243F1" w:rsidRPr="007243F1" w:rsidRDefault="007243F1" w:rsidP="007243F1">
      <w:pPr>
        <w:rPr>
          <w:b/>
        </w:rPr>
      </w:pPr>
    </w:p>
    <w:p w:rsidR="007243F1" w:rsidRDefault="007243F1" w:rsidP="007243F1">
      <w:pPr>
        <w:rPr>
          <w:b/>
        </w:rPr>
      </w:pPr>
      <w:r w:rsidRPr="007243F1">
        <w:rPr>
          <w:i/>
        </w:rPr>
        <w:t>Presentation of risk factors across categories</w:t>
      </w:r>
      <w:r w:rsidRPr="007243F1" w:rsidDel="00A16F38">
        <w:rPr>
          <w:i/>
        </w:rPr>
        <w:t xml:space="preserve"> </w:t>
      </w:r>
    </w:p>
    <w:p w:rsidR="007243F1" w:rsidRPr="007243F1" w:rsidRDefault="007243F1" w:rsidP="007243F1">
      <w:pPr>
        <w:rPr>
          <w:b/>
        </w:rPr>
      </w:pP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Presentation of risk factors across categories? If not, please provide your reasoning.</w:t>
      </w:r>
    </w:p>
    <w:p w:rsidR="00EE53D1" w:rsidRDefault="00EE53D1" w:rsidP="00EE53D1">
      <w:pPr>
        <w:rPr>
          <w:rFonts w:cs="Arial"/>
        </w:rPr>
      </w:pPr>
      <w:r>
        <w:rPr>
          <w:rFonts w:cs="Arial"/>
        </w:rPr>
        <w:t>&lt;ESMA_QUESTION_GRF_6&gt;</w:t>
      </w:r>
    </w:p>
    <w:p w:rsidR="0062615A" w:rsidRDefault="0062615A" w:rsidP="0062615A">
      <w:pPr>
        <w:spacing w:line="300" w:lineRule="atLeast"/>
        <w:jc w:val="both"/>
      </w:pPr>
      <w:permStart w:id="399127845" w:edGrp="everyone"/>
      <w:r>
        <w:t xml:space="preserve">We agree with draft guidelines 7, 8, 9 and 10 regarding the presentation of risks factors across categories. As regards the different categories (draft guideline 7), we support ESMA’s approach to illustrate with examples the categorisation of risk factors and leave flexibility to issuers to determine their own categories. As a matter of fact, the choice of the categories does not only depend on the activities and/or nature of the company but also on its strategy, political or macroeconomic developments and even technological evolution: some companies have recently included, in their risk factors section, a description of risks linked to cybercrime. Other companies mention human resources risks linked to either the key role played by some senior managers or specific skills required in their activities. Furthermore, in France the </w:t>
      </w:r>
      <w:r>
        <w:t>Competent Authority</w:t>
      </w:r>
      <w:r>
        <w:t xml:space="preserve"> has published guidance on risks categorisation and recommends to issuers to present their risks in 6 different categories, which are slightly different from ESMA’s proposal:</w:t>
      </w:r>
    </w:p>
    <w:p w:rsidR="0062615A" w:rsidRPr="001678FC" w:rsidRDefault="0062615A" w:rsidP="0062615A">
      <w:pPr>
        <w:pStyle w:val="Paragraphedeliste"/>
        <w:numPr>
          <w:ilvl w:val="0"/>
          <w:numId w:val="48"/>
        </w:numPr>
        <w:spacing w:line="300" w:lineRule="atLeast"/>
        <w:jc w:val="both"/>
      </w:pPr>
      <w:r w:rsidRPr="001678FC">
        <w:t>legal,</w:t>
      </w:r>
    </w:p>
    <w:p w:rsidR="0062615A" w:rsidRPr="001678FC" w:rsidRDefault="0062615A" w:rsidP="0062615A">
      <w:pPr>
        <w:pStyle w:val="Paragraphedeliste"/>
        <w:numPr>
          <w:ilvl w:val="0"/>
          <w:numId w:val="48"/>
        </w:numPr>
        <w:spacing w:line="300" w:lineRule="atLeast"/>
        <w:jc w:val="both"/>
      </w:pPr>
      <w:r w:rsidRPr="001678FC">
        <w:t>industrial and environmental,</w:t>
      </w:r>
    </w:p>
    <w:p w:rsidR="0062615A" w:rsidRPr="001678FC" w:rsidRDefault="0062615A" w:rsidP="0062615A">
      <w:pPr>
        <w:pStyle w:val="Paragraphedeliste"/>
        <w:numPr>
          <w:ilvl w:val="0"/>
          <w:numId w:val="48"/>
        </w:numPr>
        <w:spacing w:line="300" w:lineRule="atLeast"/>
        <w:jc w:val="both"/>
      </w:pPr>
      <w:r w:rsidRPr="001678FC">
        <w:t>credit and/or counterparty,</w:t>
      </w:r>
    </w:p>
    <w:p w:rsidR="0062615A" w:rsidRPr="001678FC" w:rsidRDefault="0062615A" w:rsidP="0062615A">
      <w:pPr>
        <w:pStyle w:val="Paragraphedeliste"/>
        <w:numPr>
          <w:ilvl w:val="0"/>
          <w:numId w:val="48"/>
        </w:numPr>
        <w:spacing w:line="300" w:lineRule="atLeast"/>
        <w:jc w:val="both"/>
      </w:pPr>
      <w:r w:rsidRPr="001678FC">
        <w:t>operational,</w:t>
      </w:r>
    </w:p>
    <w:p w:rsidR="0062615A" w:rsidRPr="001678FC" w:rsidRDefault="0062615A" w:rsidP="0062615A">
      <w:pPr>
        <w:pStyle w:val="Paragraphedeliste"/>
        <w:numPr>
          <w:ilvl w:val="0"/>
          <w:numId w:val="48"/>
        </w:numPr>
        <w:spacing w:line="300" w:lineRule="atLeast"/>
        <w:jc w:val="both"/>
      </w:pPr>
      <w:r w:rsidRPr="001678FC">
        <w:t>liquidity/financing, and</w:t>
      </w:r>
    </w:p>
    <w:p w:rsidR="0062615A" w:rsidRPr="001678FC" w:rsidRDefault="0062615A" w:rsidP="0062615A">
      <w:pPr>
        <w:pStyle w:val="Paragraphedeliste"/>
        <w:numPr>
          <w:ilvl w:val="0"/>
          <w:numId w:val="48"/>
        </w:numPr>
        <w:spacing w:line="300" w:lineRule="atLeast"/>
        <w:jc w:val="both"/>
      </w:pPr>
      <w:r w:rsidRPr="001678FC">
        <w:t>market/financial</w:t>
      </w:r>
      <w:r>
        <w:t xml:space="preserve"> instruments</w:t>
      </w:r>
      <w:r w:rsidRPr="001678FC">
        <w:t>.</w:t>
      </w:r>
    </w:p>
    <w:p w:rsidR="0062615A" w:rsidRDefault="0062615A" w:rsidP="0062615A">
      <w:pPr>
        <w:spacing w:line="300" w:lineRule="atLeast"/>
        <w:jc w:val="both"/>
      </w:pPr>
    </w:p>
    <w:p w:rsidR="0062615A" w:rsidRDefault="0062615A" w:rsidP="0062615A">
      <w:pPr>
        <w:spacing w:line="300" w:lineRule="atLeast"/>
        <w:jc w:val="both"/>
      </w:pPr>
      <w:r>
        <w:t>Therefore, we agree that ESMA should not establish a mandatory list of categories. Companies should be able to determine themselves what categories are the most relevant for them.</w:t>
      </w:r>
    </w:p>
    <w:p w:rsidR="0062615A" w:rsidRDefault="0062615A" w:rsidP="0062615A">
      <w:pPr>
        <w:spacing w:line="300" w:lineRule="atLeast"/>
        <w:jc w:val="both"/>
      </w:pPr>
    </w:p>
    <w:p w:rsidR="0062615A" w:rsidRDefault="0062615A" w:rsidP="0062615A">
      <w:pPr>
        <w:spacing w:line="300" w:lineRule="atLeast"/>
        <w:jc w:val="both"/>
      </w:pPr>
      <w:r>
        <w:t xml:space="preserve">As regards the presentation of the most material risk factors in each category, we would like to insist on the fact that there should not be any ranking of the risk factors whether most material or not: </w:t>
      </w:r>
      <w:r w:rsidRPr="00616DED">
        <w:t>the most material risk factors must be presented first in each category</w:t>
      </w:r>
      <w:r>
        <w:t xml:space="preserve"> according to article 16 of the Prospectus Regulation but must not be </w:t>
      </w:r>
      <w:r w:rsidRPr="00616DED">
        <w:t>ranked in order of their materiality</w:t>
      </w:r>
      <w:r>
        <w:t xml:space="preserve">. </w:t>
      </w:r>
    </w:p>
    <w:p w:rsidR="00EE53D1" w:rsidRDefault="0062615A" w:rsidP="0062615A">
      <w:pPr>
        <w:spacing w:line="300" w:lineRule="atLeast"/>
        <w:jc w:val="both"/>
        <w:rPr>
          <w:rFonts w:cs="Arial"/>
        </w:rPr>
      </w:pPr>
      <w:r w:rsidRPr="0062615A">
        <w:t xml:space="preserve">We are suggesting some amendments to draft guideline 7 to clarify this: </w:t>
      </w:r>
      <w:r w:rsidRPr="0062615A">
        <w:rPr>
          <w:rFonts w:cstheme="minorHAnsi"/>
        </w:rPr>
        <w:t>«</w:t>
      </w:r>
      <w:r w:rsidRPr="0062615A">
        <w:t xml:space="preserve"> In accordance with Article 16 of the Prospectus Regulation, the most material risk factors must be presented first in each </w:t>
      </w:r>
      <w:proofErr w:type="gramStart"/>
      <w:r w:rsidRPr="0062615A">
        <w:t>category</w:t>
      </w:r>
      <w:r w:rsidRPr="0062615A">
        <w:rPr>
          <w:strike/>
        </w:rPr>
        <w:t>,</w:t>
      </w:r>
      <w:r w:rsidRPr="0062615A">
        <w:rPr>
          <w:b/>
          <w:u w:val="single"/>
        </w:rPr>
        <w:t>.</w:t>
      </w:r>
      <w:proofErr w:type="gramEnd"/>
      <w:r w:rsidRPr="0062615A">
        <w:t xml:space="preserve"> </w:t>
      </w:r>
      <w:r w:rsidRPr="0062615A">
        <w:rPr>
          <w:strike/>
        </w:rPr>
        <w:t>but i</w:t>
      </w:r>
      <w:r>
        <w:rPr>
          <w:strike/>
        </w:rPr>
        <w:t>t</w:t>
      </w:r>
      <w:r w:rsidRPr="0062615A">
        <w:t xml:space="preserve"> </w:t>
      </w:r>
      <w:proofErr w:type="spellStart"/>
      <w:r w:rsidRPr="0062615A">
        <w:rPr>
          <w:b/>
          <w:u w:val="single"/>
        </w:rPr>
        <w:t>I</w:t>
      </w:r>
      <w:r>
        <w:rPr>
          <w:b/>
          <w:u w:val="single"/>
        </w:rPr>
        <w:t>t</w:t>
      </w:r>
      <w:proofErr w:type="spellEnd"/>
      <w:r w:rsidRPr="0062615A">
        <w:t xml:space="preserve"> is not mandatory </w:t>
      </w:r>
      <w:r w:rsidRPr="0062615A">
        <w:rPr>
          <w:b/>
          <w:u w:val="single"/>
        </w:rPr>
        <w:t>to rank</w:t>
      </w:r>
      <w:r w:rsidRPr="0062615A">
        <w:t xml:space="preserve"> </w:t>
      </w:r>
      <w:r w:rsidRPr="0062615A">
        <w:rPr>
          <w:strike/>
        </w:rPr>
        <w:t>that all further</w:t>
      </w:r>
      <w:r w:rsidRPr="0062615A">
        <w:t xml:space="preserve"> risk factors within each category </w:t>
      </w:r>
      <w:r w:rsidRPr="0062615A">
        <w:rPr>
          <w:strike/>
        </w:rPr>
        <w:t>must be ranked</w:t>
      </w:r>
      <w:r w:rsidRPr="0062615A">
        <w:t xml:space="preserve"> in order of their </w:t>
      </w:r>
      <w:r w:rsidRPr="007F1045">
        <w:t>materiality.</w:t>
      </w:r>
      <w:r>
        <w:t xml:space="preserve"> </w:t>
      </w:r>
      <w:r>
        <w:rPr>
          <w:rFonts w:cstheme="minorHAnsi"/>
        </w:rPr>
        <w:t>»</w:t>
      </w:r>
    </w:p>
    <w:permEnd w:id="399127845"/>
    <w:p w:rsidR="00EE53D1" w:rsidRDefault="00EE53D1" w:rsidP="00EE53D1">
      <w:pPr>
        <w:rPr>
          <w:rFonts w:cs="Arial"/>
        </w:rPr>
      </w:pPr>
      <w:r>
        <w:rPr>
          <w:rFonts w:cs="Arial"/>
        </w:rPr>
        <w:t>&lt;ESMA_QUESTION_GRF_6&gt;</w:t>
      </w:r>
    </w:p>
    <w:p w:rsidR="00EE53D1" w:rsidRDefault="00EE53D1" w:rsidP="00EE53D1">
      <w:pPr>
        <w:rPr>
          <w:rFonts w:cs="Arial"/>
        </w:rPr>
      </w:pPr>
    </w:p>
    <w:p w:rsidR="00EE53D1" w:rsidRPr="00303C9E" w:rsidRDefault="00EE53D1" w:rsidP="00EE53D1">
      <w:pPr>
        <w:pStyle w:val="Questionstyle"/>
        <w:numPr>
          <w:ilvl w:val="0"/>
          <w:numId w:val="39"/>
        </w:numPr>
      </w:pPr>
      <w:r w:rsidRPr="00303C9E">
        <w:t>: Do you agree with that the number of categories to be included in a risk factor section, should not usually exceed 10? If not, please provide your reasoning.</w:t>
      </w:r>
    </w:p>
    <w:p w:rsidR="00EE53D1" w:rsidRDefault="00EE53D1" w:rsidP="00EE53D1">
      <w:pPr>
        <w:rPr>
          <w:rFonts w:cs="Arial"/>
        </w:rPr>
      </w:pPr>
      <w:r>
        <w:rPr>
          <w:rFonts w:cs="Arial"/>
        </w:rPr>
        <w:t>&lt;ESMA_QUESTION_GRF_7&gt;</w:t>
      </w:r>
    </w:p>
    <w:p w:rsidR="0062615A" w:rsidRDefault="0062615A" w:rsidP="002727D5">
      <w:pPr>
        <w:spacing w:line="300" w:lineRule="atLeast"/>
        <w:jc w:val="both"/>
      </w:pPr>
      <w:permStart w:id="1685743385" w:edGrp="everyone"/>
      <w:r>
        <w:t xml:space="preserve">We disagree with the ten categories limit put forward by ESMA. The Prospectus regulation does not impose a limit and we consider therefore that ESMA is overstepping theirs powers by setting a maximum number of ten categories. The key issue is to ensure that the description of risk factors is comprehensible. Competent Authorities can only assess </w:t>
      </w:r>
      <w:r w:rsidRPr="00A77237">
        <w:rPr>
          <w:i/>
        </w:rPr>
        <w:t xml:space="preserve">in </w:t>
      </w:r>
      <w:proofErr w:type="spellStart"/>
      <w:r w:rsidRPr="00A77237">
        <w:rPr>
          <w:i/>
        </w:rPr>
        <w:t>concreto</w:t>
      </w:r>
      <w:proofErr w:type="spellEnd"/>
      <w:r>
        <w:t xml:space="preserve"> whether the number of risk factors is disproportionate or not. In practice, ESMA has already identified 9 categories of risk factors in draft guideline 7 which leaves, with a limit of ten categories, little leeway for additional risk categories that could be relevant and material in case of a complex transaction, complex securities or where the issuing entity is part of a group and the disclosure of additional risk factors is necessary. Setting a limit to the number of categories could also lead issuers to group risk factors that are not directly linked and/or include numerous sub-categories which could eventually impaired the comprehensibility of the risk factors section.</w:t>
      </w:r>
    </w:p>
    <w:p w:rsidR="002727D5" w:rsidRDefault="002727D5" w:rsidP="002727D5">
      <w:pPr>
        <w:spacing w:line="300" w:lineRule="atLeast"/>
        <w:jc w:val="both"/>
      </w:pPr>
    </w:p>
    <w:p w:rsidR="0062615A" w:rsidRDefault="0062615A" w:rsidP="002727D5">
      <w:pPr>
        <w:spacing w:line="300" w:lineRule="atLeast"/>
      </w:pPr>
      <w:r>
        <w:t>We are therefore suggesting that draft guideline 9 be amended as follows:</w:t>
      </w:r>
    </w:p>
    <w:p w:rsidR="0062615A" w:rsidRPr="00F674FF" w:rsidRDefault="0062615A" w:rsidP="002727D5">
      <w:pPr>
        <w:spacing w:line="300" w:lineRule="atLeast"/>
        <w:jc w:val="both"/>
      </w:pPr>
      <w:r>
        <w:rPr>
          <w:rFonts w:cstheme="minorHAnsi"/>
          <w:b/>
          <w:bCs/>
        </w:rPr>
        <w:t>«</w:t>
      </w:r>
      <w:r>
        <w:rPr>
          <w:b/>
          <w:bCs/>
        </w:rPr>
        <w:t xml:space="preserve"> </w:t>
      </w:r>
      <w:r w:rsidRPr="00F674FF">
        <w:rPr>
          <w:b/>
          <w:bCs/>
        </w:rPr>
        <w:t xml:space="preserve">The competent authority should ensure that the number of categories included in the prospectus is not disproportionate to the size/complexity of the transaction and risk to the issuer/guarantor. </w:t>
      </w:r>
    </w:p>
    <w:p w:rsidR="0062615A" w:rsidRPr="002727D5" w:rsidRDefault="0062615A" w:rsidP="002727D5">
      <w:pPr>
        <w:spacing w:line="300" w:lineRule="atLeast"/>
        <w:jc w:val="both"/>
        <w:rPr>
          <w:strike/>
        </w:rPr>
      </w:pPr>
      <w:r w:rsidRPr="00F674FF">
        <w:t xml:space="preserve">ESMA </w:t>
      </w:r>
      <w:r w:rsidRPr="002727D5">
        <w:t xml:space="preserve">considers </w:t>
      </w:r>
      <w:r w:rsidRPr="002727D5">
        <w:rPr>
          <w:b/>
          <w:u w:val="single"/>
        </w:rPr>
        <w:t>that</w:t>
      </w:r>
      <w:r w:rsidRPr="002727D5">
        <w:rPr>
          <w:b/>
          <w:strike/>
          <w:u w:val="single"/>
        </w:rPr>
        <w:t xml:space="preserve"> </w:t>
      </w:r>
      <w:r w:rsidRPr="002727D5">
        <w:rPr>
          <w:strike/>
        </w:rPr>
        <w:t xml:space="preserve">that including more than ten categories in the case of a standard, single-issuer, single-security prospectus, would go beyond the requirement in Article 16(1) of the Prospectus Regulation which states that the ‘risk factors shall be presented in a ‘limited’ number of categories’’. This figure of up to ten categories should be reduced where such a number of categories is not relevant or, </w:t>
      </w:r>
      <w:proofErr w:type="spellStart"/>
      <w:r w:rsidRPr="002727D5">
        <w:rPr>
          <w:strike/>
        </w:rPr>
        <w:t>iIn</w:t>
      </w:r>
      <w:proofErr w:type="spellEnd"/>
      <w:r w:rsidRPr="002727D5">
        <w:rPr>
          <w:strike/>
        </w:rPr>
        <w:t xml:space="preserve"> other circumstances, it could be extended depending on the case. ESMA understands the case of a multi-product base prospectus as an example where further categories may be relevant.</w:t>
      </w:r>
    </w:p>
    <w:p w:rsidR="0062615A" w:rsidRPr="00F674FF" w:rsidRDefault="0062615A" w:rsidP="002727D5">
      <w:pPr>
        <w:spacing w:line="300" w:lineRule="atLeast"/>
        <w:jc w:val="both"/>
      </w:pPr>
      <w:r w:rsidRPr="002727D5">
        <w:rPr>
          <w:strike/>
        </w:rPr>
        <w:t>Fewer categories should be included where that is all that is necessary to categorise the risk factors in a comprehensible manner.</w:t>
      </w:r>
      <w:r w:rsidRPr="002727D5">
        <w:rPr>
          <w:bCs/>
        </w:rPr>
        <w:t xml:space="preserve"> </w:t>
      </w:r>
      <w:r w:rsidRPr="002727D5">
        <w:rPr>
          <w:b/>
          <w:u w:val="single"/>
        </w:rPr>
        <w:t xml:space="preserve">the assessment of disproportion must be made </w:t>
      </w:r>
      <w:r w:rsidRPr="002727D5">
        <w:rPr>
          <w:b/>
          <w:i/>
          <w:u w:val="single"/>
        </w:rPr>
        <w:t xml:space="preserve">in </w:t>
      </w:r>
      <w:proofErr w:type="spellStart"/>
      <w:r w:rsidRPr="002727D5">
        <w:rPr>
          <w:b/>
          <w:i/>
          <w:u w:val="single"/>
        </w:rPr>
        <w:t>concreto</w:t>
      </w:r>
      <w:proofErr w:type="spellEnd"/>
      <w:r w:rsidRPr="002727D5">
        <w:rPr>
          <w:b/>
          <w:u w:val="single"/>
        </w:rPr>
        <w:t xml:space="preserve"> taking into consideration the characteristics of the issuer and/or securities, in order to ensure that the risk factors are presented in a comprehensible manner.</w:t>
      </w:r>
      <w:r w:rsidRPr="002727D5">
        <w:t xml:space="preserve"> </w:t>
      </w:r>
      <w:r w:rsidRPr="00F674FF">
        <w:rPr>
          <w:rFonts w:cstheme="minorHAnsi"/>
          <w:bCs/>
        </w:rPr>
        <w:t>»</w:t>
      </w:r>
    </w:p>
    <w:permEnd w:id="1685743385"/>
    <w:p w:rsidR="00EE53D1" w:rsidRDefault="00EE53D1" w:rsidP="00EE53D1">
      <w:pPr>
        <w:rPr>
          <w:rFonts w:cs="Arial"/>
        </w:rPr>
      </w:pPr>
      <w:r>
        <w:rPr>
          <w:rFonts w:cs="Arial"/>
        </w:rPr>
        <w:t>&lt;ESMA_QUESTION_GRF_7&gt;</w:t>
      </w:r>
    </w:p>
    <w:p w:rsidR="007243F1" w:rsidRPr="007243F1" w:rsidRDefault="007243F1" w:rsidP="007243F1">
      <w:pPr>
        <w:rPr>
          <w:b/>
        </w:rPr>
      </w:pPr>
    </w:p>
    <w:p w:rsidR="007243F1" w:rsidRPr="007243F1" w:rsidRDefault="007243F1" w:rsidP="007243F1">
      <w:pPr>
        <w:rPr>
          <w:i/>
        </w:rPr>
      </w:pPr>
      <w:r w:rsidRPr="007243F1">
        <w:rPr>
          <w:i/>
        </w:rPr>
        <w:t>Focused/concise risk factors</w:t>
      </w:r>
    </w:p>
    <w:p w:rsidR="007243F1" w:rsidRPr="007243F1" w:rsidRDefault="007243F1" w:rsidP="007243F1">
      <w:pPr>
        <w:rPr>
          <w:b/>
        </w:rPr>
      </w:pP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focused/concise risk factors? If not, please provide your reasoning.</w:t>
      </w:r>
    </w:p>
    <w:p w:rsidR="00EE53D1" w:rsidRDefault="00EE53D1" w:rsidP="00EE53D1">
      <w:pPr>
        <w:rPr>
          <w:rFonts w:cs="Arial"/>
        </w:rPr>
      </w:pPr>
      <w:r>
        <w:rPr>
          <w:rFonts w:cs="Arial"/>
        </w:rPr>
        <w:t>&lt;ESMA_QUESTION_GRF_8&gt;</w:t>
      </w:r>
    </w:p>
    <w:p w:rsidR="002727D5" w:rsidRDefault="002727D5" w:rsidP="002727D5">
      <w:pPr>
        <w:spacing w:line="300" w:lineRule="atLeast"/>
        <w:jc w:val="both"/>
      </w:pPr>
      <w:permStart w:id="1628664304" w:edGrp="everyone"/>
      <w:r>
        <w:t xml:space="preserve">We agree with draft guideline 11. However, </w:t>
      </w:r>
      <w:r w:rsidRPr="0068004A">
        <w:t xml:space="preserve">ESMA should be aware that the </w:t>
      </w:r>
      <w:r>
        <w:rPr>
          <w:rFonts w:cstheme="minorHAnsi"/>
        </w:rPr>
        <w:t>«</w:t>
      </w:r>
      <w:r>
        <w:t xml:space="preserve"> </w:t>
      </w:r>
      <w:r w:rsidRPr="0068004A">
        <w:t>size inflation</w:t>
      </w:r>
      <w:r>
        <w:t xml:space="preserve"> </w:t>
      </w:r>
      <w:r>
        <w:rPr>
          <w:rFonts w:cstheme="minorHAnsi"/>
        </w:rPr>
        <w:t>»</w:t>
      </w:r>
      <w:r w:rsidRPr="0068004A">
        <w:t xml:space="preserve"> of prospectus is also directly attributable to</w:t>
      </w:r>
      <w:r>
        <w:t xml:space="preserve"> increased requirements</w:t>
      </w:r>
      <w:r w:rsidRPr="0068004A">
        <w:t xml:space="preserve"> </w:t>
      </w:r>
      <w:r>
        <w:t xml:space="preserve">stemming from regulations in force </w:t>
      </w:r>
      <w:bookmarkStart w:id="2" w:name="_Hlk526182654"/>
      <w:r>
        <w:t>(</w:t>
      </w:r>
      <w:proofErr w:type="spellStart"/>
      <w:r>
        <w:t>eg.</w:t>
      </w:r>
      <w:proofErr w:type="spellEnd"/>
      <w:r>
        <w:t>: disclosure requirements regarding corporate governance and the implementation of IFRS)</w:t>
      </w:r>
      <w:bookmarkEnd w:id="2"/>
      <w:r>
        <w:t xml:space="preserve"> and, as regards more specifically risk factors, to</w:t>
      </w:r>
      <w:r>
        <w:t xml:space="preserve"> </w:t>
      </w:r>
      <w:r w:rsidRPr="0068004A">
        <w:t>the practices of some competent authorities</w:t>
      </w:r>
      <w:r>
        <w:t>,</w:t>
      </w:r>
      <w:r w:rsidRPr="0068004A">
        <w:t xml:space="preserve"> requests</w:t>
      </w:r>
      <w:r>
        <w:t xml:space="preserve"> from some (institutional) investors and/or international practices</w:t>
      </w:r>
      <w:r w:rsidRPr="0068004A">
        <w:t>.</w:t>
      </w:r>
    </w:p>
    <w:p w:rsidR="002727D5" w:rsidRPr="0068004A" w:rsidRDefault="002727D5" w:rsidP="002727D5">
      <w:pPr>
        <w:spacing w:line="300" w:lineRule="atLeast"/>
        <w:jc w:val="both"/>
      </w:pPr>
    </w:p>
    <w:p w:rsidR="00EE53D1" w:rsidRDefault="002727D5" w:rsidP="002727D5">
      <w:pPr>
        <w:spacing w:line="300" w:lineRule="atLeast"/>
        <w:jc w:val="both"/>
        <w:rPr>
          <w:rFonts w:cs="Arial"/>
        </w:rPr>
      </w:pPr>
      <w:r>
        <w:t xml:space="preserve">Since these guidelines are addressed to competent authorities, ESMA could clarify/explain how competent authorities should address the </w:t>
      </w:r>
      <w:r>
        <w:rPr>
          <w:rFonts w:cstheme="minorHAnsi"/>
        </w:rPr>
        <w:t>«</w:t>
      </w:r>
      <w:r>
        <w:t xml:space="preserve"> </w:t>
      </w:r>
      <w:r w:rsidRPr="0068004A">
        <w:t>size inflation</w:t>
      </w:r>
      <w:r>
        <w:t xml:space="preserve"> </w:t>
      </w:r>
      <w:r>
        <w:rPr>
          <w:rFonts w:cstheme="minorHAnsi"/>
        </w:rPr>
        <w:t>»</w:t>
      </w:r>
      <w:r w:rsidRPr="0068004A">
        <w:t xml:space="preserve"> </w:t>
      </w:r>
      <w:r>
        <w:t xml:space="preserve">issue: for instance, by not systematically asking for more disclosures and/or acknowledging that information exchanged between the authority and the issuer during the review process need not necessarily be included/reflected in the draft prospectus. ESMA could also consider implementing other measures to harmonise the practises of the competent authorities (please refer to our answer to question 10). </w:t>
      </w:r>
      <w:bookmarkStart w:id="3" w:name="_Hlk526177800"/>
      <w:r>
        <w:t>As regards investors</w:t>
      </w:r>
      <w:r>
        <w:t xml:space="preserve">, </w:t>
      </w:r>
      <w:r>
        <w:t>counsels and other services providers involved in the drafting of prospectuses, ESMA could also envisage developing specific communication strategies to raise awareness</w:t>
      </w:r>
      <w:bookmarkStart w:id="4" w:name="_Hlk526177809"/>
      <w:r>
        <w:t xml:space="preserve"> on this matter</w:t>
      </w:r>
      <w:r>
        <w:t>.</w:t>
      </w:r>
      <w:bookmarkEnd w:id="3"/>
      <w:bookmarkEnd w:id="4"/>
    </w:p>
    <w:permEnd w:id="1628664304"/>
    <w:p w:rsidR="00EE53D1" w:rsidRDefault="00EE53D1" w:rsidP="00EE53D1">
      <w:pPr>
        <w:rPr>
          <w:rFonts w:cs="Arial"/>
        </w:rPr>
      </w:pPr>
      <w:proofErr w:type="spellStart"/>
      <w:r>
        <w:rPr>
          <w:rFonts w:cs="Arial"/>
        </w:rPr>
        <w:t>&lt;ES</w:t>
      </w:r>
      <w:proofErr w:type="spellEnd"/>
      <w:r>
        <w:rPr>
          <w:rFonts w:cs="Arial"/>
        </w:rPr>
        <w:t>MA_QUESTION_GRF_8&gt;</w:t>
      </w:r>
    </w:p>
    <w:p w:rsidR="007243F1" w:rsidRPr="007243F1" w:rsidRDefault="007243F1" w:rsidP="007243F1">
      <w:pPr>
        <w:rPr>
          <w:b/>
        </w:rPr>
      </w:pPr>
    </w:p>
    <w:p w:rsidR="007243F1" w:rsidRPr="007243F1" w:rsidRDefault="007243F1" w:rsidP="007243F1">
      <w:pPr>
        <w:rPr>
          <w:i/>
        </w:rPr>
      </w:pPr>
      <w:r w:rsidRPr="007243F1">
        <w:rPr>
          <w:i/>
        </w:rPr>
        <w:t>Summary</w:t>
      </w:r>
    </w:p>
    <w:p w:rsidR="007243F1" w:rsidRPr="007243F1" w:rsidRDefault="007243F1" w:rsidP="007243F1">
      <w:pPr>
        <w:rPr>
          <w:b/>
        </w:rPr>
      </w:pPr>
    </w:p>
    <w:p w:rsidR="00EE53D1" w:rsidRPr="00277C86" w:rsidRDefault="00EE53D1" w:rsidP="00EE53D1">
      <w:pPr>
        <w:pStyle w:val="Questionstyle"/>
        <w:numPr>
          <w:ilvl w:val="0"/>
          <w:numId w:val="39"/>
        </w:numPr>
      </w:pPr>
      <w:r w:rsidRPr="00303C9E">
        <w:t>: D</w:t>
      </w:r>
      <w:r w:rsidR="007303AD">
        <w:t>o you agree with the suggested draft</w:t>
      </w:r>
      <w:r w:rsidRPr="00303C9E">
        <w:t xml:space="preserve"> guideline on risk factors in the summary? If not, please provide your reasoning.</w:t>
      </w:r>
    </w:p>
    <w:p w:rsidR="00EE53D1" w:rsidRDefault="00EE53D1" w:rsidP="00EE53D1">
      <w:pPr>
        <w:rPr>
          <w:rFonts w:cs="Arial"/>
        </w:rPr>
      </w:pPr>
      <w:r>
        <w:rPr>
          <w:rFonts w:cs="Arial"/>
        </w:rPr>
        <w:t>&lt;ESMA_QUESTION_GRF_9&gt;</w:t>
      </w:r>
    </w:p>
    <w:p w:rsidR="002727D5" w:rsidRDefault="002727D5" w:rsidP="002727D5">
      <w:pPr>
        <w:spacing w:line="300" w:lineRule="atLeast"/>
        <w:jc w:val="both"/>
      </w:pPr>
      <w:permStart w:id="1017010520" w:edGrp="everyone"/>
      <w:r>
        <w:t xml:space="preserve">We agree with draft guideline 12 and that </w:t>
      </w:r>
      <w:r w:rsidRPr="005D6556">
        <w:t>the disclosure of the risk factors in the summary (if applicable) should be consistent with the presentation in each category</w:t>
      </w:r>
      <w:r>
        <w:t xml:space="preserve"> of the prospectus.</w:t>
      </w:r>
      <w:bookmarkStart w:id="5" w:name="_Hlk526182984"/>
    </w:p>
    <w:p w:rsidR="002727D5" w:rsidRDefault="002727D5" w:rsidP="002727D5">
      <w:pPr>
        <w:spacing w:line="300" w:lineRule="atLeast"/>
        <w:jc w:val="both"/>
      </w:pPr>
    </w:p>
    <w:p w:rsidR="00EE53D1" w:rsidRDefault="002727D5" w:rsidP="002727D5">
      <w:pPr>
        <w:spacing w:line="300" w:lineRule="atLeast"/>
        <w:jc w:val="both"/>
        <w:rPr>
          <w:rFonts w:cs="Arial"/>
        </w:rPr>
      </w:pPr>
      <w:r>
        <w:t>However, ESMA should also consider that since the number of risk factors is limited to 15 in a summary, the order of presentation may differ from the disclosure in the prospectus: some categories of risks and/or risk factors may not be included in the summary, especially for base prospectuses covering several issuers and/or various types of securities. Therefore, a change in the order of presentation of risk factors should not be questioned by Competent Authorities where it does not impair the comprehensibility of the summary and the description of the risks.</w:t>
      </w:r>
      <w:bookmarkEnd w:id="5"/>
    </w:p>
    <w:permEnd w:id="1017010520"/>
    <w:p w:rsidR="00EE53D1" w:rsidRDefault="00EE53D1" w:rsidP="00EE53D1">
      <w:pPr>
        <w:rPr>
          <w:rFonts w:cs="Arial"/>
        </w:rPr>
      </w:pPr>
      <w:r>
        <w:rPr>
          <w:rFonts w:cs="Arial"/>
        </w:rPr>
        <w:t>&lt;ESMA_QUESTION_GRF_9&gt;</w:t>
      </w:r>
    </w:p>
    <w:p w:rsidR="007243F1" w:rsidRPr="007243F1" w:rsidRDefault="007243F1" w:rsidP="007243F1">
      <w:pPr>
        <w:rPr>
          <w:b/>
        </w:rPr>
      </w:pPr>
    </w:p>
    <w:p w:rsidR="007243F1" w:rsidRPr="007243F1" w:rsidRDefault="007243F1" w:rsidP="007243F1">
      <w:pPr>
        <w:rPr>
          <w:i/>
        </w:rPr>
      </w:pPr>
      <w:r w:rsidRPr="007243F1">
        <w:rPr>
          <w:i/>
        </w:rPr>
        <w:t>General</w:t>
      </w:r>
    </w:p>
    <w:p w:rsidR="007243F1" w:rsidRPr="007243F1" w:rsidRDefault="007243F1" w:rsidP="007243F1">
      <w:pPr>
        <w:rPr>
          <w:b/>
        </w:rPr>
      </w:pPr>
    </w:p>
    <w:p w:rsidR="00EE53D1" w:rsidRPr="00277C86" w:rsidRDefault="00EE53D1" w:rsidP="00EE53D1">
      <w:pPr>
        <w:pStyle w:val="Questionstyle"/>
        <w:numPr>
          <w:ilvl w:val="0"/>
          <w:numId w:val="39"/>
        </w:numPr>
      </w:pPr>
      <w:r w:rsidRPr="00303C9E">
        <w:t xml:space="preserve">: </w:t>
      </w:r>
      <w:r w:rsidR="007303AD">
        <w:t>Do you agree with the proposed draft</w:t>
      </w:r>
      <w:r w:rsidRPr="00303C9E">
        <w:t xml:space="preserve"> guidelines? Have you any furt</w:t>
      </w:r>
      <w:r w:rsidR="007303AD">
        <w:t>her suggestions with regard to draft</w:t>
      </w:r>
      <w:r w:rsidRPr="00303C9E">
        <w:t xml:space="preserve"> guidelines addressing a particular section or the guidelines in general?</w:t>
      </w:r>
    </w:p>
    <w:p w:rsidR="00EE53D1" w:rsidRDefault="00EE53D1" w:rsidP="00EE53D1">
      <w:pPr>
        <w:rPr>
          <w:rFonts w:cs="Arial"/>
        </w:rPr>
      </w:pPr>
      <w:r>
        <w:rPr>
          <w:rFonts w:cs="Arial"/>
        </w:rPr>
        <w:t>&lt;ESMA_QUESTION_GRF_10&gt;</w:t>
      </w:r>
    </w:p>
    <w:p w:rsidR="002727D5" w:rsidRDefault="002727D5" w:rsidP="002727D5">
      <w:pPr>
        <w:spacing w:line="300" w:lineRule="atLeast"/>
        <w:jc w:val="both"/>
      </w:pPr>
      <w:permStart w:id="1706109172" w:edGrp="everyone"/>
      <w:r>
        <w:t xml:space="preserve">The </w:t>
      </w:r>
      <w:r w:rsidRPr="004267EB">
        <w:t>approval</w:t>
      </w:r>
      <w:r>
        <w:t xml:space="preserve"> of a prospectus is defined by the Prospectus Regulation as</w:t>
      </w:r>
      <w:r w:rsidRPr="004267EB">
        <w:t xml:space="preserve"> </w:t>
      </w:r>
      <w:r>
        <w:rPr>
          <w:rFonts w:cstheme="minorHAnsi"/>
        </w:rPr>
        <w:t>«</w:t>
      </w:r>
      <w:r>
        <w:t xml:space="preserve"> </w:t>
      </w:r>
      <w:r w:rsidRPr="00BC760C">
        <w:rPr>
          <w:i/>
        </w:rPr>
        <w:t>the positive act at the outcome of the scrutiny by the home Member State’s competent authority of the completeness, the consistency and the comprehensibility of the information given in the prospectus</w:t>
      </w:r>
      <w:r>
        <w:t xml:space="preserve"> </w:t>
      </w:r>
      <w:r>
        <w:rPr>
          <w:rFonts w:cstheme="minorHAnsi"/>
        </w:rPr>
        <w:t>»</w:t>
      </w:r>
      <w:r>
        <w:t xml:space="preserve">. At the end of the day, and after having reviewed the entire prospectus, competent authorities are sole responsible for deciding whether the prospectus should be approved or not. We consider that it is inappropriate, in a level 3 measure, to recommend to competent authorities to refuse the approval of a prospectus. Therefore, and regarding more specifically draft guidelines 2, 3, 6 and 7, we consider that the sentence starting with </w:t>
      </w:r>
      <w:r w:rsidRPr="002727D5">
        <w:rPr>
          <w:rFonts w:cstheme="minorHAnsi"/>
          <w:i/>
        </w:rPr>
        <w:t>«</w:t>
      </w:r>
      <w:r w:rsidRPr="002727D5">
        <w:rPr>
          <w:i/>
        </w:rPr>
        <w:t xml:space="preserve"> The competent authority should not approve a prospectus where…</w:t>
      </w:r>
      <w:r>
        <w:rPr>
          <w:rFonts w:cstheme="minorHAnsi"/>
        </w:rPr>
        <w:t>»</w:t>
      </w:r>
      <w:r>
        <w:t xml:space="preserve"> should be deleted. </w:t>
      </w:r>
    </w:p>
    <w:p w:rsidR="002727D5" w:rsidRDefault="002727D5" w:rsidP="002727D5">
      <w:pPr>
        <w:spacing w:line="300" w:lineRule="atLeast"/>
        <w:jc w:val="both"/>
      </w:pPr>
      <w:bookmarkStart w:id="6" w:name="_Hlk526180221"/>
      <w:r>
        <w:t>We would also like to insist on the fact that issuers are eventually liable for providing investors with all necessary and material information, including all material risk factors, to allow them to take an informed decision. The decision by a Competent Authority to prevent an issuer from disclosing a risk or requiring the deletion of a risk because it is not deemed material, could raise serious liability issues.</w:t>
      </w:r>
    </w:p>
    <w:bookmarkEnd w:id="6"/>
    <w:p w:rsidR="002727D5" w:rsidRDefault="002727D5" w:rsidP="00FC5C57">
      <w:pPr>
        <w:spacing w:line="276" w:lineRule="auto"/>
        <w:jc w:val="both"/>
      </w:pPr>
    </w:p>
    <w:p w:rsidR="002727D5" w:rsidRDefault="002727D5" w:rsidP="002727D5">
      <w:pPr>
        <w:spacing w:line="300" w:lineRule="atLeast"/>
        <w:jc w:val="both"/>
      </w:pPr>
      <w:r>
        <w:t>As regards the disclosure of risk factors, a key challenge for regulators when reviewing risk factors is to ensure that disclosures by different companies operating in a same business sector and/or of the same nature are consistent (i.e. mining companies, for instance, are faced with the same risks). Competent authorities therefore should guarantee that these companies are all subject to the same requirements and level of disclosure of risk factors in order to ensure a level playing field. These guidelines may not be the right tool to address this issue. ESMA should therefore strive to handle this issue through other means such as training programs, workshops, etc. To ensure an efficient and harmonised implementation of article 16 of the Prospectus Regulation it is essential that each competent authority should have a clear policy regarding risk factors and that this policy be harmonised at EU level.</w:t>
      </w:r>
      <w:r>
        <w:t xml:space="preserve"> </w:t>
      </w:r>
    </w:p>
    <w:p w:rsidR="002727D5" w:rsidRDefault="002727D5" w:rsidP="002727D5">
      <w:pPr>
        <w:spacing w:line="300" w:lineRule="atLeast"/>
        <w:jc w:val="both"/>
      </w:pPr>
    </w:p>
    <w:p w:rsidR="002727D5" w:rsidRPr="002727D5" w:rsidRDefault="002727D5" w:rsidP="002727D5">
      <w:pPr>
        <w:spacing w:line="276" w:lineRule="auto"/>
        <w:rPr>
          <w:b/>
          <w:sz w:val="22"/>
          <w:szCs w:val="22"/>
        </w:rPr>
      </w:pPr>
      <w:r w:rsidRPr="002727D5">
        <w:rPr>
          <w:b/>
          <w:sz w:val="22"/>
          <w:szCs w:val="22"/>
        </w:rPr>
        <w:t>Suggested amendments</w:t>
      </w:r>
      <w:r w:rsidRPr="002727D5">
        <w:rPr>
          <w:b/>
          <w:sz w:val="22"/>
          <w:szCs w:val="22"/>
        </w:rPr>
        <w:t xml:space="preserve"> to ESMA’s draft guidelines</w:t>
      </w:r>
    </w:p>
    <w:p w:rsidR="002727D5" w:rsidRDefault="002727D5" w:rsidP="002727D5">
      <w:pPr>
        <w:spacing w:line="276" w:lineRule="auto"/>
      </w:pPr>
    </w:p>
    <w:tbl>
      <w:tblPr>
        <w:tblStyle w:val="Grilledutableau"/>
        <w:tblW w:w="0" w:type="auto"/>
        <w:tblLook w:val="04A0" w:firstRow="1" w:lastRow="0" w:firstColumn="1" w:lastColumn="0" w:noHBand="0" w:noVBand="1"/>
      </w:tblPr>
      <w:tblGrid>
        <w:gridCol w:w="4703"/>
        <w:gridCol w:w="4699"/>
      </w:tblGrid>
      <w:tr w:rsidR="002727D5" w:rsidRPr="00501A51" w:rsidTr="00FC5C57">
        <w:trPr>
          <w:trHeight w:val="536"/>
          <w:tblHeader/>
        </w:trPr>
        <w:tc>
          <w:tcPr>
            <w:tcW w:w="4819" w:type="dxa"/>
            <w:shd w:val="clear" w:color="auto" w:fill="D9D9D9" w:themeFill="background1" w:themeFillShade="D9"/>
            <w:vAlign w:val="center"/>
          </w:tcPr>
          <w:p w:rsidR="002727D5" w:rsidRPr="002727D5" w:rsidRDefault="002727D5" w:rsidP="00FC5C57">
            <w:pPr>
              <w:jc w:val="center"/>
              <w:rPr>
                <w:b/>
                <w:szCs w:val="20"/>
              </w:rPr>
            </w:pPr>
            <w:r w:rsidRPr="002727D5">
              <w:rPr>
                <w:b/>
                <w:szCs w:val="20"/>
              </w:rPr>
              <w:t>ESMA Draft guidelines on risk factors</w:t>
            </w:r>
          </w:p>
        </w:tc>
        <w:tc>
          <w:tcPr>
            <w:tcW w:w="4819" w:type="dxa"/>
            <w:shd w:val="clear" w:color="auto" w:fill="D9D9D9" w:themeFill="background1" w:themeFillShade="D9"/>
            <w:vAlign w:val="center"/>
          </w:tcPr>
          <w:p w:rsidR="002727D5" w:rsidRPr="002727D5" w:rsidRDefault="002727D5" w:rsidP="00FC5C57">
            <w:pPr>
              <w:jc w:val="center"/>
              <w:rPr>
                <w:b/>
                <w:szCs w:val="20"/>
              </w:rPr>
            </w:pPr>
            <w:r w:rsidRPr="002727D5">
              <w:rPr>
                <w:b/>
                <w:szCs w:val="20"/>
              </w:rPr>
              <w:t xml:space="preserve">Amendments: </w:t>
            </w:r>
            <w:r w:rsidRPr="002727D5">
              <w:rPr>
                <w:b/>
                <w:strike/>
                <w:szCs w:val="20"/>
              </w:rPr>
              <w:t>deleted</w:t>
            </w:r>
            <w:r w:rsidRPr="002727D5">
              <w:rPr>
                <w:b/>
                <w:szCs w:val="20"/>
              </w:rPr>
              <w:t xml:space="preserve"> / </w:t>
            </w:r>
            <w:r w:rsidRPr="002727D5">
              <w:rPr>
                <w:b/>
                <w:color w:val="FF0000"/>
                <w:szCs w:val="20"/>
                <w:u w:val="single"/>
              </w:rPr>
              <w:t>added</w:t>
            </w:r>
          </w:p>
        </w:tc>
      </w:tr>
      <w:tr w:rsidR="002727D5" w:rsidRPr="00501A51" w:rsidTr="00FC5C57">
        <w:tc>
          <w:tcPr>
            <w:tcW w:w="4819" w:type="dxa"/>
          </w:tcPr>
          <w:p w:rsidR="002727D5" w:rsidRPr="002727D5" w:rsidRDefault="002727D5" w:rsidP="00FC5C57">
            <w:pPr>
              <w:rPr>
                <w:b/>
                <w:szCs w:val="20"/>
              </w:rPr>
            </w:pPr>
            <w:r w:rsidRPr="002727D5">
              <w:rPr>
                <w:b/>
                <w:szCs w:val="20"/>
              </w:rPr>
              <w:t>Draft guidelines on Specificity</w:t>
            </w:r>
          </w:p>
          <w:p w:rsidR="002727D5" w:rsidRPr="002727D5" w:rsidRDefault="002727D5" w:rsidP="00FC5C57">
            <w:pPr>
              <w:rPr>
                <w:szCs w:val="20"/>
              </w:rPr>
            </w:pPr>
          </w:p>
          <w:p w:rsidR="002727D5" w:rsidRPr="002727D5" w:rsidRDefault="002727D5" w:rsidP="00FC5C57">
            <w:pPr>
              <w:jc w:val="both"/>
              <w:rPr>
                <w:b/>
                <w:szCs w:val="20"/>
              </w:rPr>
            </w:pPr>
            <w:r w:rsidRPr="002727D5">
              <w:rPr>
                <w:b/>
                <w:szCs w:val="20"/>
              </w:rPr>
              <w:t>Guideline 1: The competent authority should review whether the disclosure of the risk factor establishes a clear and direct link between the risk factor and the issuer, guarantor or securities. The competent authority should challenge the persons responsible for the prospectus if it appears that risk factor disclosure has not been drafted specifically for the issuer/guarantor or the securities.</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 xml:space="preserve">Specificity related to the issuer/guarantor may depend on the type of entity (e.g. </w:t>
            </w:r>
            <w:bookmarkStart w:id="7" w:name="_Hlk521922007"/>
            <w:r w:rsidRPr="002727D5">
              <w:rPr>
                <w:szCs w:val="20"/>
              </w:rPr>
              <w:t xml:space="preserve">start-up companies, regulated entities, specialist issuers, etc.) </w:t>
            </w:r>
            <w:bookmarkEnd w:id="7"/>
            <w:r w:rsidRPr="002727D5">
              <w:rPr>
                <w:szCs w:val="20"/>
              </w:rPr>
              <w:t>and specificity related to the type of security may depend on the characteristics of the security.</w:t>
            </w:r>
          </w:p>
          <w:p w:rsidR="002727D5" w:rsidRPr="002727D5" w:rsidRDefault="002727D5" w:rsidP="00FC5C57">
            <w:pPr>
              <w:jc w:val="both"/>
              <w:rPr>
                <w:szCs w:val="20"/>
              </w:rPr>
            </w:pPr>
            <w:bookmarkStart w:id="8" w:name="_Hlk521923081"/>
            <w:r w:rsidRPr="002727D5">
              <w:rPr>
                <w:szCs w:val="20"/>
              </w:rPr>
              <w:t>Each risk factor should identify and disclose a risk that is relevant for the issuer/guarantor or the securities concerned rather than simply disclosing ‘boiler-plate’ risks or using</w:t>
            </w:r>
            <w:r w:rsidRPr="002727D5">
              <w:rPr>
                <w:color w:val="FF0000"/>
                <w:szCs w:val="20"/>
              </w:rPr>
              <w:t xml:space="preserve"> </w:t>
            </w:r>
            <w:r w:rsidRPr="002727D5">
              <w:rPr>
                <w:szCs w:val="20"/>
              </w:rPr>
              <w:t>‘boiler-plate’ disclosures.</w:t>
            </w:r>
          </w:p>
          <w:p w:rsidR="002727D5" w:rsidRPr="002727D5" w:rsidRDefault="002727D5" w:rsidP="00FC5C57">
            <w:pPr>
              <w:jc w:val="both"/>
              <w:rPr>
                <w:szCs w:val="20"/>
              </w:rPr>
            </w:pPr>
            <w:r w:rsidRPr="002727D5">
              <w:rPr>
                <w:szCs w:val="20"/>
              </w:rPr>
              <w:t xml:space="preserve"> </w:t>
            </w:r>
            <w:bookmarkEnd w:id="8"/>
            <w:r w:rsidRPr="002727D5">
              <w:rPr>
                <w:szCs w:val="20"/>
              </w:rPr>
              <w:t>Risk factors should not merely be copied from other documents published by other issuers or previously by the same issuer if they are not relevant to the issuer/guarantor and/or the securities.</w:t>
            </w:r>
          </w:p>
          <w:p w:rsidR="002727D5" w:rsidRPr="002727D5" w:rsidRDefault="002727D5" w:rsidP="00FC5C57">
            <w:pPr>
              <w:jc w:val="both"/>
              <w:rPr>
                <w:szCs w:val="20"/>
              </w:rPr>
            </w:pPr>
          </w:p>
          <w:p w:rsidR="002727D5" w:rsidRPr="002727D5" w:rsidRDefault="002727D5" w:rsidP="00FC5C57">
            <w:pPr>
              <w:jc w:val="both"/>
              <w:rPr>
                <w:b/>
                <w:szCs w:val="20"/>
              </w:rPr>
            </w:pPr>
            <w:r w:rsidRPr="002727D5">
              <w:rPr>
                <w:b/>
                <w:szCs w:val="20"/>
              </w:rPr>
              <w:t>Guideline 2: The competent authority should challenge the inclusion of risk factors that are generic and only serve as disclaimers or where there is no clear and direct link between the issuer/guarantor or the securities and the risk factor.  Where necessary, the competent authority should request that the persons responsible for the prospectus amend such risk factor or request a clearer explanation. The competent authority should not approve a prospectus where specificity is not apparent from the disclosure of the risk factor.</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The following could be considered examples of disclosures that illustrate the specificity of risk factors to the issuer, or extracts from risk factor disclosures that show a clear and direct link between the risk factor and the issuer.</w:t>
            </w:r>
          </w:p>
          <w:p w:rsidR="002727D5" w:rsidRPr="002727D5" w:rsidRDefault="002727D5" w:rsidP="00FC5C57">
            <w:pPr>
              <w:jc w:val="both"/>
              <w:rPr>
                <w:szCs w:val="20"/>
              </w:rPr>
            </w:pPr>
            <w:r w:rsidRPr="002727D5">
              <w:rPr>
                <w:szCs w:val="20"/>
              </w:rPr>
              <w:t>(…)</w:t>
            </w:r>
          </w:p>
          <w:p w:rsidR="002727D5" w:rsidRPr="002727D5" w:rsidRDefault="002727D5" w:rsidP="00FC5C57">
            <w:pPr>
              <w:jc w:val="both"/>
              <w:rPr>
                <w:szCs w:val="20"/>
              </w:rPr>
            </w:pPr>
          </w:p>
        </w:tc>
        <w:tc>
          <w:tcPr>
            <w:tcW w:w="4819" w:type="dxa"/>
          </w:tcPr>
          <w:p w:rsidR="002727D5" w:rsidRPr="002727D5" w:rsidRDefault="002727D5" w:rsidP="00FC5C57">
            <w:pPr>
              <w:rPr>
                <w:b/>
                <w:szCs w:val="20"/>
              </w:rPr>
            </w:pPr>
            <w:r w:rsidRPr="002727D5">
              <w:rPr>
                <w:b/>
                <w:szCs w:val="20"/>
              </w:rPr>
              <w:t>Draft guidelines on Specificity</w:t>
            </w:r>
          </w:p>
          <w:p w:rsidR="002727D5" w:rsidRPr="002727D5" w:rsidRDefault="002727D5" w:rsidP="00FC5C57">
            <w:pPr>
              <w:rPr>
                <w:szCs w:val="20"/>
              </w:rPr>
            </w:pPr>
          </w:p>
          <w:p w:rsidR="002727D5" w:rsidRPr="002727D5" w:rsidRDefault="002727D5" w:rsidP="00FC5C57">
            <w:pPr>
              <w:jc w:val="both"/>
              <w:rPr>
                <w:b/>
                <w:szCs w:val="20"/>
              </w:rPr>
            </w:pPr>
            <w:r w:rsidRPr="002727D5">
              <w:rPr>
                <w:b/>
                <w:szCs w:val="20"/>
              </w:rPr>
              <w:t>Guideline 1: The competent authority should review whether the disclosure of the risk factor establishes a clear and direct link between the risk factor and the issuer, guarantor or securities. The competent authority should challenge the persons responsible for the prospectus if it appears that risk factor disclosure has not been drafted specifically for the issuer/guarantor or the securities.</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Specificity related to the issuer/guarantor may depend on the type of entity (e.g. start-up companies, regulated entities, specialist issuers, etc.) and specificity related to the type of security may depend on the characteristics of the security.</w:t>
            </w:r>
          </w:p>
          <w:p w:rsidR="002727D5" w:rsidRPr="002727D5" w:rsidRDefault="002727D5" w:rsidP="00FC5C57">
            <w:pPr>
              <w:jc w:val="both"/>
              <w:rPr>
                <w:szCs w:val="20"/>
              </w:rPr>
            </w:pPr>
            <w:r w:rsidRPr="002727D5">
              <w:rPr>
                <w:szCs w:val="20"/>
              </w:rPr>
              <w:t xml:space="preserve">Each risk factor should identify and disclose a risk that is relevant for the issuer/guarantor or the securities concerned, </w:t>
            </w:r>
            <w:r w:rsidRPr="002727D5">
              <w:rPr>
                <w:b/>
                <w:color w:val="FF0000"/>
                <w:szCs w:val="20"/>
                <w:u w:val="single"/>
              </w:rPr>
              <w:t xml:space="preserve">or their type </w:t>
            </w:r>
            <w:r w:rsidRPr="002727D5">
              <w:rPr>
                <w:strike/>
                <w:szCs w:val="20"/>
              </w:rPr>
              <w:t>rather than simply disclosing ‘boiler-plate’ risks or</w:t>
            </w:r>
            <w:r w:rsidRPr="002727D5">
              <w:rPr>
                <w:szCs w:val="20"/>
              </w:rPr>
              <w:t xml:space="preserve">. </w:t>
            </w:r>
          </w:p>
          <w:p w:rsidR="002727D5" w:rsidRPr="002727D5" w:rsidRDefault="002727D5" w:rsidP="00FC5C57">
            <w:pPr>
              <w:jc w:val="both"/>
              <w:rPr>
                <w:szCs w:val="20"/>
              </w:rPr>
            </w:pPr>
            <w:r w:rsidRPr="002727D5">
              <w:rPr>
                <w:szCs w:val="20"/>
              </w:rPr>
              <w:t>Risk factors should not merely be copied from other documents published by other issuers or previously by the same issuer if they are not relevant to the issuer/guarantor and/or the securities.</w:t>
            </w:r>
          </w:p>
          <w:p w:rsidR="002727D5" w:rsidRPr="002727D5" w:rsidRDefault="002727D5" w:rsidP="00FC5C57">
            <w:pPr>
              <w:rPr>
                <w:szCs w:val="20"/>
              </w:rPr>
            </w:pPr>
          </w:p>
          <w:p w:rsidR="002727D5" w:rsidRPr="002727D5" w:rsidRDefault="002727D5" w:rsidP="00FC5C57">
            <w:pPr>
              <w:jc w:val="both"/>
              <w:rPr>
                <w:b/>
                <w:strike/>
                <w:szCs w:val="20"/>
              </w:rPr>
            </w:pPr>
            <w:r w:rsidRPr="002727D5">
              <w:rPr>
                <w:b/>
                <w:szCs w:val="20"/>
              </w:rPr>
              <w:t xml:space="preserve">Guideline 2: The competent authority should challenge the inclusion of risk factors that are generic and only serve as disclaimers or where there is no clear and direct link between the issuer/guarantor or the securities and the risk factor.  Where necessary, the competent authority should request that the persons responsible for the prospectus amend such risk factor or request a clearer explanation. </w:t>
            </w:r>
            <w:r w:rsidRPr="002727D5">
              <w:rPr>
                <w:b/>
                <w:strike/>
                <w:szCs w:val="20"/>
              </w:rPr>
              <w:t>The competent authority should not approve a prospectus where specificity is not apparent from the disclosure of the risk factor.</w:t>
            </w:r>
          </w:p>
          <w:p w:rsidR="002727D5" w:rsidRPr="002727D5" w:rsidRDefault="002727D5" w:rsidP="00FC5C57">
            <w:pPr>
              <w:jc w:val="both"/>
              <w:rPr>
                <w:b/>
                <w:strike/>
                <w:szCs w:val="20"/>
              </w:rPr>
            </w:pPr>
          </w:p>
          <w:p w:rsidR="002727D5" w:rsidRPr="002727D5" w:rsidRDefault="002727D5" w:rsidP="00FC5C57">
            <w:pPr>
              <w:jc w:val="both"/>
              <w:rPr>
                <w:szCs w:val="20"/>
              </w:rPr>
            </w:pPr>
            <w:r w:rsidRPr="002727D5">
              <w:rPr>
                <w:szCs w:val="20"/>
              </w:rPr>
              <w:t>The following could be considered examples of disclosures that illustrate the specificity of risk factors to the issuer, or extracts from risk factor disclosures that show a clear and direct link between the risk factor and the issuer.</w:t>
            </w:r>
          </w:p>
          <w:p w:rsidR="002727D5" w:rsidRPr="002727D5" w:rsidRDefault="002727D5" w:rsidP="00FC5C57">
            <w:pPr>
              <w:rPr>
                <w:szCs w:val="20"/>
              </w:rPr>
            </w:pPr>
            <w:r w:rsidRPr="002727D5">
              <w:rPr>
                <w:szCs w:val="20"/>
              </w:rPr>
              <w:t>(…)</w:t>
            </w:r>
          </w:p>
          <w:p w:rsidR="002727D5" w:rsidRPr="002727D5" w:rsidRDefault="002727D5" w:rsidP="00FC5C57">
            <w:pPr>
              <w:rPr>
                <w:szCs w:val="20"/>
              </w:rPr>
            </w:pPr>
          </w:p>
          <w:p w:rsidR="002727D5" w:rsidRPr="002727D5" w:rsidRDefault="002727D5" w:rsidP="00FC5C57">
            <w:pPr>
              <w:rPr>
                <w:szCs w:val="20"/>
              </w:rPr>
            </w:pPr>
          </w:p>
        </w:tc>
      </w:tr>
      <w:tr w:rsidR="002727D5" w:rsidRPr="00501A51" w:rsidTr="00FC5C57">
        <w:tc>
          <w:tcPr>
            <w:tcW w:w="4819" w:type="dxa"/>
          </w:tcPr>
          <w:p w:rsidR="002727D5" w:rsidRPr="002727D5" w:rsidRDefault="002727D5" w:rsidP="00FC5C57">
            <w:pPr>
              <w:jc w:val="both"/>
              <w:rPr>
                <w:b/>
                <w:szCs w:val="20"/>
              </w:rPr>
            </w:pPr>
            <w:r w:rsidRPr="002727D5">
              <w:rPr>
                <w:b/>
                <w:szCs w:val="20"/>
              </w:rPr>
              <w:t>Draft guidelines on Materiality</w:t>
            </w:r>
          </w:p>
          <w:p w:rsidR="002727D5" w:rsidRPr="002727D5" w:rsidRDefault="002727D5" w:rsidP="00FC5C57">
            <w:pPr>
              <w:jc w:val="both"/>
              <w:rPr>
                <w:szCs w:val="20"/>
              </w:rPr>
            </w:pPr>
          </w:p>
          <w:p w:rsidR="002727D5" w:rsidRPr="002727D5" w:rsidRDefault="002727D5" w:rsidP="00FC5C57">
            <w:pPr>
              <w:jc w:val="both"/>
              <w:rPr>
                <w:b/>
                <w:szCs w:val="20"/>
              </w:rPr>
            </w:pPr>
            <w:r w:rsidRPr="002727D5">
              <w:rPr>
                <w:b/>
                <w:szCs w:val="20"/>
              </w:rPr>
              <w:t>Guideline 3: Where the materiality is not apparent from the disclosure in the risk factor, the competent authority should challenge the inclusion of the risk factor.  Where necessary, the competent authority should request that the persons responsible for the prospectus amend such a risk factor or request a clearer explanation. The competent authority should not approve a prospectus where materiality is not apparent from the disclosure of the risk factor.</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If the review of the disclosure in the risk factor contained in a prospectus creates doubt about the materiality of the risk factor, the competent authority should challenge the persons responsible for the prospectus by reference to their responsibilities set out in Article 16 (1) of the Prospectus Regulation.</w:t>
            </w:r>
          </w:p>
          <w:p w:rsidR="002727D5" w:rsidRPr="002727D5" w:rsidRDefault="002727D5" w:rsidP="00FC5C57">
            <w:pPr>
              <w:jc w:val="both"/>
              <w:rPr>
                <w:szCs w:val="20"/>
              </w:rPr>
            </w:pPr>
          </w:p>
          <w:p w:rsidR="002727D5" w:rsidRPr="002727D5" w:rsidRDefault="002727D5" w:rsidP="00FC5C57">
            <w:pPr>
              <w:jc w:val="both"/>
              <w:rPr>
                <w:b/>
                <w:szCs w:val="20"/>
              </w:rPr>
            </w:pPr>
            <w:r w:rsidRPr="002727D5">
              <w:rPr>
                <w:b/>
                <w:szCs w:val="20"/>
              </w:rPr>
              <w:t>Guideline 4: The competent authority should review that the potential negative impact of the risk factor on the issuer/guarantor and/or the securities is disclosed.</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 xml:space="preserve">Where available, the disclosure of quantitative information, in order to illustrate the potential negative impact of a risk factor should be included. However, where quantitative information is not available, the description of the potential negative impact of the risk factors may be described using a qualitative approach. </w:t>
            </w:r>
          </w:p>
          <w:p w:rsidR="002727D5" w:rsidRPr="002727D5" w:rsidRDefault="002727D5" w:rsidP="00FC5C57">
            <w:pPr>
              <w:jc w:val="both"/>
              <w:rPr>
                <w:szCs w:val="20"/>
              </w:rPr>
            </w:pPr>
            <w:r w:rsidRPr="002727D5">
              <w:rPr>
                <w:szCs w:val="20"/>
              </w:rPr>
              <w:t>For example, in relation to qualitative disclosure, to the extent it is explained how the risk factor affects the issuer or the securities one option for the presentation of the materiality of risk factors may be by reference to the scale of low, medium or high as per Article 16(1) subparagraph 3 of the Prospectus Regulation. However, the persons responsible for the prospectus are not obliged to provide such a scaled ranking of risks according to their materiality. The potential impact of the risk factor needs to be disclosed in any case.</w:t>
            </w:r>
          </w:p>
          <w:p w:rsidR="002727D5" w:rsidRPr="002727D5" w:rsidRDefault="002727D5" w:rsidP="00FC5C57">
            <w:pPr>
              <w:jc w:val="both"/>
              <w:rPr>
                <w:szCs w:val="20"/>
              </w:rPr>
            </w:pPr>
          </w:p>
          <w:p w:rsidR="002727D5" w:rsidRPr="002727D5" w:rsidRDefault="002727D5" w:rsidP="00FC5C57">
            <w:pPr>
              <w:jc w:val="both"/>
              <w:rPr>
                <w:b/>
                <w:szCs w:val="20"/>
              </w:rPr>
            </w:pPr>
            <w:r w:rsidRPr="002727D5">
              <w:rPr>
                <w:b/>
                <w:szCs w:val="20"/>
              </w:rPr>
              <w:t>Guideline 5: Where materiality is compromised by the inclusion of mitigating language the competent authority should challenge the inclusion of such language. Where necessary, the competent authority should request that the persons responsible for the prospectus to amend the risk factor disclosure in order to remove such mitigating language.</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Mitigating language is that which could limit the perception of risk including the impact or the probability of the risk factor occurring to the extent that the reader is not clear whether there is any remaining risk.</w:t>
            </w:r>
          </w:p>
          <w:p w:rsidR="002727D5" w:rsidRPr="002727D5" w:rsidRDefault="002727D5" w:rsidP="00FC5C57">
            <w:pPr>
              <w:jc w:val="both"/>
              <w:rPr>
                <w:szCs w:val="20"/>
              </w:rPr>
            </w:pPr>
            <w:r w:rsidRPr="002727D5">
              <w:rPr>
                <w:szCs w:val="20"/>
              </w:rPr>
              <w:t xml:space="preserve">Where mitigating language is included in relation to a risk factor, it can only be used in relation to illustrate its probability of occurrence and the expected magnitude of its negative impact.  </w:t>
            </w:r>
          </w:p>
          <w:p w:rsidR="002727D5" w:rsidRPr="002727D5" w:rsidRDefault="002727D5" w:rsidP="00FC5C57">
            <w:pPr>
              <w:jc w:val="both"/>
              <w:rPr>
                <w:szCs w:val="20"/>
              </w:rPr>
            </w:pPr>
          </w:p>
          <w:p w:rsidR="002727D5" w:rsidRPr="002727D5" w:rsidRDefault="002727D5" w:rsidP="00FC5C57">
            <w:pPr>
              <w:jc w:val="both"/>
              <w:rPr>
                <w:szCs w:val="20"/>
              </w:rPr>
            </w:pPr>
          </w:p>
          <w:p w:rsidR="002727D5" w:rsidRPr="002727D5" w:rsidRDefault="002727D5" w:rsidP="00FC5C57">
            <w:pPr>
              <w:jc w:val="both"/>
              <w:rPr>
                <w:szCs w:val="20"/>
              </w:rPr>
            </w:pPr>
          </w:p>
          <w:p w:rsidR="002727D5" w:rsidRPr="002727D5" w:rsidRDefault="002727D5" w:rsidP="00FC5C57">
            <w:pPr>
              <w:jc w:val="both"/>
              <w:rPr>
                <w:szCs w:val="20"/>
              </w:rPr>
            </w:pPr>
          </w:p>
          <w:p w:rsidR="002727D5" w:rsidRPr="002727D5" w:rsidRDefault="002727D5" w:rsidP="00FC5C57">
            <w:pPr>
              <w:jc w:val="both"/>
              <w:rPr>
                <w:szCs w:val="20"/>
              </w:rPr>
            </w:pPr>
            <w:r w:rsidRPr="002727D5">
              <w:rPr>
                <w:szCs w:val="20"/>
              </w:rPr>
              <w:t xml:space="preserve">The following is an illustration of mitigating language which reduces the materiality of a risk factor and which obscures the remaining risk. The following mitigating language should be amended in order to remove the mitigating language:   </w:t>
            </w:r>
          </w:p>
          <w:p w:rsidR="002727D5" w:rsidRPr="002727D5" w:rsidRDefault="002727D5" w:rsidP="002727D5">
            <w:pPr>
              <w:pStyle w:val="Paragraphedeliste"/>
              <w:numPr>
                <w:ilvl w:val="0"/>
                <w:numId w:val="49"/>
              </w:numPr>
              <w:jc w:val="both"/>
              <w:rPr>
                <w:szCs w:val="20"/>
              </w:rPr>
            </w:pPr>
            <w:r w:rsidRPr="002727D5">
              <w:rPr>
                <w:szCs w:val="20"/>
              </w:rPr>
              <w:t>In the course of its business activities, the Group is exposed to a variety of risks, including credit risk, market risk, liquidity risk and operational risk. Although the Group invests substantial time and effort in risk management strategies and techniques, it might nevertheless fail to manage risk adequately in some circumstances.</w:t>
            </w:r>
          </w:p>
        </w:tc>
        <w:tc>
          <w:tcPr>
            <w:tcW w:w="4819" w:type="dxa"/>
          </w:tcPr>
          <w:p w:rsidR="002727D5" w:rsidRPr="002727D5" w:rsidRDefault="002727D5" w:rsidP="00FC5C57">
            <w:pPr>
              <w:jc w:val="both"/>
              <w:rPr>
                <w:b/>
                <w:szCs w:val="20"/>
              </w:rPr>
            </w:pPr>
            <w:r w:rsidRPr="002727D5">
              <w:rPr>
                <w:b/>
                <w:szCs w:val="20"/>
              </w:rPr>
              <w:t>Draft guidelines on Materiality</w:t>
            </w:r>
          </w:p>
          <w:p w:rsidR="002727D5" w:rsidRPr="002727D5" w:rsidRDefault="002727D5" w:rsidP="00FC5C57">
            <w:pPr>
              <w:jc w:val="both"/>
              <w:rPr>
                <w:szCs w:val="20"/>
              </w:rPr>
            </w:pPr>
          </w:p>
          <w:p w:rsidR="002727D5" w:rsidRPr="002727D5" w:rsidRDefault="002727D5" w:rsidP="00FC5C57">
            <w:pPr>
              <w:jc w:val="both"/>
              <w:rPr>
                <w:b/>
                <w:szCs w:val="20"/>
              </w:rPr>
            </w:pPr>
            <w:r w:rsidRPr="002727D5">
              <w:rPr>
                <w:b/>
                <w:szCs w:val="20"/>
              </w:rPr>
              <w:t xml:space="preserve">Guideline 3: Where the materiality is not apparent from the disclosure in the risk factor, the competent authority should challenge the inclusion of the risk factor.  Where necessary, the competent authority should request that the persons responsible for the prospectus amend such a risk factor or request a clearer explanation. </w:t>
            </w:r>
            <w:r w:rsidRPr="002727D5">
              <w:rPr>
                <w:b/>
                <w:strike/>
                <w:szCs w:val="20"/>
              </w:rPr>
              <w:t>The competent authority should not approve a prospectus where materiality is not apparent from the disclosure of the risk factor.</w:t>
            </w:r>
            <w:r w:rsidRPr="002727D5">
              <w:rPr>
                <w:b/>
                <w:szCs w:val="20"/>
              </w:rPr>
              <w:t xml:space="preserve"> </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If the review of the disclosure in the risk factor contained in a prospectus creates doubt about the materiality of the risk factor, the competent authority should challenge the persons responsible for the prospectus by reference to their responsibilities set out in Article 16 (1) of the Prospectus Regulation.</w:t>
            </w:r>
          </w:p>
          <w:p w:rsidR="002727D5" w:rsidRPr="002727D5" w:rsidRDefault="002727D5" w:rsidP="00FC5C57">
            <w:pPr>
              <w:jc w:val="both"/>
              <w:rPr>
                <w:szCs w:val="20"/>
              </w:rPr>
            </w:pPr>
          </w:p>
          <w:p w:rsidR="002727D5" w:rsidRPr="002727D5" w:rsidRDefault="002727D5" w:rsidP="00FC5C57">
            <w:pPr>
              <w:jc w:val="both"/>
              <w:rPr>
                <w:b/>
                <w:szCs w:val="20"/>
              </w:rPr>
            </w:pPr>
            <w:r w:rsidRPr="002727D5">
              <w:rPr>
                <w:b/>
                <w:szCs w:val="20"/>
              </w:rPr>
              <w:t xml:space="preserve">Guideline 4: The competent authority should review that the potential negative impact of the risk factor on the issuer/guarantor and/or the securities is </w:t>
            </w:r>
            <w:r w:rsidRPr="002727D5">
              <w:rPr>
                <w:b/>
                <w:strike/>
                <w:szCs w:val="20"/>
              </w:rPr>
              <w:t>disclosed</w:t>
            </w:r>
            <w:r w:rsidRPr="002727D5">
              <w:rPr>
                <w:b/>
                <w:szCs w:val="20"/>
              </w:rPr>
              <w:t xml:space="preserve"> </w:t>
            </w:r>
            <w:r w:rsidRPr="002727D5">
              <w:rPr>
                <w:b/>
                <w:color w:val="FF0000"/>
                <w:szCs w:val="20"/>
                <w:u w:val="single"/>
              </w:rPr>
              <w:t>adequately described</w:t>
            </w:r>
            <w:r w:rsidRPr="002727D5">
              <w:rPr>
                <w:b/>
                <w:szCs w:val="20"/>
              </w:rPr>
              <w:t>.</w:t>
            </w:r>
          </w:p>
          <w:p w:rsidR="002727D5" w:rsidRPr="002727D5" w:rsidRDefault="002727D5" w:rsidP="00FC5C57">
            <w:pPr>
              <w:jc w:val="both"/>
              <w:rPr>
                <w:b/>
                <w:szCs w:val="20"/>
              </w:rPr>
            </w:pPr>
          </w:p>
          <w:p w:rsidR="002727D5" w:rsidRPr="002727D5" w:rsidRDefault="002727D5" w:rsidP="00FC5C57">
            <w:pPr>
              <w:jc w:val="both"/>
              <w:rPr>
                <w:szCs w:val="20"/>
              </w:rPr>
            </w:pPr>
            <w:r w:rsidRPr="002727D5">
              <w:rPr>
                <w:strike/>
                <w:szCs w:val="20"/>
              </w:rPr>
              <w:t>Where available, the disclosure of quantitative information, in order to illustrate the potential negative impact of a risk factor should be included. However, where quantitative information is not available,</w:t>
            </w:r>
            <w:r w:rsidRPr="002727D5">
              <w:rPr>
                <w:szCs w:val="20"/>
              </w:rPr>
              <w:t xml:space="preserve"> </w:t>
            </w:r>
            <w:proofErr w:type="gramStart"/>
            <w:r w:rsidRPr="002727D5">
              <w:rPr>
                <w:b/>
                <w:color w:val="FF0000"/>
                <w:szCs w:val="20"/>
                <w:u w:val="single"/>
              </w:rPr>
              <w:t>T</w:t>
            </w:r>
            <w:r w:rsidRPr="002727D5">
              <w:rPr>
                <w:szCs w:val="20"/>
              </w:rPr>
              <w:t>he</w:t>
            </w:r>
            <w:proofErr w:type="gramEnd"/>
            <w:r w:rsidRPr="002727D5">
              <w:rPr>
                <w:szCs w:val="20"/>
              </w:rPr>
              <w:t xml:space="preserve"> description of the potential negative impact of the risk factors may be described using a qualitative approach.  </w:t>
            </w:r>
          </w:p>
          <w:p w:rsidR="002727D5" w:rsidRPr="002727D5" w:rsidRDefault="002727D5" w:rsidP="00FC5C57">
            <w:pPr>
              <w:jc w:val="both"/>
              <w:rPr>
                <w:strike/>
                <w:szCs w:val="20"/>
              </w:rPr>
            </w:pPr>
            <w:r w:rsidRPr="002727D5">
              <w:rPr>
                <w:szCs w:val="20"/>
              </w:rPr>
              <w:t xml:space="preserve"> </w:t>
            </w:r>
            <w:r w:rsidRPr="002727D5">
              <w:rPr>
                <w:strike/>
                <w:szCs w:val="20"/>
              </w:rPr>
              <w:t>For example, in relation to qualitative disclosure, to the extent it is explained how the risk factor affects the issuer or the securities one option for the presentation of the materiality of risk factors may be by reference to the scale of low, medium or high as per Article 16(1) subparagraph 3 of the Prospectus Regulation. However, the persons responsible for the prospectus are not obliged to provide such a scaled ranking of risks according to their materiality. The potential impact of the risk factor needs to be disclosed in any case.</w:t>
            </w:r>
          </w:p>
          <w:p w:rsidR="002727D5" w:rsidRPr="002727D5" w:rsidRDefault="002727D5" w:rsidP="00FC5C57">
            <w:pPr>
              <w:jc w:val="both"/>
              <w:rPr>
                <w:szCs w:val="20"/>
              </w:rPr>
            </w:pPr>
          </w:p>
          <w:p w:rsidR="002727D5" w:rsidRPr="002727D5" w:rsidRDefault="002727D5" w:rsidP="00FC5C57">
            <w:pPr>
              <w:jc w:val="both"/>
              <w:rPr>
                <w:b/>
                <w:szCs w:val="20"/>
              </w:rPr>
            </w:pPr>
            <w:r w:rsidRPr="002727D5">
              <w:rPr>
                <w:b/>
                <w:szCs w:val="20"/>
              </w:rPr>
              <w:t xml:space="preserve">Guideline 5: Where materiality is compromised by the inclusion of mitigating language the competent authority should challenge the inclusion of such language. Where necessary, the competent authority should request that the persons responsible for the prospectus to amend the risk factor disclosure in order to remove such mitigating language. </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Mitigating language is that which could limit the perception of risk including the impact or the probability of the risk factor occurring to the extent that the reader is not clear whether there is any remaining risk.</w:t>
            </w:r>
          </w:p>
          <w:p w:rsidR="002727D5" w:rsidRPr="002727D5" w:rsidRDefault="002727D5" w:rsidP="00FC5C57">
            <w:pPr>
              <w:jc w:val="both"/>
              <w:rPr>
                <w:szCs w:val="20"/>
              </w:rPr>
            </w:pPr>
            <w:r w:rsidRPr="002727D5">
              <w:rPr>
                <w:szCs w:val="20"/>
              </w:rPr>
              <w:t xml:space="preserve">Where mitigating language is included in relation to a risk factor, it can only be used in relation to illustrate its probability of occurrence and the expected magnitude of its negative impact.  </w:t>
            </w:r>
          </w:p>
          <w:p w:rsidR="002727D5" w:rsidRPr="002727D5" w:rsidRDefault="002727D5" w:rsidP="00FC5C57">
            <w:pPr>
              <w:jc w:val="both"/>
              <w:rPr>
                <w:b/>
                <w:color w:val="FF0000"/>
                <w:szCs w:val="20"/>
                <w:u w:val="single"/>
              </w:rPr>
            </w:pPr>
            <w:r w:rsidRPr="002727D5">
              <w:rPr>
                <w:rFonts w:cstheme="minorHAnsi"/>
                <w:b/>
                <w:color w:val="FF0000"/>
                <w:szCs w:val="20"/>
                <w:u w:val="single"/>
              </w:rPr>
              <w:t>Any description of the measures and/or policies in place to prevent, manage and/or monitor specific risks identified, should not be considered mitigating language.</w:t>
            </w:r>
          </w:p>
          <w:p w:rsidR="002727D5" w:rsidRPr="002727D5" w:rsidRDefault="002727D5" w:rsidP="00FC5C57">
            <w:pPr>
              <w:jc w:val="both"/>
              <w:rPr>
                <w:szCs w:val="20"/>
              </w:rPr>
            </w:pPr>
            <w:r w:rsidRPr="002727D5">
              <w:rPr>
                <w:szCs w:val="20"/>
              </w:rPr>
              <w:t xml:space="preserve">The following is an illustration of mitigating language which reduces the materiality of a risk factor and which obscures the remaining risk. The following mitigating language should be amended in order to remove the mitigating language:   </w:t>
            </w:r>
          </w:p>
          <w:p w:rsidR="002727D5" w:rsidRPr="002727D5" w:rsidRDefault="002727D5" w:rsidP="00FC5C57">
            <w:pPr>
              <w:jc w:val="both"/>
              <w:rPr>
                <w:szCs w:val="20"/>
              </w:rPr>
            </w:pPr>
            <w:r w:rsidRPr="002727D5">
              <w:rPr>
                <w:szCs w:val="20"/>
              </w:rPr>
              <w:t>In the course of its business activities, the Group is exposed to a variety of risks, including credit risk, market risk, liquidity risk and operational risk. Although the Group invests substantial time and effort in risk management strategies and techniques, it might nevertheless fail to manage risk adequately in some circumstances.</w:t>
            </w:r>
          </w:p>
        </w:tc>
      </w:tr>
      <w:tr w:rsidR="002727D5" w:rsidRPr="00501A51" w:rsidTr="00FC5C57">
        <w:tc>
          <w:tcPr>
            <w:tcW w:w="4819" w:type="dxa"/>
          </w:tcPr>
          <w:p w:rsidR="002727D5" w:rsidRPr="002727D5" w:rsidRDefault="002727D5" w:rsidP="00FC5C57">
            <w:pPr>
              <w:rPr>
                <w:b/>
                <w:szCs w:val="20"/>
              </w:rPr>
            </w:pPr>
            <w:r w:rsidRPr="002727D5">
              <w:rPr>
                <w:b/>
                <w:szCs w:val="20"/>
              </w:rPr>
              <w:t>Draft guidelines on Corroboration of the materiality and specificity</w:t>
            </w:r>
          </w:p>
          <w:p w:rsidR="002727D5" w:rsidRPr="002727D5" w:rsidRDefault="002727D5" w:rsidP="00FC5C57">
            <w:pPr>
              <w:rPr>
                <w:szCs w:val="20"/>
              </w:rPr>
            </w:pPr>
          </w:p>
          <w:p w:rsidR="002727D5" w:rsidRDefault="002727D5" w:rsidP="00FC5C57">
            <w:pPr>
              <w:jc w:val="both"/>
              <w:rPr>
                <w:b/>
                <w:szCs w:val="20"/>
              </w:rPr>
            </w:pPr>
            <w:r w:rsidRPr="002727D5">
              <w:rPr>
                <w:b/>
                <w:szCs w:val="20"/>
              </w:rPr>
              <w:t>Guideline 6: Where the competent authority considers that the materiality and the specificity of a risk factor is not corroborated by a reading of the prospectus, the competent authority should challenge the inclusion of such risk factor. Where necessary, the competent authority should request that the persons responsible for the prospectus amend the relevant risk factor or request an explanation, so as to make it clear why it is specific and material. The competent authority should not approve a prospectus where it is not apparent that materiality and specificity are corroborated.</w:t>
            </w:r>
          </w:p>
          <w:p w:rsidR="002727D5" w:rsidRDefault="002727D5" w:rsidP="00FC5C57">
            <w:pPr>
              <w:jc w:val="both"/>
              <w:rPr>
                <w:b/>
                <w:szCs w:val="20"/>
              </w:rPr>
            </w:pPr>
          </w:p>
          <w:p w:rsidR="002727D5" w:rsidRDefault="002727D5" w:rsidP="00FC5C57">
            <w:pPr>
              <w:jc w:val="both"/>
              <w:rPr>
                <w:b/>
                <w:szCs w:val="20"/>
              </w:rPr>
            </w:pPr>
          </w:p>
          <w:p w:rsidR="002727D5" w:rsidRDefault="002727D5" w:rsidP="00FC5C57">
            <w:pPr>
              <w:jc w:val="both"/>
              <w:rPr>
                <w:b/>
                <w:szCs w:val="20"/>
              </w:rPr>
            </w:pPr>
          </w:p>
          <w:p w:rsidR="002727D5" w:rsidRPr="002727D5" w:rsidRDefault="002727D5" w:rsidP="00FC5C57">
            <w:pPr>
              <w:jc w:val="both"/>
              <w:rPr>
                <w:b/>
                <w:szCs w:val="20"/>
              </w:rPr>
            </w:pP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While direct/clear corroboration of the materiality and specificity of the risk factor is normally demonstrated via the inclusion of corresponding information elsewhere in a prospectus, this is not necessary in all circumstances. In certain cases, it is sufficient that materiality and specificity of risk factors is identifiable by reference to the overall picture of the issuer/guarantor and the securities presented in the prospectus.</w:t>
            </w:r>
          </w:p>
        </w:tc>
        <w:tc>
          <w:tcPr>
            <w:tcW w:w="4819" w:type="dxa"/>
          </w:tcPr>
          <w:p w:rsidR="002727D5" w:rsidRPr="002727D5" w:rsidRDefault="002727D5" w:rsidP="00FC5C57">
            <w:pPr>
              <w:rPr>
                <w:b/>
                <w:szCs w:val="20"/>
              </w:rPr>
            </w:pPr>
            <w:r w:rsidRPr="002727D5">
              <w:rPr>
                <w:b/>
                <w:szCs w:val="20"/>
              </w:rPr>
              <w:t>Draft guidelines on Corroboration of the materiality and specificity</w:t>
            </w:r>
          </w:p>
          <w:p w:rsidR="002727D5" w:rsidRPr="002727D5" w:rsidRDefault="002727D5" w:rsidP="00FC5C57">
            <w:pPr>
              <w:rPr>
                <w:szCs w:val="20"/>
              </w:rPr>
            </w:pPr>
          </w:p>
          <w:p w:rsidR="002727D5" w:rsidRPr="002727D5" w:rsidRDefault="002727D5" w:rsidP="00FC5C57">
            <w:pPr>
              <w:jc w:val="both"/>
              <w:rPr>
                <w:b/>
                <w:strike/>
                <w:szCs w:val="20"/>
              </w:rPr>
            </w:pPr>
            <w:r w:rsidRPr="002727D5">
              <w:rPr>
                <w:b/>
                <w:szCs w:val="20"/>
              </w:rPr>
              <w:t xml:space="preserve">Guideline 6: Where the competent authority considers that the materiality and the specificity of a risk factor is not corroborated by a reading of the prospectus, the competent authority should challenge the inclusion of such risk factor. Where necessary, the competent authority should request that the persons responsible for the prospectus amend the relevant risk factor or request an explanation, so as to make it clear why it is specific and material. </w:t>
            </w:r>
            <w:r w:rsidRPr="002727D5">
              <w:rPr>
                <w:b/>
                <w:strike/>
                <w:szCs w:val="20"/>
              </w:rPr>
              <w:t>The competent authority should not approve a prospectus where it is not apparent that materiality and specificity are corroborated.</w:t>
            </w:r>
            <w:r w:rsidRPr="002727D5">
              <w:rPr>
                <w:b/>
                <w:szCs w:val="20"/>
              </w:rPr>
              <w:t xml:space="preserve"> </w:t>
            </w:r>
            <w:r w:rsidRPr="002727D5">
              <w:rPr>
                <w:b/>
                <w:color w:val="FF0000"/>
                <w:szCs w:val="20"/>
                <w:u w:val="single"/>
              </w:rPr>
              <w:t>It is sufficient that materiality and specificity of risk factors is identifiable by reference to the overall picture of the issuer/guarantor and the securities presented in the prospectus.</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 xml:space="preserve">While direct/clear corroboration of the materiality and specificity of the risk factor is normally demonstrated via the inclusion of corresponding information elsewhere in a prospectus, this is not necessary in all circumstances. </w:t>
            </w:r>
            <w:r w:rsidRPr="002727D5">
              <w:rPr>
                <w:strike/>
                <w:szCs w:val="20"/>
              </w:rPr>
              <w:t>In certain cases, it is sufficient that materiality and specificity of risk factors is identifiable by reference to the overall picture of the issuer/guarantor and the securities presented in the prospectus</w:t>
            </w:r>
            <w:r w:rsidRPr="002727D5">
              <w:rPr>
                <w:szCs w:val="20"/>
              </w:rPr>
              <w:t>.</w:t>
            </w:r>
          </w:p>
        </w:tc>
      </w:tr>
      <w:tr w:rsidR="002727D5" w:rsidRPr="00501A51" w:rsidTr="00FC5C57">
        <w:tc>
          <w:tcPr>
            <w:tcW w:w="4819" w:type="dxa"/>
          </w:tcPr>
          <w:p w:rsidR="002727D5" w:rsidRPr="002727D5" w:rsidRDefault="002727D5" w:rsidP="00FC5C57">
            <w:pPr>
              <w:jc w:val="both"/>
              <w:rPr>
                <w:b/>
                <w:szCs w:val="20"/>
              </w:rPr>
            </w:pPr>
            <w:r w:rsidRPr="002727D5">
              <w:rPr>
                <w:b/>
                <w:szCs w:val="20"/>
              </w:rPr>
              <w:t>Draft guidelines on Presentation of risk factors across categories</w:t>
            </w:r>
          </w:p>
          <w:p w:rsidR="002727D5" w:rsidRPr="002727D5" w:rsidRDefault="002727D5" w:rsidP="00FC5C57">
            <w:pPr>
              <w:jc w:val="both"/>
              <w:rPr>
                <w:szCs w:val="20"/>
              </w:rPr>
            </w:pPr>
          </w:p>
          <w:p w:rsidR="002727D5" w:rsidRPr="002727D5" w:rsidRDefault="002727D5" w:rsidP="00FC5C57">
            <w:pPr>
              <w:jc w:val="both"/>
              <w:rPr>
                <w:b/>
                <w:szCs w:val="20"/>
              </w:rPr>
            </w:pPr>
            <w:r w:rsidRPr="002727D5">
              <w:rPr>
                <w:b/>
                <w:szCs w:val="20"/>
              </w:rPr>
              <w:t>Guideline 7: The presentation of risk factors across categories (depending on their nature) should aid investors in navigating the risk factors section. Where this is not the case, the competent authority should challenge the presentation. Where necessary, the competent authority should request that the persons responsible for the prospectus amend the presentation of risk factors across categories. The competent authority should not approve a prospectus when risk factors are not presented across categories based on their nature.</w:t>
            </w:r>
          </w:p>
          <w:p w:rsidR="002727D5" w:rsidRPr="002727D5" w:rsidRDefault="002727D5" w:rsidP="00FC5C57">
            <w:pPr>
              <w:jc w:val="both"/>
              <w:rPr>
                <w:szCs w:val="20"/>
              </w:rPr>
            </w:pPr>
          </w:p>
          <w:p w:rsidR="002727D5" w:rsidRPr="002727D5" w:rsidRDefault="002727D5" w:rsidP="00FC5C57">
            <w:pPr>
              <w:jc w:val="both"/>
              <w:rPr>
                <w:szCs w:val="20"/>
              </w:rPr>
            </w:pPr>
            <w:r w:rsidRPr="002727D5">
              <w:rPr>
                <w:szCs w:val="20"/>
              </w:rPr>
              <w:t>The categorisation of risk factors and the ordering of risk factors within each category should support their comprehensibility. Both should assist investors in understanding the source and nature of each disclosed risk factor. A risk factor should only appear once, in the most appropriate category.</w:t>
            </w:r>
          </w:p>
          <w:p w:rsidR="002727D5" w:rsidRPr="002727D5" w:rsidRDefault="002727D5" w:rsidP="00FC5C57">
            <w:pPr>
              <w:jc w:val="both"/>
              <w:rPr>
                <w:szCs w:val="20"/>
              </w:rPr>
            </w:pPr>
            <w:r w:rsidRPr="002727D5">
              <w:rPr>
                <w:szCs w:val="20"/>
              </w:rPr>
              <w:t xml:space="preserve">In accordance with Article 16 of the Prospectus Regulation, the most material risk factors must be presented first in each category, but it is not mandatory that all further risk factors within each category must be ranked in order of their materiality.  </w:t>
            </w:r>
          </w:p>
          <w:p w:rsidR="002727D5" w:rsidRDefault="002727D5" w:rsidP="00FC5C57">
            <w:pPr>
              <w:jc w:val="both"/>
              <w:rPr>
                <w:szCs w:val="20"/>
              </w:rPr>
            </w:pPr>
            <w:r w:rsidRPr="002727D5">
              <w:rPr>
                <w:szCs w:val="20"/>
              </w:rPr>
              <w:t>(…)</w:t>
            </w:r>
          </w:p>
          <w:p w:rsidR="002727D5" w:rsidRPr="002727D5" w:rsidRDefault="002727D5" w:rsidP="00FC5C57">
            <w:pPr>
              <w:jc w:val="both"/>
              <w:rPr>
                <w:szCs w:val="20"/>
              </w:rPr>
            </w:pPr>
          </w:p>
          <w:p w:rsidR="002727D5" w:rsidRPr="002727D5" w:rsidRDefault="002727D5" w:rsidP="00FC5C57">
            <w:pPr>
              <w:jc w:val="both"/>
              <w:rPr>
                <w:szCs w:val="20"/>
              </w:rPr>
            </w:pPr>
          </w:p>
          <w:p w:rsidR="002727D5" w:rsidRPr="002727D5" w:rsidRDefault="002727D5" w:rsidP="00FC5C57">
            <w:pPr>
              <w:jc w:val="both"/>
              <w:rPr>
                <w:b/>
                <w:szCs w:val="20"/>
              </w:rPr>
            </w:pPr>
            <w:r w:rsidRPr="002727D5">
              <w:rPr>
                <w:b/>
                <w:szCs w:val="20"/>
              </w:rPr>
              <w:t>Guideline 8: The competent authority should ensure that each of the categories are identified within the risk factors section of the prospectus via the use of appropriate headings.</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 xml:space="preserve">Headings should reflect the nature of the risk factors. When presenting </w:t>
            </w:r>
            <w:proofErr w:type="gramStart"/>
            <w:r w:rsidRPr="002727D5">
              <w:rPr>
                <w:szCs w:val="20"/>
              </w:rPr>
              <w:t>headings</w:t>
            </w:r>
            <w:proofErr w:type="gramEnd"/>
            <w:r w:rsidRPr="002727D5">
              <w:rPr>
                <w:szCs w:val="20"/>
              </w:rPr>
              <w:t xml:space="preserve"> it should be ensured that they are easily identifiable in the prospectus, through the use of appropriate spacing and bold font.  </w:t>
            </w:r>
          </w:p>
          <w:p w:rsidR="002727D5" w:rsidRPr="002727D5" w:rsidRDefault="002727D5" w:rsidP="00FC5C57">
            <w:pPr>
              <w:jc w:val="both"/>
              <w:rPr>
                <w:szCs w:val="20"/>
              </w:rPr>
            </w:pPr>
            <w:r w:rsidRPr="002727D5">
              <w:rPr>
                <w:szCs w:val="20"/>
              </w:rPr>
              <w:t xml:space="preserve"> A category should not be included when it is not relevant. Where a risk factor, or risk factors are similar in nature, they can be arranged and presented under the same heading. </w:t>
            </w:r>
          </w:p>
          <w:p w:rsidR="002727D5" w:rsidRPr="002727D5" w:rsidRDefault="002727D5" w:rsidP="00FC5C57">
            <w:pPr>
              <w:jc w:val="both"/>
              <w:rPr>
                <w:szCs w:val="20"/>
              </w:rPr>
            </w:pPr>
          </w:p>
          <w:p w:rsidR="002727D5" w:rsidRPr="002727D5" w:rsidRDefault="002727D5" w:rsidP="00FC5C57">
            <w:pPr>
              <w:jc w:val="both"/>
              <w:rPr>
                <w:b/>
                <w:szCs w:val="20"/>
              </w:rPr>
            </w:pPr>
            <w:r w:rsidRPr="002727D5">
              <w:rPr>
                <w:b/>
                <w:szCs w:val="20"/>
              </w:rPr>
              <w:t xml:space="preserve">Guideline 9:  The competent authority should ensure that the number of categories included in the prospectus is not disproportionate to the size/complexity of the transaction and risk to the issuer/guarantor.  </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ESMA considers that including more than ten categories in the case of a standard, single-issuer, single-security prospectus, would go beyond the requirement in Article 16(1) of the Prospectus Regulation which states that the ‘risk factors shall be presented in a ‘limited’ number of categories’’. This figure of up to ten categories should be reduced where such a number of categories is not relevant or, in other circumstances, it could be extended depending on the case. ESMA understands the case of a multi-product base prospectus as an example where further categories may be relevant.</w:t>
            </w:r>
          </w:p>
          <w:p w:rsidR="002727D5" w:rsidRPr="002727D5" w:rsidRDefault="002727D5" w:rsidP="00FC5C57">
            <w:pPr>
              <w:jc w:val="both"/>
              <w:rPr>
                <w:szCs w:val="20"/>
              </w:rPr>
            </w:pPr>
            <w:r w:rsidRPr="002727D5">
              <w:rPr>
                <w:szCs w:val="20"/>
              </w:rPr>
              <w:t>Fewer categories should be included where that is all that is necessary to categorise the risk factors in a comprehensible manner.</w:t>
            </w:r>
          </w:p>
          <w:p w:rsidR="002727D5" w:rsidRPr="002727D5" w:rsidRDefault="002727D5" w:rsidP="00FC5C57">
            <w:pPr>
              <w:jc w:val="both"/>
              <w:rPr>
                <w:szCs w:val="20"/>
              </w:rPr>
            </w:pPr>
          </w:p>
          <w:p w:rsidR="002727D5" w:rsidRPr="002727D5" w:rsidRDefault="002727D5" w:rsidP="00FC5C57">
            <w:pPr>
              <w:jc w:val="both"/>
              <w:rPr>
                <w:szCs w:val="20"/>
              </w:rPr>
            </w:pPr>
          </w:p>
          <w:p w:rsidR="002727D5" w:rsidRDefault="002727D5" w:rsidP="00FC5C57">
            <w:pPr>
              <w:jc w:val="both"/>
              <w:rPr>
                <w:szCs w:val="20"/>
              </w:rPr>
            </w:pPr>
          </w:p>
          <w:p w:rsidR="002727D5" w:rsidRPr="002727D5" w:rsidRDefault="002727D5" w:rsidP="00FC5C57">
            <w:pPr>
              <w:jc w:val="both"/>
              <w:rPr>
                <w:szCs w:val="20"/>
              </w:rPr>
            </w:pPr>
          </w:p>
          <w:p w:rsidR="002727D5" w:rsidRPr="002727D5" w:rsidRDefault="002727D5" w:rsidP="00FC5C57">
            <w:pPr>
              <w:jc w:val="both"/>
              <w:rPr>
                <w:szCs w:val="20"/>
              </w:rPr>
            </w:pPr>
          </w:p>
          <w:p w:rsidR="002727D5" w:rsidRPr="002727D5" w:rsidRDefault="002727D5" w:rsidP="00FC5C57">
            <w:pPr>
              <w:jc w:val="both"/>
              <w:rPr>
                <w:szCs w:val="20"/>
              </w:rPr>
            </w:pPr>
          </w:p>
          <w:p w:rsidR="002727D5" w:rsidRPr="002727D5" w:rsidRDefault="002727D5" w:rsidP="00FC5C57">
            <w:pPr>
              <w:jc w:val="both"/>
              <w:rPr>
                <w:b/>
                <w:szCs w:val="20"/>
              </w:rPr>
            </w:pPr>
            <w:r w:rsidRPr="002727D5">
              <w:rPr>
                <w:b/>
                <w:szCs w:val="20"/>
              </w:rPr>
              <w:t xml:space="preserve">Guideline 10: Categories should only be further divided into sub-categories in cases where sub-categorisation can be justified on the basis of the particular type of prospectus. Competent authorities should challenge the use of sub-categories in the risk factors section in other circumstances. </w:t>
            </w:r>
          </w:p>
          <w:p w:rsidR="002727D5" w:rsidRPr="002727D5" w:rsidRDefault="002727D5" w:rsidP="00FC5C57">
            <w:pPr>
              <w:jc w:val="both"/>
              <w:rPr>
                <w:szCs w:val="20"/>
              </w:rPr>
            </w:pPr>
            <w:r w:rsidRPr="002727D5">
              <w:rPr>
                <w:szCs w:val="20"/>
              </w:rPr>
              <w:t xml:space="preserve">Sub-categories should only be used where their inclusion can be justified on the basis of the particular type of prospectus. For example, in the case of a base prospectus containing multiple types of securities, sub-categories might be necessary for the presentation of risk factors.   </w:t>
            </w:r>
          </w:p>
          <w:p w:rsidR="002727D5" w:rsidRPr="002727D5" w:rsidRDefault="002727D5" w:rsidP="00FC5C57">
            <w:pPr>
              <w:jc w:val="both"/>
              <w:rPr>
                <w:szCs w:val="20"/>
              </w:rPr>
            </w:pPr>
            <w:r w:rsidRPr="002727D5">
              <w:rPr>
                <w:szCs w:val="20"/>
              </w:rPr>
              <w:t xml:space="preserve"> In the event that sub-categories are used, the principles that apply for the presentation of risk factors, as described throughout this sub-section on presentation of risk factors across categories, should apply.</w:t>
            </w:r>
          </w:p>
        </w:tc>
        <w:tc>
          <w:tcPr>
            <w:tcW w:w="4819" w:type="dxa"/>
          </w:tcPr>
          <w:p w:rsidR="002727D5" w:rsidRPr="002727D5" w:rsidRDefault="002727D5" w:rsidP="00FC5C57">
            <w:pPr>
              <w:jc w:val="both"/>
              <w:rPr>
                <w:b/>
                <w:szCs w:val="20"/>
              </w:rPr>
            </w:pPr>
            <w:r w:rsidRPr="002727D5">
              <w:rPr>
                <w:b/>
                <w:szCs w:val="20"/>
              </w:rPr>
              <w:t>Draft guidelines on Presentation of risk factors across categories</w:t>
            </w:r>
          </w:p>
          <w:p w:rsidR="002727D5" w:rsidRPr="002727D5" w:rsidRDefault="002727D5" w:rsidP="00FC5C57">
            <w:pPr>
              <w:jc w:val="both"/>
              <w:rPr>
                <w:b/>
                <w:szCs w:val="20"/>
              </w:rPr>
            </w:pPr>
          </w:p>
          <w:p w:rsidR="002727D5" w:rsidRPr="002727D5" w:rsidRDefault="002727D5" w:rsidP="00FC5C57">
            <w:pPr>
              <w:jc w:val="both"/>
              <w:rPr>
                <w:b/>
                <w:szCs w:val="20"/>
              </w:rPr>
            </w:pPr>
            <w:r w:rsidRPr="002727D5">
              <w:rPr>
                <w:b/>
                <w:szCs w:val="20"/>
              </w:rPr>
              <w:t xml:space="preserve">Guideline 7: The presentation of risk factors across categories (depending on their nature) should aid investors in navigating the risk factors section. Where this is not the case, the competent authority should challenge the presentation. Where necessary, the competent authority should request that the persons responsible for the prospectus amend the presentation of risk factors across categories. </w:t>
            </w:r>
            <w:r w:rsidRPr="002727D5">
              <w:rPr>
                <w:b/>
                <w:strike/>
                <w:szCs w:val="20"/>
              </w:rPr>
              <w:t>The competent authority should not approve a prospectus when risk factors are not presented across categories based on their nature.</w:t>
            </w:r>
          </w:p>
          <w:p w:rsidR="002727D5" w:rsidRPr="002727D5" w:rsidRDefault="002727D5" w:rsidP="00FC5C57">
            <w:pPr>
              <w:jc w:val="both"/>
              <w:rPr>
                <w:szCs w:val="20"/>
              </w:rPr>
            </w:pPr>
          </w:p>
          <w:p w:rsidR="002727D5" w:rsidRPr="002727D5" w:rsidRDefault="002727D5" w:rsidP="00FC5C57">
            <w:pPr>
              <w:jc w:val="both"/>
              <w:rPr>
                <w:szCs w:val="20"/>
              </w:rPr>
            </w:pPr>
            <w:r w:rsidRPr="002727D5">
              <w:rPr>
                <w:szCs w:val="20"/>
              </w:rPr>
              <w:t>The categorisation of risk factors and the ordering of risk factors within each category should support their comprehensibility. Both should assist investors in understanding the source and nature of each disclosed risk factor. A risk factor should only appear once, in the most appropriate category.</w:t>
            </w:r>
          </w:p>
          <w:p w:rsidR="002727D5" w:rsidRPr="002727D5" w:rsidRDefault="002727D5" w:rsidP="00FC5C57">
            <w:pPr>
              <w:jc w:val="both"/>
              <w:rPr>
                <w:szCs w:val="20"/>
              </w:rPr>
            </w:pPr>
            <w:r w:rsidRPr="002727D5">
              <w:rPr>
                <w:szCs w:val="20"/>
              </w:rPr>
              <w:t xml:space="preserve">In accordance with Article 16 of the Prospectus Regulation, the most material risk factors must be presented first in each </w:t>
            </w:r>
            <w:proofErr w:type="gramStart"/>
            <w:r w:rsidRPr="002727D5">
              <w:rPr>
                <w:szCs w:val="20"/>
              </w:rPr>
              <w:t>category</w:t>
            </w:r>
            <w:r w:rsidRPr="002727D5">
              <w:rPr>
                <w:strike/>
                <w:szCs w:val="20"/>
              </w:rPr>
              <w:t>,</w:t>
            </w:r>
            <w:r w:rsidRPr="002727D5">
              <w:rPr>
                <w:b/>
                <w:color w:val="FF0000"/>
                <w:szCs w:val="20"/>
                <w:u w:val="single"/>
              </w:rPr>
              <w:t>.</w:t>
            </w:r>
            <w:proofErr w:type="gramEnd"/>
            <w:r w:rsidRPr="002727D5">
              <w:rPr>
                <w:szCs w:val="20"/>
              </w:rPr>
              <w:t xml:space="preserve"> </w:t>
            </w:r>
            <w:r w:rsidRPr="002727D5">
              <w:rPr>
                <w:strike/>
                <w:szCs w:val="20"/>
              </w:rPr>
              <w:t xml:space="preserve">but </w:t>
            </w:r>
            <w:proofErr w:type="spellStart"/>
            <w:r w:rsidRPr="002727D5">
              <w:rPr>
                <w:strike/>
                <w:szCs w:val="20"/>
              </w:rPr>
              <w:t>i</w:t>
            </w:r>
            <w:r w:rsidRPr="002727D5">
              <w:rPr>
                <w:b/>
                <w:color w:val="FF0000"/>
                <w:szCs w:val="20"/>
                <w:u w:val="single"/>
              </w:rPr>
              <w:t>I</w:t>
            </w:r>
            <w:r w:rsidRPr="002727D5">
              <w:rPr>
                <w:szCs w:val="20"/>
              </w:rPr>
              <w:t>t</w:t>
            </w:r>
            <w:proofErr w:type="spellEnd"/>
            <w:r w:rsidRPr="002727D5">
              <w:rPr>
                <w:szCs w:val="20"/>
              </w:rPr>
              <w:t xml:space="preserve"> is not mandatory </w:t>
            </w:r>
            <w:r w:rsidRPr="002727D5">
              <w:rPr>
                <w:b/>
                <w:color w:val="FF0000"/>
                <w:szCs w:val="20"/>
                <w:u w:val="single"/>
              </w:rPr>
              <w:t>to rank</w:t>
            </w:r>
            <w:r w:rsidRPr="002727D5">
              <w:rPr>
                <w:szCs w:val="20"/>
              </w:rPr>
              <w:t xml:space="preserve"> </w:t>
            </w:r>
            <w:r w:rsidRPr="002727D5">
              <w:rPr>
                <w:strike/>
                <w:szCs w:val="20"/>
              </w:rPr>
              <w:t>that all further</w:t>
            </w:r>
            <w:r w:rsidRPr="002727D5">
              <w:rPr>
                <w:szCs w:val="20"/>
              </w:rPr>
              <w:t xml:space="preserve"> risk factors within each category </w:t>
            </w:r>
            <w:r w:rsidRPr="002727D5">
              <w:rPr>
                <w:strike/>
                <w:szCs w:val="20"/>
              </w:rPr>
              <w:t>must be ranked</w:t>
            </w:r>
            <w:r w:rsidRPr="002727D5">
              <w:rPr>
                <w:szCs w:val="20"/>
              </w:rPr>
              <w:t xml:space="preserve"> in order of their materiality.</w:t>
            </w:r>
          </w:p>
          <w:p w:rsidR="002727D5" w:rsidRPr="002727D5" w:rsidRDefault="002727D5" w:rsidP="00FC5C57">
            <w:pPr>
              <w:rPr>
                <w:szCs w:val="20"/>
              </w:rPr>
            </w:pPr>
            <w:r w:rsidRPr="002727D5">
              <w:rPr>
                <w:szCs w:val="20"/>
              </w:rPr>
              <w:t>(…)</w:t>
            </w:r>
          </w:p>
          <w:p w:rsidR="002727D5" w:rsidRPr="002727D5" w:rsidRDefault="002727D5" w:rsidP="00FC5C57">
            <w:pPr>
              <w:rPr>
                <w:szCs w:val="20"/>
              </w:rPr>
            </w:pPr>
          </w:p>
          <w:p w:rsidR="002727D5" w:rsidRPr="002727D5" w:rsidRDefault="002727D5" w:rsidP="00FC5C57">
            <w:pPr>
              <w:jc w:val="both"/>
              <w:rPr>
                <w:b/>
                <w:szCs w:val="20"/>
              </w:rPr>
            </w:pPr>
            <w:r w:rsidRPr="002727D5">
              <w:rPr>
                <w:b/>
                <w:szCs w:val="20"/>
              </w:rPr>
              <w:t>Guideline 8: The competent authority should ensure that each of the categories are identified within the risk factors section of the prospectus via the use of appropriate headings.</w:t>
            </w:r>
          </w:p>
          <w:p w:rsidR="002727D5" w:rsidRPr="002727D5" w:rsidRDefault="002727D5" w:rsidP="00FC5C57">
            <w:pPr>
              <w:jc w:val="both"/>
              <w:rPr>
                <w:b/>
                <w:szCs w:val="20"/>
              </w:rPr>
            </w:pPr>
          </w:p>
          <w:p w:rsidR="002727D5" w:rsidRPr="002727D5" w:rsidRDefault="002727D5" w:rsidP="00FC5C57">
            <w:pPr>
              <w:jc w:val="both"/>
              <w:rPr>
                <w:szCs w:val="20"/>
              </w:rPr>
            </w:pPr>
            <w:r w:rsidRPr="002727D5">
              <w:rPr>
                <w:szCs w:val="20"/>
              </w:rPr>
              <w:t xml:space="preserve">Headings should reflect the nature of the risk factors. When presenting </w:t>
            </w:r>
            <w:proofErr w:type="gramStart"/>
            <w:r w:rsidRPr="002727D5">
              <w:rPr>
                <w:szCs w:val="20"/>
              </w:rPr>
              <w:t>headings</w:t>
            </w:r>
            <w:proofErr w:type="gramEnd"/>
            <w:r w:rsidRPr="002727D5">
              <w:rPr>
                <w:szCs w:val="20"/>
              </w:rPr>
              <w:t xml:space="preserve"> it should be ensured that they are easily identifiable in the prospectus, through the use of appropriate spacing and bold font.  </w:t>
            </w:r>
          </w:p>
          <w:p w:rsidR="002727D5" w:rsidRPr="002727D5" w:rsidRDefault="002727D5" w:rsidP="00FC5C57">
            <w:pPr>
              <w:jc w:val="both"/>
              <w:rPr>
                <w:szCs w:val="20"/>
              </w:rPr>
            </w:pPr>
            <w:r w:rsidRPr="002727D5">
              <w:rPr>
                <w:szCs w:val="20"/>
              </w:rPr>
              <w:t xml:space="preserve"> A category should not be included when it is not relevant. Where a risk factor, or risk factors are similar in nature, they can be arranged and presented under the same heading.</w:t>
            </w:r>
          </w:p>
          <w:p w:rsidR="002727D5" w:rsidRPr="002727D5" w:rsidRDefault="002727D5" w:rsidP="00FC5C57">
            <w:pPr>
              <w:jc w:val="both"/>
              <w:rPr>
                <w:szCs w:val="20"/>
              </w:rPr>
            </w:pPr>
          </w:p>
          <w:p w:rsidR="002727D5" w:rsidRPr="002727D5" w:rsidRDefault="002727D5" w:rsidP="00FC5C57">
            <w:pPr>
              <w:jc w:val="both"/>
              <w:rPr>
                <w:b/>
                <w:bCs/>
                <w:szCs w:val="20"/>
              </w:rPr>
            </w:pPr>
            <w:r w:rsidRPr="002727D5">
              <w:rPr>
                <w:b/>
                <w:szCs w:val="20"/>
              </w:rPr>
              <w:t xml:space="preserve">Guideline 9:  </w:t>
            </w:r>
            <w:r w:rsidRPr="002727D5">
              <w:rPr>
                <w:b/>
                <w:bCs/>
                <w:szCs w:val="20"/>
              </w:rPr>
              <w:t xml:space="preserve">The competent authority should ensure that the number of categories included in the prospectus is not disproportionate to the size/complexity of the transaction and risk to the issuer/guarantor. </w:t>
            </w:r>
          </w:p>
          <w:p w:rsidR="002727D5" w:rsidRPr="002727D5" w:rsidRDefault="002727D5" w:rsidP="00FC5C57">
            <w:pPr>
              <w:jc w:val="both"/>
              <w:rPr>
                <w:szCs w:val="20"/>
              </w:rPr>
            </w:pPr>
          </w:p>
          <w:p w:rsidR="002727D5" w:rsidRPr="002727D5" w:rsidRDefault="002727D5" w:rsidP="00FC5C57">
            <w:pPr>
              <w:jc w:val="both"/>
              <w:rPr>
                <w:strike/>
                <w:szCs w:val="20"/>
              </w:rPr>
            </w:pPr>
            <w:r w:rsidRPr="002727D5">
              <w:rPr>
                <w:szCs w:val="20"/>
              </w:rPr>
              <w:t>ESMA considers that</w:t>
            </w:r>
            <w:r w:rsidRPr="002727D5">
              <w:rPr>
                <w:strike/>
                <w:szCs w:val="20"/>
              </w:rPr>
              <w:t xml:space="preserve"> including more than ten categories in the case of a standard, single-issuer, single-security prospectus, would go beyond the requirement in Article 16(1) of the Prospectus Regulation which states that the ‘risk factors shall be presented in a ‘limited’ number of categories’’. This figure of up to ten categories should be reduced where such a number of categories is not relevant or, in other circumstances, it could be extended depending on the case. ESMA understands the case of a multi-product base prospectus as an example where further categories may be relevant.</w:t>
            </w:r>
          </w:p>
          <w:p w:rsidR="002727D5" w:rsidRPr="002727D5" w:rsidRDefault="002727D5" w:rsidP="00FC5C57">
            <w:pPr>
              <w:jc w:val="both"/>
              <w:rPr>
                <w:szCs w:val="20"/>
              </w:rPr>
            </w:pPr>
            <w:r w:rsidRPr="002727D5">
              <w:rPr>
                <w:strike/>
                <w:szCs w:val="20"/>
              </w:rPr>
              <w:t>Fewer categories should be included where that is all that is necessary to categorise the risk factors in a comprehensible manner.</w:t>
            </w:r>
            <w:r w:rsidRPr="002727D5">
              <w:rPr>
                <w:bCs/>
                <w:szCs w:val="20"/>
              </w:rPr>
              <w:t xml:space="preserve"> </w:t>
            </w:r>
            <w:r w:rsidRPr="002727D5">
              <w:rPr>
                <w:b/>
                <w:color w:val="FF0000"/>
                <w:szCs w:val="20"/>
                <w:u w:val="single"/>
              </w:rPr>
              <w:t xml:space="preserve">the assessment of disproportion must be made </w:t>
            </w:r>
            <w:r w:rsidRPr="002727D5">
              <w:rPr>
                <w:b/>
                <w:i/>
                <w:color w:val="FF0000"/>
                <w:szCs w:val="20"/>
                <w:u w:val="single"/>
              </w:rPr>
              <w:t xml:space="preserve">in </w:t>
            </w:r>
            <w:proofErr w:type="spellStart"/>
            <w:r w:rsidRPr="002727D5">
              <w:rPr>
                <w:b/>
                <w:i/>
                <w:color w:val="FF0000"/>
                <w:szCs w:val="20"/>
                <w:u w:val="single"/>
              </w:rPr>
              <w:t>concreto</w:t>
            </w:r>
            <w:proofErr w:type="spellEnd"/>
            <w:r w:rsidRPr="002727D5">
              <w:rPr>
                <w:b/>
                <w:color w:val="FF0000"/>
                <w:szCs w:val="20"/>
                <w:u w:val="single"/>
              </w:rPr>
              <w:t xml:space="preserve"> taking into consideration the characteristics of the issuer and/or securities, in order to ensure that the risk factors are presented in a comprehensible manner.</w:t>
            </w:r>
            <w:r w:rsidRPr="002727D5">
              <w:rPr>
                <w:color w:val="FF0000"/>
                <w:szCs w:val="20"/>
              </w:rPr>
              <w:t xml:space="preserve"> </w:t>
            </w:r>
          </w:p>
          <w:p w:rsidR="002727D5" w:rsidRPr="002727D5" w:rsidRDefault="002727D5" w:rsidP="00FC5C57">
            <w:pPr>
              <w:rPr>
                <w:szCs w:val="20"/>
              </w:rPr>
            </w:pPr>
          </w:p>
          <w:p w:rsidR="002727D5" w:rsidRPr="002727D5" w:rsidRDefault="002727D5" w:rsidP="00FC5C57">
            <w:pPr>
              <w:jc w:val="both"/>
              <w:rPr>
                <w:b/>
                <w:szCs w:val="20"/>
              </w:rPr>
            </w:pPr>
            <w:r w:rsidRPr="002727D5">
              <w:rPr>
                <w:b/>
                <w:szCs w:val="20"/>
              </w:rPr>
              <w:t xml:space="preserve">Guideline 10: Categories should only be further divided into sub-categories in cases where sub-categorisation can be justified on the basis of the particular type of prospectus. Competent authorities should challenge the use of sub-categories in the risk factors section in other circumstances. </w:t>
            </w:r>
          </w:p>
          <w:p w:rsidR="002727D5" w:rsidRPr="002727D5" w:rsidRDefault="002727D5" w:rsidP="00FC5C57">
            <w:pPr>
              <w:jc w:val="both"/>
              <w:rPr>
                <w:szCs w:val="20"/>
              </w:rPr>
            </w:pPr>
            <w:r w:rsidRPr="002727D5">
              <w:rPr>
                <w:szCs w:val="20"/>
              </w:rPr>
              <w:t xml:space="preserve">Sub-categories should only be used where their inclusion can be justified on the basis of the particular type of prospectus. For example, in the case of a base prospectus containing multiple types of securities, sub-categories might be necessary for the presentation of risk factors.   </w:t>
            </w:r>
          </w:p>
          <w:p w:rsidR="002727D5" w:rsidRPr="002727D5" w:rsidRDefault="002727D5" w:rsidP="00FC5C57">
            <w:pPr>
              <w:jc w:val="both"/>
              <w:rPr>
                <w:szCs w:val="20"/>
              </w:rPr>
            </w:pPr>
            <w:r w:rsidRPr="002727D5">
              <w:rPr>
                <w:szCs w:val="20"/>
              </w:rPr>
              <w:t xml:space="preserve"> In the event that sub-categories are used, the principles that apply for the presentation of risk factors, as described throughout this sub-section on presentation of risk factors across categories, should apply.</w:t>
            </w:r>
          </w:p>
        </w:tc>
      </w:tr>
    </w:tbl>
    <w:p w:rsidR="002727D5" w:rsidRPr="00501A51" w:rsidRDefault="002727D5" w:rsidP="002727D5"/>
    <w:p w:rsidR="002727D5" w:rsidRDefault="002727D5" w:rsidP="002727D5">
      <w:pPr>
        <w:spacing w:line="300" w:lineRule="atLeast"/>
        <w:jc w:val="both"/>
      </w:pPr>
    </w:p>
    <w:permEnd w:id="1706109172"/>
    <w:p w:rsidR="00EE53D1" w:rsidRDefault="00EE53D1" w:rsidP="00EE53D1">
      <w:pPr>
        <w:rPr>
          <w:rFonts w:cs="Arial"/>
        </w:rPr>
      </w:pPr>
      <w:r>
        <w:rPr>
          <w:rFonts w:cs="Arial"/>
        </w:rPr>
        <w:t>&lt;ESMA_QUESTION_GRF_10&gt;</w:t>
      </w:r>
    </w:p>
    <w:p w:rsidR="00EE53D1" w:rsidRDefault="00EE53D1" w:rsidP="00EE53D1">
      <w:pPr>
        <w:rPr>
          <w:rFonts w:cs="Arial"/>
        </w:rPr>
      </w:pPr>
    </w:p>
    <w:p w:rsidR="00EE53D1" w:rsidRPr="00277C86" w:rsidRDefault="00EE53D1" w:rsidP="00EE53D1">
      <w:pPr>
        <w:pStyle w:val="Questionstyle"/>
        <w:numPr>
          <w:ilvl w:val="0"/>
          <w:numId w:val="39"/>
        </w:numPr>
      </w:pPr>
      <w:r w:rsidRPr="00303C9E">
        <w:t>: Do you believe that market participants will bear any additional cost as an in</w:t>
      </w:r>
      <w:r w:rsidR="007303AD">
        <w:t>direct effect of the suggested draft</w:t>
      </w:r>
      <w:r w:rsidRPr="00303C9E">
        <w:t xml:space="preserve"> guidelines? If yes, please indicate the nature of such costs and provide an estimation.</w:t>
      </w:r>
    </w:p>
    <w:p w:rsidR="00EE53D1" w:rsidRDefault="00EE53D1" w:rsidP="00EE53D1">
      <w:pPr>
        <w:rPr>
          <w:rFonts w:cs="Arial"/>
        </w:rPr>
      </w:pPr>
      <w:r>
        <w:rPr>
          <w:rFonts w:cs="Arial"/>
        </w:rPr>
        <w:t>&lt;ESMA_QUESTION_GRF_11&gt;</w:t>
      </w:r>
    </w:p>
    <w:p w:rsidR="00EE53D1" w:rsidRPr="002727D5" w:rsidRDefault="002727D5" w:rsidP="002727D5">
      <w:pPr>
        <w:spacing w:line="300" w:lineRule="atLeast"/>
        <w:jc w:val="both"/>
        <w:rPr>
          <w:lang w:val="en-US"/>
        </w:rPr>
      </w:pPr>
      <w:permStart w:id="1696269994" w:edGrp="everyone"/>
      <w:r w:rsidRPr="00EA127B">
        <w:t>During the legislative process on the level 1 regulation, we have engaged with the Commission, the Parliament and several Member states</w:t>
      </w:r>
      <w:r>
        <w:t xml:space="preserve"> regarding the introduction of a classification </w:t>
      </w:r>
      <w:r w:rsidRPr="00EA127B">
        <w:rPr>
          <w:lang w:val="en-US"/>
        </w:rPr>
        <w:t>of risk factors according to their materiality</w:t>
      </w:r>
      <w:r>
        <w:rPr>
          <w:lang w:val="en-US"/>
        </w:rPr>
        <w:t>, considering that such an obligation c</w:t>
      </w:r>
      <w:r w:rsidRPr="00EA127B">
        <w:rPr>
          <w:lang w:val="en-US"/>
        </w:rPr>
        <w:t xml:space="preserve">ould be misleading for investors and </w:t>
      </w:r>
      <w:r>
        <w:rPr>
          <w:lang w:val="en-US"/>
        </w:rPr>
        <w:t>would</w:t>
      </w:r>
      <w:r w:rsidRPr="00EA127B">
        <w:rPr>
          <w:lang w:val="en-US"/>
        </w:rPr>
        <w:t xml:space="preserve"> raise major issues in terms of liability</w:t>
      </w:r>
      <w:r w:rsidRPr="00EA127B">
        <w:rPr>
          <w:lang w:val="x-none"/>
        </w:rPr>
        <w:t xml:space="preserve"> for </w:t>
      </w:r>
      <w:r w:rsidRPr="00EA127B">
        <w:t>issuers: such a requirement would be formalistic and could expose issuers to an unacceptable level of increased liability ; the materiality is very difficult to assess, given the different characteristics of risks and may be subjective</w:t>
      </w:r>
      <w:r>
        <w:t xml:space="preserve"> ;</w:t>
      </w:r>
      <w:r w:rsidRPr="00EA127B">
        <w:t xml:space="preserve"> not all the risks can be identified, assessed and quantified.</w:t>
      </w:r>
      <w:r>
        <w:t xml:space="preserve"> We like to believe, looking at the final version of the Prospectus Regulation, that to a certain extend our arguments have been heard. However, t</w:t>
      </w:r>
      <w:r w:rsidRPr="001D74F9">
        <w:rPr>
          <w:lang w:val="en-US"/>
        </w:rPr>
        <w:t xml:space="preserve">he </w:t>
      </w:r>
      <w:r>
        <w:rPr>
          <w:lang w:val="en-US"/>
        </w:rPr>
        <w:t xml:space="preserve">limitation of the number of risk factors is </w:t>
      </w:r>
      <w:r w:rsidRPr="001D74F9">
        <w:rPr>
          <w:lang w:val="en-US"/>
        </w:rPr>
        <w:t>not in line with internationally well-established practices, which could be difficult and costly to companies issuing on different continents (in the USA, for instance)</w:t>
      </w:r>
      <w:r>
        <w:rPr>
          <w:lang w:val="en-US"/>
        </w:rPr>
        <w:t>.</w:t>
      </w:r>
    </w:p>
    <w:permEnd w:id="1696269994"/>
    <w:p w:rsidR="00EE53D1" w:rsidRDefault="00EE53D1" w:rsidP="00EE53D1">
      <w:pPr>
        <w:rPr>
          <w:rFonts w:cs="Arial"/>
        </w:rPr>
      </w:pPr>
      <w:r>
        <w:rPr>
          <w:rFonts w:cs="Arial"/>
        </w:rPr>
        <w:t>&lt;ESMA_QUESTION_GRF_11&gt;</w:t>
      </w:r>
    </w:p>
    <w:p w:rsidR="007243F1" w:rsidRDefault="007243F1" w:rsidP="00170D44">
      <w:pPr>
        <w:rPr>
          <w:b/>
        </w:rPr>
      </w:pPr>
    </w:p>
    <w:p w:rsidR="007243F1" w:rsidRDefault="007243F1" w:rsidP="00170D44">
      <w:pPr>
        <w:rPr>
          <w:b/>
        </w:rPr>
      </w:pPr>
    </w:p>
    <w:p w:rsidR="007243F1" w:rsidRDefault="007243F1" w:rsidP="00170D44">
      <w:pPr>
        <w:rPr>
          <w:b/>
        </w:rPr>
      </w:pPr>
    </w:p>
    <w:p w:rsidR="007243F1" w:rsidRPr="00170D44" w:rsidRDefault="007243F1" w:rsidP="00170D44">
      <w:pPr>
        <w:rPr>
          <w:b/>
        </w:rPr>
      </w:pPr>
    </w:p>
    <w:sectPr w:rsidR="007243F1" w:rsidRPr="00170D44"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F52" w:rsidRDefault="00885F52">
      <w:r>
        <w:separator/>
      </w:r>
    </w:p>
    <w:p w:rsidR="00885F52" w:rsidRDefault="00885F52"/>
  </w:endnote>
  <w:endnote w:type="continuationSeparator" w:id="0">
    <w:p w:rsidR="00885F52" w:rsidRDefault="00885F52">
      <w:r>
        <w:continuationSeparator/>
      </w:r>
    </w:p>
    <w:p w:rsidR="00885F52" w:rsidRDefault="00885F52"/>
  </w:endnote>
  <w:endnote w:type="continuationNotice" w:id="1">
    <w:p w:rsidR="00885F52" w:rsidRDefault="00885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7A6B">
            <w:rPr>
              <w:rFonts w:cs="Arial"/>
              <w:noProof/>
              <w:sz w:val="22"/>
              <w:szCs w:val="22"/>
            </w:rPr>
            <w:t>6</w:t>
          </w:r>
          <w:r w:rsidRPr="00616B9B">
            <w:rPr>
              <w:rFonts w:cs="Arial"/>
              <w:noProof/>
              <w:sz w:val="22"/>
              <w:szCs w:val="22"/>
            </w:rPr>
            <w:fldChar w:fldCharType="end"/>
          </w:r>
        </w:p>
      </w:tc>
    </w:tr>
  </w:tbl>
  <w:p w:rsidR="00811EDA" w:rsidRDefault="00811E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811E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F52" w:rsidRDefault="00885F52">
      <w:r>
        <w:separator/>
      </w:r>
    </w:p>
    <w:p w:rsidR="00885F52" w:rsidRDefault="00885F52"/>
  </w:footnote>
  <w:footnote w:type="continuationSeparator" w:id="0">
    <w:p w:rsidR="00885F52" w:rsidRDefault="00885F52">
      <w:r>
        <w:continuationSeparator/>
      </w:r>
    </w:p>
    <w:p w:rsidR="00885F52" w:rsidRDefault="00885F52"/>
  </w:footnote>
  <w:footnote w:type="continuationNotice" w:id="1">
    <w:p w:rsidR="00885F52" w:rsidRDefault="00885F52"/>
  </w:footnote>
  <w:footnote w:id="2">
    <w:p w:rsidR="001B3C97" w:rsidRDefault="001B3C97" w:rsidP="001B3C97">
      <w:pPr>
        <w:pStyle w:val="Notedebasdepage"/>
      </w:pPr>
      <w:r>
        <w:rPr>
          <w:rStyle w:val="Appelnotedebasdep"/>
        </w:rPr>
        <w:footnoteRef/>
      </w:r>
      <w:r>
        <w:t xml:space="preserve"> Directive 2013/34/EU of the European Parliament and of the Council of 26 June 2013.</w:t>
      </w:r>
    </w:p>
  </w:footnote>
  <w:footnote w:id="3">
    <w:p w:rsidR="001B3C97" w:rsidRDefault="001B3C97" w:rsidP="001B3C97">
      <w:pPr>
        <w:pStyle w:val="Notedebasdepage"/>
      </w:pPr>
      <w:r>
        <w:rPr>
          <w:rStyle w:val="Appelnotedebasdep"/>
        </w:rPr>
        <w:footnoteRef/>
      </w:r>
      <w:r>
        <w:t xml:space="preserve"> Directive 2014/95/EU of the European Parliament and of the Council of 22 October 2014.</w:t>
      </w:r>
    </w:p>
  </w:footnote>
  <w:footnote w:id="4">
    <w:p w:rsidR="001B3C97" w:rsidRDefault="001B3C97" w:rsidP="001B3C97">
      <w:pPr>
        <w:pStyle w:val="Notedebasdepage"/>
      </w:pPr>
      <w:r>
        <w:rPr>
          <w:rStyle w:val="Appelnotedebasdep"/>
        </w:rPr>
        <w:footnoteRef/>
      </w:r>
      <w:r>
        <w:t xml:space="preserve"> Guidelines on non-financial reporting / Methodology for reporting non-financial information (2017/C 215/01).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DE66EB">
    <w:pPr>
      <w:pStyle w:val="En-tte"/>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00BA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DE66EB" w:rsidP="00013CCE">
    <w:pPr>
      <w:pStyle w:val="En-tte"/>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DE66EB">
    <w:pPr>
      <w:pStyle w:val="En-tte"/>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0B5F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FBF7A9F"/>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679E2"/>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1C1E7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77313F"/>
    <w:multiLevelType w:val="hybridMultilevel"/>
    <w:tmpl w:val="0D26BDF6"/>
    <w:lvl w:ilvl="0" w:tplc="8E025A0C">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3E65345"/>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5FEB0196"/>
    <w:multiLevelType w:val="hybridMultilevel"/>
    <w:tmpl w:val="C1E6146A"/>
    <w:lvl w:ilvl="0" w:tplc="2B245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D6F1C46"/>
    <w:multiLevelType w:val="hybridMultilevel"/>
    <w:tmpl w:val="D8C46248"/>
    <w:lvl w:ilvl="0" w:tplc="3ADEC0DC">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AB3030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8" w15:restartNumberingAfterBreak="0">
    <w:nsid w:val="7F633C10"/>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2"/>
  </w:num>
  <w:num w:numId="3">
    <w:abstractNumId w:val="15"/>
  </w:num>
  <w:num w:numId="4">
    <w:abstractNumId w:val="29"/>
  </w:num>
  <w:num w:numId="5">
    <w:abstractNumId w:val="32"/>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8"/>
  </w:num>
  <w:num w:numId="14">
    <w:abstractNumId w:val="27"/>
  </w:num>
  <w:num w:numId="15">
    <w:abstractNumId w:val="8"/>
  </w:num>
  <w:num w:numId="16">
    <w:abstractNumId w:val="1"/>
  </w:num>
  <w:num w:numId="17">
    <w:abstractNumId w:val="18"/>
  </w:num>
  <w:num w:numId="18">
    <w:abstractNumId w:val="19"/>
  </w:num>
  <w:num w:numId="19">
    <w:abstractNumId w:val="21"/>
  </w:num>
  <w:num w:numId="20">
    <w:abstractNumId w:val="33"/>
  </w:num>
  <w:num w:numId="21">
    <w:abstractNumId w:val="44"/>
  </w:num>
  <w:num w:numId="22">
    <w:abstractNumId w:val="31"/>
  </w:num>
  <w:num w:numId="23">
    <w:abstractNumId w:val="7"/>
  </w:num>
  <w:num w:numId="24">
    <w:abstractNumId w:val="36"/>
  </w:num>
  <w:num w:numId="25">
    <w:abstractNumId w:val="35"/>
  </w:num>
  <w:num w:numId="26">
    <w:abstractNumId w:val="24"/>
  </w:num>
  <w:num w:numId="27">
    <w:abstractNumId w:val="40"/>
  </w:num>
  <w:num w:numId="28">
    <w:abstractNumId w:val="47"/>
  </w:num>
  <w:num w:numId="29">
    <w:abstractNumId w:val="5"/>
  </w:num>
  <w:num w:numId="30">
    <w:abstractNumId w:val="2"/>
  </w:num>
  <w:num w:numId="31">
    <w:abstractNumId w:val="26"/>
  </w:num>
  <w:num w:numId="32">
    <w:abstractNumId w:val="25"/>
  </w:num>
  <w:num w:numId="33">
    <w:abstractNumId w:val="43"/>
  </w:num>
  <w:num w:numId="34">
    <w:abstractNumId w:val="42"/>
  </w:num>
  <w:num w:numId="35">
    <w:abstractNumId w:val="9"/>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8"/>
  </w:num>
  <w:num w:numId="39">
    <w:abstractNumId w:val="16"/>
  </w:num>
  <w:num w:numId="40">
    <w:abstractNumId w:val="11"/>
  </w:num>
  <w:num w:numId="41">
    <w:abstractNumId w:val="10"/>
  </w:num>
  <w:num w:numId="42">
    <w:abstractNumId w:val="13"/>
  </w:num>
  <w:num w:numId="43">
    <w:abstractNumId w:val="30"/>
  </w:num>
  <w:num w:numId="44">
    <w:abstractNumId w:val="48"/>
  </w:num>
  <w:num w:numId="45">
    <w:abstractNumId w:val="46"/>
  </w:num>
  <w:num w:numId="46">
    <w:abstractNumId w:val="12"/>
  </w:num>
  <w:num w:numId="47">
    <w:abstractNumId w:val="41"/>
  </w:num>
  <w:num w:numId="48">
    <w:abstractNumId w:val="37"/>
  </w:num>
  <w:num w:numId="49">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3fqvBZXG21S4GLcZce42SbXdunGxCsGYNWkIIreJ5Wyv0rG4x8bISirlRjTp9zS7u4cY3PaAZyRwrkQiq5oXg==" w:salt="7rLABRv2KDNi9BExK1z3gw=="/>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AB3"/>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819"/>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1FE"/>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3C97"/>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27D5"/>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AF"/>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153"/>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6295"/>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1B17"/>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7AC5"/>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615A"/>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3FC5"/>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2976"/>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3F1"/>
    <w:rsid w:val="00724C18"/>
    <w:rsid w:val="00726630"/>
    <w:rsid w:val="00727F73"/>
    <w:rsid w:val="007303AD"/>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67A6B"/>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25"/>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37C0"/>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5F52"/>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0A49"/>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6D2A"/>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1EB1"/>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5E9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3FE7"/>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469D"/>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5AF5"/>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6FE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B79DD"/>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0E9"/>
    <w:rsid w:val="00ED351E"/>
    <w:rsid w:val="00ED4063"/>
    <w:rsid w:val="00ED4B27"/>
    <w:rsid w:val="00ED543C"/>
    <w:rsid w:val="00ED6BA4"/>
    <w:rsid w:val="00ED7DA7"/>
    <w:rsid w:val="00EE0598"/>
    <w:rsid w:val="00EE311C"/>
    <w:rsid w:val="00EE53D1"/>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14D"/>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1B526649"/>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styleId="Normalcentr">
    <w:name w:val="Block Text"/>
    <w:basedOn w:val="Normal"/>
    <w:semiHidden/>
    <w:rsid w:val="00C45E98"/>
    <w:pPr>
      <w:spacing w:line="360" w:lineRule="auto"/>
      <w:ind w:left="426" w:right="-1"/>
      <w:jc w:val="center"/>
    </w:pPr>
    <w:rPr>
      <w:rFonts w:ascii="Times New Roman" w:hAnsi="Times New Roman"/>
      <w:b/>
      <w:bCs/>
      <w:sz w:val="2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090d947-cb5a-4e71-a094-4f979ca4aec0"/>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ACEEE1-CAE0-46AE-847B-FA0140F27D36}">
  <ds:schemaRefs>
    <ds:schemaRef ds:uri="http://schemas.openxmlformats.org/officeDocument/2006/bibliography"/>
  </ds:schemaRefs>
</ds:datastoreItem>
</file>

<file path=customXml/itemProps6.xml><?xml version="1.0" encoding="utf-8"?>
<ds:datastoreItem xmlns:ds="http://schemas.openxmlformats.org/officeDocument/2006/customXml" ds:itemID="{EAAEA67A-9542-4AE3-8BA4-AB333AAE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6640</Words>
  <Characters>37254</Characters>
  <Application>Microsoft Office Word</Application>
  <DocSecurity>8</DocSecurity>
  <Lines>310</Lines>
  <Paragraphs>87</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43807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Lé Quang TRAN VAN</cp:lastModifiedBy>
  <cp:revision>3</cp:revision>
  <cp:lastPrinted>2015-02-18T11:01:00Z</cp:lastPrinted>
  <dcterms:created xsi:type="dcterms:W3CDTF">2018-10-03T14:01:00Z</dcterms:created>
  <dcterms:modified xsi:type="dcterms:W3CDTF">2018-10-04T08:49:00Z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