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2CAD9F49" w14:textId="77777777" w:rsidTr="00315E96">
        <w:trPr>
          <w:trHeight w:val="284"/>
        </w:trPr>
        <w:tc>
          <w:tcPr>
            <w:tcW w:w="9412" w:type="dxa"/>
          </w:tcPr>
          <w:p w14:paraId="2CAD9F48" w14:textId="77777777" w:rsidR="00C2094B" w:rsidRPr="004E49B0" w:rsidRDefault="00D5469D" w:rsidP="007243F1">
            <w:pPr>
              <w:pStyle w:val="00bDBInfo"/>
              <w:rPr>
                <w:rFonts w:cs="Arial"/>
              </w:rPr>
            </w:pPr>
            <w:r>
              <w:rPr>
                <w:rFonts w:cs="Arial"/>
                <w:color w:val="auto"/>
              </w:rPr>
              <w:t>13</w:t>
            </w:r>
            <w:r w:rsidR="007243F1">
              <w:rPr>
                <w:rFonts w:cs="Arial"/>
                <w:color w:val="auto"/>
              </w:rPr>
              <w:t xml:space="preserve"> July </w:t>
            </w:r>
            <w:r w:rsidR="00EF5FB9">
              <w:rPr>
                <w:rFonts w:cs="Arial"/>
                <w:color w:val="auto"/>
              </w:rPr>
              <w:t>2018</w:t>
            </w:r>
          </w:p>
        </w:tc>
      </w:tr>
    </w:tbl>
    <w:p w14:paraId="2CAD9F4A"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2CAD9F4D" w14:textId="77777777" w:rsidTr="006E0A4F">
        <w:trPr>
          <w:trHeight w:hRule="exact" w:val="2475"/>
        </w:trPr>
        <w:tc>
          <w:tcPr>
            <w:tcW w:w="9646" w:type="dxa"/>
            <w:vAlign w:val="bottom"/>
          </w:tcPr>
          <w:p w14:paraId="2CAD9F4B" w14:textId="77777777"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w:t>
            </w:r>
            <w:r w:rsidR="00ED30E9">
              <w:rPr>
                <w:rFonts w:cs="Arial"/>
                <w:szCs w:val="56"/>
              </w:rPr>
              <w:t>Guidelines on risk f</w:t>
            </w:r>
            <w:r w:rsidR="007243F1">
              <w:rPr>
                <w:rFonts w:cs="Arial"/>
                <w:szCs w:val="56"/>
              </w:rPr>
              <w:t>actors</w:t>
            </w:r>
            <w:r w:rsidR="00ED30E9">
              <w:rPr>
                <w:rFonts w:cs="Arial"/>
                <w:szCs w:val="56"/>
              </w:rPr>
              <w:t xml:space="preserve"> under </w:t>
            </w:r>
            <w:r w:rsidR="00673FC5">
              <w:rPr>
                <w:rFonts w:cs="Arial"/>
                <w:szCs w:val="56"/>
              </w:rPr>
              <w:t xml:space="preserve">the </w:t>
            </w:r>
            <w:r w:rsidR="00ED30E9">
              <w:rPr>
                <w:rFonts w:cs="Arial"/>
                <w:szCs w:val="56"/>
              </w:rPr>
              <w:t>Prospectus Regulation</w:t>
            </w:r>
          </w:p>
          <w:p w14:paraId="2CAD9F4C" w14:textId="77777777"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CAD9F4F" w14:textId="77777777" w:rsidTr="006E0A4F">
        <w:trPr>
          <w:trHeight w:hRule="exact" w:val="1237"/>
        </w:trPr>
        <w:tc>
          <w:tcPr>
            <w:tcW w:w="9646" w:type="dxa"/>
            <w:tcMar>
              <w:top w:w="142" w:type="dxa"/>
            </w:tcMar>
          </w:tcPr>
          <w:p w14:paraId="2CAD9F4E"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2CAD9F50" w14:textId="77777777" w:rsidR="00620D7C" w:rsidRPr="00616B9B" w:rsidRDefault="00620D7C" w:rsidP="00C00012">
      <w:pPr>
        <w:pStyle w:val="05HeadlinenoIndex"/>
        <w:rPr>
          <w:rFonts w:cs="Arial"/>
        </w:rPr>
        <w:sectPr w:rsidR="00620D7C" w:rsidRPr="00616B9B" w:rsidSect="006E3C72">
          <w:headerReference w:type="even" r:id="rId7"/>
          <w:headerReference w:type="default" r:id="rId8"/>
          <w:footerReference w:type="even" r:id="rId9"/>
          <w:footerReference w:type="default" r:id="rId10"/>
          <w:headerReference w:type="first" r:id="rId11"/>
          <w:foot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CAD9F52" w14:textId="77777777" w:rsidTr="00315E96">
        <w:trPr>
          <w:trHeight w:hRule="exact" w:val="964"/>
        </w:trPr>
        <w:tc>
          <w:tcPr>
            <w:tcW w:w="2325" w:type="dxa"/>
          </w:tcPr>
          <w:p w14:paraId="2CAD9F51" w14:textId="77777777" w:rsidR="00620D7C" w:rsidRPr="004E49B0" w:rsidRDefault="00620D7C" w:rsidP="007243F1">
            <w:pPr>
              <w:pStyle w:val="02Date"/>
              <w:rPr>
                <w:rFonts w:cs="Arial"/>
              </w:rPr>
            </w:pPr>
            <w:r w:rsidRPr="001541FE">
              <w:rPr>
                <w:rFonts w:cs="Arial"/>
              </w:rPr>
              <w:lastRenderedPageBreak/>
              <w:t xml:space="preserve">Date: </w:t>
            </w:r>
            <w:r w:rsidR="002C6AAF" w:rsidRPr="001541FE">
              <w:rPr>
                <w:rFonts w:cs="Arial"/>
              </w:rPr>
              <w:t>13</w:t>
            </w:r>
            <w:r w:rsidR="007243F1" w:rsidRPr="001541FE">
              <w:rPr>
                <w:rFonts w:cs="Arial"/>
              </w:rPr>
              <w:t xml:space="preserve"> July</w:t>
            </w:r>
            <w:r w:rsidR="005738DE" w:rsidRPr="001541FE">
              <w:rPr>
                <w:rFonts w:cs="Arial"/>
              </w:rPr>
              <w:t xml:space="preserve"> 2018</w:t>
            </w:r>
          </w:p>
        </w:tc>
      </w:tr>
    </w:tbl>
    <w:p w14:paraId="2CAD9F5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2CAD9F54" w14:textId="77777777" w:rsidR="009A3017" w:rsidRDefault="009A3017" w:rsidP="00E66FE1">
      <w:pPr>
        <w:jc w:val="both"/>
        <w:rPr>
          <w:rStyle w:val="SchwacheHervorhebung"/>
          <w:b w:val="0"/>
          <w:sz w:val="22"/>
        </w:rPr>
      </w:pPr>
      <w:r w:rsidRPr="00EB79DD">
        <w:rPr>
          <w:rStyle w:val="SchwacheHervorhebung"/>
          <w:b w:val="0"/>
          <w:sz w:val="22"/>
        </w:rPr>
        <w:t xml:space="preserve">ESMA invites responses to the questions set out throughout </w:t>
      </w:r>
      <w:r w:rsidR="00963D60" w:rsidRPr="00EB79DD">
        <w:rPr>
          <w:rStyle w:val="SchwacheHervorhebung"/>
          <w:b w:val="0"/>
          <w:sz w:val="22"/>
        </w:rPr>
        <w:t xml:space="preserve">its </w:t>
      </w:r>
      <w:r w:rsidR="00EF5FB9" w:rsidRPr="00EB79DD">
        <w:rPr>
          <w:rStyle w:val="SchwacheHervorhebung"/>
          <w:b w:val="0"/>
          <w:sz w:val="22"/>
        </w:rPr>
        <w:t xml:space="preserve">Consultation Paper </w:t>
      </w:r>
      <w:r w:rsidR="00767A6B">
        <w:rPr>
          <w:rStyle w:val="SchwacheHervorhebung"/>
          <w:b w:val="0"/>
          <w:sz w:val="22"/>
        </w:rPr>
        <w:t xml:space="preserve">on </w:t>
      </w:r>
      <w:r w:rsidR="00ED30E9" w:rsidRPr="00ED30E9">
        <w:rPr>
          <w:rStyle w:val="SchwacheHervorhebung"/>
          <w:b w:val="0"/>
          <w:sz w:val="22"/>
        </w:rPr>
        <w:t>Guideline</w:t>
      </w:r>
      <w:r w:rsidR="00ED30E9">
        <w:rPr>
          <w:rStyle w:val="SchwacheHervorhebung"/>
          <w:b w:val="0"/>
          <w:sz w:val="22"/>
        </w:rPr>
        <w:t xml:space="preserve">s on risk factors under </w:t>
      </w:r>
      <w:r w:rsidR="00673FC5">
        <w:rPr>
          <w:rStyle w:val="SchwacheHervorhebung"/>
          <w:b w:val="0"/>
          <w:sz w:val="22"/>
        </w:rPr>
        <w:t xml:space="preserve">the </w:t>
      </w:r>
      <w:r w:rsidR="00ED30E9">
        <w:rPr>
          <w:rStyle w:val="SchwacheHervorhebung"/>
          <w:b w:val="0"/>
          <w:sz w:val="22"/>
        </w:rPr>
        <w:t>Prospec</w:t>
      </w:r>
      <w:r w:rsidR="00ED30E9" w:rsidRPr="00ED30E9">
        <w:rPr>
          <w:rStyle w:val="SchwacheHervorhebung"/>
          <w:b w:val="0"/>
          <w:sz w:val="22"/>
        </w:rPr>
        <w:t>tus Regulation</w:t>
      </w:r>
      <w:r w:rsidRPr="00EB79DD">
        <w:rPr>
          <w:rStyle w:val="SchwacheHervorhebung"/>
          <w:b w:val="0"/>
          <w:sz w:val="22"/>
        </w:rPr>
        <w:t>. Responses are most helpful if they:</w:t>
      </w:r>
    </w:p>
    <w:p w14:paraId="2CAD9F55" w14:textId="77777777" w:rsidR="00AF38AF" w:rsidRPr="00E40A5C" w:rsidRDefault="00AF38AF" w:rsidP="00AF38AF">
      <w:pPr>
        <w:rPr>
          <w:rStyle w:val="SchwacheHervorhebung"/>
          <w:b w:val="0"/>
          <w:sz w:val="22"/>
        </w:rPr>
      </w:pPr>
    </w:p>
    <w:p w14:paraId="2CAD9F56"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respond to the question stated;</w:t>
      </w:r>
    </w:p>
    <w:p w14:paraId="2CAD9F57"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contain a clear rationale; and</w:t>
      </w:r>
    </w:p>
    <w:p w14:paraId="2CAD9F58"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describe any alternatives ESMA should consider.</w:t>
      </w:r>
    </w:p>
    <w:p w14:paraId="2CAD9F59" w14:textId="77777777" w:rsidR="009A3017" w:rsidRPr="00E40A5C" w:rsidRDefault="009A3017" w:rsidP="009A3017">
      <w:pPr>
        <w:spacing w:after="240"/>
        <w:jc w:val="both"/>
        <w:rPr>
          <w:rStyle w:val="SchwacheHervorhebung"/>
          <w:b w:val="0"/>
          <w:sz w:val="22"/>
        </w:rPr>
      </w:pPr>
      <w:r w:rsidRPr="00E40A5C">
        <w:rPr>
          <w:rStyle w:val="SchwacheHervorhebung"/>
          <w:b w:val="0"/>
          <w:sz w:val="22"/>
        </w:rPr>
        <w:t xml:space="preserve">ESMA will consider all responses received by </w:t>
      </w:r>
      <w:r w:rsidR="00EB79DD" w:rsidRPr="00EB79DD">
        <w:rPr>
          <w:rStyle w:val="SchwacheHervorhebung"/>
          <w:b w:val="0"/>
          <w:sz w:val="22"/>
        </w:rPr>
        <w:t>0</w:t>
      </w:r>
      <w:r w:rsidR="00AF38AF" w:rsidRPr="00EB79DD">
        <w:rPr>
          <w:rStyle w:val="SchwacheHervorhebung"/>
          <w:b w:val="0"/>
          <w:sz w:val="22"/>
        </w:rPr>
        <w:t xml:space="preserve">5 </w:t>
      </w:r>
      <w:r w:rsidR="00EB79DD" w:rsidRPr="00EB79DD">
        <w:rPr>
          <w:rStyle w:val="SchwacheHervorhebung"/>
          <w:b w:val="0"/>
          <w:sz w:val="22"/>
        </w:rPr>
        <w:t>October</w:t>
      </w:r>
      <w:r w:rsidR="005C6485" w:rsidRPr="00EB79DD">
        <w:rPr>
          <w:rStyle w:val="SchwacheHervorhebung"/>
          <w:b w:val="0"/>
          <w:sz w:val="22"/>
        </w:rPr>
        <w:t xml:space="preserve"> 2018</w:t>
      </w:r>
      <w:r w:rsidRPr="00EB79DD">
        <w:rPr>
          <w:rStyle w:val="SchwacheHervorhebung"/>
          <w:b w:val="0"/>
          <w:sz w:val="22"/>
        </w:rPr>
        <w:t>.</w:t>
      </w:r>
    </w:p>
    <w:p w14:paraId="2CAD9F5A"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2CAD9F5B"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2CAD9F5C"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2CAD9F5D"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&lt;ESMA_QUESTION_</w:t>
      </w:r>
      <w:r w:rsidR="007243F1">
        <w:rPr>
          <w:rStyle w:val="SchwacheHervorhebung"/>
          <w:b w:val="0"/>
          <w:sz w:val="22"/>
        </w:rPr>
        <w:t>GRF</w:t>
      </w:r>
      <w:r w:rsidRPr="00E40A5C">
        <w:rPr>
          <w:rStyle w:val="SchwacheHervorhebung"/>
          <w:b w:val="0"/>
          <w:sz w:val="22"/>
        </w:rPr>
        <w:t>_1&gt;. Your response to each question has to be framed by the two tags corresponding to the question.</w:t>
      </w:r>
    </w:p>
    <w:p w14:paraId="2CAD9F5E"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2CAD9F5F"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ESMA_</w:t>
      </w:r>
      <w:r w:rsidR="007243F1">
        <w:rPr>
          <w:rStyle w:val="SchwacheHervorhebung"/>
          <w:b w:val="0"/>
          <w:sz w:val="22"/>
        </w:rPr>
        <w:t>GRF</w:t>
      </w:r>
      <w:r w:rsidRPr="00E40A5C">
        <w:rPr>
          <w:rStyle w:val="SchwacheHervorhebung"/>
          <w:b w:val="0"/>
          <w:sz w:val="22"/>
        </w:rPr>
        <w:t>_nameofrespondent_RESPONSEFORM. For example, for a respondent named ABCD, the response form would be entitled ESMA_</w:t>
      </w:r>
      <w:r w:rsidR="007243F1">
        <w:rPr>
          <w:rStyle w:val="SchwacheHervorhebung"/>
          <w:b w:val="0"/>
          <w:sz w:val="22"/>
        </w:rPr>
        <w:t>GRF</w:t>
      </w:r>
      <w:r w:rsidRPr="00E40A5C">
        <w:rPr>
          <w:rStyle w:val="SchwacheHervorhebung"/>
          <w:b w:val="0"/>
          <w:sz w:val="22"/>
        </w:rPr>
        <w:t>_ABCD_RESPONSEFORM.</w:t>
      </w:r>
    </w:p>
    <w:p w14:paraId="2CAD9F60" w14:textId="77777777" w:rsidR="009A3017" w:rsidRPr="00E40A5C" w:rsidRDefault="009A3017" w:rsidP="00831A25">
      <w:pPr>
        <w:pStyle w:val="Listenabsatz"/>
        <w:numPr>
          <w:ilvl w:val="0"/>
          <w:numId w:val="37"/>
        </w:numPr>
        <w:spacing w:after="240" w:line="276" w:lineRule="auto"/>
        <w:contextualSpacing w:val="0"/>
        <w:jc w:val="both"/>
        <w:rPr>
          <w:rStyle w:val="SchwacheHervorhebung"/>
          <w:b w:val="0"/>
          <w:sz w:val="22"/>
        </w:rPr>
      </w:pPr>
      <w:r w:rsidRPr="00E40A5C">
        <w:rPr>
          <w:rStyle w:val="SchwacheHervorhebung"/>
          <w:b w:val="0"/>
          <w:sz w:val="22"/>
        </w:rPr>
        <w:t xml:space="preserve">Upload the form containing your responses, </w:t>
      </w:r>
      <w:r w:rsidRPr="00963D60">
        <w:rPr>
          <w:rStyle w:val="SchwacheHervorhebung"/>
          <w:sz w:val="22"/>
        </w:rPr>
        <w:t>in Word format</w:t>
      </w:r>
      <w:r w:rsidRPr="00E40A5C">
        <w:rPr>
          <w:rStyle w:val="SchwacheHervorhebung"/>
          <w:b w:val="0"/>
          <w:sz w:val="22"/>
        </w:rPr>
        <w:t>, to ESMA’s website (</w:t>
      </w:r>
      <w:hyperlink r:id="rId13" w:history="1">
        <w:r w:rsidRPr="00E40A5C">
          <w:rPr>
            <w:rStyle w:val="Hyperlink"/>
            <w:rFonts w:cs="Arial"/>
            <w:sz w:val="22"/>
          </w:rPr>
          <w:t>www.esma.europa.eu</w:t>
        </w:r>
      </w:hyperlink>
      <w:r w:rsidR="006E0A4F">
        <w:rPr>
          <w:rStyle w:val="SchwacheHervorhebung"/>
          <w:b w:val="0"/>
          <w:sz w:val="22"/>
        </w:rPr>
        <w:t xml:space="preserve"> under the heading “Your input – Open consultatio</w:t>
      </w:r>
      <w:r w:rsidR="006E0A4F" w:rsidRPr="001D5360">
        <w:rPr>
          <w:rStyle w:val="SchwacheHervorhebung"/>
          <w:b w:val="0"/>
          <w:sz w:val="22"/>
        </w:rPr>
        <w:t>ns”</w:t>
      </w:r>
      <w:r w:rsidRPr="001D5360">
        <w:rPr>
          <w:rStyle w:val="SchwacheHervorhebung"/>
          <w:b w:val="0"/>
          <w:sz w:val="22"/>
        </w:rPr>
        <w:t xml:space="preserve"> </w:t>
      </w:r>
      <w:r w:rsidRPr="001D5360">
        <w:rPr>
          <w:rStyle w:val="SchwacheHervorhebung"/>
          <w:b w:val="0"/>
          <w:sz w:val="22"/>
        </w:rPr>
        <w:sym w:font="Wingdings" w:char="F0E0"/>
      </w:r>
      <w:r w:rsidRPr="001D5360">
        <w:rPr>
          <w:rStyle w:val="SchwacheHervorhebung"/>
          <w:b w:val="0"/>
          <w:sz w:val="22"/>
        </w:rPr>
        <w:t xml:space="preserve"> </w:t>
      </w:r>
      <w:r w:rsidR="006E0A4F" w:rsidRPr="001D5360">
        <w:rPr>
          <w:rStyle w:val="SchwacheHervorhebung"/>
          <w:b w:val="0"/>
          <w:sz w:val="22"/>
        </w:rPr>
        <w:t>“</w:t>
      </w:r>
      <w:r w:rsidR="00EF5FB9" w:rsidRPr="00EF5FB9">
        <w:rPr>
          <w:rStyle w:val="SchwacheHervorhebung"/>
          <w:b w:val="0"/>
          <w:sz w:val="22"/>
        </w:rPr>
        <w:t xml:space="preserve">Consultation </w:t>
      </w:r>
      <w:r w:rsidR="00767A6B">
        <w:rPr>
          <w:rStyle w:val="SchwacheHervorhebung"/>
          <w:b w:val="0"/>
          <w:sz w:val="22"/>
        </w:rPr>
        <w:t>on</w:t>
      </w:r>
      <w:r w:rsidR="00ED30E9" w:rsidRPr="00ED30E9">
        <w:rPr>
          <w:rStyle w:val="SchwacheHervorhebung"/>
          <w:b w:val="0"/>
          <w:sz w:val="22"/>
        </w:rPr>
        <w:t xml:space="preserve"> Guideline</w:t>
      </w:r>
      <w:r w:rsidR="00ED30E9">
        <w:rPr>
          <w:rStyle w:val="SchwacheHervorhebung"/>
          <w:b w:val="0"/>
          <w:sz w:val="22"/>
        </w:rPr>
        <w:t xml:space="preserve">s on risk factors under </w:t>
      </w:r>
      <w:r w:rsidR="00673FC5">
        <w:rPr>
          <w:rStyle w:val="SchwacheHervorhebung"/>
          <w:b w:val="0"/>
          <w:sz w:val="22"/>
        </w:rPr>
        <w:t xml:space="preserve">the </w:t>
      </w:r>
      <w:r w:rsidR="00ED30E9">
        <w:rPr>
          <w:rStyle w:val="SchwacheHervorhebung"/>
          <w:b w:val="0"/>
          <w:sz w:val="22"/>
        </w:rPr>
        <w:t>Prospec</w:t>
      </w:r>
      <w:r w:rsidR="00ED30E9" w:rsidRPr="00ED30E9">
        <w:rPr>
          <w:rStyle w:val="SchwacheHervorhebung"/>
          <w:b w:val="0"/>
          <w:sz w:val="22"/>
        </w:rPr>
        <w:t>tus Regulation</w:t>
      </w:r>
      <w:r w:rsidR="006E0A4F" w:rsidRPr="001D5360">
        <w:rPr>
          <w:rStyle w:val="SchwacheHervorhebung"/>
          <w:b w:val="0"/>
          <w:sz w:val="22"/>
        </w:rPr>
        <w:t>”</w:t>
      </w:r>
      <w:r w:rsidRPr="001D5360">
        <w:rPr>
          <w:rStyle w:val="SchwacheHervorhebung"/>
          <w:b w:val="0"/>
          <w:sz w:val="22"/>
        </w:rPr>
        <w:t>).</w:t>
      </w:r>
    </w:p>
    <w:p w14:paraId="2CAD9F61" w14:textId="77777777" w:rsidR="009A3017" w:rsidRPr="00E40A5C" w:rsidRDefault="009A3017" w:rsidP="009A3017">
      <w:pPr>
        <w:spacing w:after="120"/>
        <w:jc w:val="both"/>
        <w:rPr>
          <w:rStyle w:val="SchwacheHervorhebung"/>
          <w:sz w:val="22"/>
          <w:lang w:eastAsia="en-GB"/>
        </w:rPr>
      </w:pPr>
      <w:r w:rsidRPr="00E40A5C">
        <w:rPr>
          <w:rStyle w:val="SchwacheHervorhebung"/>
          <w:sz w:val="22"/>
          <w:lang w:eastAsia="en-GB"/>
        </w:rPr>
        <w:t>Publication of responses</w:t>
      </w:r>
    </w:p>
    <w:p w14:paraId="2CAD9F62" w14:textId="77777777" w:rsidR="009A3017" w:rsidRPr="00E40A5C" w:rsidRDefault="009A3017" w:rsidP="009A3017">
      <w:pPr>
        <w:spacing w:after="240"/>
        <w:jc w:val="both"/>
        <w:rPr>
          <w:rStyle w:val="SchwacheHervorhebung"/>
          <w:b w:val="0"/>
          <w:sz w:val="22"/>
          <w:lang w:eastAsia="en-GB"/>
        </w:rPr>
      </w:pPr>
      <w:r w:rsidRPr="00E40A5C">
        <w:rPr>
          <w:rStyle w:val="SchwacheHervorhebung"/>
          <w:b w:val="0"/>
          <w:sz w:val="22"/>
          <w:lang w:eastAsia="en-GB"/>
        </w:rPr>
        <w:t xml:space="preserve">All contributions received will be published following the close of the consultation, unless you request otherwise. </w:t>
      </w:r>
      <w:r w:rsidRPr="00963D60">
        <w:rPr>
          <w:rStyle w:val="SchwacheHervorhebung"/>
          <w:sz w:val="22"/>
          <w:lang w:eastAsia="en-GB"/>
        </w:rPr>
        <w:t>Please clearly indicate by ticking the appropriate checkbox on the website submission page if you do not wish your contribution to be publicly disclosed.</w:t>
      </w:r>
      <w:r w:rsidRPr="00E40A5C">
        <w:rPr>
          <w:rStyle w:val="SchwacheHervorhebung"/>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2CAD9F63" w14:textId="77777777" w:rsidR="009A3017" w:rsidRPr="00E40A5C" w:rsidRDefault="00315895" w:rsidP="004E6AE4">
      <w:pPr>
        <w:rPr>
          <w:rStyle w:val="SchwacheHervorhebung"/>
          <w:sz w:val="22"/>
          <w:lang w:eastAsia="en-GB"/>
        </w:rPr>
      </w:pPr>
      <w:r>
        <w:rPr>
          <w:rStyle w:val="SchwacheHervorhebung"/>
          <w:sz w:val="22"/>
          <w:lang w:eastAsia="en-GB"/>
        </w:rPr>
        <w:br w:type="page"/>
      </w:r>
      <w:r w:rsidR="009A3017" w:rsidRPr="00E40A5C">
        <w:rPr>
          <w:rStyle w:val="SchwacheHervorhebung"/>
          <w:sz w:val="22"/>
          <w:lang w:eastAsia="en-GB"/>
        </w:rPr>
        <w:lastRenderedPageBreak/>
        <w:t>Data protection</w:t>
      </w:r>
    </w:p>
    <w:p w14:paraId="2CAD9F64" w14:textId="77777777" w:rsidR="009A3017" w:rsidRPr="00E40A5C" w:rsidRDefault="009A3017" w:rsidP="009A3017">
      <w:pPr>
        <w:spacing w:after="240"/>
        <w:jc w:val="both"/>
        <w:rPr>
          <w:rStyle w:val="SchwacheHervorhebung"/>
          <w:b w:val="0"/>
          <w:sz w:val="22"/>
          <w:lang w:eastAsia="en-GB"/>
        </w:rPr>
      </w:pPr>
      <w:r w:rsidRPr="00E40A5C">
        <w:rPr>
          <w:rStyle w:val="SchwacheHervorhebung"/>
          <w:b w:val="0"/>
          <w:sz w:val="22"/>
          <w:lang w:eastAsia="en-GB"/>
        </w:rPr>
        <w:t xml:space="preserve">Information on data protection can be found at </w:t>
      </w:r>
      <w:hyperlink r:id="rId14" w:history="1">
        <w:r w:rsidRPr="00E40A5C">
          <w:rPr>
            <w:rStyle w:val="Hyperlink"/>
            <w:rFonts w:cs="Arial"/>
            <w:sz w:val="22"/>
            <w:lang w:eastAsia="en-GB"/>
          </w:rPr>
          <w:t>www.esma.europa.eu</w:t>
        </w:r>
      </w:hyperlink>
      <w:r w:rsidR="006E0A4F">
        <w:rPr>
          <w:rStyle w:val="SchwacheHervorhebung"/>
          <w:b w:val="0"/>
          <w:sz w:val="22"/>
          <w:lang w:eastAsia="en-GB"/>
        </w:rPr>
        <w:t xml:space="preserve"> under the heading “Data protection”</w:t>
      </w:r>
      <w:r w:rsidRPr="00E40A5C">
        <w:rPr>
          <w:rStyle w:val="SchwacheHervorhebung"/>
          <w:b w:val="0"/>
          <w:sz w:val="22"/>
          <w:lang w:eastAsia="en-GB"/>
        </w:rPr>
        <w:t>.</w:t>
      </w:r>
    </w:p>
    <w:p w14:paraId="2CAD9F65" w14:textId="77777777" w:rsidR="009A3017" w:rsidRPr="00E40A5C" w:rsidRDefault="009A3017" w:rsidP="009A3017">
      <w:pPr>
        <w:spacing w:after="120"/>
        <w:jc w:val="both"/>
        <w:rPr>
          <w:rStyle w:val="SchwacheHervorhebung"/>
          <w:sz w:val="22"/>
          <w:lang w:eastAsia="en-GB"/>
        </w:rPr>
      </w:pPr>
      <w:r w:rsidRPr="00E40A5C">
        <w:rPr>
          <w:rStyle w:val="SchwacheHervorhebung"/>
          <w:sz w:val="22"/>
          <w:lang w:eastAsia="en-GB"/>
        </w:rPr>
        <w:t>Who should read th</w:t>
      </w:r>
      <w:r w:rsidR="00315895">
        <w:rPr>
          <w:rStyle w:val="SchwacheHervorhebung"/>
          <w:sz w:val="22"/>
          <w:lang w:eastAsia="en-GB"/>
        </w:rPr>
        <w:t>e</w:t>
      </w:r>
      <w:r w:rsidRPr="00E40A5C">
        <w:rPr>
          <w:rStyle w:val="SchwacheHervorhebung"/>
          <w:sz w:val="22"/>
          <w:lang w:eastAsia="en-GB"/>
        </w:rPr>
        <w:t xml:space="preserve"> Consultation Paper</w:t>
      </w:r>
    </w:p>
    <w:bookmarkEnd w:id="0"/>
    <w:p w14:paraId="2CAD9F66" w14:textId="77777777" w:rsidR="00332304" w:rsidRDefault="002C6AAF" w:rsidP="004E6AE4">
      <w:pPr>
        <w:rPr>
          <w:rFonts w:cs="Arial"/>
          <w:b/>
          <w:bCs/>
          <w:kern w:val="32"/>
          <w:sz w:val="24"/>
          <w:szCs w:val="32"/>
        </w:rPr>
      </w:pPr>
      <w:r>
        <w:rPr>
          <w:rStyle w:val="SchwacheHervorhebung"/>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r w:rsidR="00332304">
        <w:br w:type="page"/>
      </w:r>
    </w:p>
    <w:p w14:paraId="2CAD9F67" w14:textId="77777777" w:rsidR="00B327E9" w:rsidRPr="00AB6D88" w:rsidRDefault="00B327E9" w:rsidP="00B327E9">
      <w:pPr>
        <w:pStyle w:val="berschrift1"/>
        <w:numPr>
          <w:ilvl w:val="0"/>
          <w:numId w:val="0"/>
        </w:numPr>
      </w:pPr>
      <w:r w:rsidRPr="00AB6D88">
        <w:lastRenderedPageBreak/>
        <w:t>General information about respondent</w:t>
      </w:r>
    </w:p>
    <w:p w14:paraId="2CAD9F68"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2CAD9F6B" w14:textId="77777777" w:rsidTr="00FF2313">
        <w:tc>
          <w:tcPr>
            <w:tcW w:w="3929" w:type="dxa"/>
            <w:shd w:val="clear" w:color="auto" w:fill="auto"/>
          </w:tcPr>
          <w:p w14:paraId="2CAD9F69" w14:textId="77777777" w:rsidR="00B327E9" w:rsidRPr="00E40A5C" w:rsidRDefault="00B327E9" w:rsidP="00FF2313">
            <w:pPr>
              <w:rPr>
                <w:rFonts w:cs="Arial"/>
                <w:sz w:val="22"/>
              </w:rPr>
            </w:pPr>
            <w:permStart w:id="1470759707" w:edGrp="everyone" w:colFirst="1" w:colLast="1"/>
            <w:r w:rsidRPr="00E40A5C">
              <w:rPr>
                <w:rFonts w:cs="Arial"/>
                <w:sz w:val="22"/>
              </w:rPr>
              <w:t>Name of the company / organisation</w:t>
            </w:r>
          </w:p>
        </w:tc>
        <w:sdt>
          <w:sdtPr>
            <w:rPr>
              <w:rStyle w:val="Platzhaltertext"/>
              <w:rFonts w:cs="Arial"/>
              <w:lang w:val="de-DE"/>
            </w:rPr>
            <w:id w:val="-1905066999"/>
            <w:text/>
          </w:sdtPr>
          <w:sdtEndPr>
            <w:rPr>
              <w:rStyle w:val="Platzhaltertext"/>
            </w:rPr>
          </w:sdtEndPr>
          <w:sdtContent>
            <w:tc>
              <w:tcPr>
                <w:tcW w:w="5595" w:type="dxa"/>
                <w:shd w:val="clear" w:color="auto" w:fill="auto"/>
              </w:tcPr>
              <w:p w14:paraId="2CAD9F6A" w14:textId="77777777" w:rsidR="00B327E9" w:rsidRPr="00E029B1" w:rsidRDefault="00E029B1" w:rsidP="00E029B1">
                <w:pPr>
                  <w:rPr>
                    <w:rStyle w:val="Platzhaltertext"/>
                    <w:rFonts w:cs="Arial"/>
                    <w:lang w:val="de-DE"/>
                  </w:rPr>
                </w:pPr>
                <w:r w:rsidRPr="00E029B1">
                  <w:rPr>
                    <w:rStyle w:val="Platzhaltertext"/>
                    <w:rFonts w:cs="Arial"/>
                    <w:lang w:val="de-DE"/>
                  </w:rPr>
                  <w:t>Deutsche Derivate Verband e.V.</w:t>
                </w:r>
              </w:p>
            </w:tc>
          </w:sdtContent>
        </w:sdt>
      </w:tr>
      <w:tr w:rsidR="00B327E9" w:rsidRPr="00AB6D88" w14:paraId="2CAD9F6E" w14:textId="77777777" w:rsidTr="00FF2313">
        <w:tc>
          <w:tcPr>
            <w:tcW w:w="3929" w:type="dxa"/>
            <w:shd w:val="clear" w:color="auto" w:fill="auto"/>
          </w:tcPr>
          <w:p w14:paraId="2CAD9F6C" w14:textId="77777777" w:rsidR="00B327E9" w:rsidRPr="00E40A5C" w:rsidRDefault="00B327E9" w:rsidP="00FF2313">
            <w:pPr>
              <w:rPr>
                <w:rFonts w:cs="Arial"/>
                <w:sz w:val="22"/>
              </w:rPr>
            </w:pPr>
            <w:permStart w:id="1921279195" w:edGrp="everyone" w:colFirst="1" w:colLast="1"/>
            <w:permEnd w:id="1470759707"/>
            <w:r w:rsidRPr="00E40A5C">
              <w:rPr>
                <w:rFonts w:cs="Arial"/>
                <w:sz w:val="22"/>
              </w:rPr>
              <w:t>Activity</w:t>
            </w:r>
          </w:p>
        </w:tc>
        <w:tc>
          <w:tcPr>
            <w:tcW w:w="5595" w:type="dxa"/>
            <w:shd w:val="clear" w:color="auto" w:fill="auto"/>
          </w:tcPr>
          <w:p w14:paraId="2CAD9F6D" w14:textId="77777777" w:rsidR="00B327E9" w:rsidRPr="00AB6D88" w:rsidRDefault="00FC3B04" w:rsidP="00E029B1">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52C34">
                  <w:rPr>
                    <w:rFonts w:cs="Arial"/>
                  </w:rPr>
                  <w:t>Banking sector</w:t>
                </w:r>
              </w:sdtContent>
            </w:sdt>
          </w:p>
        </w:tc>
      </w:tr>
      <w:tr w:rsidR="00B327E9" w:rsidRPr="00AB6D88" w14:paraId="2CAD9F71" w14:textId="77777777" w:rsidTr="00FF2313">
        <w:tc>
          <w:tcPr>
            <w:tcW w:w="3929" w:type="dxa"/>
            <w:shd w:val="clear" w:color="auto" w:fill="auto"/>
          </w:tcPr>
          <w:p w14:paraId="2CAD9F6F" w14:textId="77777777" w:rsidR="00B327E9" w:rsidRPr="00E40A5C" w:rsidRDefault="00B327E9" w:rsidP="00FF2313">
            <w:pPr>
              <w:rPr>
                <w:rFonts w:cs="Arial"/>
                <w:sz w:val="22"/>
              </w:rPr>
            </w:pPr>
            <w:permStart w:id="1724610019" w:edGrp="everyone" w:colFirst="1" w:colLast="1"/>
            <w:permEnd w:id="1921279195"/>
            <w:r w:rsidRPr="00E40A5C">
              <w:rPr>
                <w:rFonts w:cs="Arial"/>
                <w:sz w:val="22"/>
              </w:rPr>
              <w:t>Are you representing an association?</w:t>
            </w:r>
          </w:p>
        </w:tc>
        <w:sdt>
          <w:sdtPr>
            <w:rPr>
              <w:rFonts w:cs="Arial"/>
            </w:rPr>
            <w:id w:val="-242871467"/>
          </w:sdtPr>
          <w:sdtEndPr/>
          <w:sdtContent>
            <w:tc>
              <w:tcPr>
                <w:tcW w:w="5595" w:type="dxa"/>
                <w:shd w:val="clear" w:color="auto" w:fill="auto"/>
              </w:tcPr>
              <w:p w14:paraId="2CAD9F70" w14:textId="77777777" w:rsidR="00B327E9" w:rsidRPr="00AB6D88" w:rsidRDefault="00852C34" w:rsidP="00FF2313">
                <w:pPr>
                  <w:rPr>
                    <w:rFonts w:cs="Arial"/>
                  </w:rPr>
                </w:pPr>
                <w:r>
                  <w:rPr>
                    <w:rFonts w:ascii="MS Gothic" w:eastAsia="MS Gothic" w:hAnsi="MS Gothic" w:cs="Arial" w:hint="eastAsia"/>
                  </w:rPr>
                  <w:t>☒</w:t>
                </w:r>
              </w:p>
            </w:tc>
          </w:sdtContent>
        </w:sdt>
      </w:tr>
      <w:tr w:rsidR="00B327E9" w:rsidRPr="00AB6D88" w14:paraId="2CAD9F74" w14:textId="77777777" w:rsidTr="00FF2313">
        <w:tc>
          <w:tcPr>
            <w:tcW w:w="3929" w:type="dxa"/>
            <w:shd w:val="clear" w:color="auto" w:fill="auto"/>
          </w:tcPr>
          <w:p w14:paraId="2CAD9F72" w14:textId="77777777" w:rsidR="00B327E9" w:rsidRPr="00E40A5C" w:rsidRDefault="00B327E9" w:rsidP="00FF2313">
            <w:pPr>
              <w:rPr>
                <w:rFonts w:cs="Arial"/>
                <w:sz w:val="22"/>
              </w:rPr>
            </w:pPr>
            <w:permStart w:id="2011977062" w:edGrp="everyone" w:colFirst="1" w:colLast="1"/>
            <w:permEnd w:id="172461001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CAD9F73" w14:textId="77777777" w:rsidR="00B327E9" w:rsidRPr="00AB6D88" w:rsidRDefault="00E029B1" w:rsidP="00FF2313">
                <w:pPr>
                  <w:rPr>
                    <w:rFonts w:cs="Arial"/>
                  </w:rPr>
                </w:pPr>
                <w:r>
                  <w:rPr>
                    <w:rFonts w:cs="Arial"/>
                  </w:rPr>
                  <w:t>Germany</w:t>
                </w:r>
              </w:p>
            </w:tc>
          </w:sdtContent>
        </w:sdt>
      </w:tr>
      <w:permEnd w:id="2011977062"/>
    </w:tbl>
    <w:p w14:paraId="2CAD9F75" w14:textId="77777777" w:rsidR="00B327E9" w:rsidRDefault="00B327E9" w:rsidP="00B327E9">
      <w:pPr>
        <w:spacing w:after="120" w:line="264" w:lineRule="auto"/>
      </w:pPr>
    </w:p>
    <w:p w14:paraId="2CAD9F76" w14:textId="77777777" w:rsidR="00B327E9" w:rsidRDefault="00B327E9" w:rsidP="00B327E9">
      <w:pPr>
        <w:pStyle w:val="berschrift1"/>
        <w:numPr>
          <w:ilvl w:val="0"/>
          <w:numId w:val="0"/>
        </w:numPr>
        <w:ind w:left="431" w:hanging="431"/>
      </w:pPr>
      <w:r>
        <w:t>Introduction</w:t>
      </w:r>
    </w:p>
    <w:p w14:paraId="2CAD9F77"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2CAD9F78" w14:textId="77777777" w:rsidR="00B327E9" w:rsidRPr="00BF28DA" w:rsidRDefault="00B327E9" w:rsidP="00B327E9"/>
    <w:p w14:paraId="2CAD9F79" w14:textId="77777777" w:rsidR="00B327E9" w:rsidRPr="006F4535" w:rsidRDefault="00B327E9" w:rsidP="00B327E9">
      <w:r w:rsidRPr="006F4535">
        <w:t>&lt;ESMA_COMMENT_</w:t>
      </w:r>
      <w:r w:rsidR="007243F1">
        <w:rPr>
          <w:rFonts w:cs="Arial"/>
        </w:rPr>
        <w:t>GRF</w:t>
      </w:r>
      <w:r w:rsidRPr="006F4535">
        <w:t>_1&gt;</w:t>
      </w:r>
    </w:p>
    <w:p w14:paraId="2CAD9F7A" w14:textId="77777777" w:rsidR="00E029B1" w:rsidRPr="006A359D" w:rsidRDefault="00E029B1" w:rsidP="00FF2313">
      <w:pPr>
        <w:jc w:val="both"/>
      </w:pPr>
      <w:permStart w:id="1501718083" w:edGrp="everyone"/>
      <w:r w:rsidRPr="006A359D">
        <w:t xml:space="preserve">This paper constitutes the response by the Deutsche Derivate Verband e.V. (DDV), </w:t>
      </w:r>
      <w:r w:rsidRPr="006A359D">
        <w:rPr>
          <w:b/>
          <w:bCs/>
        </w:rPr>
        <w:t>the German Derivatives Association,</w:t>
      </w:r>
      <w:r w:rsidRPr="006A359D">
        <w:t xml:space="preserve"> to the European Securities and Markets Authority ("</w:t>
      </w:r>
      <w:r w:rsidRPr="006A359D">
        <w:rPr>
          <w:b/>
        </w:rPr>
        <w:t>ESMA</w:t>
      </w:r>
      <w:r w:rsidRPr="006A359D">
        <w:t xml:space="preserve">") in connection with its </w:t>
      </w:r>
      <w:r w:rsidR="00337AB2">
        <w:t>c</w:t>
      </w:r>
      <w:r w:rsidRPr="006A359D">
        <w:t xml:space="preserve">onsultation </w:t>
      </w:r>
      <w:r w:rsidR="00337AB2">
        <w:t>p</w:t>
      </w:r>
      <w:r w:rsidRPr="006A359D">
        <w:t>aper</w:t>
      </w:r>
      <w:r w:rsidR="00337AB2">
        <w:t xml:space="preserve"> on "Guidelines on risk factors under the Prospectus Regulation"</w:t>
      </w:r>
      <w:r w:rsidRPr="006A359D">
        <w:t xml:space="preserve">. </w:t>
      </w:r>
    </w:p>
    <w:p w14:paraId="2CAD9F7B" w14:textId="77777777" w:rsidR="00E029B1" w:rsidRPr="006A359D" w:rsidRDefault="00E029B1" w:rsidP="00FF2313">
      <w:pPr>
        <w:jc w:val="both"/>
      </w:pPr>
    </w:p>
    <w:p w14:paraId="2CAD9F7C" w14:textId="5A2625E9" w:rsidR="00E029B1" w:rsidRPr="00DA436C" w:rsidRDefault="00E029B1" w:rsidP="00FF2313">
      <w:pPr>
        <w:jc w:val="both"/>
      </w:pPr>
      <w:r w:rsidRPr="006A359D">
        <w:t>The DDV is the industry representative body for the 1</w:t>
      </w:r>
      <w:r w:rsidR="00B36967">
        <w:t>6</w:t>
      </w:r>
      <w:r w:rsidRPr="006A359D">
        <w:t xml:space="preserve"> leading issuers of derivatives in Germany. The DDV’s members are among the </w:t>
      </w:r>
      <w:r w:rsidRPr="00DA436C">
        <w:t>most important certificate issuers in Germany, representing more than 90 percent of the total market. Furthermore, the Association’s work is supported by sixteen sponsoring members, which include the Stuttgart and Frankfurt Exchanges, as well as finance portals and other service providers.</w:t>
      </w:r>
    </w:p>
    <w:p w14:paraId="2CAD9F7D" w14:textId="77777777" w:rsidR="00E029B1" w:rsidRPr="00DA436C" w:rsidRDefault="00E029B1" w:rsidP="00FF2313">
      <w:pPr>
        <w:jc w:val="both"/>
      </w:pPr>
    </w:p>
    <w:p w14:paraId="2CAD9F7E" w14:textId="77777777" w:rsidR="00E029B1" w:rsidRPr="00DA436C" w:rsidRDefault="00E029B1" w:rsidP="00FF2313">
      <w:pPr>
        <w:jc w:val="both"/>
      </w:pPr>
      <w:r w:rsidRPr="00DA436C">
        <w:t xml:space="preserve">The DDV’s aim is to improve the general political and regulatory conditions for structured products in Germany and at European level, and to encourage increasing numbers of private investors to choose certificates and warrants. The objectives of DDV therefore include making the products more understandable and transparent, as well as protecting investors. Together with its members, the DDV advocates the establishment and promotion of industry standards and self-regulation. As a political advocacy group, the DDV is involved in various national and European legislative initiatives by issuing position papers and petitions. </w:t>
      </w:r>
    </w:p>
    <w:p w14:paraId="2CAD9F7F" w14:textId="77777777" w:rsidR="00E029B1" w:rsidRPr="00DA436C" w:rsidRDefault="00E029B1" w:rsidP="00FF2313">
      <w:pPr>
        <w:jc w:val="both"/>
        <w:rPr>
          <w:lang w:val="en-US"/>
        </w:rPr>
      </w:pPr>
    </w:p>
    <w:p w14:paraId="2CAD9F80" w14:textId="77777777" w:rsidR="00E029B1" w:rsidRPr="00DA436C" w:rsidRDefault="00E029B1" w:rsidP="0055702E">
      <w:pPr>
        <w:jc w:val="both"/>
      </w:pPr>
      <w:r w:rsidRPr="00DA436C">
        <w:t>DDV members have established various programmes for the issuance of structured products targeting retail investors in both the domestic German market and the markets in other EU Member States. In this context, the DDV and its members have a vital interest in the proper functioning of the retail structured products markets and, accordingly, in ensuring that retail investors are adequately protected. However, the DDV and its members also believe that such investor protection should not unduly limit the retail investors' freedom to choose which structured products to invest in and should, in particular, take into account the individual investors' experience.</w:t>
      </w:r>
    </w:p>
    <w:p w14:paraId="2CAD9F81" w14:textId="77777777" w:rsidR="00E029B1" w:rsidRPr="00DA436C" w:rsidRDefault="00E029B1" w:rsidP="0055702E">
      <w:pPr>
        <w:jc w:val="both"/>
      </w:pPr>
    </w:p>
    <w:p w14:paraId="2CAD9F82" w14:textId="77777777" w:rsidR="007D592D" w:rsidRPr="00DA436C" w:rsidRDefault="00E029B1" w:rsidP="0055702E">
      <w:pPr>
        <w:jc w:val="both"/>
      </w:pPr>
      <w:r w:rsidRPr="00DA436C">
        <w:t xml:space="preserve">Given its aims as an industry body, the DDV has provided answers to the questions </w:t>
      </w:r>
      <w:r w:rsidR="00337AB2" w:rsidRPr="00DA436C">
        <w:t xml:space="preserve">as relevant to </w:t>
      </w:r>
      <w:r w:rsidRPr="00DA436C">
        <w:t>prospectuses for retail debt securities.</w:t>
      </w:r>
    </w:p>
    <w:p w14:paraId="2CAD9F83" w14:textId="77777777" w:rsidR="007D592D" w:rsidRPr="00DA436C" w:rsidRDefault="007D592D" w:rsidP="0055702E">
      <w:pPr>
        <w:jc w:val="both"/>
      </w:pPr>
    </w:p>
    <w:p w14:paraId="2CAD9F84" w14:textId="5E712591" w:rsidR="005E7C64" w:rsidRPr="007400B3" w:rsidRDefault="007D592D" w:rsidP="0055702E">
      <w:pPr>
        <w:jc w:val="both"/>
        <w:rPr>
          <w:rFonts w:cs="Arial"/>
        </w:rPr>
      </w:pPr>
      <w:r w:rsidRPr="007400B3">
        <w:t>In general, the DDV agrees with the principles set out in ESMA's draft guidelines on risk factors to be included in (base) prospectuses drawn under and in accordance with the Prospectus Regulation. Howev</w:t>
      </w:r>
      <w:r w:rsidR="00F73C57" w:rsidRPr="007400B3">
        <w:t>er</w:t>
      </w:r>
      <w:r w:rsidRPr="007400B3">
        <w:t xml:space="preserve">, the DDV </w:t>
      </w:r>
      <w:r w:rsidR="00E65573" w:rsidRPr="007400B3">
        <w:t>note</w:t>
      </w:r>
      <w:r w:rsidR="00F73C57" w:rsidRPr="007400B3">
        <w:t>s</w:t>
      </w:r>
      <w:r w:rsidR="00E65573" w:rsidRPr="007400B3">
        <w:t xml:space="preserve"> </w:t>
      </w:r>
      <w:r w:rsidR="007F5749" w:rsidRPr="007400B3">
        <w:t xml:space="preserve">that the </w:t>
      </w:r>
      <w:r w:rsidR="00F73C57" w:rsidRPr="007400B3">
        <w:t xml:space="preserve">wording </w:t>
      </w:r>
      <w:r w:rsidR="003C6403" w:rsidRPr="007400B3">
        <w:t>"competent authority should challenge"</w:t>
      </w:r>
      <w:r w:rsidR="00F73C57" w:rsidRPr="007400B3">
        <w:t xml:space="preserve"> as used in the ESMA's draft guidelines might be misinterpreted by some competent authority to not only actively engage and challenge the risk factors included in (base) prospectuses, but to actually</w:t>
      </w:r>
      <w:r w:rsidR="00C93D5D" w:rsidRPr="007400B3">
        <w:t xml:space="preserve"> </w:t>
      </w:r>
      <w:r w:rsidR="00D15326" w:rsidRPr="007400B3">
        <w:t xml:space="preserve">almost block </w:t>
      </w:r>
      <w:r w:rsidR="00F73C57" w:rsidRPr="007400B3">
        <w:t xml:space="preserve">the </w:t>
      </w:r>
      <w:r w:rsidR="00D15326" w:rsidRPr="007400B3">
        <w:t>(</w:t>
      </w:r>
      <w:r w:rsidR="00F73C57" w:rsidRPr="007400B3">
        <w:t>prospectus</w:t>
      </w:r>
      <w:r w:rsidR="00D15326" w:rsidRPr="007400B3">
        <w:t>)</w:t>
      </w:r>
      <w:r w:rsidR="00F73C57" w:rsidRPr="007400B3">
        <w:t xml:space="preserve"> approval process</w:t>
      </w:r>
      <w:r w:rsidR="00E61B4B" w:rsidRPr="007400B3">
        <w:t xml:space="preserve"> where it does not fully agree with the issuer's risk assessment</w:t>
      </w:r>
      <w:r w:rsidR="00D15326" w:rsidRPr="007400B3">
        <w:t>.</w:t>
      </w:r>
      <w:r w:rsidR="00F73C57" w:rsidRPr="007400B3">
        <w:t xml:space="preserve"> In this context</w:t>
      </w:r>
      <w:r w:rsidR="001C3AEB" w:rsidRPr="007400B3">
        <w:t xml:space="preserve"> and</w:t>
      </w:r>
      <w:r w:rsidR="00E65573" w:rsidRPr="007400B3">
        <w:t xml:space="preserve"> as an overarching consideration, the DDV wishes </w:t>
      </w:r>
      <w:r w:rsidRPr="007400B3">
        <w:t>to caution ESMA against the risk th</w:t>
      </w:r>
      <w:r w:rsidR="00B36967" w:rsidRPr="007400B3">
        <w:t>at</w:t>
      </w:r>
      <w:r w:rsidRPr="007400B3">
        <w:t xml:space="preserve"> national competent authorities in the various Member States could interpret </w:t>
      </w:r>
      <w:r w:rsidR="00206545" w:rsidRPr="007400B3">
        <w:t>ES</w:t>
      </w:r>
      <w:r w:rsidR="005E7C64" w:rsidRPr="007400B3">
        <w:t>M</w:t>
      </w:r>
      <w:r w:rsidR="00206545" w:rsidRPr="007400B3">
        <w:t xml:space="preserve">A's guidance to </w:t>
      </w:r>
      <w:r w:rsidRPr="007400B3">
        <w:t xml:space="preserve">challenge the risk factors included in (base) prospectuses as a requirement to </w:t>
      </w:r>
      <w:r w:rsidR="00B72B05" w:rsidRPr="007400B3">
        <w:t xml:space="preserve">even </w:t>
      </w:r>
      <w:r w:rsidR="001C3AEB" w:rsidRPr="007400B3">
        <w:t xml:space="preserve">challenge the </w:t>
      </w:r>
      <w:r w:rsidR="00B72B05" w:rsidRPr="007400B3">
        <w:t>benefit</w:t>
      </w:r>
      <w:r w:rsidR="001C3AEB" w:rsidRPr="007400B3">
        <w:t xml:space="preserve"> of a</w:t>
      </w:r>
      <w:r w:rsidR="00B72B05" w:rsidRPr="007400B3">
        <w:t xml:space="preserve"> structured </w:t>
      </w:r>
      <w:r w:rsidR="001C3AEB" w:rsidRPr="007400B3">
        <w:t>product for investors as a whole</w:t>
      </w:r>
      <w:r w:rsidR="00B72B05" w:rsidRPr="007400B3">
        <w:t xml:space="preserve"> (e.g. the benefit of complex credit linked notes for retail investors), rather than focusing on appropriate risk disclosure)</w:t>
      </w:r>
      <w:r w:rsidR="001C3AEB" w:rsidRPr="007400B3">
        <w:t xml:space="preserve">, resulting an in </w:t>
      </w:r>
      <w:r w:rsidRPr="007400B3">
        <w:t>a substantive</w:t>
      </w:r>
      <w:r w:rsidRPr="007400B3">
        <w:rPr>
          <w:rFonts w:cs="Arial"/>
        </w:rPr>
        <w:t xml:space="preserve"> "product approval / suitability" test (i.e., the notion of a "quality label") based on such competent authorities' understanding of the relevant products</w:t>
      </w:r>
      <w:r w:rsidR="00982049" w:rsidRPr="007400B3">
        <w:rPr>
          <w:rFonts w:cs="Arial"/>
        </w:rPr>
        <w:t xml:space="preserve"> (please see the DDV's response to q.10 below)</w:t>
      </w:r>
      <w:r w:rsidRPr="007400B3">
        <w:rPr>
          <w:rFonts w:cs="Arial"/>
        </w:rPr>
        <w:t xml:space="preserve">. </w:t>
      </w:r>
    </w:p>
    <w:p w14:paraId="2CAD9F85" w14:textId="77777777" w:rsidR="005E7C64" w:rsidRPr="007400B3" w:rsidRDefault="005E7C64" w:rsidP="00206545">
      <w:pPr>
        <w:jc w:val="both"/>
        <w:rPr>
          <w:rFonts w:cs="Arial"/>
        </w:rPr>
      </w:pPr>
    </w:p>
    <w:p w14:paraId="2CAD9F86" w14:textId="584B1EFD" w:rsidR="007D592D" w:rsidRDefault="007D592D" w:rsidP="006F5DDF">
      <w:pPr>
        <w:jc w:val="both"/>
        <w:rPr>
          <w:rFonts w:cs="Arial"/>
        </w:rPr>
      </w:pPr>
      <w:r w:rsidRPr="00DA436C">
        <w:rPr>
          <w:rFonts w:cs="Arial"/>
        </w:rPr>
        <w:lastRenderedPageBreak/>
        <w:t xml:space="preserve">In the DDV's view, the application of any such "product approval / suitability" test would differ between national competent authorities and, since there is no single prospectus liability regime applicable across the EU and since prospectus liability is determined at a national level, would expose issuers to the risk that, by complying with the preferred approach of </w:t>
      </w:r>
      <w:r w:rsidR="00206545" w:rsidRPr="00DA436C">
        <w:rPr>
          <w:rFonts w:cs="Arial"/>
        </w:rPr>
        <w:t>the</w:t>
      </w:r>
      <w:r w:rsidRPr="00DA436C">
        <w:rPr>
          <w:rFonts w:cs="Arial"/>
        </w:rPr>
        <w:t xml:space="preserve"> national competent authority in one Member State, they would fall foul of the requirements applicable in another Member State. The DDV considers that this </w:t>
      </w:r>
      <w:r w:rsidR="00206545" w:rsidRPr="00DA436C">
        <w:rPr>
          <w:rFonts w:cs="Arial"/>
        </w:rPr>
        <w:t xml:space="preserve">greater prospectus liability risk for </w:t>
      </w:r>
      <w:r w:rsidR="00B36967" w:rsidRPr="00DA436C">
        <w:rPr>
          <w:rFonts w:cs="Arial"/>
        </w:rPr>
        <w:t>i</w:t>
      </w:r>
      <w:r w:rsidR="00206545" w:rsidRPr="00DA436C">
        <w:rPr>
          <w:rFonts w:cs="Arial"/>
        </w:rPr>
        <w:t xml:space="preserve">ssuer's </w:t>
      </w:r>
      <w:r w:rsidRPr="00DA436C">
        <w:rPr>
          <w:rFonts w:cs="Arial"/>
        </w:rPr>
        <w:t xml:space="preserve">would not be conducive to investor protection and </w:t>
      </w:r>
      <w:r w:rsidR="00206545" w:rsidRPr="00DA436C">
        <w:rPr>
          <w:rFonts w:cs="Arial"/>
        </w:rPr>
        <w:t>that E</w:t>
      </w:r>
      <w:r w:rsidRPr="00DA436C">
        <w:rPr>
          <w:rFonts w:cs="Arial"/>
        </w:rPr>
        <w:t>SMA should</w:t>
      </w:r>
      <w:r w:rsidR="00206545" w:rsidRPr="00DA436C">
        <w:rPr>
          <w:rFonts w:cs="Arial"/>
        </w:rPr>
        <w:t xml:space="preserve"> therefore</w:t>
      </w:r>
      <w:r w:rsidRPr="00DA436C">
        <w:rPr>
          <w:rFonts w:cs="Arial"/>
        </w:rPr>
        <w:t xml:space="preserve"> expressly clarify that national competent authorities should not apply a "product approval / suitability" test when vetting the risk factors in (base) prospectuses.</w:t>
      </w:r>
    </w:p>
    <w:p w14:paraId="54F0B9B5" w14:textId="03EA4542" w:rsidR="0055702E" w:rsidRDefault="0055702E" w:rsidP="006F5DDF">
      <w:pPr>
        <w:jc w:val="both"/>
        <w:rPr>
          <w:rFonts w:cs="Arial"/>
        </w:rPr>
      </w:pPr>
    </w:p>
    <w:p w14:paraId="2CAD9F88" w14:textId="421C4EC9" w:rsidR="007D592D" w:rsidRPr="00DA436C" w:rsidRDefault="0055702E" w:rsidP="006F5DDF">
      <w:pPr>
        <w:jc w:val="both"/>
        <w:rPr>
          <w:strike/>
          <w:color w:val="FF0000"/>
        </w:rPr>
      </w:pPr>
      <w:r w:rsidRPr="007400B3">
        <w:rPr>
          <w:rFonts w:cs="Arial"/>
        </w:rPr>
        <w:t>In this cont</w:t>
      </w:r>
      <w:r w:rsidR="00FE42A2" w:rsidRPr="007400B3">
        <w:rPr>
          <w:rFonts w:cs="Arial"/>
        </w:rPr>
        <w:t>e</w:t>
      </w:r>
      <w:r w:rsidRPr="007400B3">
        <w:rPr>
          <w:rFonts w:cs="Arial"/>
        </w:rPr>
        <w:t xml:space="preserve">xt, </w:t>
      </w:r>
      <w:r w:rsidR="00030718" w:rsidRPr="007400B3">
        <w:rPr>
          <w:rFonts w:cs="Arial"/>
        </w:rPr>
        <w:t>the DDV wishes to stress the important role of the issuer in determining the risk factors to be included in a (base) prospectus</w:t>
      </w:r>
      <w:r w:rsidR="000C6AA6" w:rsidRPr="007400B3">
        <w:rPr>
          <w:rFonts w:cs="Arial"/>
        </w:rPr>
        <w:t xml:space="preserve"> and respectfully notes that in particular the issuer would generally be much better placed than a national competent authority – in terms of the time and resources available to it to carry out the relevant analysis – to assess the "materiality" of any risk factors. Leaving this determination with an issuer would then also allow issuers to properly reflect any specifics of multi-product base prospectuses.</w:t>
      </w:r>
    </w:p>
    <w:p w14:paraId="2CAD9F89" w14:textId="77777777" w:rsidR="007D592D" w:rsidRPr="00DA436C" w:rsidRDefault="007D592D" w:rsidP="00B327E9"/>
    <w:p w14:paraId="2CAD9F8A" w14:textId="77777777" w:rsidR="00B327E9" w:rsidRPr="00BF28DA" w:rsidRDefault="00E029B1" w:rsidP="00B327E9">
      <w:r w:rsidRPr="00DA436C">
        <w:t xml:space="preserve">The DDV is grateful for this opportunity to share its views on selected topics in respect of the </w:t>
      </w:r>
      <w:r w:rsidR="00337AB2" w:rsidRPr="00DA436C">
        <w:t xml:space="preserve">guidelines on risk factors under the Prospectus Regulation </w:t>
      </w:r>
      <w:r w:rsidRPr="00DA436C">
        <w:t>as follows</w:t>
      </w:r>
      <w:r>
        <w:t>:</w:t>
      </w:r>
      <w:permEnd w:id="1501718083"/>
      <w:r w:rsidR="00B327E9" w:rsidRPr="00BF28DA">
        <w:t>&lt;ESMA_COMMENT_</w:t>
      </w:r>
      <w:r w:rsidR="007243F1">
        <w:rPr>
          <w:rFonts w:cs="Arial"/>
        </w:rPr>
        <w:t>GRF</w:t>
      </w:r>
      <w:r w:rsidR="000A58BE">
        <w:t>_</w:t>
      </w:r>
      <w:r w:rsidR="00B327E9" w:rsidRPr="00BF28DA">
        <w:t>1&gt;</w:t>
      </w:r>
    </w:p>
    <w:p w14:paraId="2CAD9F8B" w14:textId="77777777" w:rsidR="002E7113" w:rsidRDefault="002E7113" w:rsidP="002E7113">
      <w:pPr>
        <w:pStyle w:val="berschrift1"/>
        <w:numPr>
          <w:ilvl w:val="0"/>
          <w:numId w:val="0"/>
        </w:numPr>
      </w:pPr>
    </w:p>
    <w:p w14:paraId="2CAD9F8C" w14:textId="77777777" w:rsidR="00F31E57" w:rsidRPr="00BF28DA" w:rsidRDefault="00F31E57" w:rsidP="00D34282"/>
    <w:p w14:paraId="2CAD9F8D" w14:textId="77777777" w:rsidR="00AF38AF" w:rsidRDefault="00F31E57" w:rsidP="00AF38AF">
      <w:pPr>
        <w:rPr>
          <w:rFonts w:cs="Arial"/>
          <w:sz w:val="18"/>
          <w:szCs w:val="18"/>
        </w:rPr>
      </w:pPr>
      <w:r w:rsidRPr="0075015C">
        <w:br w:type="page"/>
      </w:r>
    </w:p>
    <w:p w14:paraId="2CAD9F8E" w14:textId="77777777" w:rsidR="00170D44" w:rsidRDefault="00170D44" w:rsidP="00170D44">
      <w:pPr>
        <w:rPr>
          <w:b/>
        </w:rPr>
      </w:pPr>
    </w:p>
    <w:p w14:paraId="2CAD9F8F" w14:textId="77777777" w:rsidR="00CC38E9" w:rsidRDefault="00CC38E9" w:rsidP="00170D44">
      <w:pPr>
        <w:rPr>
          <w:b/>
        </w:rPr>
      </w:pPr>
    </w:p>
    <w:p w14:paraId="2CAD9F90" w14:textId="77777777" w:rsidR="007243F1" w:rsidRDefault="007243F1" w:rsidP="00170D44">
      <w:pPr>
        <w:rPr>
          <w:b/>
        </w:rPr>
      </w:pPr>
    </w:p>
    <w:p w14:paraId="2CAD9F91" w14:textId="77777777" w:rsidR="007243F1" w:rsidRPr="005B1CA9" w:rsidRDefault="007243F1" w:rsidP="007243F1">
      <w:pPr>
        <w:rPr>
          <w:i/>
        </w:rPr>
      </w:pPr>
      <w:r w:rsidRPr="005B1CA9">
        <w:rPr>
          <w:i/>
        </w:rPr>
        <w:t>Specificity</w:t>
      </w:r>
    </w:p>
    <w:p w14:paraId="2CAD9F92"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specificity? If not, please provide your reasoning. </w:t>
      </w:r>
    </w:p>
    <w:p w14:paraId="2CAD9F93" w14:textId="77777777" w:rsidR="00EE53D1" w:rsidRDefault="00EE53D1" w:rsidP="00EE53D1">
      <w:pPr>
        <w:rPr>
          <w:rFonts w:cs="Arial"/>
        </w:rPr>
      </w:pPr>
      <w:r>
        <w:rPr>
          <w:rFonts w:cs="Arial"/>
        </w:rPr>
        <w:t>&lt;ESMA_QUESTION_GRF_1&gt;</w:t>
      </w:r>
    </w:p>
    <w:p w14:paraId="2CAD9F94" w14:textId="77777777" w:rsidR="00C06EE4" w:rsidRPr="00336099" w:rsidRDefault="00F357C9" w:rsidP="00206545">
      <w:pPr>
        <w:jc w:val="both"/>
        <w:rPr>
          <w:rFonts w:cs="Arial"/>
        </w:rPr>
      </w:pPr>
      <w:permStart w:id="1874791263" w:edGrp="everyone"/>
      <w:r>
        <w:rPr>
          <w:rFonts w:cs="Arial"/>
        </w:rPr>
        <w:t xml:space="preserve">The DDV is grateful for this clarification by ESMA and agrees that, in principle, a requirement for greater specificity of </w:t>
      </w:r>
      <w:r w:rsidR="000D4D24">
        <w:rPr>
          <w:rFonts w:cs="Arial"/>
        </w:rPr>
        <w:t xml:space="preserve">the </w:t>
      </w:r>
      <w:r>
        <w:rPr>
          <w:rFonts w:cs="Arial"/>
        </w:rPr>
        <w:t xml:space="preserve">risk factors </w:t>
      </w:r>
      <w:r w:rsidR="000D4D24">
        <w:rPr>
          <w:rFonts w:cs="Arial"/>
        </w:rPr>
        <w:t xml:space="preserve">included in (base) prospectuses </w:t>
      </w:r>
      <w:r>
        <w:rPr>
          <w:rFonts w:cs="Arial"/>
        </w:rPr>
        <w:t xml:space="preserve">would benefit investors and make </w:t>
      </w:r>
      <w:r w:rsidR="000D4D24">
        <w:rPr>
          <w:rFonts w:cs="Arial"/>
        </w:rPr>
        <w:t xml:space="preserve">(base) </w:t>
      </w:r>
      <w:r w:rsidRPr="00336099">
        <w:rPr>
          <w:rFonts w:cs="Arial"/>
        </w:rPr>
        <w:t xml:space="preserve">prospectuses easier to </w:t>
      </w:r>
      <w:r w:rsidR="000D4D24" w:rsidRPr="00336099">
        <w:rPr>
          <w:rFonts w:cs="Arial"/>
        </w:rPr>
        <w:t>"digest"</w:t>
      </w:r>
      <w:r w:rsidRPr="00336099">
        <w:rPr>
          <w:rFonts w:cs="Arial"/>
        </w:rPr>
        <w:t>. Further, the DDV notes that this approach accords with BaFin's current administrative practice</w:t>
      </w:r>
      <w:r w:rsidR="000D4D24" w:rsidRPr="00336099">
        <w:rPr>
          <w:rFonts w:cs="Arial"/>
        </w:rPr>
        <w:t xml:space="preserve"> and expects that, as a general rule, compliance should not prove too cumbersome or expensive</w:t>
      </w:r>
      <w:r w:rsidRPr="00336099">
        <w:rPr>
          <w:rFonts w:cs="Arial"/>
        </w:rPr>
        <w:t>.</w:t>
      </w:r>
    </w:p>
    <w:p w14:paraId="2CAD9F95" w14:textId="77777777" w:rsidR="00C06EE4" w:rsidRPr="00336099" w:rsidRDefault="00C06EE4" w:rsidP="00206545">
      <w:pPr>
        <w:jc w:val="both"/>
        <w:rPr>
          <w:rFonts w:cs="Arial"/>
        </w:rPr>
      </w:pPr>
    </w:p>
    <w:p w14:paraId="2CAD9F96" w14:textId="02996AD1" w:rsidR="00F357C9" w:rsidRPr="00336099" w:rsidRDefault="00F357C9" w:rsidP="00206545">
      <w:pPr>
        <w:jc w:val="both"/>
        <w:rPr>
          <w:rFonts w:cs="Arial"/>
        </w:rPr>
      </w:pPr>
      <w:r w:rsidRPr="00336099">
        <w:rPr>
          <w:rFonts w:cs="Arial"/>
        </w:rPr>
        <w:t xml:space="preserve">However, the DDV also wishes to make </w:t>
      </w:r>
      <w:r w:rsidR="004A7D44" w:rsidRPr="004A7D44">
        <w:rPr>
          <w:rFonts w:cs="Arial"/>
        </w:rPr>
        <w:t>two</w:t>
      </w:r>
      <w:r w:rsidRPr="00336099">
        <w:rPr>
          <w:rFonts w:cs="Arial"/>
        </w:rPr>
        <w:t xml:space="preserve"> </w:t>
      </w:r>
      <w:r w:rsidR="000D4D24" w:rsidRPr="00336099">
        <w:rPr>
          <w:rFonts w:cs="Arial"/>
        </w:rPr>
        <w:t xml:space="preserve">important </w:t>
      </w:r>
      <w:r w:rsidRPr="00336099">
        <w:rPr>
          <w:rFonts w:cs="Arial"/>
        </w:rPr>
        <w:t>practical observations</w:t>
      </w:r>
      <w:r w:rsidR="000D4D24" w:rsidRPr="00336099">
        <w:rPr>
          <w:rFonts w:cs="Arial"/>
        </w:rPr>
        <w:t xml:space="preserve"> – and should be grateful if ESMA would </w:t>
      </w:r>
      <w:r w:rsidR="00206545" w:rsidRPr="00336099">
        <w:rPr>
          <w:rFonts w:cs="Arial"/>
        </w:rPr>
        <w:t>amend</w:t>
      </w:r>
      <w:r w:rsidR="000D4D24" w:rsidRPr="00336099">
        <w:rPr>
          <w:rFonts w:cs="Arial"/>
        </w:rPr>
        <w:t xml:space="preserve"> its guidelines accordingly</w:t>
      </w:r>
      <w:r w:rsidRPr="00336099">
        <w:rPr>
          <w:rFonts w:cs="Arial"/>
        </w:rPr>
        <w:t>.</w:t>
      </w:r>
    </w:p>
    <w:p w14:paraId="2CAD9F97" w14:textId="77777777" w:rsidR="00F357C9" w:rsidRPr="00336099" w:rsidRDefault="00F357C9" w:rsidP="00206545">
      <w:pPr>
        <w:jc w:val="both"/>
        <w:rPr>
          <w:rFonts w:cs="Arial"/>
        </w:rPr>
      </w:pPr>
    </w:p>
    <w:p w14:paraId="2CAD9F98" w14:textId="15111F5E" w:rsidR="00651B44" w:rsidRPr="007400B3" w:rsidRDefault="00F357C9" w:rsidP="00206545">
      <w:pPr>
        <w:jc w:val="both"/>
        <w:rPr>
          <w:rFonts w:cs="Arial"/>
        </w:rPr>
      </w:pPr>
      <w:r w:rsidRPr="007400B3">
        <w:rPr>
          <w:rFonts w:cs="Arial"/>
        </w:rPr>
        <w:t xml:space="preserve">First, non-SPV issuers which regularly issue debt securities under a number of (base) prospectuses frequently (i) prepare standalone registration documents containing information about the relevant issuer which is, to a large extent, extracted from such issuer's audited or unaudited financial statements and/or (ii) update the relevant (base) prospectuses with information extracted from such financial statements. Such </w:t>
      </w:r>
      <w:r w:rsidR="00FD5EFB" w:rsidRPr="007400B3">
        <w:rPr>
          <w:rFonts w:cs="Arial"/>
        </w:rPr>
        <w:t xml:space="preserve">issuer-specific risk </w:t>
      </w:r>
      <w:r w:rsidR="00134B6B" w:rsidRPr="007400B3">
        <w:rPr>
          <w:rFonts w:cs="Arial"/>
        </w:rPr>
        <w:t xml:space="preserve">information </w:t>
      </w:r>
      <w:r w:rsidR="00022B19" w:rsidRPr="007400B3">
        <w:rPr>
          <w:rFonts w:cs="Arial"/>
        </w:rPr>
        <w:t>(</w:t>
      </w:r>
      <w:r w:rsidR="00084B7B" w:rsidRPr="007400B3">
        <w:rPr>
          <w:rFonts w:cs="Arial"/>
        </w:rPr>
        <w:t xml:space="preserve">extracted from such </w:t>
      </w:r>
      <w:r w:rsidR="00022B19" w:rsidRPr="007400B3">
        <w:rPr>
          <w:rFonts w:cs="Arial"/>
        </w:rPr>
        <w:t xml:space="preserve">in financial statements) </w:t>
      </w:r>
      <w:r w:rsidR="00134B6B" w:rsidRPr="007400B3">
        <w:rPr>
          <w:rFonts w:cs="Arial"/>
        </w:rPr>
        <w:t>is</w:t>
      </w:r>
      <w:r w:rsidRPr="007400B3">
        <w:rPr>
          <w:rFonts w:cs="Arial"/>
        </w:rPr>
        <w:t xml:space="preserve"> </w:t>
      </w:r>
      <w:r w:rsidR="000D4D24" w:rsidRPr="007400B3">
        <w:rPr>
          <w:rFonts w:cs="Arial"/>
        </w:rPr>
        <w:t>often</w:t>
      </w:r>
      <w:r w:rsidRPr="007400B3">
        <w:rPr>
          <w:rFonts w:cs="Arial"/>
        </w:rPr>
        <w:t xml:space="preserve"> detailed</w:t>
      </w:r>
      <w:r w:rsidR="00651B44" w:rsidRPr="007400B3">
        <w:rPr>
          <w:rFonts w:cs="Arial"/>
        </w:rPr>
        <w:t xml:space="preserve">, but should not be viewed as </w:t>
      </w:r>
      <w:r w:rsidR="00DC4AE1" w:rsidRPr="007400B3">
        <w:rPr>
          <w:rFonts w:cs="Arial"/>
        </w:rPr>
        <w:t>"boiler-plate"</w:t>
      </w:r>
      <w:r w:rsidR="00651B44" w:rsidRPr="007400B3">
        <w:rPr>
          <w:rFonts w:cs="Arial"/>
        </w:rPr>
        <w:t>, because it complies with the disclosure requirements of various regulatory and/or auditing regimes</w:t>
      </w:r>
      <w:r w:rsidR="00DC4AE1" w:rsidRPr="007400B3">
        <w:rPr>
          <w:rFonts w:cs="Arial"/>
        </w:rPr>
        <w:t>.</w:t>
      </w:r>
    </w:p>
    <w:p w14:paraId="2CAD9F99" w14:textId="77777777" w:rsidR="00651B44" w:rsidRPr="007400B3" w:rsidRDefault="00651B44" w:rsidP="00206545">
      <w:pPr>
        <w:jc w:val="both"/>
        <w:rPr>
          <w:rFonts w:cs="Arial"/>
        </w:rPr>
      </w:pPr>
    </w:p>
    <w:p w14:paraId="2CAD9F9A" w14:textId="77777777" w:rsidR="000D4D24" w:rsidRPr="00336099" w:rsidRDefault="00651B44" w:rsidP="00206545">
      <w:pPr>
        <w:jc w:val="both"/>
        <w:rPr>
          <w:rFonts w:cs="Arial"/>
        </w:rPr>
      </w:pPr>
      <w:r w:rsidRPr="00336099">
        <w:rPr>
          <w:rFonts w:cs="Arial"/>
        </w:rPr>
        <w:t>The DDV acknowledges that, a</w:t>
      </w:r>
      <w:r w:rsidR="00F357C9" w:rsidRPr="00336099">
        <w:rPr>
          <w:rFonts w:cs="Arial"/>
        </w:rPr>
        <w:t>lthough relevant in the context of equity securities</w:t>
      </w:r>
      <w:r w:rsidR="00DC4AE1" w:rsidRPr="00336099">
        <w:rPr>
          <w:rFonts w:cs="Arial"/>
        </w:rPr>
        <w:t xml:space="preserve"> (and even aimed at</w:t>
      </w:r>
      <w:r w:rsidR="00206545" w:rsidRPr="00336099">
        <w:rPr>
          <w:rFonts w:cs="Arial"/>
        </w:rPr>
        <w:t xml:space="preserve"> the</w:t>
      </w:r>
      <w:r w:rsidR="00DC4AE1" w:rsidRPr="00336099">
        <w:rPr>
          <w:rFonts w:cs="Arial"/>
        </w:rPr>
        <w:t xml:space="preserve"> shareholders</w:t>
      </w:r>
      <w:r w:rsidR="00206545" w:rsidRPr="00336099">
        <w:rPr>
          <w:rFonts w:cs="Arial"/>
        </w:rPr>
        <w:t xml:space="preserve"> of the relevant issuer</w:t>
      </w:r>
      <w:r w:rsidR="00DC4AE1" w:rsidRPr="00336099">
        <w:rPr>
          <w:rFonts w:cs="Arial"/>
        </w:rPr>
        <w:t>)</w:t>
      </w:r>
      <w:r w:rsidR="00F357C9" w:rsidRPr="00336099">
        <w:rPr>
          <w:rFonts w:cs="Arial"/>
        </w:rPr>
        <w:t xml:space="preserve">, </w:t>
      </w:r>
      <w:r w:rsidRPr="00336099">
        <w:rPr>
          <w:rFonts w:cs="Arial"/>
        </w:rPr>
        <w:t>such information</w:t>
      </w:r>
      <w:r w:rsidR="00DC4AE1" w:rsidRPr="00336099">
        <w:rPr>
          <w:rFonts w:cs="Arial"/>
        </w:rPr>
        <w:t xml:space="preserve"> </w:t>
      </w:r>
      <w:r w:rsidR="00F357C9" w:rsidRPr="00336099">
        <w:rPr>
          <w:rFonts w:cs="Arial"/>
        </w:rPr>
        <w:t>may be less relevant in the context of debt securities</w:t>
      </w:r>
      <w:r w:rsidR="00206545" w:rsidRPr="00336099">
        <w:rPr>
          <w:rFonts w:cs="Arial"/>
        </w:rPr>
        <w:t xml:space="preserve"> by the relevant issuer</w:t>
      </w:r>
      <w:r w:rsidR="00F357C9" w:rsidRPr="00336099">
        <w:rPr>
          <w:rFonts w:cs="Arial"/>
        </w:rPr>
        <w:t xml:space="preserve">, especially structured debt securities referencing an underlying. </w:t>
      </w:r>
      <w:r w:rsidRPr="00336099">
        <w:rPr>
          <w:rFonts w:cs="Arial"/>
        </w:rPr>
        <w:t xml:space="preserve">Instead, </w:t>
      </w:r>
      <w:r w:rsidR="00DC4AE1" w:rsidRPr="00336099">
        <w:rPr>
          <w:rFonts w:cs="Arial"/>
        </w:rPr>
        <w:t>in many instances, the information required by investors in debt securities is fairly high-level information on the structure, business activities and financial health of the relevant issuer.</w:t>
      </w:r>
    </w:p>
    <w:p w14:paraId="2CAD9F9B" w14:textId="77777777" w:rsidR="000D4D24" w:rsidRPr="00336099" w:rsidRDefault="000D4D24" w:rsidP="00206545">
      <w:pPr>
        <w:jc w:val="both"/>
        <w:rPr>
          <w:rFonts w:cs="Arial"/>
        </w:rPr>
      </w:pPr>
    </w:p>
    <w:p w14:paraId="2CAD9F9C" w14:textId="3EA8AF22" w:rsidR="00F357C9" w:rsidRPr="007400B3" w:rsidRDefault="00316275" w:rsidP="00206545">
      <w:pPr>
        <w:jc w:val="both"/>
        <w:rPr>
          <w:rFonts w:cs="Arial"/>
        </w:rPr>
      </w:pPr>
      <w:r w:rsidRPr="007400B3">
        <w:rPr>
          <w:rFonts w:cs="Arial"/>
        </w:rPr>
        <w:t>However</w:t>
      </w:r>
      <w:r w:rsidRPr="007400B3">
        <w:rPr>
          <w:rFonts w:cs="Arial"/>
        </w:rPr>
        <w:t>, it is important to consider that risk information extracted from financial statements are generally to be considered specific and material. Otherwise they would not be included in financial statements in the first place. Any issuer-specific risk information contained in financial statements concretises issuer risk.</w:t>
      </w:r>
      <w:r w:rsidRPr="007400B3">
        <w:rPr>
          <w:rFonts w:cs="Arial"/>
        </w:rPr>
        <w:t xml:space="preserve"> </w:t>
      </w:r>
      <w:r w:rsidR="00F357C9" w:rsidRPr="007400B3">
        <w:rPr>
          <w:rFonts w:cs="Arial"/>
        </w:rPr>
        <w:t xml:space="preserve">Although </w:t>
      </w:r>
      <w:r w:rsidR="00DC4AE1" w:rsidRPr="007400B3">
        <w:rPr>
          <w:rFonts w:cs="Arial"/>
        </w:rPr>
        <w:t xml:space="preserve">the </w:t>
      </w:r>
      <w:r w:rsidR="005A6A20" w:rsidRPr="007400B3">
        <w:rPr>
          <w:rFonts w:cs="Arial"/>
        </w:rPr>
        <w:t xml:space="preserve">issuer-specific risk </w:t>
      </w:r>
      <w:r w:rsidR="00DC4AE1" w:rsidRPr="007400B3">
        <w:rPr>
          <w:rFonts w:cs="Arial"/>
        </w:rPr>
        <w:t>information contained in financial statements</w:t>
      </w:r>
      <w:r w:rsidR="00206545" w:rsidRPr="007400B3">
        <w:rPr>
          <w:rFonts w:cs="Arial"/>
        </w:rPr>
        <w:t xml:space="preserve"> could be</w:t>
      </w:r>
      <w:r w:rsidR="00F357C9" w:rsidRPr="007400B3">
        <w:rPr>
          <w:rFonts w:cs="Arial"/>
        </w:rPr>
        <w:t xml:space="preserve">, </w:t>
      </w:r>
      <w:r w:rsidR="00DC4AE1" w:rsidRPr="007400B3">
        <w:rPr>
          <w:rFonts w:cs="Arial"/>
        </w:rPr>
        <w:t xml:space="preserve">in </w:t>
      </w:r>
      <w:r w:rsidR="00F357C9" w:rsidRPr="007400B3">
        <w:rPr>
          <w:rFonts w:cs="Arial"/>
        </w:rPr>
        <w:t>theor</w:t>
      </w:r>
      <w:r w:rsidR="00DC4AE1" w:rsidRPr="007400B3">
        <w:rPr>
          <w:rFonts w:cs="Arial"/>
        </w:rPr>
        <w:t>y</w:t>
      </w:r>
      <w:r w:rsidR="00F357C9" w:rsidRPr="007400B3">
        <w:rPr>
          <w:rFonts w:cs="Arial"/>
        </w:rPr>
        <w:t xml:space="preserve">, reviewed and pared </w:t>
      </w:r>
      <w:r w:rsidR="00DC4AE1" w:rsidRPr="007400B3">
        <w:rPr>
          <w:rFonts w:cs="Arial"/>
        </w:rPr>
        <w:t xml:space="preserve">down in the context of inclusion/incorporation in </w:t>
      </w:r>
      <w:r w:rsidR="00206545" w:rsidRPr="007400B3">
        <w:rPr>
          <w:rFonts w:cs="Arial"/>
        </w:rPr>
        <w:t xml:space="preserve">an </w:t>
      </w:r>
      <w:r w:rsidR="00DC4AE1" w:rsidRPr="007400B3">
        <w:rPr>
          <w:rFonts w:cs="Arial"/>
        </w:rPr>
        <w:t>individual (base) prospectus for the issuance of debt securities, in practice such review and/or editing is likely to be quite costly and time consuming</w:t>
      </w:r>
      <w:r w:rsidR="005A1F2A" w:rsidRPr="007400B3">
        <w:rPr>
          <w:rFonts w:cs="Arial"/>
        </w:rPr>
        <w:t xml:space="preserve"> (please see the DDV's resp</w:t>
      </w:r>
      <w:r w:rsidRPr="007400B3">
        <w:rPr>
          <w:rFonts w:cs="Arial"/>
        </w:rPr>
        <w:t xml:space="preserve">onse to q.11 below). Recognising that the information is still </w:t>
      </w:r>
      <w:r w:rsidR="0019609A">
        <w:rPr>
          <w:rFonts w:cs="Arial"/>
        </w:rPr>
        <w:t xml:space="preserve">to </w:t>
      </w:r>
      <w:r w:rsidRPr="007400B3">
        <w:rPr>
          <w:rFonts w:cs="Arial"/>
        </w:rPr>
        <w:t xml:space="preserve">be considered specific as well as material, this editorial reduction would not be proportional. </w:t>
      </w:r>
      <w:r w:rsidR="00DC4AE1" w:rsidRPr="007400B3">
        <w:rPr>
          <w:rFonts w:cs="Arial"/>
        </w:rPr>
        <w:t xml:space="preserve">Further and in addition, it would run contrary to market practice of using a single registration document for multiple (base) prospectuses – </w:t>
      </w:r>
      <w:r w:rsidR="00206545" w:rsidRPr="007400B3">
        <w:rPr>
          <w:rFonts w:cs="Arial"/>
        </w:rPr>
        <w:t xml:space="preserve">since the issuer-specific risk factors contained in such single registration document may not be deemed specific enough for all (base) prospectuses of such issuer – </w:t>
      </w:r>
      <w:r w:rsidR="00DC4AE1" w:rsidRPr="007400B3">
        <w:rPr>
          <w:rFonts w:cs="Arial"/>
        </w:rPr>
        <w:t>and</w:t>
      </w:r>
      <w:r w:rsidR="00206545" w:rsidRPr="007400B3">
        <w:rPr>
          <w:rFonts w:cs="Arial"/>
        </w:rPr>
        <w:t xml:space="preserve"> </w:t>
      </w:r>
      <w:r w:rsidR="00DC4AE1" w:rsidRPr="007400B3">
        <w:rPr>
          <w:rFonts w:cs="Arial"/>
        </w:rPr>
        <w:t xml:space="preserve">would therefore unduly penalise </w:t>
      </w:r>
      <w:r w:rsidR="00206545" w:rsidRPr="007400B3">
        <w:rPr>
          <w:rFonts w:cs="Arial"/>
        </w:rPr>
        <w:t>the</w:t>
      </w:r>
      <w:r w:rsidR="00DC4AE1" w:rsidRPr="007400B3">
        <w:rPr>
          <w:rFonts w:cs="Arial"/>
        </w:rPr>
        <w:t xml:space="preserve"> issuers </w:t>
      </w:r>
      <w:r w:rsidR="00206545" w:rsidRPr="007400B3">
        <w:rPr>
          <w:rFonts w:cs="Arial"/>
        </w:rPr>
        <w:t xml:space="preserve">of multiple </w:t>
      </w:r>
      <w:r w:rsidR="00110DCF" w:rsidRPr="007400B3">
        <w:rPr>
          <w:rFonts w:cs="Arial"/>
        </w:rPr>
        <w:t xml:space="preserve">products </w:t>
      </w:r>
      <w:r w:rsidR="00DC4AE1" w:rsidRPr="007400B3">
        <w:rPr>
          <w:rFonts w:cs="Arial"/>
        </w:rPr>
        <w:t xml:space="preserve">without adding much </w:t>
      </w:r>
      <w:r w:rsidR="00206545" w:rsidRPr="007400B3">
        <w:rPr>
          <w:rFonts w:cs="Arial"/>
        </w:rPr>
        <w:t xml:space="preserve">protective </w:t>
      </w:r>
      <w:r w:rsidR="00DC4AE1" w:rsidRPr="007400B3">
        <w:rPr>
          <w:rFonts w:cs="Arial"/>
        </w:rPr>
        <w:t>value for investors.</w:t>
      </w:r>
    </w:p>
    <w:p w14:paraId="2CAD9F9D" w14:textId="77777777" w:rsidR="00F357C9" w:rsidRPr="007400B3" w:rsidRDefault="00F357C9" w:rsidP="00206545">
      <w:pPr>
        <w:jc w:val="both"/>
        <w:rPr>
          <w:rFonts w:cs="Arial"/>
        </w:rPr>
      </w:pPr>
    </w:p>
    <w:p w14:paraId="7DED29CE" w14:textId="097645EC" w:rsidR="00AE1F38" w:rsidRPr="007400B3" w:rsidRDefault="004A7D44" w:rsidP="00206545">
      <w:pPr>
        <w:jc w:val="both"/>
        <w:rPr>
          <w:rFonts w:cs="Arial"/>
        </w:rPr>
      </w:pPr>
      <w:r w:rsidRPr="007400B3">
        <w:rPr>
          <w:rFonts w:cs="Arial"/>
        </w:rPr>
        <w:t>Secondly</w:t>
      </w:r>
      <w:r w:rsidR="00AE1F38" w:rsidRPr="007400B3">
        <w:rPr>
          <w:rFonts w:cs="Arial"/>
        </w:rPr>
        <w:t xml:space="preserve">, with respect to </w:t>
      </w:r>
      <w:r w:rsidR="009715B6" w:rsidRPr="007400B3">
        <w:rPr>
          <w:rFonts w:cs="Arial"/>
        </w:rPr>
        <w:t>A</w:t>
      </w:r>
      <w:r w:rsidR="00AE1F38" w:rsidRPr="007400B3">
        <w:rPr>
          <w:rFonts w:cs="Arial"/>
        </w:rPr>
        <w:t xml:space="preserve">rticle 16 (3) of the Prospectus </w:t>
      </w:r>
      <w:r w:rsidR="003F2ED5" w:rsidRPr="007400B3">
        <w:rPr>
          <w:rFonts w:cs="Arial"/>
        </w:rPr>
        <w:t>Regulation</w:t>
      </w:r>
      <w:r w:rsidR="00AE1F38" w:rsidRPr="007400B3">
        <w:rPr>
          <w:rFonts w:cs="Arial"/>
        </w:rPr>
        <w:t xml:space="preserve">, it has been observed that, where a guarantee is attached to the securities, in practice national competent authorities have a heterogeneous view as to the form and content of guarantor related risk disclosure. This is particularly true when the guarantor acts as such for securities issued under base prospectuses approved by different national competent authorities (which is typically the case when securities are issued by SPVs in different countries). ESMA should clarify that the disclosure of guarantor related risks – as far as the nature of the securities and the nature of the guarantee are comparable – should not be subject to individual discussions in the approval process between an SPV and its national competent authority. As a rule the risk factors relating to the guarantor are set out in the guarantor’s registration document which is either filed with or approved by a national competent authority. Other national competent authorities should accept the form and content of risk disclosure once it has been filed with or approved by the guarantor’s national competent authority. If guarantor related risks are different in form and content in different base prospectuses it does not only lead </w:t>
      </w:r>
      <w:r w:rsidR="00AE1F38" w:rsidRPr="007400B3">
        <w:rPr>
          <w:rFonts w:cs="Arial"/>
        </w:rPr>
        <w:lastRenderedPageBreak/>
        <w:t>to deviations from the guarantor’s registration document. It also means that investors in different countries are facing different risk disclosures even though risks and how their realisation affects the guarantor’s ability to fulfil its obligations are basically the same.</w:t>
      </w:r>
      <w:r w:rsidR="002846A6" w:rsidRPr="007400B3">
        <w:rPr>
          <w:rFonts w:cs="Arial"/>
        </w:rPr>
        <w:t xml:space="preserve"> </w:t>
      </w:r>
    </w:p>
    <w:permEnd w:id="1874791263"/>
    <w:p w14:paraId="2CAD9F9F" w14:textId="77777777" w:rsidR="00EE53D1" w:rsidRDefault="00EE53D1" w:rsidP="00EE53D1">
      <w:pPr>
        <w:rPr>
          <w:rFonts w:cs="Arial"/>
        </w:rPr>
      </w:pPr>
      <w:r>
        <w:rPr>
          <w:rFonts w:cs="Arial"/>
        </w:rPr>
        <w:t>&lt;ESMA_QUESTION_GRF_1&gt;</w:t>
      </w:r>
    </w:p>
    <w:p w14:paraId="2CAD9FA0" w14:textId="77777777" w:rsidR="007243F1" w:rsidRPr="007243F1" w:rsidRDefault="007243F1" w:rsidP="007243F1">
      <w:pPr>
        <w:rPr>
          <w:b/>
        </w:rPr>
      </w:pPr>
    </w:p>
    <w:p w14:paraId="2CAD9FA1" w14:textId="77777777" w:rsidR="007243F1" w:rsidRDefault="007243F1" w:rsidP="007243F1">
      <w:pPr>
        <w:rPr>
          <w:i/>
        </w:rPr>
      </w:pPr>
      <w:r>
        <w:rPr>
          <w:i/>
        </w:rPr>
        <w:t>Materiality</w:t>
      </w:r>
    </w:p>
    <w:p w14:paraId="2CAD9FA2"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3? If not, please provide your reasoning.</w:t>
      </w:r>
    </w:p>
    <w:p w14:paraId="2CAD9FA3" w14:textId="77777777" w:rsidR="00EE53D1" w:rsidRDefault="00EE53D1" w:rsidP="00EE53D1">
      <w:pPr>
        <w:rPr>
          <w:rFonts w:cs="Arial"/>
        </w:rPr>
      </w:pPr>
      <w:r>
        <w:rPr>
          <w:rFonts w:cs="Arial"/>
        </w:rPr>
        <w:t>&lt;ESMA_QUESTION_GRF_2&gt;</w:t>
      </w:r>
    </w:p>
    <w:p w14:paraId="48C58598" w14:textId="77777777" w:rsidR="00CD73B3" w:rsidRDefault="000D4D24" w:rsidP="00206545">
      <w:pPr>
        <w:jc w:val="both"/>
        <w:rPr>
          <w:rFonts w:cs="Arial"/>
        </w:rPr>
      </w:pPr>
      <w:permStart w:id="1757492930" w:edGrp="everyone"/>
      <w:r>
        <w:rPr>
          <w:rFonts w:cs="Arial"/>
        </w:rPr>
        <w:t>Although the DDV welcomes and agrees in principle with the suggestion that only material risk factors should be included</w:t>
      </w:r>
      <w:r w:rsidR="00E916B3">
        <w:rPr>
          <w:rFonts w:cs="Arial"/>
        </w:rPr>
        <w:t xml:space="preserve"> in (base) prospectuses</w:t>
      </w:r>
      <w:r>
        <w:rPr>
          <w:rFonts w:cs="Arial"/>
        </w:rPr>
        <w:t>, the DDV is concerned that the proposed guideline leaves room for (potentially significant) discrepancies in terms of the risk factor</w:t>
      </w:r>
      <w:r w:rsidR="00343052">
        <w:rPr>
          <w:rFonts w:cs="Arial"/>
        </w:rPr>
        <w:t xml:space="preserve">s disclosed in (base) prospectuses approved in </w:t>
      </w:r>
      <w:r>
        <w:rPr>
          <w:rFonts w:cs="Arial"/>
        </w:rPr>
        <w:t xml:space="preserve">different EU </w:t>
      </w:r>
      <w:r w:rsidR="00E916B3">
        <w:rPr>
          <w:rFonts w:cs="Arial"/>
        </w:rPr>
        <w:t>M</w:t>
      </w:r>
      <w:r>
        <w:rPr>
          <w:rFonts w:cs="Arial"/>
        </w:rPr>
        <w:t xml:space="preserve">ember </w:t>
      </w:r>
      <w:r w:rsidR="00E916B3">
        <w:rPr>
          <w:rFonts w:cs="Arial"/>
        </w:rPr>
        <w:t>S</w:t>
      </w:r>
      <w:r>
        <w:rPr>
          <w:rFonts w:cs="Arial"/>
        </w:rPr>
        <w:t>tates.</w:t>
      </w:r>
      <w:r w:rsidR="000D0062">
        <w:rPr>
          <w:rFonts w:cs="Arial"/>
        </w:rPr>
        <w:t xml:space="preserve"> </w:t>
      </w:r>
    </w:p>
    <w:p w14:paraId="7DA3CA1A" w14:textId="77777777" w:rsidR="00CD73B3" w:rsidRDefault="00CD73B3" w:rsidP="00206545">
      <w:pPr>
        <w:jc w:val="both"/>
        <w:rPr>
          <w:rFonts w:cs="Arial"/>
        </w:rPr>
      </w:pPr>
    </w:p>
    <w:p w14:paraId="16E5F11E" w14:textId="79BD3D30" w:rsidR="00FD071A" w:rsidRPr="002A1831" w:rsidRDefault="000D4D24" w:rsidP="00206545">
      <w:pPr>
        <w:jc w:val="both"/>
        <w:rPr>
          <w:rFonts w:cs="Arial"/>
        </w:rPr>
      </w:pPr>
      <w:r>
        <w:rPr>
          <w:rFonts w:cs="Arial"/>
        </w:rPr>
        <w:t xml:space="preserve">In particular, the DDV understands the draft guideline </w:t>
      </w:r>
      <w:r w:rsidR="00343052">
        <w:rPr>
          <w:rFonts w:cs="Arial"/>
        </w:rPr>
        <w:t xml:space="preserve">3 </w:t>
      </w:r>
      <w:r>
        <w:rPr>
          <w:rFonts w:cs="Arial"/>
        </w:rPr>
        <w:t xml:space="preserve">as suggesting that it would be open to individual </w:t>
      </w:r>
      <w:r w:rsidR="00343052">
        <w:rPr>
          <w:rFonts w:cs="Arial"/>
        </w:rPr>
        <w:t xml:space="preserve">national </w:t>
      </w:r>
      <w:r>
        <w:rPr>
          <w:rFonts w:cs="Arial"/>
        </w:rPr>
        <w:t xml:space="preserve">competent authorities to determine what constitutes </w:t>
      </w:r>
      <w:r w:rsidR="00E916B3">
        <w:rPr>
          <w:rFonts w:cs="Arial"/>
        </w:rPr>
        <w:t xml:space="preserve">a "material" risk factor. </w:t>
      </w:r>
      <w:r w:rsidR="00FD071A" w:rsidRPr="002A1831">
        <w:rPr>
          <w:rFonts w:cs="Arial"/>
        </w:rPr>
        <w:t xml:space="preserve">In </w:t>
      </w:r>
      <w:r w:rsidR="00C010BF" w:rsidRPr="002A1831">
        <w:rPr>
          <w:rFonts w:cs="Arial"/>
        </w:rPr>
        <w:t>fact</w:t>
      </w:r>
      <w:r w:rsidR="00FD071A" w:rsidRPr="002A1831">
        <w:rPr>
          <w:rFonts w:cs="Arial"/>
        </w:rPr>
        <w:t xml:space="preserve">, however, it is </w:t>
      </w:r>
      <w:r w:rsidR="00C010BF" w:rsidRPr="002A1831">
        <w:rPr>
          <w:rFonts w:cs="Arial"/>
        </w:rPr>
        <w:t xml:space="preserve">in the DDV's view (only) </w:t>
      </w:r>
      <w:r w:rsidR="00FD071A" w:rsidRPr="002A1831">
        <w:rPr>
          <w:rFonts w:cs="Arial"/>
        </w:rPr>
        <w:t xml:space="preserve">the issuer itself – and not a national competent authority – </w:t>
      </w:r>
      <w:r w:rsidR="00C010BF" w:rsidRPr="002A1831">
        <w:rPr>
          <w:rFonts w:cs="Arial"/>
        </w:rPr>
        <w:t>that is</w:t>
      </w:r>
      <w:r w:rsidR="00FD071A" w:rsidRPr="002A1831">
        <w:rPr>
          <w:rFonts w:cs="Arial"/>
        </w:rPr>
        <w:t xml:space="preserve"> best placed to assess and should determine what constitutes a "material" risk in respect of the relevant products</w:t>
      </w:r>
      <w:r w:rsidR="00C010BF" w:rsidRPr="002A1831">
        <w:rPr>
          <w:rFonts w:cs="Arial"/>
        </w:rPr>
        <w:t xml:space="preserve">. </w:t>
      </w:r>
      <w:r w:rsidR="00F47CF5" w:rsidRPr="002A1831">
        <w:rPr>
          <w:rFonts w:cs="Arial"/>
        </w:rPr>
        <w:t>Leaving this determination with an issuer would then also allow consistent risk disclosure for issuers, that deal with various national competent authorities in their offerings.</w:t>
      </w:r>
    </w:p>
    <w:p w14:paraId="57BD1759" w14:textId="51A72E91" w:rsidR="00FD071A" w:rsidRDefault="00FD071A" w:rsidP="00206545">
      <w:pPr>
        <w:jc w:val="both"/>
        <w:rPr>
          <w:rFonts w:cs="Arial"/>
        </w:rPr>
      </w:pPr>
    </w:p>
    <w:p w14:paraId="2CAD9FAE" w14:textId="1558B220" w:rsidR="00F338F5" w:rsidRPr="002A1831" w:rsidRDefault="00C010BF" w:rsidP="00206545">
      <w:pPr>
        <w:jc w:val="both"/>
        <w:rPr>
          <w:rFonts w:cs="Arial"/>
        </w:rPr>
      </w:pPr>
      <w:r>
        <w:rPr>
          <w:rFonts w:cs="Arial"/>
        </w:rPr>
        <w:t xml:space="preserve">Shifting now the determination of what constitutes a "material" risk factor to individual national competent authorities is </w:t>
      </w:r>
      <w:r w:rsidR="00E916B3">
        <w:rPr>
          <w:rFonts w:cs="Arial"/>
        </w:rPr>
        <w:t xml:space="preserve">particularly problematic when one also has regard </w:t>
      </w:r>
      <w:r w:rsidR="00A53E7E">
        <w:rPr>
          <w:rFonts w:cs="Arial"/>
        </w:rPr>
        <w:t>of</w:t>
      </w:r>
      <w:r w:rsidR="00E916B3">
        <w:rPr>
          <w:rFonts w:cs="Arial"/>
        </w:rPr>
        <w:t xml:space="preserve"> the fact that there is currently no single prospectus liability regime applicable across the EU and that prospectus liability is determined at a national level. Accordingly, there is a risk that the </w:t>
      </w:r>
      <w:r w:rsidR="00343052">
        <w:rPr>
          <w:rFonts w:cs="Arial"/>
        </w:rPr>
        <w:t xml:space="preserve">national </w:t>
      </w:r>
      <w:r w:rsidR="00E916B3">
        <w:rPr>
          <w:rFonts w:cs="Arial"/>
        </w:rPr>
        <w:t>competent authority in one Member State determines that a risk factor is not sufficiently material and the issuer of the relevant securities excludes such risk factor from its (base) prospectus – and that, subsequently, the issuer incurs prospectus liability in another Member State</w:t>
      </w:r>
      <w:r w:rsidR="00343052">
        <w:rPr>
          <w:rFonts w:cs="Arial"/>
        </w:rPr>
        <w:t xml:space="preserve"> where the national competent authority subsequently takes a different view</w:t>
      </w:r>
      <w:r w:rsidR="00E916B3">
        <w:rPr>
          <w:rFonts w:cs="Arial"/>
        </w:rPr>
        <w:t>.</w:t>
      </w:r>
    </w:p>
    <w:permEnd w:id="1757492930"/>
    <w:p w14:paraId="2CAD9FAF" w14:textId="77777777" w:rsidR="00EE53D1" w:rsidRDefault="00EE53D1" w:rsidP="00EE53D1">
      <w:pPr>
        <w:rPr>
          <w:rFonts w:cs="Arial"/>
        </w:rPr>
      </w:pPr>
      <w:r>
        <w:rPr>
          <w:rFonts w:cs="Arial"/>
        </w:rPr>
        <w:t>&lt;ESMA_QUESTION_GRF_2&gt;</w:t>
      </w:r>
    </w:p>
    <w:p w14:paraId="2CAD9FB0" w14:textId="77777777" w:rsidR="00EE53D1" w:rsidRDefault="00EE53D1" w:rsidP="00EE53D1">
      <w:pPr>
        <w:rPr>
          <w:rFonts w:cs="Arial"/>
        </w:rPr>
      </w:pPr>
    </w:p>
    <w:p w14:paraId="2CAD9FB1" w14:textId="77777777" w:rsidR="00EE53D1" w:rsidRPr="00303C9E" w:rsidRDefault="00EE53D1" w:rsidP="00EE53D1">
      <w:pPr>
        <w:pStyle w:val="Questionstyle"/>
        <w:numPr>
          <w:ilvl w:val="0"/>
          <w:numId w:val="39"/>
        </w:numPr>
      </w:pPr>
      <w:r w:rsidRPr="00303C9E">
        <w:t xml:space="preserve">: Do you agree with </w:t>
      </w:r>
      <w:r w:rsidR="007303AD">
        <w:t>the suggested draft</w:t>
      </w:r>
      <w:r w:rsidRPr="00303C9E">
        <w:t xml:space="preserve"> guideline 4 on quantitative information? If not, please provide your reasoning. </w:t>
      </w:r>
    </w:p>
    <w:p w14:paraId="2CAD9FB2" w14:textId="77777777" w:rsidR="00EE53D1" w:rsidRDefault="00EE53D1" w:rsidP="00EE53D1">
      <w:pPr>
        <w:rPr>
          <w:rFonts w:cs="Arial"/>
        </w:rPr>
      </w:pPr>
      <w:r>
        <w:rPr>
          <w:rFonts w:cs="Arial"/>
        </w:rPr>
        <w:t>&lt;ESMA_QUESTION_GRF_3&gt;</w:t>
      </w:r>
    </w:p>
    <w:p w14:paraId="2CAD9FB3" w14:textId="77777777" w:rsidR="009627F4" w:rsidRDefault="009627F4" w:rsidP="00206545">
      <w:pPr>
        <w:jc w:val="both"/>
        <w:rPr>
          <w:rFonts w:cs="Arial"/>
        </w:rPr>
      </w:pPr>
      <w:permStart w:id="632450963" w:edGrp="everyone"/>
      <w:r>
        <w:rPr>
          <w:rFonts w:cs="Arial"/>
        </w:rPr>
        <w:t>The DDV is grateful for ESMA's suggestion and notes ESMA's considerations.</w:t>
      </w:r>
    </w:p>
    <w:p w14:paraId="2CAD9FB4" w14:textId="77777777" w:rsidR="009627F4" w:rsidRDefault="009627F4" w:rsidP="00206545">
      <w:pPr>
        <w:jc w:val="both"/>
        <w:rPr>
          <w:rFonts w:cs="Arial"/>
        </w:rPr>
      </w:pPr>
    </w:p>
    <w:p w14:paraId="2CAD9FB5" w14:textId="77777777" w:rsidR="00F338F5" w:rsidRDefault="009627F4" w:rsidP="00206545">
      <w:pPr>
        <w:jc w:val="both"/>
        <w:rPr>
          <w:rFonts w:cs="Arial"/>
        </w:rPr>
      </w:pPr>
      <w:r>
        <w:rPr>
          <w:rFonts w:cs="Arial"/>
        </w:rPr>
        <w:t xml:space="preserve">However, the DDV strongly disagrees that, where quantitative information is available, such quantitative information should be used </w:t>
      </w:r>
      <w:r w:rsidR="00B75658">
        <w:rPr>
          <w:rFonts w:cs="Arial"/>
        </w:rPr>
        <w:t xml:space="preserve">in a risk factor </w:t>
      </w:r>
      <w:r>
        <w:rPr>
          <w:rFonts w:cs="Arial"/>
        </w:rPr>
        <w:t xml:space="preserve">to illustrate the potential negative impact of </w:t>
      </w:r>
      <w:r w:rsidR="00B75658">
        <w:rPr>
          <w:rFonts w:cs="Arial"/>
        </w:rPr>
        <w:t xml:space="preserve">the relevant </w:t>
      </w:r>
      <w:r>
        <w:rPr>
          <w:rFonts w:cs="Arial"/>
        </w:rPr>
        <w:t>risk. Instead, the DDV considers that issuers and their advisers should be able to decide at their discretion whether to include quantitative or qualitative information in presenting the risks associated with an investment in a particular product.</w:t>
      </w:r>
    </w:p>
    <w:p w14:paraId="2CAD9FB8" w14:textId="77777777" w:rsidR="00A45957" w:rsidRDefault="00A45957" w:rsidP="00206545">
      <w:pPr>
        <w:jc w:val="both"/>
        <w:rPr>
          <w:rFonts w:cs="Arial"/>
        </w:rPr>
      </w:pPr>
    </w:p>
    <w:p w14:paraId="2CAD9FB9" w14:textId="18D21557" w:rsidR="00166102" w:rsidRPr="002A1831" w:rsidRDefault="00166102" w:rsidP="00206545">
      <w:pPr>
        <w:jc w:val="both"/>
        <w:rPr>
          <w:rFonts w:cs="Arial"/>
        </w:rPr>
      </w:pPr>
      <w:r>
        <w:rPr>
          <w:rFonts w:cs="Arial"/>
        </w:rPr>
        <w:t>Further and in addition, the DDV notes that ESMA's approach as described in the draft guidelines somewhat deviates from the primary legislation</w:t>
      </w:r>
      <w:r w:rsidR="002A1831">
        <w:rPr>
          <w:rFonts w:cs="Arial"/>
          <w:color w:val="FF0000"/>
        </w:rPr>
        <w:t xml:space="preserve">. </w:t>
      </w:r>
      <w:r w:rsidR="0013027C" w:rsidRPr="002A1831">
        <w:t>In particular, Art 16 (1) of the Prospect</w:t>
      </w:r>
      <w:r w:rsidR="0019609A">
        <w:t xml:space="preserve">us Regulation does not refer to </w:t>
      </w:r>
      <w:r w:rsidR="00521B67" w:rsidRPr="002A1831">
        <w:t xml:space="preserve"> </w:t>
      </w:r>
      <w:r w:rsidR="0013027C" w:rsidRPr="002A1831">
        <w:t>quantitative measures</w:t>
      </w:r>
      <w:r w:rsidR="0013027C" w:rsidRPr="002A1831">
        <w:annotationRef/>
      </w:r>
      <w:r w:rsidR="0013027C" w:rsidRPr="002A1831">
        <w:t xml:space="preserve"> when discussing the materiality assessment of the risk, but rather that such materiality may be disclosed using a qualitative scale. </w:t>
      </w:r>
      <w:r w:rsidRPr="002A1831">
        <w:rPr>
          <w:rFonts w:cs="Arial"/>
        </w:rPr>
        <w:t>Therefore, the Prospectus Regulation leaves it open whether the materiality of risk factors should be disclosed on a quantitative or qualitative basis.</w:t>
      </w:r>
      <w:r w:rsidR="004B2A36" w:rsidRPr="002A1831">
        <w:rPr>
          <w:rFonts w:cs="Arial"/>
        </w:rPr>
        <w:t xml:space="preserve"> </w:t>
      </w:r>
    </w:p>
    <w:p w14:paraId="2CAD9FBA" w14:textId="313A9900" w:rsidR="00166102" w:rsidRPr="002A1831" w:rsidRDefault="00166102" w:rsidP="00206545">
      <w:pPr>
        <w:jc w:val="both"/>
        <w:rPr>
          <w:rFonts w:cs="Arial"/>
        </w:rPr>
      </w:pPr>
    </w:p>
    <w:p w14:paraId="09B44C5F" w14:textId="1AD231AA" w:rsidR="00E04D50" w:rsidRPr="002A1831" w:rsidRDefault="00E04D50" w:rsidP="00206545">
      <w:pPr>
        <w:jc w:val="both"/>
      </w:pPr>
      <w:r w:rsidRPr="002A1831">
        <w:t xml:space="preserve">In order to fully comprehend a quantitative analysis, however, methods and assumptions (the basis of any quantitative modelling) </w:t>
      </w:r>
      <w:r w:rsidR="0019609A">
        <w:t>might</w:t>
      </w:r>
      <w:r w:rsidRPr="002A1831">
        <w:t xml:space="preserve"> </w:t>
      </w:r>
      <w:r w:rsidR="0019609A">
        <w:t xml:space="preserve">often </w:t>
      </w:r>
      <w:r w:rsidRPr="002A1831">
        <w:t xml:space="preserve">need to be disclosed, too. The DDV considers that </w:t>
      </w:r>
      <w:r w:rsidR="006744C5" w:rsidRPr="002A1831">
        <w:t xml:space="preserve">a (base) </w:t>
      </w:r>
      <w:r w:rsidRPr="002A1831">
        <w:t>prospectus is not the adequate instrument for this kind of presentation, nor would it be appropriate and proportional to send respective information to national authorities so they could fully comprehend the risk information.</w:t>
      </w:r>
    </w:p>
    <w:p w14:paraId="292BDD92" w14:textId="77777777" w:rsidR="00E04D50" w:rsidRPr="002A1831" w:rsidRDefault="00E04D50" w:rsidP="00206545">
      <w:pPr>
        <w:jc w:val="both"/>
        <w:rPr>
          <w:rFonts w:cs="Arial"/>
        </w:rPr>
      </w:pPr>
    </w:p>
    <w:p w14:paraId="2CAD9FBB" w14:textId="77777777" w:rsidR="009627F4" w:rsidRDefault="00166102" w:rsidP="00206545">
      <w:pPr>
        <w:jc w:val="both"/>
        <w:rPr>
          <w:rFonts w:cs="Arial"/>
        </w:rPr>
      </w:pPr>
      <w:r>
        <w:rPr>
          <w:rFonts w:cs="Arial"/>
        </w:rPr>
        <w:lastRenderedPageBreak/>
        <w:t>Instead – and in keeping with the optionality in the Prospectus Regulation –</w:t>
      </w:r>
      <w:r w:rsidR="00A45957">
        <w:rPr>
          <w:rFonts w:cs="Arial"/>
        </w:rPr>
        <w:t xml:space="preserve"> the</w:t>
      </w:r>
      <w:r>
        <w:rPr>
          <w:rFonts w:cs="Arial"/>
        </w:rPr>
        <w:t xml:space="preserve"> </w:t>
      </w:r>
      <w:r w:rsidR="00A45957">
        <w:rPr>
          <w:rFonts w:cs="Arial"/>
        </w:rPr>
        <w:t xml:space="preserve">DDV considers that issuers would not be prejudiced and investors would be potentially better protected if the persons responsible for </w:t>
      </w:r>
      <w:r w:rsidR="00B75658">
        <w:rPr>
          <w:rFonts w:cs="Arial"/>
        </w:rPr>
        <w:t>drawing up a (base)</w:t>
      </w:r>
      <w:r w:rsidR="00A45957">
        <w:rPr>
          <w:rFonts w:cs="Arial"/>
        </w:rPr>
        <w:t xml:space="preserve"> prospectus were able to determine whether the risk factors would include quantitative or qualitative information. The DDV notes that, as a practical matter, even where the risk factors include qualitative disclosure, such disclosure would often be based (and indirectly reflect) quantitative analysis.</w:t>
      </w:r>
      <w:r w:rsidR="009627F4">
        <w:rPr>
          <w:rFonts w:cs="Arial"/>
        </w:rPr>
        <w:t xml:space="preserve"> </w:t>
      </w:r>
    </w:p>
    <w:p w14:paraId="2CAD9FBC" w14:textId="77777777" w:rsidR="00F338F5" w:rsidRPr="00F338F5" w:rsidRDefault="00F338F5" w:rsidP="00206545">
      <w:pPr>
        <w:jc w:val="both"/>
        <w:rPr>
          <w:rFonts w:cs="Arial"/>
        </w:rPr>
      </w:pPr>
    </w:p>
    <w:p w14:paraId="2CAD9FBD" w14:textId="77777777" w:rsidR="00BB342C" w:rsidRDefault="00A45957" w:rsidP="00BB342C">
      <w:pPr>
        <w:jc w:val="both"/>
        <w:rPr>
          <w:rFonts w:cs="Arial"/>
        </w:rPr>
      </w:pPr>
      <w:r>
        <w:rPr>
          <w:rFonts w:cs="Arial"/>
        </w:rPr>
        <w:t xml:space="preserve">The DDV agrees with ESMA's proposal that, </w:t>
      </w:r>
      <w:r w:rsidRPr="00F338F5">
        <w:rPr>
          <w:rFonts w:cs="Arial"/>
        </w:rPr>
        <w:t>in accordance with Article 16 (1) of the Prospectus Regulation</w:t>
      </w:r>
      <w:r>
        <w:rPr>
          <w:rFonts w:cs="Arial"/>
        </w:rPr>
        <w:t xml:space="preserve">, the persons responsible for </w:t>
      </w:r>
      <w:r w:rsidR="00B75658">
        <w:rPr>
          <w:rFonts w:cs="Arial"/>
        </w:rPr>
        <w:t>drawing up a (base)</w:t>
      </w:r>
      <w:r>
        <w:rPr>
          <w:rFonts w:cs="Arial"/>
        </w:rPr>
        <w:t xml:space="preserve"> prospectus should not be obliged to provide </w:t>
      </w:r>
      <w:r w:rsidR="00F338F5" w:rsidRPr="00F338F5">
        <w:rPr>
          <w:rFonts w:cs="Arial"/>
        </w:rPr>
        <w:t>a scaled ranking of risks according to their materiality.</w:t>
      </w:r>
      <w:r w:rsidR="00166102">
        <w:rPr>
          <w:rFonts w:cs="Arial"/>
        </w:rPr>
        <w:t xml:space="preserve"> In particular, having regard for the requirements of materiality and specificity and ESMA's concern about </w:t>
      </w:r>
      <w:r w:rsidR="00BB342C">
        <w:rPr>
          <w:rFonts w:cs="Arial"/>
        </w:rPr>
        <w:t xml:space="preserve">the </w:t>
      </w:r>
      <w:r w:rsidR="00166102">
        <w:rPr>
          <w:rFonts w:cs="Arial"/>
        </w:rPr>
        <w:t>size inflation of (base) prospectuses,</w:t>
      </w:r>
      <w:r w:rsidR="00BB342C">
        <w:rPr>
          <w:rFonts w:cs="Arial"/>
        </w:rPr>
        <w:t xml:space="preserve"> </w:t>
      </w:r>
      <w:r w:rsidR="00166102">
        <w:rPr>
          <w:rFonts w:cs="Arial"/>
        </w:rPr>
        <w:t xml:space="preserve">the DDV wishes </w:t>
      </w:r>
      <w:r w:rsidR="00BB342C">
        <w:rPr>
          <w:rFonts w:cs="Arial"/>
        </w:rPr>
        <w:t>to avoid a situation where issuers are required to provide (potentially) lengthy explanations as to why they have made a judgement call that certain risk factor(s) are sufficiently material to be included in the (base) prospectus or have been ordered in a particular way.</w:t>
      </w:r>
    </w:p>
    <w:permEnd w:id="632450963"/>
    <w:p w14:paraId="2CAD9FBE" w14:textId="77777777" w:rsidR="00EE53D1" w:rsidRDefault="00EE53D1" w:rsidP="00EE53D1">
      <w:pPr>
        <w:rPr>
          <w:rFonts w:cs="Arial"/>
        </w:rPr>
      </w:pPr>
      <w:r>
        <w:rPr>
          <w:rFonts w:cs="Arial"/>
        </w:rPr>
        <w:t>&lt;ESMA_QUESTION_GRF_3&gt;</w:t>
      </w:r>
    </w:p>
    <w:p w14:paraId="2CAD9FBF" w14:textId="77777777" w:rsidR="00EE53D1" w:rsidRDefault="00EE53D1" w:rsidP="00EE53D1">
      <w:pPr>
        <w:rPr>
          <w:rFonts w:cs="Arial"/>
        </w:rPr>
      </w:pPr>
    </w:p>
    <w:p w14:paraId="2CAD9FC0"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5 on mitigating language? If not,</w:t>
      </w:r>
      <w:r w:rsidRPr="007243F1">
        <w:t xml:space="preserve"> please </w:t>
      </w:r>
      <w:r w:rsidRPr="00303C9E">
        <w:t>provide your reasoning.</w:t>
      </w:r>
    </w:p>
    <w:p w14:paraId="2CAD9FC1" w14:textId="77777777" w:rsidR="00EE53D1" w:rsidRDefault="00EE53D1" w:rsidP="00EE53D1">
      <w:pPr>
        <w:rPr>
          <w:rFonts w:cs="Arial"/>
        </w:rPr>
      </w:pPr>
      <w:r>
        <w:rPr>
          <w:rFonts w:cs="Arial"/>
        </w:rPr>
        <w:t>&lt;ESMA_QUESTION_GRF_4&gt;</w:t>
      </w:r>
    </w:p>
    <w:p w14:paraId="2CAD9FC2" w14:textId="1A628FA6" w:rsidR="001159AE" w:rsidRDefault="00A45957" w:rsidP="00206545">
      <w:pPr>
        <w:jc w:val="both"/>
        <w:rPr>
          <w:rFonts w:cs="Arial"/>
        </w:rPr>
      </w:pPr>
      <w:permStart w:id="59525961" w:edGrp="everyone"/>
      <w:r>
        <w:rPr>
          <w:rFonts w:cs="Arial"/>
        </w:rPr>
        <w:t xml:space="preserve">The DDV agrees with the suggested draft </w:t>
      </w:r>
      <w:r w:rsidR="00166102">
        <w:rPr>
          <w:rFonts w:cs="Arial"/>
        </w:rPr>
        <w:t>g</w:t>
      </w:r>
      <w:r w:rsidR="001159AE" w:rsidRPr="00F338F5">
        <w:rPr>
          <w:rFonts w:cs="Arial"/>
        </w:rPr>
        <w:t>uideline 5</w:t>
      </w:r>
      <w:r w:rsidR="006A1FFD">
        <w:rPr>
          <w:rFonts w:cs="Arial"/>
        </w:rPr>
        <w:t xml:space="preserve">. In particular, the DDV </w:t>
      </w:r>
      <w:r w:rsidR="004368C1">
        <w:rPr>
          <w:rFonts w:cs="Arial"/>
        </w:rPr>
        <w:t xml:space="preserve">welcomes ESMA's approach that </w:t>
      </w:r>
      <w:r w:rsidR="006A1FFD">
        <w:rPr>
          <w:rFonts w:cs="Arial"/>
        </w:rPr>
        <w:t>mitigating language</w:t>
      </w:r>
      <w:r w:rsidR="004368C1">
        <w:rPr>
          <w:rFonts w:cs="Arial"/>
        </w:rPr>
        <w:t xml:space="preserve"> could </w:t>
      </w:r>
      <w:r w:rsidR="006A1FFD">
        <w:rPr>
          <w:rFonts w:cs="Arial"/>
        </w:rPr>
        <w:t xml:space="preserve">be included </w:t>
      </w:r>
      <w:r w:rsidR="004368C1">
        <w:rPr>
          <w:rFonts w:cs="Arial"/>
        </w:rPr>
        <w:t xml:space="preserve">in a (base) prospectus </w:t>
      </w:r>
      <w:r w:rsidR="006A1FFD">
        <w:rPr>
          <w:rFonts w:cs="Arial"/>
        </w:rPr>
        <w:t>where it illustrates the probability of occurrence and the expected magnitude of the negative impact of a risk factor.</w:t>
      </w:r>
    </w:p>
    <w:p w14:paraId="522D983D" w14:textId="788A5312" w:rsidR="00003DBE" w:rsidRPr="00F77478" w:rsidRDefault="00003DBE" w:rsidP="00206545">
      <w:pPr>
        <w:jc w:val="both"/>
        <w:rPr>
          <w:rFonts w:cs="Arial"/>
          <w:color w:val="00B050"/>
        </w:rPr>
      </w:pPr>
    </w:p>
    <w:p w14:paraId="0AA234E6" w14:textId="661C540D" w:rsidR="00003DBE" w:rsidRPr="002A1831" w:rsidRDefault="007F6374" w:rsidP="00206545">
      <w:pPr>
        <w:jc w:val="both"/>
        <w:rPr>
          <w:rFonts w:cs="Arial"/>
        </w:rPr>
      </w:pPr>
      <w:r w:rsidRPr="002A1831">
        <w:rPr>
          <w:rFonts w:cs="Arial"/>
        </w:rPr>
        <w:t xml:space="preserve">The </w:t>
      </w:r>
      <w:r w:rsidRPr="002A1831">
        <w:t xml:space="preserve">DDV, </w:t>
      </w:r>
      <w:r w:rsidR="00D32109" w:rsidRPr="002A1831">
        <w:t>though</w:t>
      </w:r>
      <w:r w:rsidRPr="002A1831">
        <w:t xml:space="preserve">, </w:t>
      </w:r>
      <w:r w:rsidR="00597B14" w:rsidRPr="002A1831">
        <w:t xml:space="preserve">also </w:t>
      </w:r>
      <w:r w:rsidR="00E20C1E" w:rsidRPr="002A1831">
        <w:t xml:space="preserve">sees </w:t>
      </w:r>
      <w:r w:rsidRPr="002A1831">
        <w:t xml:space="preserve">the risk that national competent authorities in the various Member States could interpret </w:t>
      </w:r>
      <w:r w:rsidR="001644C8" w:rsidRPr="002A1831">
        <w:t xml:space="preserve">the </w:t>
      </w:r>
      <w:r w:rsidRPr="002A1831">
        <w:t xml:space="preserve">example provided </w:t>
      </w:r>
      <w:r w:rsidRPr="002A1831">
        <w:rPr>
          <w:szCs w:val="20"/>
        </w:rPr>
        <w:t>by ESMA (</w:t>
      </w:r>
      <w:r w:rsidR="00BC545E" w:rsidRPr="002A1831">
        <w:rPr>
          <w:i/>
          <w:iCs/>
          <w:szCs w:val="20"/>
        </w:rPr>
        <w:t>The following is an illustration of mitigating language which reduces the materiality of a risk factor and which obscures the remaining risk</w:t>
      </w:r>
      <w:r w:rsidR="00431D9E" w:rsidRPr="002A1831">
        <w:rPr>
          <w:iCs/>
          <w:szCs w:val="20"/>
        </w:rPr>
        <w:t>;</w:t>
      </w:r>
      <w:r w:rsidR="00BC545E" w:rsidRPr="002A1831">
        <w:rPr>
          <w:szCs w:val="20"/>
        </w:rPr>
        <w:t xml:space="preserve"> cf.</w:t>
      </w:r>
      <w:r w:rsidR="003C2EC9" w:rsidRPr="002A1831">
        <w:rPr>
          <w:rFonts w:cs="Arial"/>
          <w:i/>
          <w:iCs/>
          <w:szCs w:val="20"/>
          <w:lang w:val="en-US" w:eastAsia="en-GB"/>
        </w:rPr>
        <w:t xml:space="preserve"> </w:t>
      </w:r>
      <w:r w:rsidR="003C2EC9" w:rsidRPr="002A1831">
        <w:rPr>
          <w:rFonts w:cs="Arial"/>
          <w:iCs/>
          <w:szCs w:val="20"/>
          <w:lang w:val="en-US" w:eastAsia="en-GB"/>
        </w:rPr>
        <w:t>item 30</w:t>
      </w:r>
      <w:r w:rsidR="00BC545E" w:rsidRPr="002A1831">
        <w:rPr>
          <w:rFonts w:cs="Arial"/>
          <w:iCs/>
          <w:szCs w:val="20"/>
          <w:lang w:val="en-US" w:eastAsia="en-GB"/>
        </w:rPr>
        <w:t xml:space="preserve"> of the Consultation Paper</w:t>
      </w:r>
      <w:r w:rsidRPr="002A1831">
        <w:rPr>
          <w:szCs w:val="20"/>
        </w:rPr>
        <w:t xml:space="preserve">) on a literal basis rather than the principle described in </w:t>
      </w:r>
      <w:r w:rsidR="003A134A" w:rsidRPr="002A1831">
        <w:rPr>
          <w:szCs w:val="20"/>
        </w:rPr>
        <w:t xml:space="preserve">draft </w:t>
      </w:r>
      <w:r w:rsidRPr="002A1831">
        <w:rPr>
          <w:szCs w:val="20"/>
        </w:rPr>
        <w:t>guideline 5, and forbid any mitigating language even if the materiality</w:t>
      </w:r>
      <w:r w:rsidRPr="002A1831">
        <w:t xml:space="preserve"> is not compromised by it. </w:t>
      </w:r>
      <w:r w:rsidR="006111C8" w:rsidRPr="002A1831">
        <w:t xml:space="preserve">It </w:t>
      </w:r>
      <w:r w:rsidRPr="002A1831">
        <w:t>would</w:t>
      </w:r>
      <w:r w:rsidR="006111C8" w:rsidRPr="002A1831">
        <w:t>, in the DDV's view</w:t>
      </w:r>
      <w:r w:rsidRPr="002A1831">
        <w:t xml:space="preserve"> </w:t>
      </w:r>
      <w:r w:rsidR="006111C8" w:rsidRPr="002A1831">
        <w:t xml:space="preserve">be </w:t>
      </w:r>
      <w:r w:rsidRPr="002A1831">
        <w:t xml:space="preserve">better, if the example </w:t>
      </w:r>
      <w:r w:rsidR="009E4A89" w:rsidRPr="002A1831">
        <w:t>were</w:t>
      </w:r>
      <w:r w:rsidRPr="002A1831">
        <w:t xml:space="preserve"> not included in the final </w:t>
      </w:r>
      <w:r w:rsidR="00250B2F" w:rsidRPr="002A1831">
        <w:t>Guidelines.</w:t>
      </w:r>
    </w:p>
    <w:permEnd w:id="59525961"/>
    <w:p w14:paraId="2CAD9FC3" w14:textId="77777777" w:rsidR="00EE53D1" w:rsidRDefault="00EE53D1" w:rsidP="00EE53D1">
      <w:pPr>
        <w:rPr>
          <w:rFonts w:cs="Arial"/>
        </w:rPr>
      </w:pPr>
      <w:r>
        <w:rPr>
          <w:rFonts w:cs="Arial"/>
        </w:rPr>
        <w:t>&lt;ESMA_QUESTION_GRF_4&gt;</w:t>
      </w:r>
    </w:p>
    <w:p w14:paraId="2CAD9FC4" w14:textId="77777777" w:rsidR="007243F1" w:rsidRPr="007243F1" w:rsidRDefault="007243F1" w:rsidP="007243F1">
      <w:pPr>
        <w:rPr>
          <w:b/>
        </w:rPr>
      </w:pPr>
    </w:p>
    <w:p w14:paraId="2CAD9FC5" w14:textId="77777777" w:rsidR="007243F1" w:rsidRPr="007243F1" w:rsidRDefault="007243F1" w:rsidP="007243F1">
      <w:pPr>
        <w:rPr>
          <w:i/>
        </w:rPr>
      </w:pPr>
      <w:r w:rsidRPr="007243F1">
        <w:rPr>
          <w:i/>
        </w:rPr>
        <w:t>Corroboration</w:t>
      </w:r>
    </w:p>
    <w:p w14:paraId="2CAD9FC6"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6 on corroboration of specificity and materiality? If not, please provide your reasoning.</w:t>
      </w:r>
    </w:p>
    <w:p w14:paraId="2CAD9FC7" w14:textId="77777777" w:rsidR="00EE53D1" w:rsidRDefault="00EE53D1" w:rsidP="00EE53D1">
      <w:pPr>
        <w:rPr>
          <w:rFonts w:cs="Arial"/>
        </w:rPr>
      </w:pPr>
      <w:r>
        <w:rPr>
          <w:rFonts w:cs="Arial"/>
        </w:rPr>
        <w:t>&lt;ESMA_QUESTION_GRF_5&gt;</w:t>
      </w:r>
    </w:p>
    <w:p w14:paraId="2CAD9FC8" w14:textId="77777777" w:rsidR="00264B30" w:rsidRDefault="00264B30" w:rsidP="00206545">
      <w:pPr>
        <w:jc w:val="both"/>
        <w:rPr>
          <w:rFonts w:cs="Arial"/>
        </w:rPr>
      </w:pPr>
      <w:permStart w:id="1909215259" w:edGrp="everyone"/>
      <w:r>
        <w:rPr>
          <w:rFonts w:cs="Arial"/>
        </w:rPr>
        <w:t xml:space="preserve">The DDV notes ESMA's proposed draft </w:t>
      </w:r>
      <w:r w:rsidR="004A5E30">
        <w:rPr>
          <w:rFonts w:cs="Arial"/>
        </w:rPr>
        <w:t>g</w:t>
      </w:r>
      <w:r>
        <w:rPr>
          <w:rFonts w:cs="Arial"/>
        </w:rPr>
        <w:t>uideline 6.</w:t>
      </w:r>
    </w:p>
    <w:p w14:paraId="2CAD9FC9" w14:textId="77777777" w:rsidR="00264B30" w:rsidRDefault="00264B30" w:rsidP="00206545">
      <w:pPr>
        <w:jc w:val="both"/>
        <w:rPr>
          <w:rFonts w:cs="Arial"/>
        </w:rPr>
      </w:pPr>
    </w:p>
    <w:p w14:paraId="2CAD9FCA" w14:textId="77777777" w:rsidR="00264B30" w:rsidRPr="00DA436C" w:rsidRDefault="00264B30" w:rsidP="00206545">
      <w:pPr>
        <w:jc w:val="both"/>
        <w:rPr>
          <w:rFonts w:cs="Arial"/>
        </w:rPr>
      </w:pPr>
      <w:r w:rsidRPr="00DA436C">
        <w:rPr>
          <w:rFonts w:cs="Arial"/>
        </w:rPr>
        <w:t xml:space="preserve">However, the DDV wishes to express its concern that it is currently unclear how the proposed draft </w:t>
      </w:r>
      <w:r w:rsidR="004A5E30" w:rsidRPr="00DA436C">
        <w:rPr>
          <w:rFonts w:cs="Arial"/>
        </w:rPr>
        <w:t>g</w:t>
      </w:r>
      <w:r w:rsidRPr="00DA436C">
        <w:rPr>
          <w:rFonts w:cs="Arial"/>
        </w:rPr>
        <w:t>uideline 6 would interact with the applicable national prospectus liability regimes.</w:t>
      </w:r>
      <w:r w:rsidR="002C1CA6" w:rsidRPr="00DA436C">
        <w:rPr>
          <w:rFonts w:cs="Arial"/>
        </w:rPr>
        <w:t xml:space="preserve"> Having regard for the fact that </w:t>
      </w:r>
      <w:r w:rsidR="002C1CA6" w:rsidRPr="00DA436C">
        <w:rPr>
          <w:rFonts w:cs="Arial"/>
          <w:szCs w:val="20"/>
          <w:lang w:eastAsia="en-GB"/>
        </w:rPr>
        <w:t>the Prospectus Regulation does not provide for a common framework for prospectus liability regime</w:t>
      </w:r>
      <w:r w:rsidR="004A5E30" w:rsidRPr="00DA436C">
        <w:rPr>
          <w:rFonts w:cs="Arial"/>
          <w:szCs w:val="20"/>
          <w:lang w:eastAsia="en-GB"/>
        </w:rPr>
        <w:t>s</w:t>
      </w:r>
      <w:r w:rsidR="002C1CA6" w:rsidRPr="00DA436C">
        <w:rPr>
          <w:rFonts w:cs="Arial"/>
        </w:rPr>
        <w:t xml:space="preserve">, the DDV considers that the draft </w:t>
      </w:r>
      <w:r w:rsidR="004A5E30" w:rsidRPr="00DA436C">
        <w:rPr>
          <w:rFonts w:cs="Arial"/>
        </w:rPr>
        <w:t>g</w:t>
      </w:r>
      <w:r w:rsidR="002C1CA6" w:rsidRPr="00DA436C">
        <w:rPr>
          <w:rFonts w:cs="Arial"/>
        </w:rPr>
        <w:t xml:space="preserve">uideline 6 </w:t>
      </w:r>
      <w:r w:rsidR="004A5E30" w:rsidRPr="00DA436C">
        <w:rPr>
          <w:rFonts w:cs="Arial"/>
        </w:rPr>
        <w:t xml:space="preserve">could have </w:t>
      </w:r>
      <w:r w:rsidR="002C1CA6" w:rsidRPr="00DA436C">
        <w:rPr>
          <w:rFonts w:cs="Arial"/>
        </w:rPr>
        <w:t>two potentially unforeseen implications:</w:t>
      </w:r>
    </w:p>
    <w:p w14:paraId="2CAD9FCB" w14:textId="77777777" w:rsidR="002C1CA6" w:rsidRPr="00DA436C" w:rsidRDefault="002C1CA6" w:rsidP="00206545">
      <w:pPr>
        <w:jc w:val="both"/>
        <w:rPr>
          <w:rFonts w:cs="Arial"/>
        </w:rPr>
      </w:pPr>
    </w:p>
    <w:p w14:paraId="2CAD9FCC" w14:textId="00758229" w:rsidR="002C1CA6" w:rsidRPr="0076062C" w:rsidRDefault="00555AA2" w:rsidP="00206545">
      <w:pPr>
        <w:jc w:val="both"/>
        <w:rPr>
          <w:rFonts w:cs="Arial"/>
          <w:strike/>
          <w:color w:val="FF0000"/>
        </w:rPr>
      </w:pPr>
      <w:r w:rsidRPr="00DA436C">
        <w:rPr>
          <w:rFonts w:cs="Arial"/>
        </w:rPr>
        <w:t>T</w:t>
      </w:r>
      <w:r w:rsidR="002C1CA6" w:rsidRPr="00DA436C">
        <w:rPr>
          <w:rFonts w:cs="Arial"/>
        </w:rPr>
        <w:t xml:space="preserve">he DDV notes that, in light of the different national prospectus liability regimes to which issuers could be subject, it should be open to issuers to disclose all risk factors which they consider to be material </w:t>
      </w:r>
      <w:r w:rsidR="004A5E30" w:rsidRPr="00DA436C">
        <w:rPr>
          <w:rFonts w:cs="Arial"/>
        </w:rPr>
        <w:t>with respect to a particular product</w:t>
      </w:r>
      <w:r w:rsidR="002C1CA6" w:rsidRPr="00DA436C">
        <w:rPr>
          <w:rFonts w:cs="Arial"/>
        </w:rPr>
        <w:t xml:space="preserve">. In that regard, a determination by a Member State's </w:t>
      </w:r>
      <w:r w:rsidR="004A5E30" w:rsidRPr="00DA436C">
        <w:rPr>
          <w:rFonts w:cs="Arial"/>
        </w:rPr>
        <w:t xml:space="preserve">national </w:t>
      </w:r>
      <w:r w:rsidR="002C1CA6" w:rsidRPr="00DA436C">
        <w:rPr>
          <w:rFonts w:cs="Arial"/>
        </w:rPr>
        <w:t xml:space="preserve">competent authority </w:t>
      </w:r>
      <w:r w:rsidR="00FB6C17" w:rsidRPr="00DA436C">
        <w:rPr>
          <w:rFonts w:cs="Arial"/>
          <w:color w:val="00B050"/>
        </w:rPr>
        <w:t>(</w:t>
      </w:r>
      <w:r w:rsidR="00FB6C17" w:rsidRPr="002A1831">
        <w:rPr>
          <w:rFonts w:cs="Arial"/>
        </w:rPr>
        <w:t xml:space="preserve">in addition to the Issuer's </w:t>
      </w:r>
      <w:r w:rsidR="00477048" w:rsidRPr="002A1831">
        <w:rPr>
          <w:rFonts w:cs="Arial"/>
        </w:rPr>
        <w:t xml:space="preserve">own </w:t>
      </w:r>
      <w:r w:rsidR="00FB6C17" w:rsidRPr="002A1831">
        <w:rPr>
          <w:rFonts w:cs="Arial"/>
        </w:rPr>
        <w:t xml:space="preserve">determination) </w:t>
      </w:r>
      <w:r w:rsidR="002C1CA6" w:rsidRPr="002A1831">
        <w:rPr>
          <w:rFonts w:cs="Arial"/>
        </w:rPr>
        <w:t xml:space="preserve">of </w:t>
      </w:r>
      <w:r w:rsidR="002C1CA6" w:rsidRPr="00DA436C">
        <w:rPr>
          <w:rFonts w:cs="Arial"/>
        </w:rPr>
        <w:t>what are sufficiently "corroborated" risk factors – and</w:t>
      </w:r>
      <w:r w:rsidR="004A5E30" w:rsidRPr="00DA436C">
        <w:rPr>
          <w:rFonts w:cs="Arial"/>
        </w:rPr>
        <w:t xml:space="preserve"> a corresponding</w:t>
      </w:r>
      <w:r w:rsidR="002C1CA6" w:rsidRPr="00DA436C">
        <w:rPr>
          <w:rFonts w:cs="Arial"/>
        </w:rPr>
        <w:t xml:space="preserve"> request by such </w:t>
      </w:r>
      <w:r w:rsidR="004A5E30" w:rsidRPr="00DA436C">
        <w:rPr>
          <w:rFonts w:cs="Arial"/>
        </w:rPr>
        <w:t xml:space="preserve">national </w:t>
      </w:r>
      <w:r w:rsidR="002C1CA6" w:rsidRPr="00DA436C">
        <w:rPr>
          <w:rFonts w:cs="Arial"/>
        </w:rPr>
        <w:t xml:space="preserve">competent authority that certain risk factors be </w:t>
      </w:r>
      <w:r w:rsidR="004A5E30" w:rsidRPr="00DA436C">
        <w:rPr>
          <w:rFonts w:cs="Arial"/>
        </w:rPr>
        <w:t xml:space="preserve">modified and/or </w:t>
      </w:r>
      <w:r w:rsidR="002C1CA6" w:rsidRPr="00DA436C">
        <w:rPr>
          <w:rFonts w:cs="Arial"/>
        </w:rPr>
        <w:t>deleted – could increase the issuer's risk of prospectus liability in another Member State</w:t>
      </w:r>
      <w:r w:rsidR="004A5E30" w:rsidRPr="00DA436C">
        <w:rPr>
          <w:rFonts w:cs="Arial"/>
        </w:rPr>
        <w:t xml:space="preserve"> whose national competent authority takes a different view of the sufficiency of "corroboration"</w:t>
      </w:r>
      <w:r w:rsidR="002C1CA6" w:rsidRPr="00DA436C">
        <w:rPr>
          <w:rFonts w:cs="Arial"/>
        </w:rPr>
        <w:t>.</w:t>
      </w:r>
    </w:p>
    <w:p w14:paraId="2CAD9FD1" w14:textId="6E7765E2" w:rsidR="007E0882" w:rsidRDefault="007E0882" w:rsidP="00206545">
      <w:pPr>
        <w:jc w:val="both"/>
        <w:rPr>
          <w:rFonts w:cs="Arial"/>
        </w:rPr>
      </w:pPr>
    </w:p>
    <w:p w14:paraId="2CAD9FD2" w14:textId="77777777" w:rsidR="007E0882" w:rsidRDefault="007E0882" w:rsidP="009F0175">
      <w:pPr>
        <w:jc w:val="both"/>
        <w:rPr>
          <w:rFonts w:cs="Arial"/>
        </w:rPr>
      </w:pPr>
      <w:r>
        <w:rPr>
          <w:rFonts w:cs="Arial"/>
        </w:rPr>
        <w:t xml:space="preserve">Further and in addition, the DDV </w:t>
      </w:r>
      <w:r w:rsidR="009F0175">
        <w:rPr>
          <w:rFonts w:cs="Arial"/>
        </w:rPr>
        <w:t>wishes to confirm with ESMA its understanding on how the requirement that the specificity and materiality of risk factors be corroborated should apply to multi-product (base) prospectuses</w:t>
      </w:r>
      <w:r>
        <w:rPr>
          <w:rFonts w:cs="Arial"/>
        </w:rPr>
        <w:t xml:space="preserve">. In particular, the DDV notes that the corroboration with respect to any risk factor should occur by reference to the entire product universe under the relevant (base) prospectus – and that even if the risk </w:t>
      </w:r>
      <w:r>
        <w:rPr>
          <w:rFonts w:cs="Arial"/>
        </w:rPr>
        <w:lastRenderedPageBreak/>
        <w:t>factor is material and specific only by reference to one product, the relevant issuer should still be entitled to include it.</w:t>
      </w:r>
    </w:p>
    <w:permEnd w:id="1909215259"/>
    <w:p w14:paraId="2CAD9FD3" w14:textId="77777777" w:rsidR="00EE53D1" w:rsidRDefault="00EE53D1" w:rsidP="00EE53D1">
      <w:pPr>
        <w:rPr>
          <w:rFonts w:cs="Arial"/>
        </w:rPr>
      </w:pPr>
      <w:r>
        <w:rPr>
          <w:rFonts w:cs="Arial"/>
        </w:rPr>
        <w:t>&lt;ESMA_QUESTION_GRF_5&gt;</w:t>
      </w:r>
    </w:p>
    <w:p w14:paraId="2CAD9FD4" w14:textId="77777777" w:rsidR="007243F1" w:rsidRDefault="007243F1" w:rsidP="007243F1">
      <w:pPr>
        <w:rPr>
          <w:b/>
        </w:rPr>
      </w:pPr>
    </w:p>
    <w:p w14:paraId="2CAD9FD5" w14:textId="77777777" w:rsidR="007243F1" w:rsidRPr="007243F1" w:rsidRDefault="007243F1" w:rsidP="007243F1">
      <w:pPr>
        <w:rPr>
          <w:b/>
        </w:rPr>
      </w:pPr>
    </w:p>
    <w:p w14:paraId="2CAD9FD6" w14:textId="77777777" w:rsidR="007243F1" w:rsidRDefault="007243F1" w:rsidP="007243F1">
      <w:pPr>
        <w:rPr>
          <w:b/>
        </w:rPr>
      </w:pPr>
      <w:r w:rsidRPr="007243F1">
        <w:rPr>
          <w:i/>
        </w:rPr>
        <w:t>Presentation of risk factors across categories</w:t>
      </w:r>
      <w:r w:rsidRPr="007243F1" w:rsidDel="00A16F38">
        <w:rPr>
          <w:i/>
        </w:rPr>
        <w:t xml:space="preserve"> </w:t>
      </w:r>
    </w:p>
    <w:p w14:paraId="2CAD9FD7" w14:textId="77777777" w:rsidR="007243F1" w:rsidRPr="007243F1" w:rsidRDefault="007243F1" w:rsidP="007243F1">
      <w:pPr>
        <w:rPr>
          <w:b/>
        </w:rPr>
      </w:pPr>
    </w:p>
    <w:p w14:paraId="2CAD9FD8"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Presentation of risk factors across categories? If not, please provide your reasoning.</w:t>
      </w:r>
    </w:p>
    <w:p w14:paraId="2CAD9FD9" w14:textId="77777777" w:rsidR="00EE53D1" w:rsidRDefault="00EE53D1" w:rsidP="00EE53D1">
      <w:pPr>
        <w:rPr>
          <w:rFonts w:cs="Arial"/>
        </w:rPr>
      </w:pPr>
      <w:r>
        <w:rPr>
          <w:rFonts w:cs="Arial"/>
        </w:rPr>
        <w:t>&lt;ESMA_QUESTION_GRF_6&gt;</w:t>
      </w:r>
    </w:p>
    <w:p w14:paraId="2CAD9FDA" w14:textId="5359FF26" w:rsidR="006B79C5" w:rsidRPr="002A1831" w:rsidRDefault="00A55819" w:rsidP="00206545">
      <w:pPr>
        <w:jc w:val="both"/>
        <w:rPr>
          <w:rFonts w:cs="Arial"/>
        </w:rPr>
      </w:pPr>
      <w:permStart w:id="1187085575" w:edGrp="everyone"/>
      <w:r>
        <w:rPr>
          <w:rFonts w:cs="Arial"/>
        </w:rPr>
        <w:t>The DDV welcomes ESMA's suggestion that risk factors be presented across categories</w:t>
      </w:r>
      <w:r w:rsidR="00F472D5" w:rsidRPr="002A1831">
        <w:rPr>
          <w:rFonts w:cs="Arial"/>
        </w:rPr>
        <w:t xml:space="preserve">. In this context, the DDV </w:t>
      </w:r>
      <w:r w:rsidR="00BD0E42" w:rsidRPr="002A1831">
        <w:rPr>
          <w:rFonts w:cs="Arial"/>
        </w:rPr>
        <w:t xml:space="preserve">appreciates the </w:t>
      </w:r>
      <w:r w:rsidR="00DF4647" w:rsidRPr="002A1831">
        <w:rPr>
          <w:rFonts w:cs="Arial"/>
        </w:rPr>
        <w:t>sample</w:t>
      </w:r>
      <w:r w:rsidR="00BD0E42" w:rsidRPr="002A1831">
        <w:rPr>
          <w:rFonts w:cs="Arial"/>
        </w:rPr>
        <w:t xml:space="preserve">s of </w:t>
      </w:r>
      <w:r w:rsidR="00DF4647" w:rsidRPr="002A1831">
        <w:rPr>
          <w:rFonts w:cs="Arial"/>
        </w:rPr>
        <w:t>categori</w:t>
      </w:r>
      <w:r w:rsidR="00BD0E42" w:rsidRPr="002A1831">
        <w:rPr>
          <w:rFonts w:cs="Arial"/>
        </w:rPr>
        <w:t>es outlined by ESMA</w:t>
      </w:r>
      <w:r w:rsidR="00F472D5" w:rsidRPr="002A1831">
        <w:rPr>
          <w:rFonts w:cs="Arial"/>
        </w:rPr>
        <w:t xml:space="preserve"> and understands that the categories included in a (base) prospectus will </w:t>
      </w:r>
      <w:r w:rsidR="007073D3" w:rsidRPr="002A1831">
        <w:rPr>
          <w:rFonts w:cs="Arial"/>
        </w:rPr>
        <w:t>in particular depend on the nature and business of the issuer and the product offered</w:t>
      </w:r>
      <w:r w:rsidRPr="002A1831">
        <w:rPr>
          <w:rFonts w:cs="Arial"/>
        </w:rPr>
        <w:t xml:space="preserve">. In particular, the DDV agrees that </w:t>
      </w:r>
      <w:r w:rsidR="00D90AF6" w:rsidRPr="002A1831">
        <w:rPr>
          <w:rFonts w:cs="Arial"/>
        </w:rPr>
        <w:t>the concept of categorisation</w:t>
      </w:r>
      <w:r w:rsidRPr="002A1831">
        <w:rPr>
          <w:rFonts w:cs="Arial"/>
        </w:rPr>
        <w:t xml:space="preserve"> would likely constitute a structural improvement, making it easier for investors to navigate (base) prospectuses and, therefore, ensuring that investors are better-placed to make informed investment decisions. The DDV notes that a number of issuers already structure</w:t>
      </w:r>
      <w:r w:rsidR="00F73C9E" w:rsidRPr="002A1831">
        <w:rPr>
          <w:rFonts w:cs="Arial"/>
        </w:rPr>
        <w:t>s</w:t>
      </w:r>
      <w:r w:rsidRPr="002A1831">
        <w:rPr>
          <w:rFonts w:cs="Arial"/>
        </w:rPr>
        <w:t xml:space="preserve"> the risk factors disclosed in their (base) prospectuses accordingly</w:t>
      </w:r>
      <w:r w:rsidR="006B79C5" w:rsidRPr="002A1831">
        <w:rPr>
          <w:rFonts w:cs="Arial"/>
        </w:rPr>
        <w:t xml:space="preserve"> and, therefore, ESMA's suggestion is in keeping with market practice.</w:t>
      </w:r>
    </w:p>
    <w:p w14:paraId="2CAD9FDD" w14:textId="63C3348A" w:rsidR="00A55819" w:rsidRDefault="00A55819" w:rsidP="00206545">
      <w:pPr>
        <w:jc w:val="both"/>
        <w:rPr>
          <w:rFonts w:cs="Arial"/>
        </w:rPr>
      </w:pPr>
    </w:p>
    <w:p w14:paraId="2CAD9FE0" w14:textId="245D055F" w:rsidR="006A713A" w:rsidRDefault="00DA5248" w:rsidP="00206545">
      <w:pPr>
        <w:jc w:val="both"/>
        <w:rPr>
          <w:rFonts w:cs="Arial"/>
        </w:rPr>
      </w:pPr>
      <w:r>
        <w:rPr>
          <w:rFonts w:cs="Arial"/>
        </w:rPr>
        <w:t xml:space="preserve">The DDV also agrees in principle with ESMA's proposal that the most material risk factors be presented first. </w:t>
      </w:r>
      <w:r w:rsidR="00A55819">
        <w:rPr>
          <w:rFonts w:cs="Arial"/>
        </w:rPr>
        <w:t xml:space="preserve">However, </w:t>
      </w:r>
      <w:r>
        <w:rPr>
          <w:rFonts w:cs="Arial"/>
        </w:rPr>
        <w:t xml:space="preserve">the DDV also wishes to draw ESMA's attention to one practical consideration </w:t>
      </w:r>
      <w:r w:rsidRPr="00A168BF">
        <w:rPr>
          <w:rFonts w:cs="Arial"/>
        </w:rPr>
        <w:t>and to request a further clarification</w:t>
      </w:r>
      <w:r>
        <w:rPr>
          <w:rFonts w:cs="Arial"/>
        </w:rPr>
        <w:t>:</w:t>
      </w:r>
      <w:r w:rsidR="00A168BF">
        <w:rPr>
          <w:rFonts w:cs="Arial"/>
        </w:rPr>
        <w:t xml:space="preserve"> </w:t>
      </w:r>
      <w:r>
        <w:rPr>
          <w:rFonts w:cs="Arial"/>
        </w:rPr>
        <w:t xml:space="preserve">When issuers are preparing (base) prospectuses in respect of a particular product or products, they should generally be in a position to assess what the most material risk factor in each category </w:t>
      </w:r>
      <w:r w:rsidR="00291A5F">
        <w:rPr>
          <w:rFonts w:cs="Arial"/>
        </w:rPr>
        <w:t xml:space="preserve">is </w:t>
      </w:r>
      <w:r>
        <w:rPr>
          <w:rFonts w:cs="Arial"/>
        </w:rPr>
        <w:t xml:space="preserve">and, in accordance with ESMA's proposed guidelines, place it at the beginning of the relevant section. </w:t>
      </w:r>
      <w:r w:rsidR="00AC341F">
        <w:rPr>
          <w:rFonts w:cs="Arial"/>
        </w:rPr>
        <w:t>The DDV is of the view that ESMA's draft guidelines sho</w:t>
      </w:r>
      <w:r w:rsidR="006A713A">
        <w:rPr>
          <w:rFonts w:cs="Arial"/>
        </w:rPr>
        <w:t>uld</w:t>
      </w:r>
      <w:r w:rsidR="00AC341F">
        <w:rPr>
          <w:rFonts w:cs="Arial"/>
        </w:rPr>
        <w:t xml:space="preserve"> under no circumstances be interpreted as requiring the sequential numbering of risk factors to reflect their relative decreasing risk weighting.</w:t>
      </w:r>
      <w:r w:rsidR="003959DC">
        <w:rPr>
          <w:rFonts w:cs="Arial"/>
        </w:rPr>
        <w:t xml:space="preserve"> That is especially relevant in circumstances where</w:t>
      </w:r>
      <w:r>
        <w:rPr>
          <w:rFonts w:cs="Arial"/>
        </w:rPr>
        <w:t xml:space="preserve">, during the period of validity of a (base) prospectus, </w:t>
      </w:r>
      <w:r w:rsidR="003959DC">
        <w:rPr>
          <w:rFonts w:cs="Arial"/>
        </w:rPr>
        <w:t xml:space="preserve">it is conceivable that </w:t>
      </w:r>
      <w:r>
        <w:rPr>
          <w:rFonts w:cs="Arial"/>
        </w:rPr>
        <w:t xml:space="preserve">new risks in connection with the product or products offered </w:t>
      </w:r>
      <w:r w:rsidR="00291A5F">
        <w:rPr>
          <w:rFonts w:cs="Arial"/>
        </w:rPr>
        <w:t xml:space="preserve">would </w:t>
      </w:r>
      <w:r>
        <w:rPr>
          <w:rFonts w:cs="Arial"/>
        </w:rPr>
        <w:t xml:space="preserve">become apparent and need be disclosed or that existing risks increase or decrease in materiality. </w:t>
      </w:r>
      <w:r w:rsidR="006A713A">
        <w:rPr>
          <w:rFonts w:cs="Arial"/>
        </w:rPr>
        <w:t>For example, unforeseen political disturbances in a jurisdiction could lead to increased volatility of the price of any equity-linked products which reference the shares of companies active in such jurisdiction.</w:t>
      </w:r>
    </w:p>
    <w:p w14:paraId="2CAD9FE1" w14:textId="77777777" w:rsidR="006A713A" w:rsidRDefault="006A713A" w:rsidP="00206545">
      <w:pPr>
        <w:jc w:val="both"/>
        <w:rPr>
          <w:rFonts w:cs="Arial"/>
        </w:rPr>
      </w:pPr>
    </w:p>
    <w:p w14:paraId="2CAD9FE8" w14:textId="728431DD" w:rsidR="001D116D" w:rsidRPr="009763A3" w:rsidRDefault="000B08FA" w:rsidP="00206545">
      <w:pPr>
        <w:jc w:val="both"/>
        <w:rPr>
          <w:rFonts w:cs="Arial"/>
          <w:strike/>
          <w:color w:val="FF0000"/>
        </w:rPr>
      </w:pPr>
      <w:r>
        <w:rPr>
          <w:rFonts w:cs="Arial"/>
        </w:rPr>
        <w:t xml:space="preserve">The DDV further welcomes and agrees with ESMA's considerations reflected in draft guidelines 9 and 10. In particular, the DDV strongly agrees that, in the context of multi-product base prospectuses, issuers should have ample flexibility to include such categories and sub-categories </w:t>
      </w:r>
      <w:r w:rsidR="00291A5F">
        <w:rPr>
          <w:rFonts w:cs="Arial"/>
        </w:rPr>
        <w:t xml:space="preserve">of risk factors </w:t>
      </w:r>
      <w:r>
        <w:rPr>
          <w:rFonts w:cs="Arial"/>
        </w:rPr>
        <w:t xml:space="preserve">as they consider appropriate to present the risks associated with investing in the relevant securities in a way which is most logical and easily understandable by investors and which would allow investors to make properly informed investment decisions. </w:t>
      </w:r>
      <w:r w:rsidR="00DD3E58" w:rsidRPr="002A1831">
        <w:rPr>
          <w:rFonts w:cs="Arial"/>
        </w:rPr>
        <w:t>In this context the DDV understand</w:t>
      </w:r>
      <w:r w:rsidR="0019609A">
        <w:rPr>
          <w:rFonts w:cs="Arial"/>
        </w:rPr>
        <w:t>s</w:t>
      </w:r>
      <w:bookmarkStart w:id="1" w:name="_GoBack"/>
      <w:bookmarkEnd w:id="1"/>
      <w:r w:rsidR="00DD3E58" w:rsidRPr="002A1831">
        <w:rPr>
          <w:rFonts w:cs="Arial"/>
        </w:rPr>
        <w:t xml:space="preserve"> that </w:t>
      </w:r>
      <w:r w:rsidR="00B4127F" w:rsidRPr="002A1831">
        <w:rPr>
          <w:rFonts w:cs="Arial"/>
        </w:rPr>
        <w:t xml:space="preserve">an </w:t>
      </w:r>
      <w:r w:rsidR="003E0902" w:rsidRPr="002A1831">
        <w:t xml:space="preserve">issuer </w:t>
      </w:r>
      <w:r w:rsidR="00DD3E58" w:rsidRPr="002A1831">
        <w:t>has the flexibility to freely arrange the sub-categories within each category</w:t>
      </w:r>
      <w:r w:rsidR="0019609A">
        <w:t xml:space="preserve"> i</w:t>
      </w:r>
      <w:r w:rsidR="000835AF" w:rsidRPr="002A1831">
        <w:t xml:space="preserve">n its </w:t>
      </w:r>
      <w:r w:rsidR="00A67EFE" w:rsidRPr="002A1831">
        <w:t>reasonable judgement</w:t>
      </w:r>
      <w:r w:rsidR="000835AF" w:rsidRPr="002A1831">
        <w:t>.</w:t>
      </w:r>
    </w:p>
    <w:permEnd w:id="1187085575"/>
    <w:p w14:paraId="2CAD9FE9" w14:textId="77777777" w:rsidR="00EE53D1" w:rsidRDefault="00EE53D1" w:rsidP="00EE53D1">
      <w:pPr>
        <w:rPr>
          <w:rFonts w:cs="Arial"/>
        </w:rPr>
      </w:pPr>
      <w:r>
        <w:rPr>
          <w:rFonts w:cs="Arial"/>
        </w:rPr>
        <w:t>&lt;ESMA_QUESTION_GRF_6&gt;</w:t>
      </w:r>
    </w:p>
    <w:p w14:paraId="2CAD9FEA" w14:textId="77777777" w:rsidR="00EE53D1" w:rsidRDefault="00EE53D1" w:rsidP="00EE53D1">
      <w:pPr>
        <w:rPr>
          <w:rFonts w:cs="Arial"/>
        </w:rPr>
      </w:pPr>
    </w:p>
    <w:p w14:paraId="2CAD9FEB" w14:textId="77777777" w:rsidR="00EE53D1" w:rsidRPr="00303C9E" w:rsidRDefault="00EE53D1" w:rsidP="00EE53D1">
      <w:pPr>
        <w:pStyle w:val="Questionstyle"/>
        <w:numPr>
          <w:ilvl w:val="0"/>
          <w:numId w:val="39"/>
        </w:numPr>
      </w:pPr>
      <w:r w:rsidRPr="00303C9E">
        <w:t>: Do you agree with that the number of categories to be included in a risk factor section, should not usually exceed 10? If not, please provide your reasoning.</w:t>
      </w:r>
    </w:p>
    <w:p w14:paraId="2CAD9FEC" w14:textId="77777777" w:rsidR="00EE53D1" w:rsidRDefault="00EE53D1" w:rsidP="00EE53D1">
      <w:pPr>
        <w:rPr>
          <w:rFonts w:cs="Arial"/>
        </w:rPr>
      </w:pPr>
      <w:r>
        <w:rPr>
          <w:rFonts w:cs="Arial"/>
        </w:rPr>
        <w:t>&lt;ESMA_QUESTION_GRF_7&gt;</w:t>
      </w:r>
    </w:p>
    <w:p w14:paraId="0DE4C6B6" w14:textId="0950965D" w:rsidR="00550246" w:rsidRPr="002A1831" w:rsidRDefault="006B79C5" w:rsidP="00206545">
      <w:pPr>
        <w:jc w:val="both"/>
        <w:rPr>
          <w:rFonts w:cs="Arial"/>
          <w:szCs w:val="20"/>
          <w:lang w:eastAsia="en-GB"/>
        </w:rPr>
      </w:pPr>
      <w:permStart w:id="912140418" w:edGrp="everyone"/>
      <w:r>
        <w:rPr>
          <w:rFonts w:cs="Arial"/>
          <w:szCs w:val="20"/>
          <w:lang w:eastAsia="en-GB"/>
        </w:rPr>
        <w:t xml:space="preserve">Although the DDV agrees that there are many instances where 10 categories of risk factors should be sufficient, the DDV also </w:t>
      </w:r>
      <w:r w:rsidRPr="001E77EF">
        <w:rPr>
          <w:rFonts w:cs="Arial"/>
          <w:szCs w:val="20"/>
          <w:lang w:eastAsia="en-GB"/>
        </w:rPr>
        <w:t>notes that such limitation may not be appropriate in all circumstances</w:t>
      </w:r>
      <w:r w:rsidR="00E72F93" w:rsidRPr="001E77EF">
        <w:rPr>
          <w:rFonts w:cs="Arial"/>
          <w:szCs w:val="20"/>
          <w:lang w:eastAsia="en-GB"/>
        </w:rPr>
        <w:t xml:space="preserve">. </w:t>
      </w:r>
      <w:r w:rsidR="00E72F93" w:rsidRPr="002A1831">
        <w:rPr>
          <w:rFonts w:cs="Arial"/>
          <w:szCs w:val="20"/>
          <w:lang w:eastAsia="en-GB"/>
        </w:rPr>
        <w:t xml:space="preserve">Rather, </w:t>
      </w:r>
      <w:r w:rsidR="00E72F93" w:rsidRPr="002A1831">
        <w:rPr>
          <w:rFonts w:cs="Arial"/>
          <w:szCs w:val="20"/>
          <w:lang w:val="en-US" w:eastAsia="en-GB"/>
        </w:rPr>
        <w:t xml:space="preserve">the </w:t>
      </w:r>
      <w:r w:rsidR="00BA58B9" w:rsidRPr="002A1831">
        <w:rPr>
          <w:rFonts w:cs="Arial"/>
          <w:szCs w:val="20"/>
          <w:lang w:val="en-US" w:eastAsia="en-GB"/>
        </w:rPr>
        <w:t>suitable amount of risk factor categories</w:t>
      </w:r>
      <w:r w:rsidR="00E72F93" w:rsidRPr="002A1831">
        <w:rPr>
          <w:rFonts w:cs="Arial"/>
          <w:szCs w:val="20"/>
          <w:lang w:val="en-US" w:eastAsia="en-GB"/>
        </w:rPr>
        <w:t xml:space="preserve"> </w:t>
      </w:r>
      <w:r w:rsidR="00276704" w:rsidRPr="002A1831">
        <w:rPr>
          <w:rFonts w:cs="Arial"/>
          <w:szCs w:val="20"/>
          <w:lang w:val="en-US" w:eastAsia="en-GB"/>
        </w:rPr>
        <w:t xml:space="preserve">should be determined </w:t>
      </w:r>
      <w:r w:rsidR="007B6548" w:rsidRPr="002A1831">
        <w:rPr>
          <w:rFonts w:cs="Arial"/>
          <w:szCs w:val="20"/>
          <w:lang w:val="en-US" w:eastAsia="en-GB"/>
        </w:rPr>
        <w:t xml:space="preserve">in accordance with the principle of proportionality and </w:t>
      </w:r>
      <w:r w:rsidR="00276704" w:rsidRPr="002A1831">
        <w:rPr>
          <w:rFonts w:cs="Arial"/>
          <w:szCs w:val="20"/>
          <w:lang w:val="en-US" w:eastAsia="en-GB"/>
        </w:rPr>
        <w:t xml:space="preserve">on a case-by-case basis.  </w:t>
      </w:r>
    </w:p>
    <w:p w14:paraId="0E8EF886" w14:textId="77777777" w:rsidR="00550246" w:rsidRPr="002A1831" w:rsidRDefault="00550246" w:rsidP="00206545">
      <w:pPr>
        <w:jc w:val="both"/>
        <w:rPr>
          <w:rFonts w:cs="Arial"/>
          <w:szCs w:val="20"/>
          <w:lang w:eastAsia="en-GB"/>
        </w:rPr>
      </w:pPr>
    </w:p>
    <w:p w14:paraId="2CAD9FF5" w14:textId="09F1A14B" w:rsidR="00EC2183" w:rsidRPr="002A1831" w:rsidRDefault="002D23D2" w:rsidP="00206545">
      <w:pPr>
        <w:jc w:val="both"/>
        <w:rPr>
          <w:rFonts w:cs="Arial"/>
          <w:szCs w:val="20"/>
          <w:lang w:eastAsia="en-GB"/>
        </w:rPr>
      </w:pPr>
      <w:r w:rsidRPr="002A1831">
        <w:rPr>
          <w:rFonts w:cs="Arial"/>
          <w:szCs w:val="20"/>
          <w:lang w:eastAsia="en-GB"/>
        </w:rPr>
        <w:t>In this context, the</w:t>
      </w:r>
      <w:r w:rsidR="006B79C5" w:rsidRPr="002A1831">
        <w:rPr>
          <w:rFonts w:cs="Arial"/>
          <w:szCs w:val="20"/>
          <w:lang w:eastAsia="en-GB"/>
        </w:rPr>
        <w:t xml:space="preserve"> DDV is of the view that, to ensure the most appropriate presentation of risk factors within a (base) prospectus – i.e., which is most logical and allows investors most easily to make informed </w:t>
      </w:r>
      <w:r w:rsidR="006B79C5" w:rsidRPr="001E77EF">
        <w:rPr>
          <w:rFonts w:cs="Arial"/>
          <w:szCs w:val="20"/>
          <w:lang w:eastAsia="en-GB"/>
        </w:rPr>
        <w:t>investment decisions – issuers should be given broad discretion</w:t>
      </w:r>
      <w:r w:rsidR="006B79C5">
        <w:rPr>
          <w:rFonts w:cs="Arial"/>
          <w:szCs w:val="20"/>
          <w:lang w:eastAsia="en-GB"/>
        </w:rPr>
        <w:t xml:space="preserve"> as to how they </w:t>
      </w:r>
      <w:r w:rsidR="00291A5F">
        <w:rPr>
          <w:rFonts w:cs="Arial"/>
          <w:szCs w:val="20"/>
          <w:lang w:eastAsia="en-GB"/>
        </w:rPr>
        <w:t>ca</w:t>
      </w:r>
      <w:r w:rsidR="006B79C5">
        <w:rPr>
          <w:rFonts w:cs="Arial"/>
          <w:szCs w:val="20"/>
          <w:lang w:eastAsia="en-GB"/>
        </w:rPr>
        <w:t xml:space="preserve">tegorise and disclose any </w:t>
      </w:r>
      <w:r w:rsidR="006B79C5">
        <w:rPr>
          <w:rFonts w:cs="Arial"/>
          <w:szCs w:val="20"/>
          <w:lang w:eastAsia="en-GB"/>
        </w:rPr>
        <w:lastRenderedPageBreak/>
        <w:t>relevant risk factors. In particular, limiting the number of categories could prevent issuers from fully and sufficiently emphasising that risk factors belonging to th</w:t>
      </w:r>
      <w:r w:rsidR="00EC2183">
        <w:rPr>
          <w:rFonts w:cs="Arial"/>
          <w:szCs w:val="20"/>
          <w:lang w:eastAsia="en-GB"/>
        </w:rPr>
        <w:t>e same</w:t>
      </w:r>
      <w:r w:rsidR="005918D6">
        <w:rPr>
          <w:rFonts w:cs="Arial"/>
          <w:szCs w:val="20"/>
          <w:lang w:eastAsia="en-GB"/>
        </w:rPr>
        <w:t xml:space="preserve"> category can be quite distinct.</w:t>
      </w:r>
    </w:p>
    <w:permEnd w:id="912140418"/>
    <w:p w14:paraId="2CAD9FF6" w14:textId="77777777" w:rsidR="00EE53D1" w:rsidRDefault="00EE53D1" w:rsidP="00EE53D1">
      <w:pPr>
        <w:rPr>
          <w:rFonts w:cs="Arial"/>
        </w:rPr>
      </w:pPr>
      <w:r>
        <w:rPr>
          <w:rFonts w:cs="Arial"/>
        </w:rPr>
        <w:t>&lt;ESMA_QUESTION_GRF_7&gt;</w:t>
      </w:r>
    </w:p>
    <w:p w14:paraId="2CAD9FF7" w14:textId="77777777" w:rsidR="007243F1" w:rsidRPr="007243F1" w:rsidRDefault="007243F1" w:rsidP="007243F1">
      <w:pPr>
        <w:rPr>
          <w:b/>
        </w:rPr>
      </w:pPr>
    </w:p>
    <w:p w14:paraId="2CAD9FF8" w14:textId="77777777" w:rsidR="007243F1" w:rsidRPr="007243F1" w:rsidRDefault="007243F1" w:rsidP="007243F1">
      <w:pPr>
        <w:rPr>
          <w:i/>
        </w:rPr>
      </w:pPr>
      <w:r w:rsidRPr="007243F1">
        <w:rPr>
          <w:i/>
        </w:rPr>
        <w:t>Focused/concise risk factors</w:t>
      </w:r>
    </w:p>
    <w:p w14:paraId="2CAD9FF9" w14:textId="77777777" w:rsidR="007243F1" w:rsidRPr="007243F1" w:rsidRDefault="007243F1" w:rsidP="007243F1">
      <w:pPr>
        <w:rPr>
          <w:b/>
        </w:rPr>
      </w:pPr>
    </w:p>
    <w:p w14:paraId="2CAD9FFA" w14:textId="77777777"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focused/concise risk factors? If not, please provide your reasoning.</w:t>
      </w:r>
    </w:p>
    <w:p w14:paraId="2CAD9FFB" w14:textId="77777777" w:rsidR="00EE53D1" w:rsidRDefault="00EE53D1" w:rsidP="00EE53D1">
      <w:pPr>
        <w:rPr>
          <w:rFonts w:cs="Arial"/>
        </w:rPr>
      </w:pPr>
      <w:r>
        <w:rPr>
          <w:rFonts w:cs="Arial"/>
        </w:rPr>
        <w:t>&lt;ESMA_QUESTION_GRF_8&gt;</w:t>
      </w:r>
    </w:p>
    <w:p w14:paraId="6DE4903F" w14:textId="196E15D4" w:rsidR="00062881" w:rsidRPr="002A1831" w:rsidRDefault="009B0264" w:rsidP="00062881">
      <w:pPr>
        <w:jc w:val="both"/>
        <w:rPr>
          <w:rFonts w:cs="Arial"/>
          <w:sz w:val="22"/>
          <w:szCs w:val="22"/>
          <w:lang w:val="en-US" w:eastAsia="en-GB"/>
        </w:rPr>
      </w:pPr>
      <w:permStart w:id="797076928" w:edGrp="everyone"/>
      <w:r w:rsidRPr="002A1831">
        <w:rPr>
          <w:rFonts w:cs="Arial"/>
        </w:rPr>
        <w:t xml:space="preserve">The DDV agrees with the principle reflected in ESMA's guidelines that any risk factors disclosed should be focused and concise. However, the DDV also wishes to reiterate its view </w:t>
      </w:r>
      <w:r w:rsidR="00216857" w:rsidRPr="002A1831">
        <w:rPr>
          <w:rFonts w:cs="Arial"/>
        </w:rPr>
        <w:t>that, in light of the different national prospectus liability regimes to which issuers could be subject, it should be open to issuers to disclose all risk factors which they consider to be material with respect to a particular product. In that regard, a determination by a Member State's national competent authority (in addition to the Issuer's determination) of what are sufficiently</w:t>
      </w:r>
      <w:r w:rsidR="0017458B" w:rsidRPr="002A1831">
        <w:rPr>
          <w:rFonts w:cs="Arial"/>
        </w:rPr>
        <w:t xml:space="preserve"> </w:t>
      </w:r>
      <w:r w:rsidR="00216857" w:rsidRPr="002A1831">
        <w:rPr>
          <w:rFonts w:cs="Arial"/>
        </w:rPr>
        <w:t>"</w:t>
      </w:r>
      <w:r w:rsidR="0017458B" w:rsidRPr="002A1831">
        <w:t>focused/concise" risk factors</w:t>
      </w:r>
      <w:r w:rsidR="0017458B" w:rsidRPr="002A1831">
        <w:rPr>
          <w:rFonts w:cs="Arial"/>
        </w:rPr>
        <w:t xml:space="preserve"> </w:t>
      </w:r>
      <w:r w:rsidR="00216857" w:rsidRPr="002A1831">
        <w:rPr>
          <w:rFonts w:cs="Arial"/>
        </w:rPr>
        <w:t xml:space="preserve">– and a corresponding request by such national competent authority that certain risk factors be modified and/or deleted – could increase the issuer's risk of prospectus liability in another Member State whose national competent authority takes a different view of </w:t>
      </w:r>
      <w:r w:rsidR="00062881" w:rsidRPr="002A1831">
        <w:rPr>
          <w:rFonts w:cs="Arial"/>
        </w:rPr>
        <w:t>such</w:t>
      </w:r>
      <w:r w:rsidR="00216857" w:rsidRPr="002A1831">
        <w:rPr>
          <w:rFonts w:cs="Arial"/>
        </w:rPr>
        <w:t xml:space="preserve"> sufficiency</w:t>
      </w:r>
      <w:r w:rsidR="00062881" w:rsidRPr="002A1831">
        <w:rPr>
          <w:rFonts w:cs="Arial"/>
        </w:rPr>
        <w:t>.</w:t>
      </w:r>
    </w:p>
    <w:p w14:paraId="678B85E8" w14:textId="77777777" w:rsidR="00062881" w:rsidRPr="002A1831" w:rsidRDefault="00062881" w:rsidP="00206545">
      <w:pPr>
        <w:jc w:val="both"/>
        <w:rPr>
          <w:rFonts w:cs="Arial"/>
          <w:lang w:val="en-US"/>
        </w:rPr>
      </w:pPr>
    </w:p>
    <w:p w14:paraId="536505C2" w14:textId="39477F61" w:rsidR="00354D42" w:rsidRPr="0039182F" w:rsidRDefault="00337458" w:rsidP="00206545">
      <w:pPr>
        <w:jc w:val="both"/>
        <w:rPr>
          <w:rFonts w:cs="Arial"/>
          <w:strike/>
          <w:color w:val="FF0000"/>
        </w:rPr>
      </w:pPr>
      <w:r w:rsidRPr="002A1831">
        <w:rPr>
          <w:rFonts w:cs="Arial"/>
        </w:rPr>
        <w:t>In addition</w:t>
      </w:r>
      <w:r w:rsidR="009B0264" w:rsidRPr="002A1831">
        <w:rPr>
          <w:rFonts w:cs="Arial"/>
        </w:rPr>
        <w:t xml:space="preserve">, where issuers </w:t>
      </w:r>
      <w:r w:rsidR="009B0264">
        <w:rPr>
          <w:rFonts w:cs="Arial"/>
        </w:rPr>
        <w:t>prepare multi-product (base) prospectuses, they would, almost by default, include a greater number of risk factors to ensure adequate disclosure of all material risk factors relevant to a particular product and, accordingly, enable investors to make properly and fully informed investment decisions.</w:t>
      </w:r>
    </w:p>
    <w:permEnd w:id="797076928"/>
    <w:p w14:paraId="2CAD9FFF" w14:textId="77777777" w:rsidR="00EE53D1" w:rsidRDefault="00EE53D1" w:rsidP="00EE53D1">
      <w:pPr>
        <w:rPr>
          <w:rFonts w:cs="Arial"/>
        </w:rPr>
      </w:pPr>
      <w:r>
        <w:rPr>
          <w:rFonts w:cs="Arial"/>
        </w:rPr>
        <w:t>&lt;ESMA_QUESTION_GRF_8&gt;</w:t>
      </w:r>
    </w:p>
    <w:p w14:paraId="2CADA000" w14:textId="77777777" w:rsidR="007243F1" w:rsidRPr="007243F1" w:rsidRDefault="007243F1" w:rsidP="007243F1">
      <w:pPr>
        <w:rPr>
          <w:b/>
        </w:rPr>
      </w:pPr>
    </w:p>
    <w:p w14:paraId="2CADA001" w14:textId="77777777" w:rsidR="007243F1" w:rsidRPr="007243F1" w:rsidRDefault="007243F1" w:rsidP="007243F1">
      <w:pPr>
        <w:rPr>
          <w:i/>
        </w:rPr>
      </w:pPr>
      <w:r w:rsidRPr="007243F1">
        <w:rPr>
          <w:i/>
        </w:rPr>
        <w:t>Summary</w:t>
      </w:r>
    </w:p>
    <w:p w14:paraId="2CADA002" w14:textId="77777777" w:rsidR="007243F1" w:rsidRPr="007243F1" w:rsidRDefault="007243F1" w:rsidP="007243F1">
      <w:pPr>
        <w:rPr>
          <w:b/>
        </w:rPr>
      </w:pPr>
    </w:p>
    <w:p w14:paraId="2CADA003" w14:textId="77777777" w:rsidR="00EE53D1" w:rsidRPr="00277C86" w:rsidRDefault="00EE53D1" w:rsidP="00EE53D1">
      <w:pPr>
        <w:pStyle w:val="Questionstyle"/>
        <w:numPr>
          <w:ilvl w:val="0"/>
          <w:numId w:val="39"/>
        </w:numPr>
      </w:pPr>
      <w:r w:rsidRPr="00303C9E">
        <w:t>: D</w:t>
      </w:r>
      <w:r w:rsidR="007303AD">
        <w:t>o you agree with the suggested draft</w:t>
      </w:r>
      <w:r w:rsidRPr="00303C9E">
        <w:t xml:space="preserve"> guideline on risk factors in the summary? If not, please provide your reasoning.</w:t>
      </w:r>
    </w:p>
    <w:p w14:paraId="2CADA004" w14:textId="77777777" w:rsidR="00EE53D1" w:rsidRDefault="00EE53D1" w:rsidP="00EE53D1">
      <w:pPr>
        <w:rPr>
          <w:rFonts w:cs="Arial"/>
        </w:rPr>
      </w:pPr>
      <w:r>
        <w:rPr>
          <w:rFonts w:cs="Arial"/>
        </w:rPr>
        <w:t>&lt;ESMA_QUESTION_GRF_9&gt;</w:t>
      </w:r>
    </w:p>
    <w:p w14:paraId="2CADA009" w14:textId="6958EC00" w:rsidR="004E672D" w:rsidRPr="002A1831" w:rsidRDefault="002E73A8" w:rsidP="004E672D">
      <w:pPr>
        <w:jc w:val="both"/>
        <w:rPr>
          <w:rFonts w:cs="Arial"/>
        </w:rPr>
      </w:pPr>
      <w:permStart w:id="1497187234" w:edGrp="everyone"/>
      <w:r>
        <w:rPr>
          <w:rFonts w:cs="Arial"/>
        </w:rPr>
        <w:t xml:space="preserve">The DDV welcomes and generally agrees with ESMA's proposed approach as reflected in the draft guidelines. </w:t>
      </w:r>
      <w:r w:rsidR="006761B9">
        <w:rPr>
          <w:rFonts w:cs="Arial"/>
        </w:rPr>
        <w:t xml:space="preserve">Further, the DDV notes that, in the German market, issuers already tend to ensure </w:t>
      </w:r>
      <w:r w:rsidR="004E672D">
        <w:rPr>
          <w:rFonts w:cs="Arial"/>
        </w:rPr>
        <w:t xml:space="preserve">relative </w:t>
      </w:r>
      <w:r w:rsidR="006761B9">
        <w:rPr>
          <w:rFonts w:cs="Arial"/>
        </w:rPr>
        <w:t>consistency of presentation between the risk factors in the summary and in the main body of the prospectus.</w:t>
      </w:r>
      <w:r w:rsidR="004E672D" w:rsidRPr="001528EE">
        <w:rPr>
          <w:rFonts w:cs="Arial"/>
          <w:strike/>
          <w:color w:val="FF0000"/>
        </w:rPr>
        <w:t xml:space="preserve"> </w:t>
      </w:r>
    </w:p>
    <w:permEnd w:id="1497187234"/>
    <w:p w14:paraId="2CADA00A" w14:textId="77777777" w:rsidR="00EE53D1" w:rsidRDefault="00EE53D1" w:rsidP="00EE53D1">
      <w:pPr>
        <w:rPr>
          <w:rFonts w:cs="Arial"/>
        </w:rPr>
      </w:pPr>
      <w:r>
        <w:rPr>
          <w:rFonts w:cs="Arial"/>
        </w:rPr>
        <w:t>&lt;ESMA_QUESTION_GRF_9&gt;</w:t>
      </w:r>
    </w:p>
    <w:p w14:paraId="2CADA00B" w14:textId="77777777" w:rsidR="007243F1" w:rsidRPr="007243F1" w:rsidRDefault="007243F1" w:rsidP="007243F1">
      <w:pPr>
        <w:rPr>
          <w:b/>
        </w:rPr>
      </w:pPr>
    </w:p>
    <w:p w14:paraId="2CADA00C" w14:textId="77777777" w:rsidR="007243F1" w:rsidRPr="007243F1" w:rsidRDefault="007243F1" w:rsidP="007243F1">
      <w:pPr>
        <w:rPr>
          <w:i/>
        </w:rPr>
      </w:pPr>
      <w:r w:rsidRPr="007243F1">
        <w:rPr>
          <w:i/>
        </w:rPr>
        <w:t>General</w:t>
      </w:r>
    </w:p>
    <w:p w14:paraId="2CADA00D" w14:textId="77777777" w:rsidR="007243F1" w:rsidRPr="007243F1" w:rsidRDefault="007243F1" w:rsidP="007243F1">
      <w:pPr>
        <w:rPr>
          <w:b/>
        </w:rPr>
      </w:pPr>
    </w:p>
    <w:p w14:paraId="2CADA00E" w14:textId="77777777" w:rsidR="00EE53D1" w:rsidRPr="00277C86" w:rsidRDefault="00EE53D1" w:rsidP="00EE53D1">
      <w:pPr>
        <w:pStyle w:val="Questionstyle"/>
        <w:numPr>
          <w:ilvl w:val="0"/>
          <w:numId w:val="39"/>
        </w:numPr>
      </w:pPr>
      <w:r w:rsidRPr="00303C9E">
        <w:t xml:space="preserve">: </w:t>
      </w:r>
      <w:r w:rsidR="007303AD">
        <w:t>Do you agree with the proposed draft</w:t>
      </w:r>
      <w:r w:rsidRPr="00303C9E">
        <w:t xml:space="preserve"> guidelines? Have you any furt</w:t>
      </w:r>
      <w:r w:rsidR="007303AD">
        <w:t>her suggestions with regard to draft</w:t>
      </w:r>
      <w:r w:rsidRPr="00303C9E">
        <w:t xml:space="preserve"> guidelines addressing a particular section or the guidelines in general?</w:t>
      </w:r>
    </w:p>
    <w:p w14:paraId="2CADA00F" w14:textId="77777777" w:rsidR="00EE53D1" w:rsidRDefault="00EE53D1" w:rsidP="00EE53D1">
      <w:pPr>
        <w:rPr>
          <w:rFonts w:cs="Arial"/>
        </w:rPr>
      </w:pPr>
      <w:r>
        <w:rPr>
          <w:rFonts w:cs="Arial"/>
        </w:rPr>
        <w:t>&lt;ESMA_QUESTION_GRF_10&gt;</w:t>
      </w:r>
    </w:p>
    <w:p w14:paraId="7DEB2EEF" w14:textId="28F772D4" w:rsidR="00C7390D" w:rsidRPr="0019609A" w:rsidRDefault="00D83F66" w:rsidP="00C66651">
      <w:pPr>
        <w:jc w:val="both"/>
        <w:rPr>
          <w:rFonts w:cs="Arial"/>
        </w:rPr>
      </w:pPr>
      <w:permStart w:id="1005860221" w:edGrp="everyone"/>
      <w:r w:rsidRPr="0019609A">
        <w:rPr>
          <w:rFonts w:cs="Arial"/>
        </w:rPr>
        <w:t xml:space="preserve">The DDV is </w:t>
      </w:r>
      <w:r w:rsidR="00C62711" w:rsidRPr="0019609A">
        <w:rPr>
          <w:rFonts w:cs="Arial"/>
        </w:rPr>
        <w:t>highly</w:t>
      </w:r>
      <w:r w:rsidRPr="0019609A">
        <w:rPr>
          <w:rFonts w:cs="Arial"/>
        </w:rPr>
        <w:t xml:space="preserve"> concerned</w:t>
      </w:r>
      <w:r w:rsidR="00C62711" w:rsidRPr="0019609A">
        <w:rPr>
          <w:rFonts w:cs="Arial"/>
        </w:rPr>
        <w:t xml:space="preserve"> </w:t>
      </w:r>
      <w:r w:rsidR="0086704B" w:rsidRPr="0019609A">
        <w:rPr>
          <w:rFonts w:cs="Arial"/>
        </w:rPr>
        <w:t xml:space="preserve">that allowing national competent authorities unfettered discretion to determine what are and what are not the "material" risk factors in the context of a particular product could unfortunately result in national competent authorities </w:t>
      </w:r>
      <w:r w:rsidR="0086704B" w:rsidRPr="0019609A">
        <w:t>not only actively engage and challenge the risk factors included in (base) prospectuses, but to actually almost block the (prospectus) approval process where it does not fully agree with the issuer's risk assessment</w:t>
      </w:r>
      <w:r w:rsidR="00C7390D" w:rsidRPr="0019609A">
        <w:rPr>
          <w:rFonts w:cs="Arial"/>
        </w:rPr>
        <w:t xml:space="preserve">. </w:t>
      </w:r>
      <w:r w:rsidR="00C7390D" w:rsidRPr="0019609A">
        <w:t>In this context, the DDV wishes to caution ESMA against the risk that national competent authorities in the various Member States could interpret ESMA's guidance to challenge the risk factors included in (base) prospectuses as a requirement to even challenge the benefit of a structured product for investors as a whole (e.g. the benefit of complex credit linked notes for retail investors), rather than focusing on appropriate risk disclosure), resulting an in a substantive</w:t>
      </w:r>
      <w:r w:rsidR="00C7390D" w:rsidRPr="0019609A">
        <w:rPr>
          <w:rFonts w:cs="Arial"/>
        </w:rPr>
        <w:t xml:space="preserve"> "product approval / suitability" test (i.e., the notion of a "quality label") based on such competent authorities' understanding of the relevant products</w:t>
      </w:r>
      <w:r w:rsidR="00930EC8" w:rsidRPr="0019609A">
        <w:rPr>
          <w:rFonts w:cs="Arial"/>
        </w:rPr>
        <w:t>.</w:t>
      </w:r>
    </w:p>
    <w:p w14:paraId="31BB00A3" w14:textId="77777777" w:rsidR="00C7390D" w:rsidRPr="0019609A" w:rsidRDefault="00C7390D" w:rsidP="00C66651">
      <w:pPr>
        <w:jc w:val="both"/>
        <w:rPr>
          <w:rFonts w:cs="Arial"/>
        </w:rPr>
      </w:pPr>
    </w:p>
    <w:p w14:paraId="66AFC61F" w14:textId="344FD182" w:rsidR="0086704B" w:rsidRPr="0019609A" w:rsidRDefault="0086704B" w:rsidP="00C66651">
      <w:pPr>
        <w:jc w:val="both"/>
      </w:pPr>
      <w:r w:rsidRPr="0019609A">
        <w:rPr>
          <w:rFonts w:cs="Arial"/>
        </w:rPr>
        <w:lastRenderedPageBreak/>
        <w:t>Although that is less of an issue in the context of vanilla products, the DDV very respectfully notes that, for structured products and, in particular, for structured products whose (anticipated) performance is based on complex economic models and analysis, the issuer(s) of such products would generally be much better placed than a national competent authority – in terms of the time and resources available to it to carry out the relevant analysis – to assess the "materiality" of any risk factors in connection with such products. The DDV is therefore concerned that allowing such very wide discretion to national competent authorities could have the unforeseen result of unequal treatment by national competent authorities of the (base) prospectuses relating to, in particular, structured products when compared to (base) prospectuses relating to vanilla products.</w:t>
      </w:r>
    </w:p>
    <w:p w14:paraId="3CB8B351" w14:textId="10493BC8" w:rsidR="00982049" w:rsidRPr="0019609A" w:rsidRDefault="00982049" w:rsidP="00EE53D1">
      <w:pPr>
        <w:rPr>
          <w:rFonts w:cs="Arial"/>
        </w:rPr>
      </w:pPr>
    </w:p>
    <w:p w14:paraId="5C21572C" w14:textId="245BDC76" w:rsidR="002846A6" w:rsidRPr="0019609A" w:rsidRDefault="00982049" w:rsidP="00DD34CA">
      <w:pPr>
        <w:jc w:val="both"/>
        <w:rPr>
          <w:rFonts w:cs="Arial"/>
        </w:rPr>
      </w:pPr>
      <w:r w:rsidRPr="0019609A">
        <w:rPr>
          <w:rFonts w:cs="Arial"/>
        </w:rPr>
        <w:t>In addition</w:t>
      </w:r>
      <w:r w:rsidR="00957922" w:rsidRPr="0019609A">
        <w:rPr>
          <w:rFonts w:cs="Arial"/>
        </w:rPr>
        <w:t xml:space="preserve">, the DDV </w:t>
      </w:r>
      <w:r w:rsidR="00957922" w:rsidRPr="0019609A">
        <w:t xml:space="preserve">also wishes to </w:t>
      </w:r>
      <w:r w:rsidR="00923554" w:rsidRPr="0019609A">
        <w:t>highlight the</w:t>
      </w:r>
      <w:r w:rsidR="00923554" w:rsidRPr="0019609A">
        <w:rPr>
          <w:rFonts w:cs="Arial"/>
        </w:rPr>
        <w:t xml:space="preserve"> </w:t>
      </w:r>
      <w:r w:rsidRPr="0019609A">
        <w:rPr>
          <w:rFonts w:cs="Arial"/>
        </w:rPr>
        <w:t>increased risk of prospectus liability for issuers as a result of differing approaches to the vetting of risk factors by different national competent authorities</w:t>
      </w:r>
      <w:r w:rsidR="002846A6" w:rsidRPr="0019609A">
        <w:rPr>
          <w:rFonts w:cs="Arial"/>
        </w:rPr>
        <w:t>.</w:t>
      </w:r>
      <w:r w:rsidR="00457998" w:rsidRPr="0019609A">
        <w:rPr>
          <w:rFonts w:cs="Arial"/>
        </w:rPr>
        <w:t xml:space="preserve"> The DDV considers that this greater prospectus liability risk for issuer's would not be conducive to investor protection and that ESMA should therefore expressly clarify that national competent authorities should not apply a "product approval / suitability" test when vetting the risk factors in (base) prospectuses.</w:t>
      </w:r>
    </w:p>
    <w:p w14:paraId="1426D0E2" w14:textId="77777777" w:rsidR="002846A6" w:rsidRPr="0019609A" w:rsidRDefault="002846A6" w:rsidP="00DD34CA">
      <w:pPr>
        <w:jc w:val="both"/>
        <w:rPr>
          <w:rFonts w:cs="Arial"/>
        </w:rPr>
      </w:pPr>
    </w:p>
    <w:p w14:paraId="2C3D7EAD" w14:textId="027F6B37" w:rsidR="007E4B05" w:rsidRDefault="002846A6" w:rsidP="00307912">
      <w:pPr>
        <w:jc w:val="both"/>
        <w:rPr>
          <w:rFonts w:cs="Arial"/>
        </w:rPr>
      </w:pPr>
      <w:r w:rsidRPr="0019609A">
        <w:rPr>
          <w:rFonts w:cs="Arial"/>
        </w:rPr>
        <w:t xml:space="preserve">Finally, </w:t>
      </w:r>
      <w:r w:rsidR="006C1714" w:rsidRPr="0019609A">
        <w:rPr>
          <w:rFonts w:cs="Arial"/>
        </w:rPr>
        <w:t xml:space="preserve">the DDV </w:t>
      </w:r>
      <w:r w:rsidR="00CF157D" w:rsidRPr="0019609A">
        <w:rPr>
          <w:rFonts w:cs="Arial"/>
        </w:rPr>
        <w:t xml:space="preserve">highly </w:t>
      </w:r>
      <w:r w:rsidR="003D683F" w:rsidRPr="0019609A">
        <w:rPr>
          <w:rFonts w:cs="Arial"/>
        </w:rPr>
        <w:t>appreciates</w:t>
      </w:r>
      <w:r w:rsidR="00CF157D" w:rsidRPr="0019609A">
        <w:rPr>
          <w:rFonts w:cs="Arial"/>
        </w:rPr>
        <w:t xml:space="preserve"> that ESMA has</w:t>
      </w:r>
      <w:r w:rsidR="00D65CE3" w:rsidRPr="0019609A">
        <w:rPr>
          <w:rFonts w:cs="Arial"/>
        </w:rPr>
        <w:t xml:space="preserve"> </w:t>
      </w:r>
      <w:r w:rsidR="00604011" w:rsidRPr="0019609A">
        <w:rPr>
          <w:rFonts w:cs="Arial"/>
        </w:rPr>
        <w:t xml:space="preserve">made effort to </w:t>
      </w:r>
      <w:r w:rsidR="00D65CE3" w:rsidRPr="0019609A">
        <w:rPr>
          <w:rFonts w:cs="Arial"/>
        </w:rPr>
        <w:t xml:space="preserve">also reflected the specifics of </w:t>
      </w:r>
      <w:r w:rsidR="006C1714" w:rsidRPr="0019609A">
        <w:rPr>
          <w:rFonts w:cs="Arial"/>
        </w:rPr>
        <w:t>multi-product base prospectuses</w:t>
      </w:r>
      <w:r w:rsidR="00604011" w:rsidRPr="0019609A">
        <w:rPr>
          <w:rFonts w:cs="Arial"/>
        </w:rPr>
        <w:t xml:space="preserve"> in its draft guidelines</w:t>
      </w:r>
      <w:r w:rsidR="00D65CE3" w:rsidRPr="0019609A">
        <w:rPr>
          <w:rFonts w:cs="Arial"/>
        </w:rPr>
        <w:t xml:space="preserve">, but at the same time </w:t>
      </w:r>
      <w:r w:rsidR="00E92C82" w:rsidRPr="0019609A">
        <w:rPr>
          <w:rFonts w:cs="Arial"/>
        </w:rPr>
        <w:t>recognises</w:t>
      </w:r>
      <w:r w:rsidR="00415BD2" w:rsidRPr="0019609A">
        <w:rPr>
          <w:rFonts w:cs="Arial"/>
        </w:rPr>
        <w:t xml:space="preserve"> that </w:t>
      </w:r>
      <w:r w:rsidR="004611B3" w:rsidRPr="0019609A">
        <w:rPr>
          <w:rFonts w:cs="Arial"/>
        </w:rPr>
        <w:t>an even deeper reflection o</w:t>
      </w:r>
      <w:r w:rsidR="00480811" w:rsidRPr="0019609A">
        <w:rPr>
          <w:rFonts w:cs="Arial"/>
        </w:rPr>
        <w:t>f</w:t>
      </w:r>
      <w:r w:rsidR="004611B3" w:rsidRPr="0019609A">
        <w:rPr>
          <w:rFonts w:cs="Arial"/>
        </w:rPr>
        <w:t xml:space="preserve">, e.g, the </w:t>
      </w:r>
      <w:r w:rsidR="00E92C82" w:rsidRPr="0019609A">
        <w:rPr>
          <w:rFonts w:cs="Arial"/>
        </w:rPr>
        <w:t>corroboration of specificity and materiality</w:t>
      </w:r>
      <w:r w:rsidR="004611B3" w:rsidRPr="0019609A">
        <w:rPr>
          <w:rFonts w:cs="Arial"/>
        </w:rPr>
        <w:t xml:space="preserve"> in case of a multi-product base prospectus</w:t>
      </w:r>
      <w:r w:rsidR="00C65312" w:rsidRPr="0019609A">
        <w:rPr>
          <w:rFonts w:cs="Arial"/>
        </w:rPr>
        <w:t xml:space="preserve"> would be helpful for issuer</w:t>
      </w:r>
      <w:r w:rsidR="00307912" w:rsidRPr="0019609A">
        <w:rPr>
          <w:rFonts w:cs="Arial"/>
        </w:rPr>
        <w:t>s</w:t>
      </w:r>
      <w:r w:rsidR="009F4CD7" w:rsidRPr="0019609A">
        <w:rPr>
          <w:rFonts w:cs="Arial"/>
        </w:rPr>
        <w:t xml:space="preserve"> </w:t>
      </w:r>
      <w:r w:rsidR="00480811" w:rsidRPr="0019609A">
        <w:rPr>
          <w:rFonts w:cs="Arial"/>
        </w:rPr>
        <w:t xml:space="preserve">in </w:t>
      </w:r>
      <w:r w:rsidR="007E4B05" w:rsidRPr="0019609A">
        <w:rPr>
          <w:rFonts w:cs="Arial"/>
        </w:rPr>
        <w:t>making it easier for investors to navigate (base) prospectuses and, therefore, ensuring that investors are better-placed to make informed investment decisions</w:t>
      </w:r>
      <w:r w:rsidR="007E4B05" w:rsidRPr="002A1831">
        <w:rPr>
          <w:rFonts w:cs="Arial"/>
        </w:rPr>
        <w:t>.</w:t>
      </w:r>
    </w:p>
    <w:permEnd w:id="1005860221"/>
    <w:p w14:paraId="2CADA011" w14:textId="77777777" w:rsidR="00EE53D1" w:rsidRDefault="00EE53D1" w:rsidP="00EE53D1">
      <w:pPr>
        <w:rPr>
          <w:rFonts w:cs="Arial"/>
        </w:rPr>
      </w:pPr>
      <w:r>
        <w:rPr>
          <w:rFonts w:cs="Arial"/>
        </w:rPr>
        <w:t>&lt;ESMA_QUESTION_GRF_10&gt;</w:t>
      </w:r>
    </w:p>
    <w:p w14:paraId="2CADA012" w14:textId="77777777" w:rsidR="00EE53D1" w:rsidRDefault="00EE53D1" w:rsidP="00EE53D1">
      <w:pPr>
        <w:rPr>
          <w:rFonts w:cs="Arial"/>
        </w:rPr>
      </w:pPr>
    </w:p>
    <w:p w14:paraId="2CADA013" w14:textId="77777777" w:rsidR="00EE53D1" w:rsidRPr="00277C86" w:rsidRDefault="00EE53D1" w:rsidP="00EE53D1">
      <w:pPr>
        <w:pStyle w:val="Questionstyle"/>
        <w:numPr>
          <w:ilvl w:val="0"/>
          <w:numId w:val="39"/>
        </w:numPr>
      </w:pPr>
      <w:r w:rsidRPr="00303C9E">
        <w:t>: Do you believe that market participants will bear any additional cost as an in</w:t>
      </w:r>
      <w:r w:rsidR="007303AD">
        <w:t>direct effect of the suggested draft</w:t>
      </w:r>
      <w:r w:rsidRPr="00303C9E">
        <w:t xml:space="preserve"> guidelines? If yes, please indicate the nature of such costs and provide an estimation.</w:t>
      </w:r>
    </w:p>
    <w:p w14:paraId="2CADA014" w14:textId="77777777" w:rsidR="00EE53D1" w:rsidRDefault="00EE53D1" w:rsidP="00EE53D1">
      <w:pPr>
        <w:rPr>
          <w:rFonts w:cs="Arial"/>
        </w:rPr>
      </w:pPr>
      <w:r>
        <w:rPr>
          <w:rFonts w:cs="Arial"/>
        </w:rPr>
        <w:t>&lt;ESMA_QUESTION_GRF_11&gt;</w:t>
      </w:r>
    </w:p>
    <w:p w14:paraId="2CADA017" w14:textId="650E5804" w:rsidR="00EE53D1" w:rsidRPr="002A1831" w:rsidRDefault="000275A9" w:rsidP="00AE683C">
      <w:pPr>
        <w:jc w:val="both"/>
        <w:rPr>
          <w:rFonts w:cs="Arial"/>
        </w:rPr>
      </w:pPr>
      <w:permStart w:id="2037137351" w:edGrp="everyone"/>
      <w:r w:rsidRPr="002A1831">
        <w:rPr>
          <w:rFonts w:cs="Arial"/>
        </w:rPr>
        <w:t xml:space="preserve">In the DDV's view, the application of the suggested draft guidelines by the national competent authorities might even result in significant </w:t>
      </w:r>
      <w:r w:rsidR="00291A5F" w:rsidRPr="002A1831">
        <w:rPr>
          <w:rFonts w:cs="Arial"/>
        </w:rPr>
        <w:t>additional costs to issuers</w:t>
      </w:r>
      <w:r w:rsidR="002700C1" w:rsidRPr="002A1831">
        <w:rPr>
          <w:rFonts w:cs="Arial"/>
        </w:rPr>
        <w:t xml:space="preserve">, e.g. </w:t>
      </w:r>
      <w:r w:rsidR="00291A5F" w:rsidRPr="002A1831">
        <w:rPr>
          <w:rFonts w:cs="Arial"/>
        </w:rPr>
        <w:t xml:space="preserve">in case issuers are required to edit and adapt risk factors in connection with a relevant issuer which are based on the financial statements of such issuer and which may have to be modified to be made more product-specific. </w:t>
      </w:r>
      <w:r w:rsidR="00AE683C" w:rsidRPr="002A1831">
        <w:rPr>
          <w:rFonts w:cs="Arial"/>
        </w:rPr>
        <w:t xml:space="preserve">In </w:t>
      </w:r>
      <w:r w:rsidR="007F3F15" w:rsidRPr="002A1831">
        <w:rPr>
          <w:rFonts w:cs="Arial"/>
        </w:rPr>
        <w:t xml:space="preserve">this </w:t>
      </w:r>
      <w:r w:rsidR="00AE683C" w:rsidRPr="002A1831">
        <w:rPr>
          <w:rFonts w:cs="Arial"/>
        </w:rPr>
        <w:t>case</w:t>
      </w:r>
      <w:r w:rsidR="007F3F15" w:rsidRPr="002A1831">
        <w:rPr>
          <w:rFonts w:cs="Arial"/>
        </w:rPr>
        <w:t xml:space="preserve"> or</w:t>
      </w:r>
      <w:r w:rsidR="00AE683C" w:rsidRPr="002A1831">
        <w:rPr>
          <w:rFonts w:cs="Arial"/>
        </w:rPr>
        <w:t xml:space="preserve"> where issuer related risk factors are excessively challenged, auditors </w:t>
      </w:r>
      <w:r w:rsidR="007F3F15" w:rsidRPr="002A1831">
        <w:rPr>
          <w:rFonts w:cs="Arial"/>
        </w:rPr>
        <w:t xml:space="preserve">might even be needed to be </w:t>
      </w:r>
      <w:r w:rsidR="00AE683C" w:rsidRPr="002A1831">
        <w:rPr>
          <w:rFonts w:cs="Arial"/>
        </w:rPr>
        <w:t xml:space="preserve">involved to ensure </w:t>
      </w:r>
      <w:r w:rsidR="007F3F15" w:rsidRPr="002A1831">
        <w:rPr>
          <w:rFonts w:cs="Arial"/>
        </w:rPr>
        <w:t xml:space="preserve">final </w:t>
      </w:r>
      <w:r w:rsidR="00AE683C" w:rsidRPr="002A1831">
        <w:rPr>
          <w:rFonts w:cs="Arial"/>
        </w:rPr>
        <w:t>consistency between the risk disclosure</w:t>
      </w:r>
      <w:r w:rsidR="007F3F15" w:rsidRPr="002A1831">
        <w:rPr>
          <w:rFonts w:cs="Arial"/>
        </w:rPr>
        <w:t xml:space="preserve"> adapted for the purposes of the </w:t>
      </w:r>
      <w:r w:rsidR="00AE683C" w:rsidRPr="002A1831">
        <w:rPr>
          <w:rFonts w:cs="Arial"/>
        </w:rPr>
        <w:t xml:space="preserve">(base) prospectus and </w:t>
      </w:r>
      <w:r w:rsidR="00D74176" w:rsidRPr="002A1831">
        <w:rPr>
          <w:rFonts w:cs="Arial"/>
        </w:rPr>
        <w:t xml:space="preserve">of the </w:t>
      </w:r>
      <w:r w:rsidR="00AE683C" w:rsidRPr="002A1831">
        <w:rPr>
          <w:rFonts w:cs="Arial"/>
        </w:rPr>
        <w:t xml:space="preserve">financial </w:t>
      </w:r>
      <w:r w:rsidR="00D74176" w:rsidRPr="002A1831">
        <w:rPr>
          <w:rFonts w:cs="Arial"/>
        </w:rPr>
        <w:t>statements</w:t>
      </w:r>
      <w:r w:rsidR="00AE683C" w:rsidRPr="002A1831">
        <w:rPr>
          <w:rFonts w:cs="Arial"/>
        </w:rPr>
        <w:t>. The application of the suggested draft guidelines might</w:t>
      </w:r>
      <w:r w:rsidR="00D74176" w:rsidRPr="002A1831">
        <w:rPr>
          <w:rFonts w:cs="Arial"/>
        </w:rPr>
        <w:t xml:space="preserve"> in the DDV'</w:t>
      </w:r>
      <w:r w:rsidR="0028361C" w:rsidRPr="002A1831">
        <w:rPr>
          <w:rFonts w:cs="Arial"/>
        </w:rPr>
        <w:t>s</w:t>
      </w:r>
      <w:r w:rsidR="00D74176" w:rsidRPr="002A1831">
        <w:rPr>
          <w:rFonts w:cs="Arial"/>
        </w:rPr>
        <w:t xml:space="preserve"> view</w:t>
      </w:r>
      <w:r w:rsidR="00AE683C" w:rsidRPr="002A1831">
        <w:rPr>
          <w:rFonts w:cs="Arial"/>
        </w:rPr>
        <w:t xml:space="preserve"> even result in an increased number of (base) prospectuses for a</w:t>
      </w:r>
      <w:r w:rsidR="00D74176" w:rsidRPr="002A1831">
        <w:rPr>
          <w:rFonts w:cs="Arial"/>
        </w:rPr>
        <w:t xml:space="preserve"> specific </w:t>
      </w:r>
      <w:r w:rsidR="00AE683C" w:rsidRPr="002A1831">
        <w:rPr>
          <w:rFonts w:cs="Arial"/>
        </w:rPr>
        <w:t>issuer</w:t>
      </w:r>
      <w:r w:rsidR="00D74176" w:rsidRPr="002A1831">
        <w:rPr>
          <w:rFonts w:cs="Arial"/>
        </w:rPr>
        <w:t xml:space="preserve"> and its products universe</w:t>
      </w:r>
      <w:r w:rsidR="00AE683C" w:rsidRPr="002A1831">
        <w:rPr>
          <w:rFonts w:cs="Arial"/>
        </w:rPr>
        <w:t>, leading to increased costs and administrative burden for issuer. P</w:t>
      </w:r>
      <w:r w:rsidR="00291A5F" w:rsidRPr="002A1831">
        <w:rPr>
          <w:rFonts w:cs="Arial"/>
        </w:rPr>
        <w:t xml:space="preserve">lease </w:t>
      </w:r>
      <w:r w:rsidR="00AE683C" w:rsidRPr="002A1831">
        <w:rPr>
          <w:rFonts w:cs="Arial"/>
        </w:rPr>
        <w:t xml:space="preserve">also </w:t>
      </w:r>
      <w:r w:rsidR="00291A5F" w:rsidRPr="002A1831">
        <w:rPr>
          <w:rFonts w:cs="Arial"/>
        </w:rPr>
        <w:t>see the DDV's considerations set out in the response to q.1 above.</w:t>
      </w:r>
    </w:p>
    <w:permEnd w:id="2037137351"/>
    <w:p w14:paraId="2CADA018" w14:textId="77777777" w:rsidR="00EE53D1" w:rsidRDefault="00EE53D1" w:rsidP="00EE53D1">
      <w:pPr>
        <w:rPr>
          <w:rFonts w:cs="Arial"/>
        </w:rPr>
      </w:pPr>
      <w:r>
        <w:rPr>
          <w:rFonts w:cs="Arial"/>
        </w:rPr>
        <w:t>&lt;ESMA_QUESTION_GRF_11&gt;</w:t>
      </w:r>
    </w:p>
    <w:p w14:paraId="2CADA019" w14:textId="77777777" w:rsidR="007243F1" w:rsidRDefault="007243F1" w:rsidP="00170D44">
      <w:pPr>
        <w:rPr>
          <w:b/>
        </w:rPr>
      </w:pPr>
    </w:p>
    <w:p w14:paraId="2CADA01A" w14:textId="77777777" w:rsidR="007243F1" w:rsidRDefault="007243F1" w:rsidP="00170D44">
      <w:pPr>
        <w:rPr>
          <w:b/>
        </w:rPr>
      </w:pPr>
    </w:p>
    <w:p w14:paraId="2CADA01B" w14:textId="77777777" w:rsidR="007243F1" w:rsidRDefault="007243F1" w:rsidP="00170D44">
      <w:pPr>
        <w:rPr>
          <w:b/>
        </w:rPr>
      </w:pPr>
    </w:p>
    <w:p w14:paraId="2CADA01C" w14:textId="77777777" w:rsidR="007243F1" w:rsidRPr="00170D44" w:rsidRDefault="007243F1" w:rsidP="00170D44">
      <w:pPr>
        <w:rPr>
          <w:b/>
        </w:rPr>
      </w:pPr>
    </w:p>
    <w:sectPr w:rsidR="007243F1" w:rsidRPr="00170D44"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D08184" w16cid:durableId="1F53AB83"/>
  <w16cid:commentId w16cid:paraId="6B222923" w16cid:durableId="1F53AB84"/>
  <w16cid:commentId w16cid:paraId="304C2EAC" w16cid:durableId="1F53AB85"/>
  <w16cid:commentId w16cid:paraId="2F874F0A" w16cid:durableId="1F53AB86"/>
  <w16cid:commentId w16cid:paraId="4ACC7ABC" w16cid:durableId="1F53AB87"/>
  <w16cid:commentId w16cid:paraId="25285D90" w16cid:durableId="1F53AB88"/>
  <w16cid:commentId w16cid:paraId="05A46E5A" w16cid:durableId="1F53AB89"/>
  <w16cid:commentId w16cid:paraId="0E14D62A" w16cid:durableId="1F53AB8A"/>
  <w16cid:commentId w16cid:paraId="29B3FCBF" w16cid:durableId="1F53AB8C"/>
  <w16cid:commentId w16cid:paraId="65E8BD4E" w16cid:durableId="1F53AB8D"/>
  <w16cid:commentId w16cid:paraId="09CC46C3" w16cid:durableId="1F54A52E"/>
  <w16cid:commentId w16cid:paraId="78FC94BC" w16cid:durableId="1F53AB8F"/>
  <w16cid:commentId w16cid:paraId="494F8DD4" w16cid:durableId="1F53AB90"/>
  <w16cid:commentId w16cid:paraId="0D3C1C72" w16cid:durableId="1F53AB91"/>
  <w16cid:commentId w16cid:paraId="3A0C3FF8" w16cid:durableId="1F53AB92"/>
  <w16cid:commentId w16cid:paraId="64448EA4" w16cid:durableId="1F53AB93"/>
  <w16cid:commentId w16cid:paraId="50BCE46A" w16cid:durableId="1F53AB94"/>
  <w16cid:commentId w16cid:paraId="12A93F69" w16cid:durableId="1F53AB95"/>
  <w16cid:commentId w16cid:paraId="39617C43" w16cid:durableId="1F53AB96"/>
  <w16cid:commentId w16cid:paraId="13179AB6" w16cid:durableId="1F53AB97"/>
  <w16cid:commentId w16cid:paraId="6F4213E4" w16cid:durableId="1F53AB98"/>
  <w16cid:commentId w16cid:paraId="23CFF23F" w16cid:durableId="1F53AB99"/>
  <w16cid:commentId w16cid:paraId="41A04FC5" w16cid:durableId="1F53AB9A"/>
  <w16cid:commentId w16cid:paraId="2D27D1D3" w16cid:durableId="1F53AB9B"/>
  <w16cid:commentId w16cid:paraId="4B3BF648" w16cid:durableId="1F53AB9C"/>
  <w16cid:commentId w16cid:paraId="0ED4347E" w16cid:durableId="1F53AB9D"/>
  <w16cid:commentId w16cid:paraId="40ED40ED" w16cid:durableId="1F53AB9E"/>
  <w16cid:commentId w16cid:paraId="71D4CEAF" w16cid:durableId="1F53AB9F"/>
  <w16cid:commentId w16cid:paraId="5E222197" w16cid:durableId="1F53ABA0"/>
  <w16cid:commentId w16cid:paraId="3E6668DA" w16cid:durableId="1F53ABA1"/>
  <w16cid:commentId w16cid:paraId="04DD9D88" w16cid:durableId="1F53ABA2"/>
  <w16cid:commentId w16cid:paraId="08C02825" w16cid:durableId="1F53E7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DA022" w14:textId="77777777" w:rsidR="00583575" w:rsidRDefault="00583575">
      <w:r>
        <w:separator/>
      </w:r>
    </w:p>
    <w:p w14:paraId="2CADA023" w14:textId="77777777" w:rsidR="00583575" w:rsidRDefault="00583575"/>
  </w:endnote>
  <w:endnote w:type="continuationSeparator" w:id="0">
    <w:p w14:paraId="2CADA024" w14:textId="77777777" w:rsidR="00583575" w:rsidRDefault="00583575">
      <w:r>
        <w:continuationSeparator/>
      </w:r>
    </w:p>
    <w:p w14:paraId="2CADA025" w14:textId="77777777" w:rsidR="00583575" w:rsidRDefault="00583575"/>
  </w:endnote>
  <w:endnote w:type="continuationNotice" w:id="1">
    <w:p w14:paraId="2CADA026" w14:textId="77777777" w:rsidR="00583575" w:rsidRDefault="0058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A029" w14:textId="77777777" w:rsidR="00583575" w:rsidRDefault="0058357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83575" w:rsidRPr="00616B9B" w14:paraId="2CADA02C" w14:textId="77777777" w:rsidTr="00315E96">
      <w:trPr>
        <w:trHeight w:val="284"/>
      </w:trPr>
      <w:tc>
        <w:tcPr>
          <w:tcW w:w="8460" w:type="dxa"/>
        </w:tcPr>
        <w:p w14:paraId="2CADA02A" w14:textId="77777777" w:rsidR="00583575" w:rsidRPr="00315E96" w:rsidRDefault="00583575" w:rsidP="00315E96">
          <w:pPr>
            <w:pStyle w:val="00Footer"/>
            <w:rPr>
              <w:lang w:val="fr-FR"/>
            </w:rPr>
          </w:pPr>
        </w:p>
      </w:tc>
      <w:tc>
        <w:tcPr>
          <w:tcW w:w="952" w:type="dxa"/>
        </w:tcPr>
        <w:p w14:paraId="2CADA02B" w14:textId="73CAD964" w:rsidR="00583575" w:rsidRPr="00616B9B" w:rsidRDefault="0058357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C3B04">
            <w:rPr>
              <w:rFonts w:cs="Arial"/>
              <w:noProof/>
              <w:sz w:val="22"/>
              <w:szCs w:val="22"/>
            </w:rPr>
            <w:t>10</w:t>
          </w:r>
          <w:r w:rsidRPr="00616B9B">
            <w:rPr>
              <w:rFonts w:cs="Arial"/>
              <w:noProof/>
              <w:sz w:val="22"/>
              <w:szCs w:val="22"/>
            </w:rPr>
            <w:fldChar w:fldCharType="end"/>
          </w:r>
        </w:p>
      </w:tc>
    </w:tr>
  </w:tbl>
  <w:p w14:paraId="2CADA02D" w14:textId="77777777" w:rsidR="00583575" w:rsidRDefault="0058357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A02F" w14:textId="77777777" w:rsidR="00583575" w:rsidRDefault="00583575">
    <w:pPr>
      <w:pStyle w:val="Fuzeil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A03E" w14:textId="77777777" w:rsidR="00583575" w:rsidRDefault="0058357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DA01D" w14:textId="77777777" w:rsidR="00583575" w:rsidRDefault="00583575">
      <w:r>
        <w:separator/>
      </w:r>
    </w:p>
    <w:p w14:paraId="2CADA01E" w14:textId="77777777" w:rsidR="00583575" w:rsidRDefault="00583575"/>
  </w:footnote>
  <w:footnote w:type="continuationSeparator" w:id="0">
    <w:p w14:paraId="2CADA01F" w14:textId="77777777" w:rsidR="00583575" w:rsidRDefault="00583575">
      <w:r>
        <w:continuationSeparator/>
      </w:r>
    </w:p>
    <w:p w14:paraId="2CADA020" w14:textId="77777777" w:rsidR="00583575" w:rsidRDefault="00583575"/>
  </w:footnote>
  <w:footnote w:type="continuationNotice" w:id="1">
    <w:p w14:paraId="2CADA021" w14:textId="77777777" w:rsidR="00583575" w:rsidRDefault="005835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A027" w14:textId="77777777" w:rsidR="00583575" w:rsidRDefault="0058357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A028" w14:textId="348DF960" w:rsidR="00583575" w:rsidRDefault="00583575">
    <w:pPr>
      <w:pStyle w:val="Kopfzeile"/>
    </w:pPr>
    <w:r>
      <w:rPr>
        <w:noProof/>
        <w:lang w:val="de-DE"/>
      </w:rPr>
      <w:drawing>
        <wp:anchor distT="0" distB="0" distL="114300" distR="114300" simplePos="0" relativeHeight="251658240" behindDoc="0" locked="0" layoutInCell="1" allowOverlap="1" wp14:anchorId="2CADA03F" wp14:editId="2CADA040">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553E3C">
      <w:rPr>
        <w:noProof/>
        <w:lang w:val="de-DE"/>
      </w:rPr>
      <mc:AlternateContent>
        <mc:Choice Requires="wps">
          <w:drawing>
            <wp:anchor distT="0" distB="0" distL="114295" distR="114295" simplePos="0" relativeHeight="251656192" behindDoc="0" locked="0" layoutInCell="1" allowOverlap="1" wp14:anchorId="2CADA041" wp14:editId="117E479C">
              <wp:simplePos x="0" y="0"/>
              <wp:positionH relativeFrom="page">
                <wp:posOffset>1548130</wp:posOffset>
              </wp:positionH>
              <wp:positionV relativeFrom="page">
                <wp:posOffset>612140</wp:posOffset>
              </wp:positionV>
              <wp:extent cx="0" cy="558165"/>
              <wp:effectExtent l="14605" t="12065" r="13970" b="1079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0C03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BwxFHI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A02E" w14:textId="77777777" w:rsidR="00583575" w:rsidRDefault="00583575" w:rsidP="00013CCE">
    <w:pPr>
      <w:pStyle w:val="Kopfzeile"/>
      <w:jc w:val="right"/>
    </w:pPr>
    <w:r>
      <w:rPr>
        <w:noProof/>
        <w:lang w:val="de-DE"/>
      </w:rPr>
      <w:drawing>
        <wp:anchor distT="0" distB="0" distL="114300" distR="114300" simplePos="0" relativeHeight="251657216" behindDoc="0" locked="0" layoutInCell="1" allowOverlap="1" wp14:anchorId="2CADA042" wp14:editId="2CADA04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de-DE"/>
      </w:rPr>
      <w:drawing>
        <wp:anchor distT="0" distB="0" distL="114300" distR="114300" simplePos="0" relativeHeight="251655168" behindDoc="1" locked="0" layoutInCell="1" allowOverlap="1" wp14:anchorId="2CADA044" wp14:editId="2CADA045">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A030" w14:textId="77777777" w:rsidR="00583575" w:rsidRDefault="00583575"/>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83575" w:rsidRPr="002F4496" w14:paraId="2CADA033" w14:textId="77777777" w:rsidTr="000C06C9">
      <w:trPr>
        <w:trHeight w:val="284"/>
      </w:trPr>
      <w:tc>
        <w:tcPr>
          <w:tcW w:w="8460" w:type="dxa"/>
        </w:tcPr>
        <w:p w14:paraId="2CADA031" w14:textId="77777777" w:rsidR="00583575" w:rsidRPr="000C3B6D" w:rsidRDefault="00583575" w:rsidP="000C06C9">
          <w:pPr>
            <w:pStyle w:val="00Footer"/>
            <w:rPr>
              <w:lang w:val="fr-FR"/>
            </w:rPr>
          </w:pPr>
        </w:p>
      </w:tc>
      <w:tc>
        <w:tcPr>
          <w:tcW w:w="952" w:type="dxa"/>
        </w:tcPr>
        <w:p w14:paraId="2CADA032" w14:textId="77777777" w:rsidR="00583575" w:rsidRPr="00146B34" w:rsidRDefault="00583575" w:rsidP="000C06C9">
          <w:pPr>
            <w:pStyle w:val="00aPagenumber"/>
            <w:rPr>
              <w:lang w:val="fr-FR"/>
            </w:rPr>
          </w:pPr>
        </w:p>
      </w:tc>
    </w:tr>
  </w:tbl>
  <w:p w14:paraId="2CADA034" w14:textId="77777777" w:rsidR="00583575" w:rsidRPr="00DB46C3" w:rsidRDefault="00583575">
    <w:pPr>
      <w:rPr>
        <w:lang w:val="fr-FR"/>
      </w:rPr>
    </w:pPr>
  </w:p>
  <w:p w14:paraId="2CADA035" w14:textId="77777777" w:rsidR="00583575" w:rsidRPr="002F4496" w:rsidRDefault="00583575">
    <w:pPr>
      <w:pStyle w:val="Kopfzeile"/>
      <w:rPr>
        <w:lang w:val="fr-FR"/>
      </w:rPr>
    </w:pPr>
  </w:p>
  <w:p w14:paraId="2CADA036" w14:textId="77777777" w:rsidR="00583575" w:rsidRPr="002F4496" w:rsidRDefault="00583575" w:rsidP="000C06C9">
    <w:pPr>
      <w:pStyle w:val="Kopfzeile"/>
      <w:tabs>
        <w:tab w:val="clear" w:pos="4536"/>
        <w:tab w:val="clear" w:pos="9072"/>
        <w:tab w:val="left" w:pos="8227"/>
      </w:tabs>
      <w:rPr>
        <w:lang w:val="fr-FR"/>
      </w:rPr>
    </w:pPr>
  </w:p>
  <w:p w14:paraId="2CADA037" w14:textId="77777777" w:rsidR="00583575" w:rsidRPr="002F4496" w:rsidRDefault="00583575" w:rsidP="000C06C9">
    <w:pPr>
      <w:pStyle w:val="Kopfzeile"/>
      <w:tabs>
        <w:tab w:val="clear" w:pos="4536"/>
        <w:tab w:val="clear" w:pos="9072"/>
        <w:tab w:val="left" w:pos="8227"/>
      </w:tabs>
      <w:rPr>
        <w:lang w:val="fr-FR"/>
      </w:rPr>
    </w:pPr>
  </w:p>
  <w:p w14:paraId="2CADA038" w14:textId="77777777" w:rsidR="00583575" w:rsidRPr="002F4496" w:rsidRDefault="00583575">
    <w:pPr>
      <w:pStyle w:val="Kopfzeile"/>
      <w:rPr>
        <w:lang w:val="fr-FR"/>
      </w:rPr>
    </w:pPr>
  </w:p>
  <w:p w14:paraId="2CADA039" w14:textId="77777777" w:rsidR="00583575" w:rsidRPr="002F4496" w:rsidRDefault="00583575">
    <w:pPr>
      <w:pStyle w:val="Kopfzeile"/>
      <w:rPr>
        <w:lang w:val="fr-FR"/>
      </w:rPr>
    </w:pPr>
  </w:p>
  <w:p w14:paraId="2CADA03A" w14:textId="77777777" w:rsidR="00583575" w:rsidRPr="002F4496" w:rsidRDefault="00583575">
    <w:pPr>
      <w:pStyle w:val="Kopfzeile"/>
      <w:rPr>
        <w:lang w:val="fr-FR"/>
      </w:rPr>
    </w:pPr>
  </w:p>
  <w:p w14:paraId="2CADA03B" w14:textId="77777777" w:rsidR="00583575" w:rsidRPr="002F4496" w:rsidRDefault="00583575">
    <w:pPr>
      <w:pStyle w:val="Kopfzeile"/>
      <w:rPr>
        <w:lang w:val="fr-FR"/>
      </w:rPr>
    </w:pPr>
  </w:p>
  <w:p w14:paraId="2CADA03C" w14:textId="77777777" w:rsidR="00583575" w:rsidRPr="002F4496" w:rsidRDefault="00583575">
    <w:pPr>
      <w:pStyle w:val="Kopfzeile"/>
      <w:rPr>
        <w:highlight w:val="yellow"/>
        <w:lang w:val="fr-FR"/>
      </w:rPr>
    </w:pPr>
  </w:p>
  <w:p w14:paraId="2CADA03D" w14:textId="6BAD7648" w:rsidR="00583575" w:rsidRDefault="00553E3C">
    <w:pPr>
      <w:pStyle w:val="Kopfzeile"/>
    </w:pPr>
    <w:r>
      <w:rPr>
        <w:noProof/>
        <w:lang w:val="de-DE"/>
      </w:rPr>
      <mc:AlternateContent>
        <mc:Choice Requires="wps">
          <w:drawing>
            <wp:anchor distT="0" distB="0" distL="114299" distR="114299" simplePos="0" relativeHeight="251660288" behindDoc="0" locked="0" layoutInCell="1" allowOverlap="1" wp14:anchorId="2CADA046" wp14:editId="24124352">
              <wp:simplePos x="0" y="0"/>
              <wp:positionH relativeFrom="page">
                <wp:posOffset>5040630</wp:posOffset>
              </wp:positionH>
              <wp:positionV relativeFrom="page">
                <wp:posOffset>612140</wp:posOffset>
              </wp:positionV>
              <wp:extent cx="0" cy="899795"/>
              <wp:effectExtent l="11430" t="12065" r="7620" b="12065"/>
              <wp:wrapNone/>
              <wp:docPr id="2"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01FD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&#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ED0LmQgAgAAOA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583575">
      <w:rPr>
        <w:noProof/>
        <w:lang w:val="de-DE"/>
      </w:rPr>
      <w:drawing>
        <wp:anchor distT="0" distB="0" distL="114300" distR="114300" simplePos="0" relativeHeight="251659264" behindDoc="0" locked="0" layoutInCell="1" allowOverlap="1" wp14:anchorId="2CADA047" wp14:editId="2CADA04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FBF7A9F"/>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679E2"/>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C1E7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3E65345"/>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27031B"/>
    <w:multiLevelType w:val="hybridMultilevel"/>
    <w:tmpl w:val="FB2EC3F2"/>
    <w:lvl w:ilvl="0" w:tplc="B1BE75C8">
      <w:start w:val="21"/>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AB3030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6" w15:restartNumberingAfterBreak="0">
    <w:nsid w:val="7F633C10"/>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2"/>
  </w:num>
  <w:num w:numId="3">
    <w:abstractNumId w:val="15"/>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6"/>
  </w:num>
  <w:num w:numId="15">
    <w:abstractNumId w:val="8"/>
  </w:num>
  <w:num w:numId="16">
    <w:abstractNumId w:val="1"/>
  </w:num>
  <w:num w:numId="17">
    <w:abstractNumId w:val="18"/>
  </w:num>
  <w:num w:numId="18">
    <w:abstractNumId w:val="19"/>
  </w:num>
  <w:num w:numId="19">
    <w:abstractNumId w:val="21"/>
  </w:num>
  <w:num w:numId="20">
    <w:abstractNumId w:val="32"/>
  </w:num>
  <w:num w:numId="21">
    <w:abstractNumId w:val="42"/>
  </w:num>
  <w:num w:numId="22">
    <w:abstractNumId w:val="30"/>
  </w:num>
  <w:num w:numId="23">
    <w:abstractNumId w:val="7"/>
  </w:num>
  <w:num w:numId="24">
    <w:abstractNumId w:val="36"/>
  </w:num>
  <w:num w:numId="25">
    <w:abstractNumId w:val="35"/>
  </w:num>
  <w:num w:numId="26">
    <w:abstractNumId w:val="23"/>
  </w:num>
  <w:num w:numId="27">
    <w:abstractNumId w:val="39"/>
  </w:num>
  <w:num w:numId="28">
    <w:abstractNumId w:val="45"/>
  </w:num>
  <w:num w:numId="29">
    <w:abstractNumId w:val="5"/>
  </w:num>
  <w:num w:numId="30">
    <w:abstractNumId w:val="2"/>
  </w:num>
  <w:num w:numId="31">
    <w:abstractNumId w:val="25"/>
  </w:num>
  <w:num w:numId="32">
    <w:abstractNumId w:val="24"/>
  </w:num>
  <w:num w:numId="33">
    <w:abstractNumId w:val="41"/>
  </w:num>
  <w:num w:numId="34">
    <w:abstractNumId w:val="40"/>
  </w:num>
  <w:num w:numId="35">
    <w:abstractNumId w:val="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7"/>
  </w:num>
  <w:num w:numId="39">
    <w:abstractNumId w:val="16"/>
  </w:num>
  <w:num w:numId="40">
    <w:abstractNumId w:val="11"/>
  </w:num>
  <w:num w:numId="41">
    <w:abstractNumId w:val="10"/>
  </w:num>
  <w:num w:numId="42">
    <w:abstractNumId w:val="13"/>
  </w:num>
  <w:num w:numId="43">
    <w:abstractNumId w:val="29"/>
  </w:num>
  <w:num w:numId="44">
    <w:abstractNumId w:val="46"/>
  </w:num>
  <w:num w:numId="45">
    <w:abstractNumId w:val="44"/>
  </w:num>
  <w:num w:numId="46">
    <w:abstractNumId w:val="12"/>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3fqvBZXG21S4GLcZce42SbXdunGxCsGYNWkIIreJ5Wyv0rG4x8bISirlRjTp9zS7u4cY3PaAZyRwrkQiq5oXg==" w:salt="7rLABRv2KDNi9BExK1z3gw=="/>
  <w:defaultTabStop w:val="709"/>
  <w:autoHyphenation/>
  <w:hyphenationZone w:val="567"/>
  <w:characterSpacingControl w:val="doNotCompress"/>
  <w:hdrShapeDefaults>
    <o:shapedefaults v:ext="edit" spidmax="2457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3DBE"/>
    <w:rsid w:val="00005BBA"/>
    <w:rsid w:val="00005D8C"/>
    <w:rsid w:val="00006C2B"/>
    <w:rsid w:val="00007014"/>
    <w:rsid w:val="00007968"/>
    <w:rsid w:val="0001067A"/>
    <w:rsid w:val="00010D56"/>
    <w:rsid w:val="00013CCE"/>
    <w:rsid w:val="000140D5"/>
    <w:rsid w:val="0001410B"/>
    <w:rsid w:val="000141D6"/>
    <w:rsid w:val="00014A95"/>
    <w:rsid w:val="00015B5E"/>
    <w:rsid w:val="00015F1D"/>
    <w:rsid w:val="00016E83"/>
    <w:rsid w:val="0001774B"/>
    <w:rsid w:val="00020D0F"/>
    <w:rsid w:val="000215EB"/>
    <w:rsid w:val="00021E83"/>
    <w:rsid w:val="00022B19"/>
    <w:rsid w:val="00023713"/>
    <w:rsid w:val="00023C4D"/>
    <w:rsid w:val="00025E71"/>
    <w:rsid w:val="00026035"/>
    <w:rsid w:val="00026269"/>
    <w:rsid w:val="00027154"/>
    <w:rsid w:val="000275A9"/>
    <w:rsid w:val="00027ECF"/>
    <w:rsid w:val="000303BE"/>
    <w:rsid w:val="00030718"/>
    <w:rsid w:val="000321C9"/>
    <w:rsid w:val="000344D6"/>
    <w:rsid w:val="00034960"/>
    <w:rsid w:val="0003618F"/>
    <w:rsid w:val="00036FAE"/>
    <w:rsid w:val="00041858"/>
    <w:rsid w:val="0004389E"/>
    <w:rsid w:val="000439D8"/>
    <w:rsid w:val="00044AA9"/>
    <w:rsid w:val="000463A6"/>
    <w:rsid w:val="00046CC9"/>
    <w:rsid w:val="00046E91"/>
    <w:rsid w:val="00047E98"/>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2881"/>
    <w:rsid w:val="000636A1"/>
    <w:rsid w:val="000649D9"/>
    <w:rsid w:val="000652BE"/>
    <w:rsid w:val="00066479"/>
    <w:rsid w:val="00066EA4"/>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5AF"/>
    <w:rsid w:val="00083AA3"/>
    <w:rsid w:val="00084B7B"/>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FA"/>
    <w:rsid w:val="000B275C"/>
    <w:rsid w:val="000B2C3D"/>
    <w:rsid w:val="000B55C0"/>
    <w:rsid w:val="000B5DF2"/>
    <w:rsid w:val="000C06C9"/>
    <w:rsid w:val="000C1DCC"/>
    <w:rsid w:val="000C1FBC"/>
    <w:rsid w:val="000C2B6A"/>
    <w:rsid w:val="000C2F88"/>
    <w:rsid w:val="000C55C8"/>
    <w:rsid w:val="000C57C4"/>
    <w:rsid w:val="000C5FD3"/>
    <w:rsid w:val="000C6AA6"/>
    <w:rsid w:val="000C701D"/>
    <w:rsid w:val="000C7C4A"/>
    <w:rsid w:val="000D0062"/>
    <w:rsid w:val="000D17AA"/>
    <w:rsid w:val="000D2D0B"/>
    <w:rsid w:val="000D340A"/>
    <w:rsid w:val="000D4660"/>
    <w:rsid w:val="000D4D24"/>
    <w:rsid w:val="000D5D1A"/>
    <w:rsid w:val="000D705D"/>
    <w:rsid w:val="000D7EB9"/>
    <w:rsid w:val="000E0223"/>
    <w:rsid w:val="000E0CF3"/>
    <w:rsid w:val="000E18A8"/>
    <w:rsid w:val="000E1AEC"/>
    <w:rsid w:val="000E3937"/>
    <w:rsid w:val="000E4926"/>
    <w:rsid w:val="000E5F7F"/>
    <w:rsid w:val="000E667A"/>
    <w:rsid w:val="000E7086"/>
    <w:rsid w:val="000E7819"/>
    <w:rsid w:val="000E7C65"/>
    <w:rsid w:val="000F04D2"/>
    <w:rsid w:val="000F55B7"/>
    <w:rsid w:val="000F5F70"/>
    <w:rsid w:val="000F604F"/>
    <w:rsid w:val="000F7399"/>
    <w:rsid w:val="001027F1"/>
    <w:rsid w:val="00104F2E"/>
    <w:rsid w:val="001072DD"/>
    <w:rsid w:val="00110D7A"/>
    <w:rsid w:val="00110DCF"/>
    <w:rsid w:val="00111464"/>
    <w:rsid w:val="0011167D"/>
    <w:rsid w:val="00112892"/>
    <w:rsid w:val="00112E48"/>
    <w:rsid w:val="001130EA"/>
    <w:rsid w:val="00114259"/>
    <w:rsid w:val="001148DD"/>
    <w:rsid w:val="001159AE"/>
    <w:rsid w:val="001168B2"/>
    <w:rsid w:val="00117C20"/>
    <w:rsid w:val="00120F0E"/>
    <w:rsid w:val="00121BED"/>
    <w:rsid w:val="00123D39"/>
    <w:rsid w:val="001244CD"/>
    <w:rsid w:val="0012566F"/>
    <w:rsid w:val="001262B1"/>
    <w:rsid w:val="0013027C"/>
    <w:rsid w:val="00130F41"/>
    <w:rsid w:val="00130FAF"/>
    <w:rsid w:val="00134B6B"/>
    <w:rsid w:val="00135F2B"/>
    <w:rsid w:val="001372DD"/>
    <w:rsid w:val="001405BA"/>
    <w:rsid w:val="00141497"/>
    <w:rsid w:val="0014253A"/>
    <w:rsid w:val="001425C8"/>
    <w:rsid w:val="00143014"/>
    <w:rsid w:val="001431AE"/>
    <w:rsid w:val="00143B87"/>
    <w:rsid w:val="00144D52"/>
    <w:rsid w:val="001459E3"/>
    <w:rsid w:val="00146A0B"/>
    <w:rsid w:val="0014761E"/>
    <w:rsid w:val="00151907"/>
    <w:rsid w:val="001528EE"/>
    <w:rsid w:val="001541FE"/>
    <w:rsid w:val="001544C8"/>
    <w:rsid w:val="00154FB5"/>
    <w:rsid w:val="00155FAB"/>
    <w:rsid w:val="001567A1"/>
    <w:rsid w:val="00156857"/>
    <w:rsid w:val="00157E79"/>
    <w:rsid w:val="00157EED"/>
    <w:rsid w:val="0016087A"/>
    <w:rsid w:val="00160A5C"/>
    <w:rsid w:val="001613EC"/>
    <w:rsid w:val="0016358A"/>
    <w:rsid w:val="001638D4"/>
    <w:rsid w:val="001644C8"/>
    <w:rsid w:val="00164664"/>
    <w:rsid w:val="00164F15"/>
    <w:rsid w:val="001651A4"/>
    <w:rsid w:val="0016552B"/>
    <w:rsid w:val="00166102"/>
    <w:rsid w:val="00166B04"/>
    <w:rsid w:val="001670A6"/>
    <w:rsid w:val="001701FA"/>
    <w:rsid w:val="001707B9"/>
    <w:rsid w:val="00170D44"/>
    <w:rsid w:val="00171183"/>
    <w:rsid w:val="001725A5"/>
    <w:rsid w:val="00172681"/>
    <w:rsid w:val="00173AC7"/>
    <w:rsid w:val="0017458B"/>
    <w:rsid w:val="001745D7"/>
    <w:rsid w:val="00175754"/>
    <w:rsid w:val="00176982"/>
    <w:rsid w:val="0017701C"/>
    <w:rsid w:val="00177A5E"/>
    <w:rsid w:val="00181264"/>
    <w:rsid w:val="001817D7"/>
    <w:rsid w:val="00181BD1"/>
    <w:rsid w:val="0018204A"/>
    <w:rsid w:val="00182AFE"/>
    <w:rsid w:val="00182F7C"/>
    <w:rsid w:val="001843B5"/>
    <w:rsid w:val="00186829"/>
    <w:rsid w:val="001868CA"/>
    <w:rsid w:val="0018697A"/>
    <w:rsid w:val="00187304"/>
    <w:rsid w:val="001875BE"/>
    <w:rsid w:val="0019017A"/>
    <w:rsid w:val="00190B8C"/>
    <w:rsid w:val="00190FF8"/>
    <w:rsid w:val="0019311A"/>
    <w:rsid w:val="0019508A"/>
    <w:rsid w:val="00195BFF"/>
    <w:rsid w:val="0019609A"/>
    <w:rsid w:val="001960D8"/>
    <w:rsid w:val="001A1642"/>
    <w:rsid w:val="001A371B"/>
    <w:rsid w:val="001A458D"/>
    <w:rsid w:val="001A4766"/>
    <w:rsid w:val="001A5E5C"/>
    <w:rsid w:val="001A6A0D"/>
    <w:rsid w:val="001A6C51"/>
    <w:rsid w:val="001A6FAA"/>
    <w:rsid w:val="001A7D73"/>
    <w:rsid w:val="001B0363"/>
    <w:rsid w:val="001B1355"/>
    <w:rsid w:val="001B3138"/>
    <w:rsid w:val="001B38DE"/>
    <w:rsid w:val="001B4E4B"/>
    <w:rsid w:val="001B50AC"/>
    <w:rsid w:val="001B55FB"/>
    <w:rsid w:val="001B58BA"/>
    <w:rsid w:val="001B5E05"/>
    <w:rsid w:val="001B6D68"/>
    <w:rsid w:val="001B6F2E"/>
    <w:rsid w:val="001C0344"/>
    <w:rsid w:val="001C0F2A"/>
    <w:rsid w:val="001C16BA"/>
    <w:rsid w:val="001C1A59"/>
    <w:rsid w:val="001C270F"/>
    <w:rsid w:val="001C3AEB"/>
    <w:rsid w:val="001C4679"/>
    <w:rsid w:val="001C5770"/>
    <w:rsid w:val="001C6195"/>
    <w:rsid w:val="001C71BA"/>
    <w:rsid w:val="001D000A"/>
    <w:rsid w:val="001D0883"/>
    <w:rsid w:val="001D116D"/>
    <w:rsid w:val="001D2205"/>
    <w:rsid w:val="001D3A1F"/>
    <w:rsid w:val="001D3EC4"/>
    <w:rsid w:val="001D3FB6"/>
    <w:rsid w:val="001D4550"/>
    <w:rsid w:val="001D5360"/>
    <w:rsid w:val="001D5498"/>
    <w:rsid w:val="001D5BAF"/>
    <w:rsid w:val="001D6401"/>
    <w:rsid w:val="001D66C9"/>
    <w:rsid w:val="001D722A"/>
    <w:rsid w:val="001E04FC"/>
    <w:rsid w:val="001E404B"/>
    <w:rsid w:val="001E407D"/>
    <w:rsid w:val="001E40FB"/>
    <w:rsid w:val="001E4B1C"/>
    <w:rsid w:val="001E66EC"/>
    <w:rsid w:val="001E68C5"/>
    <w:rsid w:val="001E77EF"/>
    <w:rsid w:val="001F0F63"/>
    <w:rsid w:val="001F3996"/>
    <w:rsid w:val="001F44A4"/>
    <w:rsid w:val="001F579D"/>
    <w:rsid w:val="001F65EF"/>
    <w:rsid w:val="001F697B"/>
    <w:rsid w:val="002005A6"/>
    <w:rsid w:val="00204CBC"/>
    <w:rsid w:val="00204D4C"/>
    <w:rsid w:val="002051F1"/>
    <w:rsid w:val="00205810"/>
    <w:rsid w:val="00206545"/>
    <w:rsid w:val="002067BA"/>
    <w:rsid w:val="0021058D"/>
    <w:rsid w:val="00211E2F"/>
    <w:rsid w:val="00211E9E"/>
    <w:rsid w:val="00214FB4"/>
    <w:rsid w:val="00215940"/>
    <w:rsid w:val="00216857"/>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5E1"/>
    <w:rsid w:val="00244F1D"/>
    <w:rsid w:val="00245004"/>
    <w:rsid w:val="00245FB4"/>
    <w:rsid w:val="00250898"/>
    <w:rsid w:val="00250B2F"/>
    <w:rsid w:val="00251EA9"/>
    <w:rsid w:val="00252843"/>
    <w:rsid w:val="002543F8"/>
    <w:rsid w:val="002551A4"/>
    <w:rsid w:val="002559F3"/>
    <w:rsid w:val="00256DFE"/>
    <w:rsid w:val="00261D56"/>
    <w:rsid w:val="00261FD3"/>
    <w:rsid w:val="00264077"/>
    <w:rsid w:val="00264B30"/>
    <w:rsid w:val="00266B9A"/>
    <w:rsid w:val="002700C1"/>
    <w:rsid w:val="00270509"/>
    <w:rsid w:val="00270E54"/>
    <w:rsid w:val="00273681"/>
    <w:rsid w:val="002754B5"/>
    <w:rsid w:val="002764C5"/>
    <w:rsid w:val="00276704"/>
    <w:rsid w:val="002772AE"/>
    <w:rsid w:val="00280613"/>
    <w:rsid w:val="0028274D"/>
    <w:rsid w:val="00282B96"/>
    <w:rsid w:val="00282DFB"/>
    <w:rsid w:val="002833D6"/>
    <w:rsid w:val="0028361C"/>
    <w:rsid w:val="00283F51"/>
    <w:rsid w:val="002846A6"/>
    <w:rsid w:val="00286064"/>
    <w:rsid w:val="002867B1"/>
    <w:rsid w:val="00287BBB"/>
    <w:rsid w:val="00287E3B"/>
    <w:rsid w:val="00290638"/>
    <w:rsid w:val="00291763"/>
    <w:rsid w:val="00291A5F"/>
    <w:rsid w:val="00291D80"/>
    <w:rsid w:val="00293156"/>
    <w:rsid w:val="00293BE7"/>
    <w:rsid w:val="002946DC"/>
    <w:rsid w:val="00296005"/>
    <w:rsid w:val="002A0C82"/>
    <w:rsid w:val="002A0CD8"/>
    <w:rsid w:val="002A13EB"/>
    <w:rsid w:val="002A1831"/>
    <w:rsid w:val="002A35EF"/>
    <w:rsid w:val="002A3DE0"/>
    <w:rsid w:val="002A40EA"/>
    <w:rsid w:val="002A46E8"/>
    <w:rsid w:val="002A491C"/>
    <w:rsid w:val="002A4B2F"/>
    <w:rsid w:val="002B1FEF"/>
    <w:rsid w:val="002B2DF8"/>
    <w:rsid w:val="002B354F"/>
    <w:rsid w:val="002B3614"/>
    <w:rsid w:val="002B45D1"/>
    <w:rsid w:val="002B4ED8"/>
    <w:rsid w:val="002B4FAA"/>
    <w:rsid w:val="002B52C2"/>
    <w:rsid w:val="002B6FEB"/>
    <w:rsid w:val="002B7656"/>
    <w:rsid w:val="002C1492"/>
    <w:rsid w:val="002C1CA6"/>
    <w:rsid w:val="002C1E8B"/>
    <w:rsid w:val="002C2EFE"/>
    <w:rsid w:val="002C53AA"/>
    <w:rsid w:val="002C5B2D"/>
    <w:rsid w:val="002C6AAF"/>
    <w:rsid w:val="002C6AF9"/>
    <w:rsid w:val="002C7DFC"/>
    <w:rsid w:val="002D14F3"/>
    <w:rsid w:val="002D16E4"/>
    <w:rsid w:val="002D23D2"/>
    <w:rsid w:val="002D2FEF"/>
    <w:rsid w:val="002D36C2"/>
    <w:rsid w:val="002D3FCB"/>
    <w:rsid w:val="002D4FEF"/>
    <w:rsid w:val="002D502D"/>
    <w:rsid w:val="002D63F5"/>
    <w:rsid w:val="002D6E1A"/>
    <w:rsid w:val="002E036D"/>
    <w:rsid w:val="002E1517"/>
    <w:rsid w:val="002E1B22"/>
    <w:rsid w:val="002E30BB"/>
    <w:rsid w:val="002E387F"/>
    <w:rsid w:val="002E69CB"/>
    <w:rsid w:val="002E6ABC"/>
    <w:rsid w:val="002E7113"/>
    <w:rsid w:val="002E73A8"/>
    <w:rsid w:val="002E7F4B"/>
    <w:rsid w:val="002E7FB3"/>
    <w:rsid w:val="002F0C91"/>
    <w:rsid w:val="002F0E3E"/>
    <w:rsid w:val="002F1B19"/>
    <w:rsid w:val="002F1FBF"/>
    <w:rsid w:val="002F4139"/>
    <w:rsid w:val="002F46F6"/>
    <w:rsid w:val="00300624"/>
    <w:rsid w:val="00300F56"/>
    <w:rsid w:val="00301006"/>
    <w:rsid w:val="00303565"/>
    <w:rsid w:val="00304040"/>
    <w:rsid w:val="00304A71"/>
    <w:rsid w:val="003066C8"/>
    <w:rsid w:val="0030739D"/>
    <w:rsid w:val="00307912"/>
    <w:rsid w:val="00307AFB"/>
    <w:rsid w:val="00311184"/>
    <w:rsid w:val="00312675"/>
    <w:rsid w:val="00314013"/>
    <w:rsid w:val="00314945"/>
    <w:rsid w:val="00315389"/>
    <w:rsid w:val="00315746"/>
    <w:rsid w:val="00315895"/>
    <w:rsid w:val="00315E96"/>
    <w:rsid w:val="00316275"/>
    <w:rsid w:val="00317FC8"/>
    <w:rsid w:val="00320B9B"/>
    <w:rsid w:val="003223D7"/>
    <w:rsid w:val="00323D9F"/>
    <w:rsid w:val="00324011"/>
    <w:rsid w:val="00324FDB"/>
    <w:rsid w:val="00325F48"/>
    <w:rsid w:val="003273FE"/>
    <w:rsid w:val="0033194F"/>
    <w:rsid w:val="00332304"/>
    <w:rsid w:val="00332406"/>
    <w:rsid w:val="00332D8D"/>
    <w:rsid w:val="00336099"/>
    <w:rsid w:val="00336B56"/>
    <w:rsid w:val="00337458"/>
    <w:rsid w:val="00337AB2"/>
    <w:rsid w:val="00341B25"/>
    <w:rsid w:val="00341EC0"/>
    <w:rsid w:val="0034240C"/>
    <w:rsid w:val="00343052"/>
    <w:rsid w:val="00344496"/>
    <w:rsid w:val="0034454B"/>
    <w:rsid w:val="00345968"/>
    <w:rsid w:val="00347667"/>
    <w:rsid w:val="003507E2"/>
    <w:rsid w:val="003522B2"/>
    <w:rsid w:val="0035455E"/>
    <w:rsid w:val="00354A6F"/>
    <w:rsid w:val="00354B48"/>
    <w:rsid w:val="00354D42"/>
    <w:rsid w:val="00355789"/>
    <w:rsid w:val="003557F4"/>
    <w:rsid w:val="00357C60"/>
    <w:rsid w:val="003609B6"/>
    <w:rsid w:val="00361119"/>
    <w:rsid w:val="0036538D"/>
    <w:rsid w:val="00365D12"/>
    <w:rsid w:val="00366C0B"/>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5F6"/>
    <w:rsid w:val="00383D7D"/>
    <w:rsid w:val="00384CCE"/>
    <w:rsid w:val="003865E5"/>
    <w:rsid w:val="00386BB8"/>
    <w:rsid w:val="0039182F"/>
    <w:rsid w:val="003926C1"/>
    <w:rsid w:val="00392900"/>
    <w:rsid w:val="00393357"/>
    <w:rsid w:val="00394CE6"/>
    <w:rsid w:val="003959DC"/>
    <w:rsid w:val="00395E7B"/>
    <w:rsid w:val="00395F4C"/>
    <w:rsid w:val="003A134A"/>
    <w:rsid w:val="003A5DAC"/>
    <w:rsid w:val="003A5FEC"/>
    <w:rsid w:val="003A6591"/>
    <w:rsid w:val="003A6E9A"/>
    <w:rsid w:val="003B08C8"/>
    <w:rsid w:val="003B2567"/>
    <w:rsid w:val="003B381A"/>
    <w:rsid w:val="003B41E6"/>
    <w:rsid w:val="003B4976"/>
    <w:rsid w:val="003B4A4B"/>
    <w:rsid w:val="003B4B3F"/>
    <w:rsid w:val="003B6258"/>
    <w:rsid w:val="003B7A99"/>
    <w:rsid w:val="003C0343"/>
    <w:rsid w:val="003C0537"/>
    <w:rsid w:val="003C0E87"/>
    <w:rsid w:val="003C1C32"/>
    <w:rsid w:val="003C2EC9"/>
    <w:rsid w:val="003C40DA"/>
    <w:rsid w:val="003C42BA"/>
    <w:rsid w:val="003C462F"/>
    <w:rsid w:val="003C46BB"/>
    <w:rsid w:val="003C4A02"/>
    <w:rsid w:val="003C4F05"/>
    <w:rsid w:val="003C6191"/>
    <w:rsid w:val="003C6403"/>
    <w:rsid w:val="003C6E49"/>
    <w:rsid w:val="003C74B0"/>
    <w:rsid w:val="003D0CBF"/>
    <w:rsid w:val="003D0DD6"/>
    <w:rsid w:val="003D4B73"/>
    <w:rsid w:val="003D503B"/>
    <w:rsid w:val="003D605E"/>
    <w:rsid w:val="003D61D1"/>
    <w:rsid w:val="003D6780"/>
    <w:rsid w:val="003D683F"/>
    <w:rsid w:val="003D6A2B"/>
    <w:rsid w:val="003D6FCB"/>
    <w:rsid w:val="003E0902"/>
    <w:rsid w:val="003E0F84"/>
    <w:rsid w:val="003E1FF3"/>
    <w:rsid w:val="003E3ACA"/>
    <w:rsid w:val="003E50EA"/>
    <w:rsid w:val="003E68C7"/>
    <w:rsid w:val="003E79B0"/>
    <w:rsid w:val="003F0403"/>
    <w:rsid w:val="003F1094"/>
    <w:rsid w:val="003F16A5"/>
    <w:rsid w:val="003F2E45"/>
    <w:rsid w:val="003F2ED5"/>
    <w:rsid w:val="003F3EFE"/>
    <w:rsid w:val="003F40B8"/>
    <w:rsid w:val="003F5C06"/>
    <w:rsid w:val="003F6295"/>
    <w:rsid w:val="00400195"/>
    <w:rsid w:val="0040075B"/>
    <w:rsid w:val="0040254B"/>
    <w:rsid w:val="00403086"/>
    <w:rsid w:val="00403460"/>
    <w:rsid w:val="004040FF"/>
    <w:rsid w:val="00404284"/>
    <w:rsid w:val="004042C4"/>
    <w:rsid w:val="00406E90"/>
    <w:rsid w:val="00410240"/>
    <w:rsid w:val="00412253"/>
    <w:rsid w:val="00412658"/>
    <w:rsid w:val="004142ED"/>
    <w:rsid w:val="00415BD2"/>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9E"/>
    <w:rsid w:val="00432A91"/>
    <w:rsid w:val="004332A4"/>
    <w:rsid w:val="0043453F"/>
    <w:rsid w:val="00434A74"/>
    <w:rsid w:val="004368C1"/>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7998"/>
    <w:rsid w:val="00460905"/>
    <w:rsid w:val="004611B3"/>
    <w:rsid w:val="00461E35"/>
    <w:rsid w:val="004621DB"/>
    <w:rsid w:val="004634A7"/>
    <w:rsid w:val="00463787"/>
    <w:rsid w:val="00466926"/>
    <w:rsid w:val="00466FDA"/>
    <w:rsid w:val="004671D0"/>
    <w:rsid w:val="004674D1"/>
    <w:rsid w:val="00470773"/>
    <w:rsid w:val="00471FF9"/>
    <w:rsid w:val="00473E74"/>
    <w:rsid w:val="00473FEF"/>
    <w:rsid w:val="00475B8E"/>
    <w:rsid w:val="00477048"/>
    <w:rsid w:val="0048081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135"/>
    <w:rsid w:val="00492457"/>
    <w:rsid w:val="004924A8"/>
    <w:rsid w:val="004934E9"/>
    <w:rsid w:val="00494737"/>
    <w:rsid w:val="00494D5C"/>
    <w:rsid w:val="00495A6A"/>
    <w:rsid w:val="004960F2"/>
    <w:rsid w:val="004964F6"/>
    <w:rsid w:val="00496821"/>
    <w:rsid w:val="00497750"/>
    <w:rsid w:val="00497B44"/>
    <w:rsid w:val="004A00E5"/>
    <w:rsid w:val="004A01A7"/>
    <w:rsid w:val="004A03FB"/>
    <w:rsid w:val="004A0D09"/>
    <w:rsid w:val="004A116E"/>
    <w:rsid w:val="004A357F"/>
    <w:rsid w:val="004A3DAD"/>
    <w:rsid w:val="004A4AC0"/>
    <w:rsid w:val="004A5E30"/>
    <w:rsid w:val="004A7D44"/>
    <w:rsid w:val="004B0335"/>
    <w:rsid w:val="004B0F1C"/>
    <w:rsid w:val="004B1E61"/>
    <w:rsid w:val="004B21AB"/>
    <w:rsid w:val="004B2A36"/>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829"/>
    <w:rsid w:val="004D3DEC"/>
    <w:rsid w:val="004D42C8"/>
    <w:rsid w:val="004D4F57"/>
    <w:rsid w:val="004D50F6"/>
    <w:rsid w:val="004D5A0D"/>
    <w:rsid w:val="004D7910"/>
    <w:rsid w:val="004D7DEA"/>
    <w:rsid w:val="004E0A28"/>
    <w:rsid w:val="004E1A0F"/>
    <w:rsid w:val="004E2E89"/>
    <w:rsid w:val="004E33C2"/>
    <w:rsid w:val="004E3B9A"/>
    <w:rsid w:val="004E49B0"/>
    <w:rsid w:val="004E5EE8"/>
    <w:rsid w:val="004E62DE"/>
    <w:rsid w:val="004E672D"/>
    <w:rsid w:val="004E6AE4"/>
    <w:rsid w:val="004E6B05"/>
    <w:rsid w:val="004E76A1"/>
    <w:rsid w:val="004F05DE"/>
    <w:rsid w:val="004F5608"/>
    <w:rsid w:val="004F6376"/>
    <w:rsid w:val="004F6A93"/>
    <w:rsid w:val="004F6F14"/>
    <w:rsid w:val="004F76D9"/>
    <w:rsid w:val="004F79A6"/>
    <w:rsid w:val="005007A0"/>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1B67"/>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58A"/>
    <w:rsid w:val="00541F27"/>
    <w:rsid w:val="00542297"/>
    <w:rsid w:val="005424BC"/>
    <w:rsid w:val="00542A28"/>
    <w:rsid w:val="005441D4"/>
    <w:rsid w:val="005453FB"/>
    <w:rsid w:val="0054672D"/>
    <w:rsid w:val="00550246"/>
    <w:rsid w:val="00550F4E"/>
    <w:rsid w:val="00551278"/>
    <w:rsid w:val="005532B5"/>
    <w:rsid w:val="00553E3C"/>
    <w:rsid w:val="00554A05"/>
    <w:rsid w:val="00555849"/>
    <w:rsid w:val="005559A8"/>
    <w:rsid w:val="00555AA2"/>
    <w:rsid w:val="0055702E"/>
    <w:rsid w:val="00557048"/>
    <w:rsid w:val="00557FB5"/>
    <w:rsid w:val="00561AED"/>
    <w:rsid w:val="005648A8"/>
    <w:rsid w:val="00564DE3"/>
    <w:rsid w:val="00564E44"/>
    <w:rsid w:val="00566394"/>
    <w:rsid w:val="00566C6A"/>
    <w:rsid w:val="00566CE5"/>
    <w:rsid w:val="00566D36"/>
    <w:rsid w:val="00571B17"/>
    <w:rsid w:val="00573569"/>
    <w:rsid w:val="00573871"/>
    <w:rsid w:val="0057389E"/>
    <w:rsid w:val="005738DE"/>
    <w:rsid w:val="005762EC"/>
    <w:rsid w:val="005765C0"/>
    <w:rsid w:val="005778DE"/>
    <w:rsid w:val="00577990"/>
    <w:rsid w:val="00580B3F"/>
    <w:rsid w:val="00580DF9"/>
    <w:rsid w:val="005825F2"/>
    <w:rsid w:val="00583575"/>
    <w:rsid w:val="005860AF"/>
    <w:rsid w:val="00587F1D"/>
    <w:rsid w:val="00590348"/>
    <w:rsid w:val="00591161"/>
    <w:rsid w:val="005918D6"/>
    <w:rsid w:val="00592318"/>
    <w:rsid w:val="00593133"/>
    <w:rsid w:val="0059575D"/>
    <w:rsid w:val="00596744"/>
    <w:rsid w:val="00596825"/>
    <w:rsid w:val="00597B14"/>
    <w:rsid w:val="005A150A"/>
    <w:rsid w:val="005A1F2A"/>
    <w:rsid w:val="005A2B3E"/>
    <w:rsid w:val="005A3644"/>
    <w:rsid w:val="005A4087"/>
    <w:rsid w:val="005A4B18"/>
    <w:rsid w:val="005A537E"/>
    <w:rsid w:val="005A6A20"/>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7AC5"/>
    <w:rsid w:val="005E0481"/>
    <w:rsid w:val="005E10BF"/>
    <w:rsid w:val="005E1834"/>
    <w:rsid w:val="005E4640"/>
    <w:rsid w:val="005E49E5"/>
    <w:rsid w:val="005E5481"/>
    <w:rsid w:val="005E55E4"/>
    <w:rsid w:val="005E6C5F"/>
    <w:rsid w:val="005E7636"/>
    <w:rsid w:val="005E7C64"/>
    <w:rsid w:val="005F028E"/>
    <w:rsid w:val="005F04B4"/>
    <w:rsid w:val="005F11A4"/>
    <w:rsid w:val="005F19F8"/>
    <w:rsid w:val="005F3A40"/>
    <w:rsid w:val="005F3AF8"/>
    <w:rsid w:val="005F3FB1"/>
    <w:rsid w:val="005F5ACF"/>
    <w:rsid w:val="005F60DC"/>
    <w:rsid w:val="006000DD"/>
    <w:rsid w:val="00600F63"/>
    <w:rsid w:val="006012E1"/>
    <w:rsid w:val="00602253"/>
    <w:rsid w:val="006023E1"/>
    <w:rsid w:val="006036BB"/>
    <w:rsid w:val="00604011"/>
    <w:rsid w:val="00605531"/>
    <w:rsid w:val="00606240"/>
    <w:rsid w:val="0060674A"/>
    <w:rsid w:val="00607832"/>
    <w:rsid w:val="0060784B"/>
    <w:rsid w:val="00610254"/>
    <w:rsid w:val="006105FB"/>
    <w:rsid w:val="00610F94"/>
    <w:rsid w:val="006111C8"/>
    <w:rsid w:val="00611293"/>
    <w:rsid w:val="0061135E"/>
    <w:rsid w:val="0061263A"/>
    <w:rsid w:val="00612C41"/>
    <w:rsid w:val="006145DE"/>
    <w:rsid w:val="0061478E"/>
    <w:rsid w:val="00614F25"/>
    <w:rsid w:val="00616A11"/>
    <w:rsid w:val="00616B9B"/>
    <w:rsid w:val="00617520"/>
    <w:rsid w:val="00617AD0"/>
    <w:rsid w:val="0062036B"/>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8DB"/>
    <w:rsid w:val="00642972"/>
    <w:rsid w:val="00644F4D"/>
    <w:rsid w:val="006469B1"/>
    <w:rsid w:val="00646C0D"/>
    <w:rsid w:val="006476F7"/>
    <w:rsid w:val="0064779E"/>
    <w:rsid w:val="006501FA"/>
    <w:rsid w:val="006509B0"/>
    <w:rsid w:val="00651B44"/>
    <w:rsid w:val="006521F3"/>
    <w:rsid w:val="006524D5"/>
    <w:rsid w:val="00652BBD"/>
    <w:rsid w:val="00653633"/>
    <w:rsid w:val="00653F69"/>
    <w:rsid w:val="00654936"/>
    <w:rsid w:val="00655485"/>
    <w:rsid w:val="006558B3"/>
    <w:rsid w:val="00660B0D"/>
    <w:rsid w:val="00660BF0"/>
    <w:rsid w:val="0066189C"/>
    <w:rsid w:val="00662285"/>
    <w:rsid w:val="00662907"/>
    <w:rsid w:val="006630CF"/>
    <w:rsid w:val="00663EFF"/>
    <w:rsid w:val="00666F74"/>
    <w:rsid w:val="00667FEA"/>
    <w:rsid w:val="006710D2"/>
    <w:rsid w:val="00671A8B"/>
    <w:rsid w:val="00671F53"/>
    <w:rsid w:val="006725A0"/>
    <w:rsid w:val="00673FC5"/>
    <w:rsid w:val="006744C5"/>
    <w:rsid w:val="0067555E"/>
    <w:rsid w:val="006761B9"/>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22E"/>
    <w:rsid w:val="00694B73"/>
    <w:rsid w:val="00694DF2"/>
    <w:rsid w:val="00695F80"/>
    <w:rsid w:val="006966CD"/>
    <w:rsid w:val="00696735"/>
    <w:rsid w:val="006975D4"/>
    <w:rsid w:val="0069780E"/>
    <w:rsid w:val="00697D13"/>
    <w:rsid w:val="006A1FFD"/>
    <w:rsid w:val="006A24D5"/>
    <w:rsid w:val="006A2CA2"/>
    <w:rsid w:val="006A4461"/>
    <w:rsid w:val="006A713A"/>
    <w:rsid w:val="006B2D40"/>
    <w:rsid w:val="006B34DF"/>
    <w:rsid w:val="006B39B2"/>
    <w:rsid w:val="006B3AF9"/>
    <w:rsid w:val="006B45A0"/>
    <w:rsid w:val="006B5668"/>
    <w:rsid w:val="006B5F71"/>
    <w:rsid w:val="006B6E44"/>
    <w:rsid w:val="006B7059"/>
    <w:rsid w:val="006B7287"/>
    <w:rsid w:val="006B79C5"/>
    <w:rsid w:val="006B7F2E"/>
    <w:rsid w:val="006C0BF8"/>
    <w:rsid w:val="006C1714"/>
    <w:rsid w:val="006C2253"/>
    <w:rsid w:val="006C2CCB"/>
    <w:rsid w:val="006C4334"/>
    <w:rsid w:val="006C4B0F"/>
    <w:rsid w:val="006C5689"/>
    <w:rsid w:val="006C5E96"/>
    <w:rsid w:val="006C7CC6"/>
    <w:rsid w:val="006D0F57"/>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5DDF"/>
    <w:rsid w:val="006F6468"/>
    <w:rsid w:val="00700247"/>
    <w:rsid w:val="00701051"/>
    <w:rsid w:val="007021C2"/>
    <w:rsid w:val="00702502"/>
    <w:rsid w:val="00702976"/>
    <w:rsid w:val="007033A8"/>
    <w:rsid w:val="0070421B"/>
    <w:rsid w:val="007043F0"/>
    <w:rsid w:val="0070482E"/>
    <w:rsid w:val="00704D25"/>
    <w:rsid w:val="007073D3"/>
    <w:rsid w:val="00710519"/>
    <w:rsid w:val="00710F6E"/>
    <w:rsid w:val="00711663"/>
    <w:rsid w:val="007116B4"/>
    <w:rsid w:val="00712580"/>
    <w:rsid w:val="007133E4"/>
    <w:rsid w:val="00713788"/>
    <w:rsid w:val="00713940"/>
    <w:rsid w:val="007151A2"/>
    <w:rsid w:val="00716774"/>
    <w:rsid w:val="007209DD"/>
    <w:rsid w:val="00721031"/>
    <w:rsid w:val="00722E49"/>
    <w:rsid w:val="00723A08"/>
    <w:rsid w:val="00723B5C"/>
    <w:rsid w:val="00724391"/>
    <w:rsid w:val="007243F1"/>
    <w:rsid w:val="00724C18"/>
    <w:rsid w:val="00726630"/>
    <w:rsid w:val="00727F73"/>
    <w:rsid w:val="007303AD"/>
    <w:rsid w:val="00730705"/>
    <w:rsid w:val="00730944"/>
    <w:rsid w:val="0073248E"/>
    <w:rsid w:val="00733EE9"/>
    <w:rsid w:val="00735B8E"/>
    <w:rsid w:val="0073673C"/>
    <w:rsid w:val="00736935"/>
    <w:rsid w:val="007400B3"/>
    <w:rsid w:val="00740287"/>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62C"/>
    <w:rsid w:val="00760B08"/>
    <w:rsid w:val="00760EDA"/>
    <w:rsid w:val="00761F4E"/>
    <w:rsid w:val="00762150"/>
    <w:rsid w:val="00762621"/>
    <w:rsid w:val="00763F36"/>
    <w:rsid w:val="007648A0"/>
    <w:rsid w:val="00765431"/>
    <w:rsid w:val="00766F4D"/>
    <w:rsid w:val="00767A6B"/>
    <w:rsid w:val="00770268"/>
    <w:rsid w:val="007706B9"/>
    <w:rsid w:val="007707ED"/>
    <w:rsid w:val="00771C3B"/>
    <w:rsid w:val="007726F9"/>
    <w:rsid w:val="00773B94"/>
    <w:rsid w:val="00773C65"/>
    <w:rsid w:val="00775937"/>
    <w:rsid w:val="00777046"/>
    <w:rsid w:val="007770DA"/>
    <w:rsid w:val="00777DBE"/>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14FD"/>
    <w:rsid w:val="007B1A27"/>
    <w:rsid w:val="007B1ABA"/>
    <w:rsid w:val="007B21DE"/>
    <w:rsid w:val="007B2BB9"/>
    <w:rsid w:val="007B2C66"/>
    <w:rsid w:val="007B43E8"/>
    <w:rsid w:val="007B4740"/>
    <w:rsid w:val="007B502C"/>
    <w:rsid w:val="007B5F3B"/>
    <w:rsid w:val="007B6548"/>
    <w:rsid w:val="007B744F"/>
    <w:rsid w:val="007C02B0"/>
    <w:rsid w:val="007C063E"/>
    <w:rsid w:val="007C1901"/>
    <w:rsid w:val="007C49C0"/>
    <w:rsid w:val="007C55C1"/>
    <w:rsid w:val="007C5738"/>
    <w:rsid w:val="007C5772"/>
    <w:rsid w:val="007C5AC3"/>
    <w:rsid w:val="007C7233"/>
    <w:rsid w:val="007D10EE"/>
    <w:rsid w:val="007D1193"/>
    <w:rsid w:val="007D21D5"/>
    <w:rsid w:val="007D3CA5"/>
    <w:rsid w:val="007D3E8D"/>
    <w:rsid w:val="007D4C3D"/>
    <w:rsid w:val="007D5915"/>
    <w:rsid w:val="007D592D"/>
    <w:rsid w:val="007D5B4F"/>
    <w:rsid w:val="007D5C30"/>
    <w:rsid w:val="007E0660"/>
    <w:rsid w:val="007E0882"/>
    <w:rsid w:val="007E1411"/>
    <w:rsid w:val="007E1882"/>
    <w:rsid w:val="007E1BB4"/>
    <w:rsid w:val="007E3514"/>
    <w:rsid w:val="007E4AAA"/>
    <w:rsid w:val="007E4B05"/>
    <w:rsid w:val="007E4BD2"/>
    <w:rsid w:val="007E4C29"/>
    <w:rsid w:val="007E5E44"/>
    <w:rsid w:val="007F0DDA"/>
    <w:rsid w:val="007F1939"/>
    <w:rsid w:val="007F365C"/>
    <w:rsid w:val="007F3F15"/>
    <w:rsid w:val="007F4A2A"/>
    <w:rsid w:val="007F5066"/>
    <w:rsid w:val="007F5749"/>
    <w:rsid w:val="007F621C"/>
    <w:rsid w:val="007F6374"/>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5543"/>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25"/>
    <w:rsid w:val="00831A4A"/>
    <w:rsid w:val="008320B4"/>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0D1"/>
    <w:rsid w:val="00845D87"/>
    <w:rsid w:val="00846C3A"/>
    <w:rsid w:val="008477BF"/>
    <w:rsid w:val="00847D83"/>
    <w:rsid w:val="008503DA"/>
    <w:rsid w:val="00850B68"/>
    <w:rsid w:val="00850E82"/>
    <w:rsid w:val="0085122D"/>
    <w:rsid w:val="008519E8"/>
    <w:rsid w:val="008525FF"/>
    <w:rsid w:val="00852C03"/>
    <w:rsid w:val="00852C34"/>
    <w:rsid w:val="008537C0"/>
    <w:rsid w:val="0085590C"/>
    <w:rsid w:val="008575EB"/>
    <w:rsid w:val="00862DDD"/>
    <w:rsid w:val="0086326D"/>
    <w:rsid w:val="00863CC1"/>
    <w:rsid w:val="00865B01"/>
    <w:rsid w:val="00866D7A"/>
    <w:rsid w:val="00866EE3"/>
    <w:rsid w:val="0086704B"/>
    <w:rsid w:val="008701E5"/>
    <w:rsid w:val="008706C5"/>
    <w:rsid w:val="00871F04"/>
    <w:rsid w:val="008723A2"/>
    <w:rsid w:val="008746C1"/>
    <w:rsid w:val="00880224"/>
    <w:rsid w:val="0088244C"/>
    <w:rsid w:val="00883367"/>
    <w:rsid w:val="00884C47"/>
    <w:rsid w:val="00884CED"/>
    <w:rsid w:val="00884E92"/>
    <w:rsid w:val="00885E6F"/>
    <w:rsid w:val="00885F52"/>
    <w:rsid w:val="008861AC"/>
    <w:rsid w:val="008868E4"/>
    <w:rsid w:val="00886A60"/>
    <w:rsid w:val="0088759B"/>
    <w:rsid w:val="00887648"/>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345"/>
    <w:rsid w:val="008B5D2D"/>
    <w:rsid w:val="008B6361"/>
    <w:rsid w:val="008C0320"/>
    <w:rsid w:val="008C0A49"/>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1ACF"/>
    <w:rsid w:val="008F2413"/>
    <w:rsid w:val="008F248D"/>
    <w:rsid w:val="008F3595"/>
    <w:rsid w:val="008F4B2C"/>
    <w:rsid w:val="008F4C08"/>
    <w:rsid w:val="008F6851"/>
    <w:rsid w:val="008F7BC4"/>
    <w:rsid w:val="00900E7A"/>
    <w:rsid w:val="009036EA"/>
    <w:rsid w:val="00903E11"/>
    <w:rsid w:val="00903EBE"/>
    <w:rsid w:val="009041DE"/>
    <w:rsid w:val="00905D59"/>
    <w:rsid w:val="009062CA"/>
    <w:rsid w:val="00907631"/>
    <w:rsid w:val="00907776"/>
    <w:rsid w:val="009115C6"/>
    <w:rsid w:val="00912E4E"/>
    <w:rsid w:val="00913401"/>
    <w:rsid w:val="00913567"/>
    <w:rsid w:val="009137B6"/>
    <w:rsid w:val="00915EBA"/>
    <w:rsid w:val="00917093"/>
    <w:rsid w:val="0092030E"/>
    <w:rsid w:val="009203D0"/>
    <w:rsid w:val="009217B1"/>
    <w:rsid w:val="00921A42"/>
    <w:rsid w:val="009223BB"/>
    <w:rsid w:val="00922491"/>
    <w:rsid w:val="00923554"/>
    <w:rsid w:val="00923BCF"/>
    <w:rsid w:val="009252EC"/>
    <w:rsid w:val="0092558A"/>
    <w:rsid w:val="00925AEC"/>
    <w:rsid w:val="0092751A"/>
    <w:rsid w:val="009305C4"/>
    <w:rsid w:val="00930EC8"/>
    <w:rsid w:val="0093122E"/>
    <w:rsid w:val="00931FAF"/>
    <w:rsid w:val="009360F6"/>
    <w:rsid w:val="009371DC"/>
    <w:rsid w:val="0093759D"/>
    <w:rsid w:val="00940239"/>
    <w:rsid w:val="00940C11"/>
    <w:rsid w:val="00942BD6"/>
    <w:rsid w:val="00942DED"/>
    <w:rsid w:val="00944404"/>
    <w:rsid w:val="009452D7"/>
    <w:rsid w:val="00945FD1"/>
    <w:rsid w:val="00946CCC"/>
    <w:rsid w:val="00947A5F"/>
    <w:rsid w:val="009503E5"/>
    <w:rsid w:val="00950F71"/>
    <w:rsid w:val="00951707"/>
    <w:rsid w:val="00952F2C"/>
    <w:rsid w:val="009532E3"/>
    <w:rsid w:val="00953615"/>
    <w:rsid w:val="00954BAF"/>
    <w:rsid w:val="00955F48"/>
    <w:rsid w:val="009560B3"/>
    <w:rsid w:val="0095745E"/>
    <w:rsid w:val="00957922"/>
    <w:rsid w:val="00957CE0"/>
    <w:rsid w:val="0096002E"/>
    <w:rsid w:val="0096039E"/>
    <w:rsid w:val="009627F4"/>
    <w:rsid w:val="00962CEF"/>
    <w:rsid w:val="00963766"/>
    <w:rsid w:val="00963D60"/>
    <w:rsid w:val="00963FDF"/>
    <w:rsid w:val="00964780"/>
    <w:rsid w:val="00964C32"/>
    <w:rsid w:val="0096528F"/>
    <w:rsid w:val="009653F2"/>
    <w:rsid w:val="009661DF"/>
    <w:rsid w:val="009667BD"/>
    <w:rsid w:val="00967674"/>
    <w:rsid w:val="00967CE2"/>
    <w:rsid w:val="009715B6"/>
    <w:rsid w:val="00971DA3"/>
    <w:rsid w:val="00972161"/>
    <w:rsid w:val="0097261B"/>
    <w:rsid w:val="00974881"/>
    <w:rsid w:val="0097606C"/>
    <w:rsid w:val="009763A3"/>
    <w:rsid w:val="009771D1"/>
    <w:rsid w:val="0097791B"/>
    <w:rsid w:val="0098012D"/>
    <w:rsid w:val="00980845"/>
    <w:rsid w:val="00981BD9"/>
    <w:rsid w:val="00981D02"/>
    <w:rsid w:val="00982049"/>
    <w:rsid w:val="0098225F"/>
    <w:rsid w:val="00983A3C"/>
    <w:rsid w:val="00983EFA"/>
    <w:rsid w:val="00984C15"/>
    <w:rsid w:val="00987829"/>
    <w:rsid w:val="00987F04"/>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264"/>
    <w:rsid w:val="009B03C4"/>
    <w:rsid w:val="009B0AA2"/>
    <w:rsid w:val="009B0DCD"/>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300"/>
    <w:rsid w:val="009D2511"/>
    <w:rsid w:val="009D291D"/>
    <w:rsid w:val="009D3E7C"/>
    <w:rsid w:val="009D55CA"/>
    <w:rsid w:val="009D5EF0"/>
    <w:rsid w:val="009D6401"/>
    <w:rsid w:val="009E0711"/>
    <w:rsid w:val="009E1917"/>
    <w:rsid w:val="009E2FDB"/>
    <w:rsid w:val="009E3594"/>
    <w:rsid w:val="009E4A89"/>
    <w:rsid w:val="009E6B77"/>
    <w:rsid w:val="009E7724"/>
    <w:rsid w:val="009E7D1F"/>
    <w:rsid w:val="009F0175"/>
    <w:rsid w:val="009F1D82"/>
    <w:rsid w:val="009F37AA"/>
    <w:rsid w:val="009F4CD7"/>
    <w:rsid w:val="009F544C"/>
    <w:rsid w:val="009F5731"/>
    <w:rsid w:val="009F6321"/>
    <w:rsid w:val="009F6378"/>
    <w:rsid w:val="009F6D2A"/>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8BF"/>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5957"/>
    <w:rsid w:val="00A46246"/>
    <w:rsid w:val="00A46349"/>
    <w:rsid w:val="00A46D5E"/>
    <w:rsid w:val="00A50847"/>
    <w:rsid w:val="00A512C7"/>
    <w:rsid w:val="00A53E7E"/>
    <w:rsid w:val="00A54BFF"/>
    <w:rsid w:val="00A54C63"/>
    <w:rsid w:val="00A54FBB"/>
    <w:rsid w:val="00A55819"/>
    <w:rsid w:val="00A55BB1"/>
    <w:rsid w:val="00A55FD6"/>
    <w:rsid w:val="00A5619C"/>
    <w:rsid w:val="00A564CD"/>
    <w:rsid w:val="00A564CE"/>
    <w:rsid w:val="00A5675F"/>
    <w:rsid w:val="00A60D6F"/>
    <w:rsid w:val="00A61009"/>
    <w:rsid w:val="00A61762"/>
    <w:rsid w:val="00A61938"/>
    <w:rsid w:val="00A61CFD"/>
    <w:rsid w:val="00A62B86"/>
    <w:rsid w:val="00A63C96"/>
    <w:rsid w:val="00A652E2"/>
    <w:rsid w:val="00A65805"/>
    <w:rsid w:val="00A66BEE"/>
    <w:rsid w:val="00A671C9"/>
    <w:rsid w:val="00A67DFD"/>
    <w:rsid w:val="00A67EFE"/>
    <w:rsid w:val="00A70E17"/>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41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1F38"/>
    <w:rsid w:val="00AE3BC6"/>
    <w:rsid w:val="00AE3E2F"/>
    <w:rsid w:val="00AE4D4F"/>
    <w:rsid w:val="00AE627C"/>
    <w:rsid w:val="00AE62B0"/>
    <w:rsid w:val="00AE683C"/>
    <w:rsid w:val="00AE68A2"/>
    <w:rsid w:val="00AF0029"/>
    <w:rsid w:val="00AF0354"/>
    <w:rsid w:val="00AF1236"/>
    <w:rsid w:val="00AF13F2"/>
    <w:rsid w:val="00AF38AF"/>
    <w:rsid w:val="00AF3C29"/>
    <w:rsid w:val="00AF4401"/>
    <w:rsid w:val="00AF4463"/>
    <w:rsid w:val="00AF53CB"/>
    <w:rsid w:val="00AF65C5"/>
    <w:rsid w:val="00AF76FF"/>
    <w:rsid w:val="00B03CE2"/>
    <w:rsid w:val="00B059A9"/>
    <w:rsid w:val="00B06544"/>
    <w:rsid w:val="00B105F2"/>
    <w:rsid w:val="00B10991"/>
    <w:rsid w:val="00B12128"/>
    <w:rsid w:val="00B126C3"/>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1EB1"/>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6967"/>
    <w:rsid w:val="00B37C73"/>
    <w:rsid w:val="00B4009B"/>
    <w:rsid w:val="00B400A1"/>
    <w:rsid w:val="00B40A2B"/>
    <w:rsid w:val="00B4127F"/>
    <w:rsid w:val="00B420CB"/>
    <w:rsid w:val="00B428D1"/>
    <w:rsid w:val="00B43A3A"/>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9BB"/>
    <w:rsid w:val="00B60D27"/>
    <w:rsid w:val="00B619E4"/>
    <w:rsid w:val="00B61D0B"/>
    <w:rsid w:val="00B6439A"/>
    <w:rsid w:val="00B6443B"/>
    <w:rsid w:val="00B6517B"/>
    <w:rsid w:val="00B65E71"/>
    <w:rsid w:val="00B66C26"/>
    <w:rsid w:val="00B705C4"/>
    <w:rsid w:val="00B71FB3"/>
    <w:rsid w:val="00B72B05"/>
    <w:rsid w:val="00B73492"/>
    <w:rsid w:val="00B73C6F"/>
    <w:rsid w:val="00B7512A"/>
    <w:rsid w:val="00B75658"/>
    <w:rsid w:val="00B76548"/>
    <w:rsid w:val="00B76BED"/>
    <w:rsid w:val="00B806E6"/>
    <w:rsid w:val="00B82DC1"/>
    <w:rsid w:val="00B835D5"/>
    <w:rsid w:val="00B83A0D"/>
    <w:rsid w:val="00B84028"/>
    <w:rsid w:val="00B84307"/>
    <w:rsid w:val="00B8430D"/>
    <w:rsid w:val="00B85661"/>
    <w:rsid w:val="00B85C8A"/>
    <w:rsid w:val="00B86FBD"/>
    <w:rsid w:val="00B90A92"/>
    <w:rsid w:val="00B91B86"/>
    <w:rsid w:val="00B927CA"/>
    <w:rsid w:val="00B928AE"/>
    <w:rsid w:val="00B92BE4"/>
    <w:rsid w:val="00B93CDA"/>
    <w:rsid w:val="00B942E9"/>
    <w:rsid w:val="00B9433A"/>
    <w:rsid w:val="00B948EE"/>
    <w:rsid w:val="00B94BF3"/>
    <w:rsid w:val="00B94F90"/>
    <w:rsid w:val="00B95DC5"/>
    <w:rsid w:val="00B97E34"/>
    <w:rsid w:val="00B97FEF"/>
    <w:rsid w:val="00BA1354"/>
    <w:rsid w:val="00BA24F8"/>
    <w:rsid w:val="00BA31AA"/>
    <w:rsid w:val="00BA45D8"/>
    <w:rsid w:val="00BA5762"/>
    <w:rsid w:val="00BA5828"/>
    <w:rsid w:val="00BA58B9"/>
    <w:rsid w:val="00BA647A"/>
    <w:rsid w:val="00BA64B3"/>
    <w:rsid w:val="00BA754A"/>
    <w:rsid w:val="00BA7820"/>
    <w:rsid w:val="00BA794C"/>
    <w:rsid w:val="00BB09FB"/>
    <w:rsid w:val="00BB1617"/>
    <w:rsid w:val="00BB1D20"/>
    <w:rsid w:val="00BB238D"/>
    <w:rsid w:val="00BB342C"/>
    <w:rsid w:val="00BB37CC"/>
    <w:rsid w:val="00BB48C4"/>
    <w:rsid w:val="00BB5C6F"/>
    <w:rsid w:val="00BB6907"/>
    <w:rsid w:val="00BB7A20"/>
    <w:rsid w:val="00BC15B1"/>
    <w:rsid w:val="00BC16E9"/>
    <w:rsid w:val="00BC3C06"/>
    <w:rsid w:val="00BC4E8B"/>
    <w:rsid w:val="00BC545E"/>
    <w:rsid w:val="00BC5622"/>
    <w:rsid w:val="00BC6060"/>
    <w:rsid w:val="00BC6596"/>
    <w:rsid w:val="00BC7897"/>
    <w:rsid w:val="00BD0E42"/>
    <w:rsid w:val="00BD0F35"/>
    <w:rsid w:val="00BD3C97"/>
    <w:rsid w:val="00BD42FE"/>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7A6"/>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10BF"/>
    <w:rsid w:val="00C025B9"/>
    <w:rsid w:val="00C03EA2"/>
    <w:rsid w:val="00C044B4"/>
    <w:rsid w:val="00C05105"/>
    <w:rsid w:val="00C05A5D"/>
    <w:rsid w:val="00C0622F"/>
    <w:rsid w:val="00C0654A"/>
    <w:rsid w:val="00C06DE3"/>
    <w:rsid w:val="00C06EE4"/>
    <w:rsid w:val="00C06F97"/>
    <w:rsid w:val="00C07815"/>
    <w:rsid w:val="00C10BE6"/>
    <w:rsid w:val="00C11296"/>
    <w:rsid w:val="00C11905"/>
    <w:rsid w:val="00C1234A"/>
    <w:rsid w:val="00C12661"/>
    <w:rsid w:val="00C126E3"/>
    <w:rsid w:val="00C1330F"/>
    <w:rsid w:val="00C13ED7"/>
    <w:rsid w:val="00C14244"/>
    <w:rsid w:val="00C14615"/>
    <w:rsid w:val="00C14F48"/>
    <w:rsid w:val="00C15296"/>
    <w:rsid w:val="00C17750"/>
    <w:rsid w:val="00C2094B"/>
    <w:rsid w:val="00C20DC5"/>
    <w:rsid w:val="00C2294E"/>
    <w:rsid w:val="00C22A5B"/>
    <w:rsid w:val="00C23412"/>
    <w:rsid w:val="00C264C7"/>
    <w:rsid w:val="00C271C4"/>
    <w:rsid w:val="00C274F3"/>
    <w:rsid w:val="00C305E1"/>
    <w:rsid w:val="00C30A54"/>
    <w:rsid w:val="00C316F7"/>
    <w:rsid w:val="00C31DF0"/>
    <w:rsid w:val="00C32578"/>
    <w:rsid w:val="00C33916"/>
    <w:rsid w:val="00C33BCF"/>
    <w:rsid w:val="00C34D1D"/>
    <w:rsid w:val="00C353A0"/>
    <w:rsid w:val="00C368D7"/>
    <w:rsid w:val="00C36FD1"/>
    <w:rsid w:val="00C371A5"/>
    <w:rsid w:val="00C37F13"/>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2711"/>
    <w:rsid w:val="00C638C2"/>
    <w:rsid w:val="00C64F53"/>
    <w:rsid w:val="00C651D4"/>
    <w:rsid w:val="00C65312"/>
    <w:rsid w:val="00C66651"/>
    <w:rsid w:val="00C6669E"/>
    <w:rsid w:val="00C672B0"/>
    <w:rsid w:val="00C729C7"/>
    <w:rsid w:val="00C7390D"/>
    <w:rsid w:val="00C761FA"/>
    <w:rsid w:val="00C777AD"/>
    <w:rsid w:val="00C80C53"/>
    <w:rsid w:val="00C81195"/>
    <w:rsid w:val="00C81EC1"/>
    <w:rsid w:val="00C85387"/>
    <w:rsid w:val="00C85E52"/>
    <w:rsid w:val="00C86471"/>
    <w:rsid w:val="00C8677B"/>
    <w:rsid w:val="00C86F96"/>
    <w:rsid w:val="00C909C6"/>
    <w:rsid w:val="00C923B7"/>
    <w:rsid w:val="00C93D5D"/>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4936"/>
    <w:rsid w:val="00CB56B4"/>
    <w:rsid w:val="00CB63E7"/>
    <w:rsid w:val="00CB7286"/>
    <w:rsid w:val="00CB7947"/>
    <w:rsid w:val="00CC0D9F"/>
    <w:rsid w:val="00CC1783"/>
    <w:rsid w:val="00CC38E9"/>
    <w:rsid w:val="00CC3B46"/>
    <w:rsid w:val="00CC3D8B"/>
    <w:rsid w:val="00CC3FE7"/>
    <w:rsid w:val="00CC4E27"/>
    <w:rsid w:val="00CC570C"/>
    <w:rsid w:val="00CC62B6"/>
    <w:rsid w:val="00CC76AA"/>
    <w:rsid w:val="00CC7AE2"/>
    <w:rsid w:val="00CC7CD2"/>
    <w:rsid w:val="00CD05CF"/>
    <w:rsid w:val="00CD06AB"/>
    <w:rsid w:val="00CD1FAE"/>
    <w:rsid w:val="00CD232F"/>
    <w:rsid w:val="00CD279E"/>
    <w:rsid w:val="00CD2F92"/>
    <w:rsid w:val="00CD4EB0"/>
    <w:rsid w:val="00CD512D"/>
    <w:rsid w:val="00CD5831"/>
    <w:rsid w:val="00CD6F6E"/>
    <w:rsid w:val="00CD73B3"/>
    <w:rsid w:val="00CD78E7"/>
    <w:rsid w:val="00CE08D1"/>
    <w:rsid w:val="00CE0F7E"/>
    <w:rsid w:val="00CE12FB"/>
    <w:rsid w:val="00CE157F"/>
    <w:rsid w:val="00CE1966"/>
    <w:rsid w:val="00CE1ED4"/>
    <w:rsid w:val="00CE2216"/>
    <w:rsid w:val="00CE3005"/>
    <w:rsid w:val="00CE3014"/>
    <w:rsid w:val="00CE30E5"/>
    <w:rsid w:val="00CE6FC6"/>
    <w:rsid w:val="00CF0A4A"/>
    <w:rsid w:val="00CF157D"/>
    <w:rsid w:val="00CF2056"/>
    <w:rsid w:val="00CF4471"/>
    <w:rsid w:val="00CF4894"/>
    <w:rsid w:val="00CF51C0"/>
    <w:rsid w:val="00CF5B2A"/>
    <w:rsid w:val="00CF5F57"/>
    <w:rsid w:val="00CF64A7"/>
    <w:rsid w:val="00CF6730"/>
    <w:rsid w:val="00CF6883"/>
    <w:rsid w:val="00CF70E5"/>
    <w:rsid w:val="00CF7CEC"/>
    <w:rsid w:val="00D00B0F"/>
    <w:rsid w:val="00D01BF4"/>
    <w:rsid w:val="00D0272C"/>
    <w:rsid w:val="00D045CE"/>
    <w:rsid w:val="00D049D2"/>
    <w:rsid w:val="00D05082"/>
    <w:rsid w:val="00D06163"/>
    <w:rsid w:val="00D07AFD"/>
    <w:rsid w:val="00D11749"/>
    <w:rsid w:val="00D12A7D"/>
    <w:rsid w:val="00D13AB0"/>
    <w:rsid w:val="00D1519E"/>
    <w:rsid w:val="00D152B7"/>
    <w:rsid w:val="00D15326"/>
    <w:rsid w:val="00D16EDC"/>
    <w:rsid w:val="00D17FDE"/>
    <w:rsid w:val="00D201CB"/>
    <w:rsid w:val="00D22786"/>
    <w:rsid w:val="00D228B4"/>
    <w:rsid w:val="00D24275"/>
    <w:rsid w:val="00D25AC4"/>
    <w:rsid w:val="00D305F6"/>
    <w:rsid w:val="00D30B25"/>
    <w:rsid w:val="00D30BC1"/>
    <w:rsid w:val="00D3175A"/>
    <w:rsid w:val="00D31A00"/>
    <w:rsid w:val="00D32109"/>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69D"/>
    <w:rsid w:val="00D56571"/>
    <w:rsid w:val="00D56AC0"/>
    <w:rsid w:val="00D6081B"/>
    <w:rsid w:val="00D61A37"/>
    <w:rsid w:val="00D6240A"/>
    <w:rsid w:val="00D63093"/>
    <w:rsid w:val="00D63599"/>
    <w:rsid w:val="00D63EBD"/>
    <w:rsid w:val="00D64B69"/>
    <w:rsid w:val="00D65CE3"/>
    <w:rsid w:val="00D67101"/>
    <w:rsid w:val="00D7106D"/>
    <w:rsid w:val="00D71B45"/>
    <w:rsid w:val="00D71F8A"/>
    <w:rsid w:val="00D722D1"/>
    <w:rsid w:val="00D74176"/>
    <w:rsid w:val="00D75603"/>
    <w:rsid w:val="00D75FEE"/>
    <w:rsid w:val="00D76933"/>
    <w:rsid w:val="00D76D88"/>
    <w:rsid w:val="00D77CC9"/>
    <w:rsid w:val="00D8158F"/>
    <w:rsid w:val="00D82920"/>
    <w:rsid w:val="00D83D4B"/>
    <w:rsid w:val="00D83F66"/>
    <w:rsid w:val="00D871C6"/>
    <w:rsid w:val="00D90AF6"/>
    <w:rsid w:val="00D91010"/>
    <w:rsid w:val="00DA0FA7"/>
    <w:rsid w:val="00DA12B0"/>
    <w:rsid w:val="00DA2BA0"/>
    <w:rsid w:val="00DA39AD"/>
    <w:rsid w:val="00DA436C"/>
    <w:rsid w:val="00DA524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AE1"/>
    <w:rsid w:val="00DC4D68"/>
    <w:rsid w:val="00DC6463"/>
    <w:rsid w:val="00DC7822"/>
    <w:rsid w:val="00DC7AF1"/>
    <w:rsid w:val="00DD0CDA"/>
    <w:rsid w:val="00DD290B"/>
    <w:rsid w:val="00DD2D92"/>
    <w:rsid w:val="00DD3026"/>
    <w:rsid w:val="00DD33DC"/>
    <w:rsid w:val="00DD34CA"/>
    <w:rsid w:val="00DD3BB0"/>
    <w:rsid w:val="00DD3E58"/>
    <w:rsid w:val="00DD61F5"/>
    <w:rsid w:val="00DD6441"/>
    <w:rsid w:val="00DE3223"/>
    <w:rsid w:val="00DE64A6"/>
    <w:rsid w:val="00DE66EB"/>
    <w:rsid w:val="00DE7035"/>
    <w:rsid w:val="00DF12E3"/>
    <w:rsid w:val="00DF3F1D"/>
    <w:rsid w:val="00DF4647"/>
    <w:rsid w:val="00DF595C"/>
    <w:rsid w:val="00DF7EA7"/>
    <w:rsid w:val="00E027DC"/>
    <w:rsid w:val="00E029B1"/>
    <w:rsid w:val="00E03280"/>
    <w:rsid w:val="00E03F87"/>
    <w:rsid w:val="00E0412F"/>
    <w:rsid w:val="00E04548"/>
    <w:rsid w:val="00E0484E"/>
    <w:rsid w:val="00E04D50"/>
    <w:rsid w:val="00E063F8"/>
    <w:rsid w:val="00E079AF"/>
    <w:rsid w:val="00E114D6"/>
    <w:rsid w:val="00E1166E"/>
    <w:rsid w:val="00E11DBD"/>
    <w:rsid w:val="00E13211"/>
    <w:rsid w:val="00E16FB5"/>
    <w:rsid w:val="00E179D6"/>
    <w:rsid w:val="00E20C1E"/>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37B18"/>
    <w:rsid w:val="00E40974"/>
    <w:rsid w:val="00E40A5C"/>
    <w:rsid w:val="00E40AAB"/>
    <w:rsid w:val="00E41205"/>
    <w:rsid w:val="00E41F32"/>
    <w:rsid w:val="00E42608"/>
    <w:rsid w:val="00E43536"/>
    <w:rsid w:val="00E43DA3"/>
    <w:rsid w:val="00E44B80"/>
    <w:rsid w:val="00E47430"/>
    <w:rsid w:val="00E50FB7"/>
    <w:rsid w:val="00E5199F"/>
    <w:rsid w:val="00E526DF"/>
    <w:rsid w:val="00E52A00"/>
    <w:rsid w:val="00E53C15"/>
    <w:rsid w:val="00E54EE6"/>
    <w:rsid w:val="00E56715"/>
    <w:rsid w:val="00E56C2C"/>
    <w:rsid w:val="00E57F8E"/>
    <w:rsid w:val="00E611C8"/>
    <w:rsid w:val="00E61B4B"/>
    <w:rsid w:val="00E63256"/>
    <w:rsid w:val="00E6344A"/>
    <w:rsid w:val="00E64E69"/>
    <w:rsid w:val="00E64FB7"/>
    <w:rsid w:val="00E65573"/>
    <w:rsid w:val="00E669A1"/>
    <w:rsid w:val="00E66FE1"/>
    <w:rsid w:val="00E679BA"/>
    <w:rsid w:val="00E70243"/>
    <w:rsid w:val="00E72CC6"/>
    <w:rsid w:val="00E72F93"/>
    <w:rsid w:val="00E73D44"/>
    <w:rsid w:val="00E7494A"/>
    <w:rsid w:val="00E74BE2"/>
    <w:rsid w:val="00E74C66"/>
    <w:rsid w:val="00E74FA2"/>
    <w:rsid w:val="00E75933"/>
    <w:rsid w:val="00E77A1B"/>
    <w:rsid w:val="00E808BE"/>
    <w:rsid w:val="00E809C4"/>
    <w:rsid w:val="00E81E36"/>
    <w:rsid w:val="00E81E40"/>
    <w:rsid w:val="00E82ECE"/>
    <w:rsid w:val="00E8713B"/>
    <w:rsid w:val="00E90C61"/>
    <w:rsid w:val="00E916B3"/>
    <w:rsid w:val="00E92A82"/>
    <w:rsid w:val="00E92AA8"/>
    <w:rsid w:val="00E92C82"/>
    <w:rsid w:val="00E9344E"/>
    <w:rsid w:val="00E93E39"/>
    <w:rsid w:val="00E94391"/>
    <w:rsid w:val="00E965D0"/>
    <w:rsid w:val="00E97E2B"/>
    <w:rsid w:val="00EA08CA"/>
    <w:rsid w:val="00EA0C0C"/>
    <w:rsid w:val="00EA2AEA"/>
    <w:rsid w:val="00EA332B"/>
    <w:rsid w:val="00EA3D36"/>
    <w:rsid w:val="00EA40AA"/>
    <w:rsid w:val="00EA57E2"/>
    <w:rsid w:val="00EA6CEA"/>
    <w:rsid w:val="00EA7186"/>
    <w:rsid w:val="00EB018B"/>
    <w:rsid w:val="00EB1003"/>
    <w:rsid w:val="00EB167E"/>
    <w:rsid w:val="00EB24ED"/>
    <w:rsid w:val="00EB2A00"/>
    <w:rsid w:val="00EB2A3F"/>
    <w:rsid w:val="00EB309B"/>
    <w:rsid w:val="00EB3AA2"/>
    <w:rsid w:val="00EB4763"/>
    <w:rsid w:val="00EB645B"/>
    <w:rsid w:val="00EB6CB7"/>
    <w:rsid w:val="00EB79DD"/>
    <w:rsid w:val="00EC078B"/>
    <w:rsid w:val="00EC07A0"/>
    <w:rsid w:val="00EC08E4"/>
    <w:rsid w:val="00EC1A23"/>
    <w:rsid w:val="00EC2183"/>
    <w:rsid w:val="00EC3CB4"/>
    <w:rsid w:val="00EC443E"/>
    <w:rsid w:val="00EC4D83"/>
    <w:rsid w:val="00EC4EEE"/>
    <w:rsid w:val="00EC634F"/>
    <w:rsid w:val="00EC7B97"/>
    <w:rsid w:val="00ED049C"/>
    <w:rsid w:val="00ED07B7"/>
    <w:rsid w:val="00ED19D7"/>
    <w:rsid w:val="00ED2167"/>
    <w:rsid w:val="00ED30E9"/>
    <w:rsid w:val="00ED351E"/>
    <w:rsid w:val="00ED4063"/>
    <w:rsid w:val="00ED4B27"/>
    <w:rsid w:val="00ED543C"/>
    <w:rsid w:val="00ED6BA4"/>
    <w:rsid w:val="00ED7DA7"/>
    <w:rsid w:val="00EE0598"/>
    <w:rsid w:val="00EE311C"/>
    <w:rsid w:val="00EE53D1"/>
    <w:rsid w:val="00EE56FF"/>
    <w:rsid w:val="00EE5886"/>
    <w:rsid w:val="00EE5FBF"/>
    <w:rsid w:val="00EE6472"/>
    <w:rsid w:val="00EE76F2"/>
    <w:rsid w:val="00EF0769"/>
    <w:rsid w:val="00EF0D7C"/>
    <w:rsid w:val="00EF1F32"/>
    <w:rsid w:val="00EF40E2"/>
    <w:rsid w:val="00EF5FB9"/>
    <w:rsid w:val="00EF61C1"/>
    <w:rsid w:val="00EF6E68"/>
    <w:rsid w:val="00EF76DB"/>
    <w:rsid w:val="00F005FD"/>
    <w:rsid w:val="00F024E2"/>
    <w:rsid w:val="00F02C04"/>
    <w:rsid w:val="00F03AF1"/>
    <w:rsid w:val="00F04BCD"/>
    <w:rsid w:val="00F05A8C"/>
    <w:rsid w:val="00F06211"/>
    <w:rsid w:val="00F10A54"/>
    <w:rsid w:val="00F10F8A"/>
    <w:rsid w:val="00F123D0"/>
    <w:rsid w:val="00F13200"/>
    <w:rsid w:val="00F13411"/>
    <w:rsid w:val="00F143BA"/>
    <w:rsid w:val="00F14D98"/>
    <w:rsid w:val="00F154AF"/>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8F5"/>
    <w:rsid w:val="00F33A58"/>
    <w:rsid w:val="00F33EDE"/>
    <w:rsid w:val="00F3568B"/>
    <w:rsid w:val="00F357C9"/>
    <w:rsid w:val="00F377CD"/>
    <w:rsid w:val="00F40C3B"/>
    <w:rsid w:val="00F40CE0"/>
    <w:rsid w:val="00F420D1"/>
    <w:rsid w:val="00F42DBC"/>
    <w:rsid w:val="00F4308D"/>
    <w:rsid w:val="00F44012"/>
    <w:rsid w:val="00F44947"/>
    <w:rsid w:val="00F458EF"/>
    <w:rsid w:val="00F47121"/>
    <w:rsid w:val="00F472D5"/>
    <w:rsid w:val="00F4775D"/>
    <w:rsid w:val="00F47CF5"/>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3C57"/>
    <w:rsid w:val="00F73C9E"/>
    <w:rsid w:val="00F77478"/>
    <w:rsid w:val="00F77D43"/>
    <w:rsid w:val="00F80953"/>
    <w:rsid w:val="00F80FD6"/>
    <w:rsid w:val="00F81312"/>
    <w:rsid w:val="00F81B90"/>
    <w:rsid w:val="00F81E6F"/>
    <w:rsid w:val="00F82FF3"/>
    <w:rsid w:val="00F8453C"/>
    <w:rsid w:val="00F84D4C"/>
    <w:rsid w:val="00F85BCC"/>
    <w:rsid w:val="00F8657D"/>
    <w:rsid w:val="00F8730F"/>
    <w:rsid w:val="00F87DA3"/>
    <w:rsid w:val="00F90004"/>
    <w:rsid w:val="00F90EF4"/>
    <w:rsid w:val="00F917BF"/>
    <w:rsid w:val="00F920B4"/>
    <w:rsid w:val="00F9260D"/>
    <w:rsid w:val="00F92727"/>
    <w:rsid w:val="00F93CCF"/>
    <w:rsid w:val="00F94307"/>
    <w:rsid w:val="00F946C4"/>
    <w:rsid w:val="00F9580B"/>
    <w:rsid w:val="00F95F15"/>
    <w:rsid w:val="00F975CA"/>
    <w:rsid w:val="00FA0B60"/>
    <w:rsid w:val="00FA0CC8"/>
    <w:rsid w:val="00FA2528"/>
    <w:rsid w:val="00FA5535"/>
    <w:rsid w:val="00FA7206"/>
    <w:rsid w:val="00FA7EFB"/>
    <w:rsid w:val="00FB0816"/>
    <w:rsid w:val="00FB08C2"/>
    <w:rsid w:val="00FB20D9"/>
    <w:rsid w:val="00FB3DD1"/>
    <w:rsid w:val="00FB4F2B"/>
    <w:rsid w:val="00FB51FD"/>
    <w:rsid w:val="00FB5667"/>
    <w:rsid w:val="00FB6C17"/>
    <w:rsid w:val="00FB7A97"/>
    <w:rsid w:val="00FC1B9B"/>
    <w:rsid w:val="00FC318D"/>
    <w:rsid w:val="00FC36CF"/>
    <w:rsid w:val="00FC3B04"/>
    <w:rsid w:val="00FC40BC"/>
    <w:rsid w:val="00FC41FC"/>
    <w:rsid w:val="00FC4F6E"/>
    <w:rsid w:val="00FC506C"/>
    <w:rsid w:val="00FC514D"/>
    <w:rsid w:val="00FC578C"/>
    <w:rsid w:val="00FC57E3"/>
    <w:rsid w:val="00FC5A37"/>
    <w:rsid w:val="00FC7223"/>
    <w:rsid w:val="00FD071A"/>
    <w:rsid w:val="00FD0F60"/>
    <w:rsid w:val="00FD13EA"/>
    <w:rsid w:val="00FD58C1"/>
    <w:rsid w:val="00FD5EC4"/>
    <w:rsid w:val="00FD5EFB"/>
    <w:rsid w:val="00FD7858"/>
    <w:rsid w:val="00FD7A8D"/>
    <w:rsid w:val="00FE09A3"/>
    <w:rsid w:val="00FE1330"/>
    <w:rsid w:val="00FE1CE5"/>
    <w:rsid w:val="00FE2832"/>
    <w:rsid w:val="00FE2D38"/>
    <w:rsid w:val="00FE3929"/>
    <w:rsid w:val="00FE42A2"/>
    <w:rsid w:val="00FF023E"/>
    <w:rsid w:val="00FF097B"/>
    <w:rsid w:val="00FF0B6E"/>
    <w:rsid w:val="00FF1C1B"/>
    <w:rsid w:val="00FF2067"/>
    <w:rsid w:val="00FF2313"/>
    <w:rsid w:val="00FF34AD"/>
    <w:rsid w:val="00FF3984"/>
    <w:rsid w:val="00FF3BC4"/>
    <w:rsid w:val="00FF4B66"/>
    <w:rsid w:val="00FF688E"/>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2d4491,#283583"/>
    </o:shapedefaults>
    <o:shapelayout v:ext="edit">
      <o:idmap v:ext="edit" data="1"/>
    </o:shapelayout>
  </w:shapeDefaults>
  <w:decimalSymbol w:val=","/>
  <w:listSeparator w:val=";"/>
  <w14:docId w14:val="2CAD9F48"/>
  <w15:docId w15:val="{4C3A0CB2-F552-4E4F-8E65-02AD09F9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13700888">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4620</Words>
  <Characters>26344</Characters>
  <Application>Microsoft Office Word</Application>
  <DocSecurity>8</DocSecurity>
  <Lines>219</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Kirchstein</dc:creator>
  <cp:lastModifiedBy>Katja Kirchstein</cp:lastModifiedBy>
  <cp:revision>2</cp:revision>
  <cp:lastPrinted>2018-10-04T07:46:00Z</cp:lastPrinted>
  <dcterms:created xsi:type="dcterms:W3CDTF">2018-10-04T08:39:00Z</dcterms:created>
  <dcterms:modified xsi:type="dcterms:W3CDTF">2018-10-04T08:39:00Z</dcterms:modified>
</cp:coreProperties>
</file>