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02BF" w14:textId="77777777" w:rsidR="00FF19DB" w:rsidRPr="000E3C94" w:rsidRDefault="007C2049">
      <w:pPr>
        <w:rPr>
          <w:rFonts w:ascii="Arial" w:eastAsia="Times New Roman" w:hAnsi="Arial" w:cs="Arial"/>
          <w:b/>
          <w:sz w:val="21"/>
          <w:szCs w:val="21"/>
        </w:rPr>
      </w:pPr>
      <w:r w:rsidRPr="000E3C94">
        <w:rPr>
          <w:rFonts w:ascii="Arial" w:eastAsia="Times New Roman" w:hAnsi="Arial" w:cs="Arial"/>
          <w:b/>
          <w:noProof/>
          <w:sz w:val="21"/>
          <w:szCs w:val="21"/>
          <w:lang w:val="en-GB" w:eastAsia="en-GB"/>
        </w:rPr>
        <mc:AlternateContent>
          <mc:Choice Requires="wps">
            <w:drawing>
              <wp:anchor distT="0" distB="0" distL="114300" distR="114300" simplePos="0" relativeHeight="251663360" behindDoc="0" locked="0" layoutInCell="1" allowOverlap="1" wp14:anchorId="00267071" wp14:editId="5DB46183">
                <wp:simplePos x="0" y="0"/>
                <wp:positionH relativeFrom="column">
                  <wp:posOffset>-238125</wp:posOffset>
                </wp:positionH>
                <wp:positionV relativeFrom="paragraph">
                  <wp:posOffset>3124200</wp:posOffset>
                </wp:positionV>
                <wp:extent cx="4686300" cy="1562100"/>
                <wp:effectExtent l="0" t="381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62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77CCB" w14:textId="77777777" w:rsidR="00FE6FC4" w:rsidRDefault="00FE6FC4" w:rsidP="00FF19DB">
                            <w:pPr>
                              <w:pStyle w:val="Body1"/>
                              <w:jc w:val="left"/>
                              <w:rPr>
                                <w:bCs/>
                                <w:sz w:val="32"/>
                                <w:szCs w:val="32"/>
                              </w:rPr>
                            </w:pPr>
                          </w:p>
                          <w:p w14:paraId="462B4359" w14:textId="77777777" w:rsidR="00FF19DB" w:rsidRDefault="00FF19DB" w:rsidP="00FF19DB">
                            <w:pPr>
                              <w:pStyle w:val="Body1"/>
                              <w:jc w:val="left"/>
                              <w:rPr>
                                <w:bCs/>
                                <w:sz w:val="32"/>
                                <w:szCs w:val="32"/>
                              </w:rPr>
                            </w:pPr>
                            <w:r w:rsidRPr="009F36A6">
                              <w:rPr>
                                <w:bCs/>
                                <w:sz w:val="32"/>
                                <w:szCs w:val="32"/>
                              </w:rPr>
                              <w:t>Law Society an</w:t>
                            </w:r>
                            <w:r>
                              <w:rPr>
                                <w:bCs/>
                                <w:sz w:val="32"/>
                                <w:szCs w:val="32"/>
                              </w:rPr>
                              <w:t xml:space="preserve">d City of London Law Society </w:t>
                            </w:r>
                            <w:r w:rsidRPr="009F36A6">
                              <w:rPr>
                                <w:bCs/>
                                <w:sz w:val="32"/>
                                <w:szCs w:val="32"/>
                              </w:rPr>
                              <w:t>joint response</w:t>
                            </w:r>
                          </w:p>
                          <w:p w14:paraId="04C391BD" w14:textId="59C84688" w:rsidR="00FF19DB" w:rsidRDefault="006B318A" w:rsidP="00FF19DB">
                            <w:pPr>
                              <w:pStyle w:val="Body1"/>
                              <w:jc w:val="left"/>
                              <w:rPr>
                                <w:bCs/>
                                <w:sz w:val="32"/>
                                <w:szCs w:val="32"/>
                              </w:rPr>
                            </w:pPr>
                            <w:r w:rsidRPr="006B318A">
                              <w:rPr>
                                <w:bCs/>
                                <w:sz w:val="32"/>
                                <w:szCs w:val="32"/>
                              </w:rPr>
                              <w:t>5 October 2018</w:t>
                            </w:r>
                          </w:p>
                          <w:p w14:paraId="5DBAC26B" w14:textId="77777777" w:rsidR="00FF19DB" w:rsidRPr="009F36A6" w:rsidRDefault="00FF19DB" w:rsidP="00FF19DB">
                            <w:pPr>
                              <w:pStyle w:val="Body1"/>
                              <w:jc w:val="left"/>
                              <w:rPr>
                                <w:bCs/>
                                <w:sz w:val="32"/>
                                <w:szCs w:val="32"/>
                              </w:rPr>
                            </w:pPr>
                          </w:p>
                          <w:p w14:paraId="60C17D01" w14:textId="77777777" w:rsidR="00FF19DB" w:rsidRDefault="00FF19DB" w:rsidP="00FF19DB">
                            <w:pPr>
                              <w:pStyle w:val="Body1"/>
                              <w:rPr>
                                <w:b/>
                                <w:bCs/>
                                <w:sz w:val="32"/>
                                <w:szCs w:val="32"/>
                              </w:rPr>
                            </w:pPr>
                          </w:p>
                          <w:p w14:paraId="79E56C0C" w14:textId="77777777" w:rsidR="00FF19DB" w:rsidRPr="00C77D9B" w:rsidRDefault="00FF19DB" w:rsidP="00FF19DB">
                            <w:pPr>
                              <w:pStyle w:val="Body1"/>
                              <w:rPr>
                                <w:sz w:val="32"/>
                                <w:szCs w:val="32"/>
                              </w:rPr>
                            </w:pPr>
                            <w:r>
                              <w:rPr>
                                <w:bCs/>
                                <w:sz w:val="32"/>
                                <w:szCs w:val="32"/>
                              </w:rPr>
                              <w:tab/>
                            </w:r>
                            <w:r>
                              <w:rPr>
                                <w:bCs/>
                                <w:sz w:val="32"/>
                                <w:szCs w:val="32"/>
                              </w:rPr>
                              <w:tab/>
                            </w:r>
                            <w:r>
                              <w:rPr>
                                <w:bCs/>
                                <w:sz w:val="32"/>
                                <w:szCs w:val="32"/>
                              </w:rPr>
                              <w:tab/>
                              <w:t>May 2015</w:t>
                            </w:r>
                          </w:p>
                          <w:p w14:paraId="716EFCA5" w14:textId="77777777" w:rsidR="00FF19DB" w:rsidRPr="003F2250" w:rsidRDefault="00FF19DB" w:rsidP="00FF1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67071" id="_x0000_t202" coordsize="21600,21600" o:spt="202" path="m,l,21600r21600,l21600,xe">
                <v:stroke joinstyle="miter"/>
                <v:path gradientshapeok="t" o:connecttype="rect"/>
              </v:shapetype>
              <v:shape id="Text Box 3" o:spid="_x0000_s1026" type="#_x0000_t202" style="position:absolute;margin-left:-18.75pt;margin-top:246pt;width:369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" stroked="f">
                <v:fill opacity="0"/>
                <v:textbox>
                  <w:txbxContent>
                    <w:p w14:paraId="3D677CCB" w14:textId="77777777" w:rsidR="00FE6FC4" w:rsidRDefault="00FE6FC4" w:rsidP="00FF19DB">
                      <w:pPr>
                        <w:pStyle w:val="Body1"/>
                        <w:jc w:val="left"/>
                        <w:rPr>
                          <w:bCs/>
                          <w:sz w:val="32"/>
                          <w:szCs w:val="32"/>
                        </w:rPr>
                      </w:pPr>
                    </w:p>
                    <w:p w14:paraId="462B4359" w14:textId="77777777" w:rsidR="00FF19DB" w:rsidRDefault="00FF19DB" w:rsidP="00FF19DB">
                      <w:pPr>
                        <w:pStyle w:val="Body1"/>
                        <w:jc w:val="left"/>
                        <w:rPr>
                          <w:bCs/>
                          <w:sz w:val="32"/>
                          <w:szCs w:val="32"/>
                        </w:rPr>
                      </w:pPr>
                      <w:r w:rsidRPr="009F36A6">
                        <w:rPr>
                          <w:bCs/>
                          <w:sz w:val="32"/>
                          <w:szCs w:val="32"/>
                        </w:rPr>
                        <w:t>Law Society an</w:t>
                      </w:r>
                      <w:r>
                        <w:rPr>
                          <w:bCs/>
                          <w:sz w:val="32"/>
                          <w:szCs w:val="32"/>
                        </w:rPr>
                        <w:t xml:space="preserve">d City of London Law Society </w:t>
                      </w:r>
                      <w:r w:rsidRPr="009F36A6">
                        <w:rPr>
                          <w:bCs/>
                          <w:sz w:val="32"/>
                          <w:szCs w:val="32"/>
                        </w:rPr>
                        <w:t>joint response</w:t>
                      </w:r>
                    </w:p>
                    <w:p w14:paraId="04C391BD" w14:textId="59C84688" w:rsidR="00FF19DB" w:rsidRDefault="006B318A" w:rsidP="00FF19DB">
                      <w:pPr>
                        <w:pStyle w:val="Body1"/>
                        <w:jc w:val="left"/>
                        <w:rPr>
                          <w:bCs/>
                          <w:sz w:val="32"/>
                          <w:szCs w:val="32"/>
                        </w:rPr>
                      </w:pPr>
                      <w:r w:rsidRPr="006B318A">
                        <w:rPr>
                          <w:bCs/>
                          <w:sz w:val="32"/>
                          <w:szCs w:val="32"/>
                        </w:rPr>
                        <w:t>5 October 2018</w:t>
                      </w:r>
                    </w:p>
                    <w:p w14:paraId="5DBAC26B" w14:textId="77777777" w:rsidR="00FF19DB" w:rsidRPr="009F36A6" w:rsidRDefault="00FF19DB" w:rsidP="00FF19DB">
                      <w:pPr>
                        <w:pStyle w:val="Body1"/>
                        <w:jc w:val="left"/>
                        <w:rPr>
                          <w:bCs/>
                          <w:sz w:val="32"/>
                          <w:szCs w:val="32"/>
                        </w:rPr>
                      </w:pPr>
                    </w:p>
                    <w:p w14:paraId="60C17D01" w14:textId="77777777" w:rsidR="00FF19DB" w:rsidRDefault="00FF19DB" w:rsidP="00FF19DB">
                      <w:pPr>
                        <w:pStyle w:val="Body1"/>
                        <w:rPr>
                          <w:b/>
                          <w:bCs/>
                          <w:sz w:val="32"/>
                          <w:szCs w:val="32"/>
                        </w:rPr>
                      </w:pPr>
                    </w:p>
                    <w:p w14:paraId="79E56C0C" w14:textId="77777777" w:rsidR="00FF19DB" w:rsidRPr="00C77D9B" w:rsidRDefault="00FF19DB" w:rsidP="00FF19DB">
                      <w:pPr>
                        <w:pStyle w:val="Body1"/>
                        <w:rPr>
                          <w:sz w:val="32"/>
                          <w:szCs w:val="32"/>
                        </w:rPr>
                      </w:pPr>
                      <w:r>
                        <w:rPr>
                          <w:bCs/>
                          <w:sz w:val="32"/>
                          <w:szCs w:val="32"/>
                        </w:rPr>
                        <w:tab/>
                      </w:r>
                      <w:r>
                        <w:rPr>
                          <w:bCs/>
                          <w:sz w:val="32"/>
                          <w:szCs w:val="32"/>
                        </w:rPr>
                        <w:tab/>
                      </w:r>
                      <w:r>
                        <w:rPr>
                          <w:bCs/>
                          <w:sz w:val="32"/>
                          <w:szCs w:val="32"/>
                        </w:rPr>
                        <w:tab/>
                        <w:t>May 2015</w:t>
                      </w:r>
                    </w:p>
                    <w:p w14:paraId="716EFCA5" w14:textId="77777777" w:rsidR="00FF19DB" w:rsidRPr="003F2250" w:rsidRDefault="00FF19DB" w:rsidP="00FF19DB"/>
                  </w:txbxContent>
                </v:textbox>
              </v:shape>
            </w:pict>
          </mc:Fallback>
        </mc:AlternateContent>
      </w:r>
      <w:r w:rsidRPr="000E3C94">
        <w:rPr>
          <w:rFonts w:ascii="Arial" w:eastAsia="Times New Roman" w:hAnsi="Arial" w:cs="Arial"/>
          <w:b/>
          <w:noProof/>
          <w:sz w:val="21"/>
          <w:szCs w:val="21"/>
          <w:lang w:val="en-GB" w:eastAsia="en-GB"/>
        </w:rPr>
        <mc:AlternateContent>
          <mc:Choice Requires="wps">
            <w:drawing>
              <wp:anchor distT="0" distB="0" distL="114300" distR="114300" simplePos="0" relativeHeight="251662336" behindDoc="0" locked="0" layoutInCell="1" allowOverlap="1" wp14:anchorId="6C0DBCD9" wp14:editId="6612CC63">
                <wp:simplePos x="0" y="0"/>
                <wp:positionH relativeFrom="column">
                  <wp:posOffset>57150</wp:posOffset>
                </wp:positionH>
                <wp:positionV relativeFrom="paragraph">
                  <wp:posOffset>1653540</wp:posOffset>
                </wp:positionV>
                <wp:extent cx="4086225" cy="167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67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D166" w14:textId="1669E39D" w:rsidR="003B5229" w:rsidRPr="006B318A" w:rsidRDefault="006B318A" w:rsidP="00FF19DB">
                            <w:pPr>
                              <w:pStyle w:val="Heading1"/>
                              <w:rPr>
                                <w:b/>
                                <w:sz w:val="32"/>
                              </w:rPr>
                            </w:pPr>
                            <w:r w:rsidRPr="006B318A">
                              <w:rPr>
                                <w:b/>
                                <w:sz w:val="32"/>
                              </w:rPr>
                              <w:t>ESMA</w:t>
                            </w:r>
                          </w:p>
                          <w:p w14:paraId="0E55F60C" w14:textId="77777777" w:rsidR="00C40727" w:rsidRPr="006B318A" w:rsidRDefault="00C40727" w:rsidP="00C40727">
                            <w:pPr>
                              <w:rPr>
                                <w:lang w:val="en-GB" w:eastAsia="en-GB"/>
                              </w:rPr>
                            </w:pPr>
                          </w:p>
                          <w:p w14:paraId="12CCE27C" w14:textId="00AFBFF9" w:rsidR="00C40727" w:rsidRPr="006B318A" w:rsidRDefault="006B318A" w:rsidP="00C40727">
                            <w:pPr>
                              <w:pStyle w:val="Heading1"/>
                              <w:rPr>
                                <w:b/>
                                <w:sz w:val="32"/>
                              </w:rPr>
                            </w:pPr>
                            <w:r w:rsidRPr="006B318A">
                              <w:rPr>
                                <w:b/>
                                <w:sz w:val="32"/>
                              </w:rPr>
                              <w:t>Consultation on the draft technical advice on minimum information content for prospectus exemption</w:t>
                            </w:r>
                          </w:p>
                          <w:p w14:paraId="0D4C7E71" w14:textId="4A9B6BAC" w:rsidR="00743451" w:rsidRDefault="00743451" w:rsidP="00743451">
                            <w:pPr>
                              <w:rPr>
                                <w:lang w:val="en-GB" w:eastAsia="en-GB"/>
                              </w:rPr>
                            </w:pPr>
                          </w:p>
                          <w:p w14:paraId="6D5A2D59" w14:textId="77777777" w:rsidR="00FE6FC4" w:rsidRPr="00FE6FC4" w:rsidRDefault="00FE6FC4" w:rsidP="00FE6FC4">
                            <w:pPr>
                              <w:rPr>
                                <w:lang w:val="en-GB" w:eastAsia="en-GB"/>
                              </w:rPr>
                            </w:pPr>
                          </w:p>
                          <w:p w14:paraId="378AAD4A" w14:textId="77777777" w:rsidR="003E5223" w:rsidRDefault="003E5223" w:rsidP="003E5223">
                            <w:pPr>
                              <w:rPr>
                                <w:lang w:val="en-GB" w:eastAsia="en-GB"/>
                              </w:rPr>
                            </w:pPr>
                          </w:p>
                          <w:p w14:paraId="5E26B065" w14:textId="77777777" w:rsidR="003E5223" w:rsidRDefault="003E5223" w:rsidP="003E5223">
                            <w:pPr>
                              <w:rPr>
                                <w:lang w:val="en-GB" w:eastAsia="en-GB"/>
                              </w:rPr>
                            </w:pPr>
                          </w:p>
                          <w:p w14:paraId="0D49FB98" w14:textId="77777777" w:rsidR="003E5223" w:rsidRPr="003E5223" w:rsidRDefault="003E5223" w:rsidP="003E5223">
                            <w:pPr>
                              <w:rPr>
                                <w:lang w:val="en-GB" w:eastAsia="en-GB"/>
                              </w:rPr>
                            </w:pPr>
                          </w:p>
                          <w:p w14:paraId="6A45B515" w14:textId="77777777" w:rsidR="00FF19DB" w:rsidRPr="00786E38" w:rsidRDefault="00FF19DB" w:rsidP="00FF19D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BCD9" id="Text Box 2" o:spid="_x0000_s1027" type="#_x0000_t202" style="position:absolute;margin-left:4.5pt;margin-top:130.2pt;width:321.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" stroked="f">
                <v:fill opacity="0"/>
                <v:textbox>
                  <w:txbxContent>
                    <w:p w14:paraId="1508D166" w14:textId="1669E39D" w:rsidR="003B5229" w:rsidRPr="006B318A" w:rsidRDefault="006B318A" w:rsidP="00FF19DB">
                      <w:pPr>
                        <w:pStyle w:val="Heading1"/>
                        <w:rPr>
                          <w:b/>
                          <w:sz w:val="32"/>
                        </w:rPr>
                      </w:pPr>
                      <w:r w:rsidRPr="006B318A">
                        <w:rPr>
                          <w:b/>
                          <w:sz w:val="32"/>
                        </w:rPr>
                        <w:t>ESMA</w:t>
                      </w:r>
                    </w:p>
                    <w:p w14:paraId="0E55F60C" w14:textId="77777777" w:rsidR="00C40727" w:rsidRPr="006B318A" w:rsidRDefault="00C40727" w:rsidP="00C40727">
                      <w:pPr>
                        <w:rPr>
                          <w:lang w:val="en-GB" w:eastAsia="en-GB"/>
                        </w:rPr>
                      </w:pPr>
                    </w:p>
                    <w:p w14:paraId="12CCE27C" w14:textId="00AFBFF9" w:rsidR="00C40727" w:rsidRPr="006B318A" w:rsidRDefault="006B318A" w:rsidP="00C40727">
                      <w:pPr>
                        <w:pStyle w:val="Heading1"/>
                        <w:rPr>
                          <w:b/>
                          <w:sz w:val="32"/>
                        </w:rPr>
                      </w:pPr>
                      <w:r w:rsidRPr="006B318A">
                        <w:rPr>
                          <w:b/>
                          <w:sz w:val="32"/>
                        </w:rPr>
                        <w:t>Consultation on the draft technical advice on minimum information content for prospectus exemption</w:t>
                      </w:r>
                    </w:p>
                    <w:p w14:paraId="0D4C7E71" w14:textId="4A9B6BAC" w:rsidR="00743451" w:rsidRDefault="00743451" w:rsidP="00743451">
                      <w:pPr>
                        <w:rPr>
                          <w:lang w:val="en-GB" w:eastAsia="en-GB"/>
                        </w:rPr>
                      </w:pPr>
                    </w:p>
                    <w:p w14:paraId="6D5A2D59" w14:textId="77777777" w:rsidR="00FE6FC4" w:rsidRPr="00FE6FC4" w:rsidRDefault="00FE6FC4" w:rsidP="00FE6FC4">
                      <w:pPr>
                        <w:rPr>
                          <w:lang w:val="en-GB" w:eastAsia="en-GB"/>
                        </w:rPr>
                      </w:pPr>
                    </w:p>
                    <w:p w14:paraId="378AAD4A" w14:textId="77777777" w:rsidR="003E5223" w:rsidRDefault="003E5223" w:rsidP="003E5223">
                      <w:pPr>
                        <w:rPr>
                          <w:lang w:val="en-GB" w:eastAsia="en-GB"/>
                        </w:rPr>
                      </w:pPr>
                    </w:p>
                    <w:p w14:paraId="5E26B065" w14:textId="77777777" w:rsidR="003E5223" w:rsidRDefault="003E5223" w:rsidP="003E5223">
                      <w:pPr>
                        <w:rPr>
                          <w:lang w:val="en-GB" w:eastAsia="en-GB"/>
                        </w:rPr>
                      </w:pPr>
                    </w:p>
                    <w:p w14:paraId="0D49FB98" w14:textId="77777777" w:rsidR="003E5223" w:rsidRPr="003E5223" w:rsidRDefault="003E5223" w:rsidP="003E5223">
                      <w:pPr>
                        <w:rPr>
                          <w:lang w:val="en-GB" w:eastAsia="en-GB"/>
                        </w:rPr>
                      </w:pPr>
                    </w:p>
                    <w:p w14:paraId="6A45B515" w14:textId="77777777" w:rsidR="00FF19DB" w:rsidRPr="00786E38" w:rsidRDefault="00FF19DB" w:rsidP="00FF19DB">
                      <w:pPr>
                        <w:rPr>
                          <w:szCs w:val="32"/>
                        </w:rPr>
                      </w:pPr>
                    </w:p>
                  </w:txbxContent>
                </v:textbox>
              </v:shape>
            </w:pict>
          </mc:Fallback>
        </mc:AlternateContent>
      </w:r>
      <w:r w:rsidRPr="000E3C94">
        <w:rPr>
          <w:rFonts w:ascii="Arial" w:eastAsia="Times New Roman" w:hAnsi="Arial" w:cs="Arial"/>
          <w:b/>
          <w:noProof/>
          <w:sz w:val="21"/>
          <w:szCs w:val="21"/>
          <w:lang w:val="en-GB" w:eastAsia="en-GB"/>
        </w:rPr>
        <w:drawing>
          <wp:anchor distT="0" distB="0" distL="114300" distR="114300" simplePos="0" relativeHeight="251659264" behindDoc="1" locked="0" layoutInCell="1" allowOverlap="1" wp14:anchorId="7A37E008" wp14:editId="4C9A8C97">
            <wp:simplePos x="0" y="0"/>
            <wp:positionH relativeFrom="column">
              <wp:posOffset>-1009650</wp:posOffset>
            </wp:positionH>
            <wp:positionV relativeFrom="paragraph">
              <wp:posOffset>-819150</wp:posOffset>
            </wp:positionV>
            <wp:extent cx="7543800" cy="10668000"/>
            <wp:effectExtent l="38100" t="0" r="19050" b="0"/>
            <wp:wrapNone/>
            <wp:docPr id="1" name="Picture 2" descr="LS-Report cover-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Report cover-Corpor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a:effectLst>
                      <a:outerShdw blurRad="50800" dist="50800" dir="5400000" algn="ctr" rotWithShape="0">
                        <a:srgbClr val="000000">
                          <a:alpha val="0"/>
                        </a:srgbClr>
                      </a:outerShdw>
                    </a:effectLst>
                  </pic:spPr>
                </pic:pic>
              </a:graphicData>
            </a:graphic>
          </wp:anchor>
        </w:drawing>
      </w:r>
      <w:r w:rsidR="00FF19DB" w:rsidRPr="000E3C94">
        <w:rPr>
          <w:rFonts w:ascii="Arial" w:eastAsia="Times New Roman" w:hAnsi="Arial" w:cs="Arial"/>
          <w:b/>
          <w:sz w:val="21"/>
          <w:szCs w:val="21"/>
        </w:rPr>
        <w:br w:type="page"/>
      </w:r>
      <w:bookmarkStart w:id="0" w:name="bmkStart"/>
      <w:bookmarkEnd w:id="0"/>
      <w:r w:rsidR="00FF19DB" w:rsidRPr="000E3C94">
        <w:rPr>
          <w:rFonts w:ascii="Arial" w:eastAsia="Times New Roman" w:hAnsi="Arial" w:cs="Arial"/>
          <w:b/>
          <w:noProof/>
          <w:sz w:val="21"/>
          <w:szCs w:val="21"/>
          <w:lang w:val="en-GB" w:eastAsia="en-GB"/>
        </w:rPr>
        <w:drawing>
          <wp:anchor distT="0" distB="0" distL="114300" distR="114300" simplePos="0" relativeHeight="251661312" behindDoc="1" locked="0" layoutInCell="1" allowOverlap="1" wp14:anchorId="60105618" wp14:editId="6DC3BD5E">
            <wp:simplePos x="0" y="0"/>
            <wp:positionH relativeFrom="column">
              <wp:posOffset>-304800</wp:posOffset>
            </wp:positionH>
            <wp:positionV relativeFrom="paragraph">
              <wp:posOffset>95250</wp:posOffset>
            </wp:positionV>
            <wp:extent cx="3829050" cy="1114425"/>
            <wp:effectExtent l="19050" t="0" r="0" b="0"/>
            <wp:wrapTight wrapText="bothSides">
              <wp:wrapPolygon edited="0">
                <wp:start x="-107" y="0"/>
                <wp:lineTo x="-107" y="21415"/>
                <wp:lineTo x="21600" y="21415"/>
                <wp:lineTo x="21600" y="0"/>
                <wp:lineTo x="-107" y="0"/>
              </wp:wrapPolygon>
            </wp:wrapTight>
            <wp:docPr id="4" name="Picture 1" descr="http://www.citysolicitors.org.uk/templates/atomic/images/CL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solicitors.org.uk/templates/atomic/images/CLL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0" cy="1114425"/>
                    </a:xfrm>
                    <a:prstGeom prst="rect">
                      <a:avLst/>
                    </a:prstGeom>
                    <a:noFill/>
                    <a:ln>
                      <a:noFill/>
                    </a:ln>
                  </pic:spPr>
                </pic:pic>
              </a:graphicData>
            </a:graphic>
          </wp:anchor>
        </w:drawing>
      </w:r>
    </w:p>
    <w:p w14:paraId="07CF1AA7" w14:textId="77777777" w:rsidR="00FA7546" w:rsidRPr="000E3C94" w:rsidRDefault="00FA7546" w:rsidP="00860326">
      <w:pPr>
        <w:rPr>
          <w:rFonts w:ascii="Arial" w:hAnsi="Arial" w:cs="Arial"/>
          <w:sz w:val="21"/>
          <w:szCs w:val="21"/>
        </w:rPr>
        <w:sectPr w:rsidR="00FA7546" w:rsidRPr="000E3C94" w:rsidSect="00FA7546">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2"/>
          <w:cols w:space="708"/>
          <w:docGrid w:linePitch="360"/>
        </w:sectPr>
      </w:pPr>
    </w:p>
    <w:p w14:paraId="2F3E342A" w14:textId="77777777" w:rsidR="00C02FC4" w:rsidRPr="00C02FC4" w:rsidRDefault="00C02FC4" w:rsidP="00860326">
      <w:pPr>
        <w:rPr>
          <w:rFonts w:ascii="Arial" w:hAnsi="Arial" w:cs="Arial"/>
          <w:b/>
          <w:sz w:val="21"/>
          <w:szCs w:val="21"/>
        </w:rPr>
      </w:pPr>
      <w:r w:rsidRPr="00C02FC4">
        <w:rPr>
          <w:rFonts w:ascii="Arial" w:hAnsi="Arial" w:cs="Arial"/>
          <w:b/>
          <w:sz w:val="21"/>
          <w:szCs w:val="21"/>
        </w:rPr>
        <w:lastRenderedPageBreak/>
        <w:t>Introduction</w:t>
      </w:r>
    </w:p>
    <w:p w14:paraId="0063EB48" w14:textId="77777777" w:rsidR="00C02FC4" w:rsidRDefault="00C02FC4" w:rsidP="00860326">
      <w:pPr>
        <w:rPr>
          <w:rFonts w:ascii="Arial" w:hAnsi="Arial" w:cs="Arial"/>
          <w:sz w:val="21"/>
          <w:szCs w:val="21"/>
        </w:rPr>
      </w:pPr>
    </w:p>
    <w:p w14:paraId="1445C93B" w14:textId="77777777" w:rsidR="00860326" w:rsidRPr="00C02FC4" w:rsidRDefault="00860326" w:rsidP="00823065">
      <w:pPr>
        <w:pStyle w:val="ListParagraph"/>
        <w:numPr>
          <w:ilvl w:val="0"/>
          <w:numId w:val="9"/>
        </w:numPr>
        <w:ind w:left="0" w:hanging="709"/>
        <w:jc w:val="both"/>
        <w:rPr>
          <w:rFonts w:ascii="Arial" w:hAnsi="Arial" w:cs="Arial"/>
          <w:sz w:val="21"/>
          <w:szCs w:val="21"/>
        </w:rPr>
      </w:pPr>
      <w:r w:rsidRPr="00C02FC4">
        <w:rPr>
          <w:rFonts w:ascii="Arial" w:hAnsi="Arial" w:cs="Arial"/>
          <w:sz w:val="21"/>
          <w:szCs w:val="21"/>
        </w:rPr>
        <w:t>The views set out in this paper have been prepared by a Joint Working Party of the Company Law Committees of the City of London Law Society (</w:t>
      </w:r>
      <w:r w:rsidRPr="00C02FC4">
        <w:rPr>
          <w:rFonts w:ascii="Arial" w:hAnsi="Arial" w:cs="Arial"/>
          <w:b/>
          <w:sz w:val="21"/>
          <w:szCs w:val="21"/>
        </w:rPr>
        <w:t>CLLS</w:t>
      </w:r>
      <w:r w:rsidRPr="00C02FC4">
        <w:rPr>
          <w:rFonts w:ascii="Arial" w:hAnsi="Arial" w:cs="Arial"/>
          <w:sz w:val="21"/>
          <w:szCs w:val="21"/>
        </w:rPr>
        <w:t xml:space="preserve">) and the Law Society of England and Wales (the </w:t>
      </w:r>
      <w:r w:rsidRPr="00C02FC4">
        <w:rPr>
          <w:rFonts w:ascii="Arial" w:hAnsi="Arial" w:cs="Arial"/>
          <w:b/>
          <w:sz w:val="21"/>
          <w:szCs w:val="21"/>
        </w:rPr>
        <w:t>Law Society</w:t>
      </w:r>
      <w:r w:rsidRPr="00C02FC4">
        <w:rPr>
          <w:rFonts w:ascii="Arial" w:hAnsi="Arial" w:cs="Arial"/>
          <w:sz w:val="21"/>
          <w:szCs w:val="21"/>
        </w:rPr>
        <w:t xml:space="preserve">).  </w:t>
      </w:r>
    </w:p>
    <w:p w14:paraId="54458605" w14:textId="77777777" w:rsidR="00860326" w:rsidRPr="000E3C94" w:rsidRDefault="00860326" w:rsidP="00823065">
      <w:pPr>
        <w:jc w:val="both"/>
        <w:rPr>
          <w:rFonts w:ascii="Arial" w:hAnsi="Arial" w:cs="Arial"/>
          <w:sz w:val="21"/>
          <w:szCs w:val="21"/>
        </w:rPr>
      </w:pPr>
    </w:p>
    <w:p w14:paraId="0A334EC2" w14:textId="77777777" w:rsidR="00860326" w:rsidRPr="00C02FC4" w:rsidRDefault="00860326" w:rsidP="00823065">
      <w:pPr>
        <w:pStyle w:val="ListParagraph"/>
        <w:numPr>
          <w:ilvl w:val="0"/>
          <w:numId w:val="9"/>
        </w:numPr>
        <w:ind w:left="0" w:hanging="709"/>
        <w:jc w:val="both"/>
        <w:rPr>
          <w:rFonts w:ascii="Arial" w:hAnsi="Arial" w:cs="Arial"/>
          <w:sz w:val="21"/>
          <w:szCs w:val="21"/>
        </w:rPr>
      </w:pPr>
      <w:r w:rsidRPr="00C02FC4">
        <w:rPr>
          <w:rFonts w:ascii="Arial" w:hAnsi="Arial" w:cs="Arial"/>
          <w:sz w:val="21"/>
          <w:szCs w:val="21"/>
        </w:rPr>
        <w:t>The CLLS represents approximately 17,000 City lawyers through individual and corporate membership, including some of the largest international law firms in the world.  These law firms advise a variety of clients from multinational companies and financial institutions to Government departments, often in relation to complex, multijurisdictional legal issues.  The CLLS responds to a variety of consultations on issues of importance to its members through its 19 specialist committees.</w:t>
      </w:r>
    </w:p>
    <w:p w14:paraId="6D612577" w14:textId="77777777" w:rsidR="00860326" w:rsidRPr="00C02FC4" w:rsidRDefault="00860326" w:rsidP="00823065">
      <w:pPr>
        <w:pStyle w:val="ListParagraph"/>
        <w:ind w:left="0"/>
        <w:jc w:val="both"/>
        <w:rPr>
          <w:rFonts w:ascii="Arial" w:hAnsi="Arial" w:cs="Arial"/>
          <w:sz w:val="21"/>
          <w:szCs w:val="21"/>
        </w:rPr>
      </w:pPr>
    </w:p>
    <w:p w14:paraId="42E740E3" w14:textId="77777777" w:rsidR="00860326" w:rsidRPr="000E3C94" w:rsidRDefault="00860326" w:rsidP="00823065">
      <w:pPr>
        <w:pStyle w:val="ListParagraph"/>
        <w:numPr>
          <w:ilvl w:val="0"/>
          <w:numId w:val="9"/>
        </w:numPr>
        <w:ind w:left="0" w:hanging="709"/>
        <w:jc w:val="both"/>
        <w:rPr>
          <w:rFonts w:ascii="Arial" w:hAnsi="Arial" w:cs="Arial"/>
          <w:sz w:val="21"/>
          <w:szCs w:val="21"/>
        </w:rPr>
      </w:pPr>
      <w:r w:rsidRPr="000E3C94">
        <w:rPr>
          <w:rFonts w:ascii="Arial" w:hAnsi="Arial" w:cs="Arial"/>
          <w:sz w:val="21"/>
          <w:szCs w:val="21"/>
        </w:rPr>
        <w:t>The Law Society is the professional body for solicitors in England and Wales, representing over 160,000 registered legal practitioners.  It represents the profession to Parliament, Government and regulatory bodies in both the domestic and European arena and has a public interest in the reform of the law.</w:t>
      </w:r>
    </w:p>
    <w:p w14:paraId="3CB12BA4" w14:textId="77777777" w:rsidR="00860326" w:rsidRPr="000E3C94" w:rsidRDefault="00860326" w:rsidP="00823065">
      <w:pPr>
        <w:pStyle w:val="ListParagraph"/>
        <w:ind w:left="0"/>
        <w:jc w:val="both"/>
        <w:rPr>
          <w:rFonts w:ascii="Arial" w:hAnsi="Arial" w:cs="Arial"/>
          <w:sz w:val="21"/>
          <w:szCs w:val="21"/>
        </w:rPr>
      </w:pPr>
    </w:p>
    <w:p w14:paraId="28EEE984" w14:textId="6613482A" w:rsidR="00823065" w:rsidRDefault="00860326" w:rsidP="00823065">
      <w:pPr>
        <w:pStyle w:val="ListParagraph"/>
        <w:numPr>
          <w:ilvl w:val="0"/>
          <w:numId w:val="9"/>
        </w:numPr>
        <w:ind w:left="0" w:hanging="709"/>
        <w:jc w:val="both"/>
        <w:rPr>
          <w:rFonts w:ascii="Arial" w:hAnsi="Arial" w:cs="Arial"/>
          <w:sz w:val="21"/>
          <w:szCs w:val="21"/>
        </w:rPr>
      </w:pPr>
      <w:r w:rsidRPr="000E3C94">
        <w:rPr>
          <w:rFonts w:ascii="Arial" w:hAnsi="Arial" w:cs="Arial"/>
          <w:sz w:val="21"/>
          <w:szCs w:val="21"/>
        </w:rPr>
        <w:t xml:space="preserve">The Joint Working Party is made up of senior and specialist corporate lawyers from both the CLLS and the Law Society who have a </w:t>
      </w:r>
      <w:proofErr w:type="gramStart"/>
      <w:r w:rsidRPr="000E3C94">
        <w:rPr>
          <w:rFonts w:ascii="Arial" w:hAnsi="Arial" w:cs="Arial"/>
          <w:sz w:val="21"/>
          <w:szCs w:val="21"/>
        </w:rPr>
        <w:t>particular focus</w:t>
      </w:r>
      <w:proofErr w:type="gramEnd"/>
      <w:r w:rsidRPr="000E3C94">
        <w:rPr>
          <w:rFonts w:ascii="Arial" w:hAnsi="Arial" w:cs="Arial"/>
          <w:sz w:val="21"/>
          <w:szCs w:val="21"/>
        </w:rPr>
        <w:t xml:space="preserve"> on issues relating to capital markets.</w:t>
      </w:r>
      <w:r w:rsidRPr="00C02FC4">
        <w:rPr>
          <w:rFonts w:ascii="Arial" w:hAnsi="Arial" w:cs="Arial"/>
          <w:sz w:val="21"/>
          <w:szCs w:val="21"/>
        </w:rPr>
        <w:t xml:space="preserve"> </w:t>
      </w:r>
    </w:p>
    <w:p w14:paraId="0CC45365" w14:textId="0702D9D0" w:rsidR="00823065" w:rsidRDefault="00823065" w:rsidP="00823065">
      <w:pPr>
        <w:pStyle w:val="ListParagraph"/>
        <w:ind w:left="0"/>
        <w:jc w:val="both"/>
        <w:rPr>
          <w:rFonts w:ascii="Arial" w:hAnsi="Arial" w:cs="Arial"/>
          <w:sz w:val="21"/>
          <w:szCs w:val="21"/>
        </w:rPr>
      </w:pPr>
    </w:p>
    <w:p w14:paraId="7F199A58" w14:textId="77777777" w:rsidR="00823065" w:rsidRDefault="00823065" w:rsidP="00823065">
      <w:pPr>
        <w:pStyle w:val="AODocTxt"/>
        <w:rPr>
          <w:rFonts w:ascii="Arial" w:hAnsi="Arial" w:cs="Arial"/>
          <w:b/>
          <w:bCs/>
          <w:color w:val="000000"/>
          <w:sz w:val="20"/>
          <w:szCs w:val="20"/>
        </w:rPr>
      </w:pPr>
      <w:r>
        <w:rPr>
          <w:rFonts w:ascii="Arial" w:hAnsi="Arial" w:cs="Arial"/>
          <w:b/>
          <w:bCs/>
          <w:color w:val="000000"/>
          <w:sz w:val="20"/>
          <w:szCs w:val="20"/>
        </w:rPr>
        <w:t>General remarks on the proposed technical advice</w:t>
      </w:r>
    </w:p>
    <w:p w14:paraId="70813E79" w14:textId="77777777" w:rsidR="00823065" w:rsidRPr="00823065" w:rsidRDefault="00823065" w:rsidP="00823065">
      <w:pPr>
        <w:jc w:val="both"/>
        <w:rPr>
          <w:rFonts w:ascii="Arial" w:hAnsi="Arial" w:cs="Arial"/>
          <w:color w:val="000000"/>
          <w:sz w:val="20"/>
          <w:szCs w:val="20"/>
        </w:rPr>
      </w:pPr>
    </w:p>
    <w:p w14:paraId="14904B91" w14:textId="1CCA2DC6"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We welcome the opportunity to comment on ESMA’s proposed technical advice. We would make the following general points</w:t>
      </w:r>
      <w:r>
        <w:rPr>
          <w:rFonts w:ascii="Arial" w:hAnsi="Arial" w:cs="Arial"/>
          <w:color w:val="000000"/>
          <w:sz w:val="20"/>
          <w:szCs w:val="20"/>
        </w:rPr>
        <w:t>.</w:t>
      </w:r>
    </w:p>
    <w:p w14:paraId="66873FFD" w14:textId="5D6923CD" w:rsidR="00823065" w:rsidRPr="00823065" w:rsidRDefault="00823065" w:rsidP="00823065">
      <w:pPr>
        <w:pStyle w:val="NormalWeb"/>
        <w:jc w:val="both"/>
        <w:rPr>
          <w:rFonts w:ascii="Arial" w:hAnsi="Arial" w:cs="Arial"/>
          <w:i/>
          <w:iCs/>
          <w:color w:val="000000"/>
          <w:sz w:val="20"/>
          <w:szCs w:val="20"/>
        </w:rPr>
      </w:pPr>
      <w:r>
        <w:rPr>
          <w:rFonts w:ascii="Arial" w:hAnsi="Arial" w:cs="Arial"/>
          <w:i/>
          <w:iCs/>
          <w:color w:val="000000"/>
          <w:sz w:val="20"/>
          <w:szCs w:val="20"/>
        </w:rPr>
        <w:t xml:space="preserve">Further harmonisation of contents requirements with existing legislation is desirable </w:t>
      </w:r>
    </w:p>
    <w:p w14:paraId="0334E794" w14:textId="1FA4DAA1"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 xml:space="preserve">In its mandate to </w:t>
      </w:r>
      <w:r w:rsidRPr="00823065">
        <w:rPr>
          <w:rStyle w:val="fc-glossary"/>
          <w:rFonts w:ascii="Arial" w:hAnsi="Arial" w:cs="Arial"/>
          <w:color w:val="000000"/>
          <w:sz w:val="20"/>
          <w:szCs w:val="20"/>
        </w:rPr>
        <w:t>ESMA</w:t>
      </w:r>
      <w:r w:rsidRPr="00823065">
        <w:rPr>
          <w:rFonts w:ascii="Arial" w:hAnsi="Arial" w:cs="Arial"/>
          <w:color w:val="000000"/>
          <w:sz w:val="20"/>
          <w:szCs w:val="20"/>
        </w:rPr>
        <w:t xml:space="preserve"> to provide technical advice regarding these exemptions, the European Commission notes that ESMA’s minimum content proposal will represent an alleviation compared to the exemptions available under the </w:t>
      </w:r>
      <w:r w:rsidRPr="00823065">
        <w:rPr>
          <w:rStyle w:val="fc-glossary"/>
          <w:rFonts w:ascii="Arial" w:hAnsi="Arial" w:cs="Arial"/>
          <w:color w:val="000000"/>
          <w:sz w:val="20"/>
          <w:szCs w:val="20"/>
        </w:rPr>
        <w:t>Prospectus Directive</w:t>
      </w:r>
      <w:r w:rsidRPr="00823065">
        <w:rPr>
          <w:rStyle w:val="wj"/>
          <w:rFonts w:ascii="Arial" w:hAnsi="Arial" w:cs="Arial"/>
          <w:color w:val="000000"/>
          <w:sz w:val="20"/>
          <w:szCs w:val="20"/>
        </w:rPr>
        <w:t> (2003/73/EC as amended or superseded)</w:t>
      </w:r>
      <w:r w:rsidRPr="00823065">
        <w:rPr>
          <w:rFonts w:ascii="Arial" w:hAnsi="Arial" w:cs="Arial"/>
          <w:color w:val="000000"/>
          <w:sz w:val="20"/>
          <w:szCs w:val="20"/>
        </w:rPr>
        <w:t xml:space="preserve">. The changes under the Regulation aim to </w:t>
      </w:r>
      <w:proofErr w:type="spellStart"/>
      <w:r w:rsidRPr="00823065">
        <w:rPr>
          <w:rFonts w:ascii="Arial" w:hAnsi="Arial" w:cs="Arial"/>
          <w:color w:val="000000"/>
          <w:sz w:val="20"/>
          <w:szCs w:val="20"/>
        </w:rPr>
        <w:t>minimise</w:t>
      </w:r>
      <w:proofErr w:type="spellEnd"/>
      <w:r w:rsidRPr="00823065">
        <w:rPr>
          <w:rFonts w:ascii="Arial" w:hAnsi="Arial" w:cs="Arial"/>
          <w:color w:val="000000"/>
          <w:sz w:val="20"/>
          <w:szCs w:val="20"/>
        </w:rPr>
        <w:t xml:space="preserve"> interference with the requirements for information provided to the public in the context of takeovers and mergers prescribed in national corporate laws, including those implementing the </w:t>
      </w:r>
      <w:r w:rsidRPr="00823065">
        <w:rPr>
          <w:rStyle w:val="fc-glossary"/>
          <w:rFonts w:ascii="Arial" w:hAnsi="Arial" w:cs="Arial"/>
          <w:color w:val="000000"/>
          <w:sz w:val="20"/>
          <w:szCs w:val="20"/>
        </w:rPr>
        <w:t>Takeovers Directive</w:t>
      </w:r>
      <w:r w:rsidRPr="00823065">
        <w:rPr>
          <w:rStyle w:val="wj"/>
          <w:rFonts w:ascii="Arial" w:hAnsi="Arial" w:cs="Arial"/>
          <w:color w:val="000000"/>
          <w:sz w:val="20"/>
          <w:szCs w:val="20"/>
        </w:rPr>
        <w:t> (2004/25/EC)</w:t>
      </w:r>
      <w:r w:rsidRPr="00823065">
        <w:rPr>
          <w:rFonts w:ascii="Arial" w:hAnsi="Arial" w:cs="Arial"/>
          <w:color w:val="000000"/>
          <w:sz w:val="20"/>
          <w:szCs w:val="20"/>
        </w:rPr>
        <w:t xml:space="preserve">. The Prospectus Regulation (PR) aims to restrict the focus of these exemptions to ensure a minimum </w:t>
      </w:r>
      <w:proofErr w:type="spellStart"/>
      <w:r w:rsidRPr="00823065">
        <w:rPr>
          <w:rFonts w:ascii="Arial" w:hAnsi="Arial" w:cs="Arial"/>
          <w:color w:val="000000"/>
          <w:sz w:val="20"/>
          <w:szCs w:val="20"/>
        </w:rPr>
        <w:t>harmonisation</w:t>
      </w:r>
      <w:proofErr w:type="spellEnd"/>
      <w:r w:rsidRPr="00823065">
        <w:rPr>
          <w:rFonts w:ascii="Arial" w:hAnsi="Arial" w:cs="Arial"/>
          <w:color w:val="000000"/>
          <w:sz w:val="20"/>
          <w:szCs w:val="20"/>
        </w:rPr>
        <w:t xml:space="preserve"> of these documents for the purposes of applying the exemptions set out in Article (1)</w:t>
      </w:r>
      <w:r w:rsidRPr="00823065">
        <w:rPr>
          <w:rStyle w:val="wj"/>
          <w:rFonts w:ascii="Arial" w:hAnsi="Arial" w:cs="Arial"/>
          <w:color w:val="000000"/>
          <w:sz w:val="20"/>
          <w:szCs w:val="20"/>
        </w:rPr>
        <w:t> </w:t>
      </w:r>
      <w:r w:rsidRPr="00823065">
        <w:rPr>
          <w:rFonts w:ascii="Arial" w:hAnsi="Arial" w:cs="Arial"/>
          <w:color w:val="000000"/>
          <w:sz w:val="20"/>
          <w:szCs w:val="20"/>
        </w:rPr>
        <w:t>(4)</w:t>
      </w:r>
      <w:r w:rsidRPr="00823065">
        <w:rPr>
          <w:rStyle w:val="wj"/>
          <w:rFonts w:ascii="Arial" w:hAnsi="Arial" w:cs="Arial"/>
          <w:color w:val="000000"/>
          <w:sz w:val="20"/>
          <w:szCs w:val="20"/>
        </w:rPr>
        <w:t> </w:t>
      </w:r>
      <w:r w:rsidRPr="00823065">
        <w:rPr>
          <w:rFonts w:ascii="Arial" w:hAnsi="Arial" w:cs="Arial"/>
          <w:color w:val="000000"/>
          <w:sz w:val="20"/>
          <w:szCs w:val="20"/>
        </w:rPr>
        <w:t>(f) and (g) of the PR, in respect of the public offer requirement, and Article (1)</w:t>
      </w:r>
      <w:r w:rsidRPr="00823065">
        <w:rPr>
          <w:rStyle w:val="wj"/>
          <w:rFonts w:ascii="Arial" w:hAnsi="Arial" w:cs="Arial"/>
          <w:color w:val="000000"/>
          <w:sz w:val="20"/>
          <w:szCs w:val="20"/>
        </w:rPr>
        <w:t> </w:t>
      </w:r>
      <w:r w:rsidRPr="00823065">
        <w:rPr>
          <w:rFonts w:ascii="Arial" w:hAnsi="Arial" w:cs="Arial"/>
          <w:color w:val="000000"/>
          <w:sz w:val="20"/>
          <w:szCs w:val="20"/>
        </w:rPr>
        <w:t>(5)</w:t>
      </w:r>
      <w:r w:rsidRPr="00823065">
        <w:rPr>
          <w:rStyle w:val="wj"/>
          <w:rFonts w:ascii="Arial" w:hAnsi="Arial" w:cs="Arial"/>
          <w:color w:val="000000"/>
          <w:sz w:val="20"/>
          <w:szCs w:val="20"/>
        </w:rPr>
        <w:t> </w:t>
      </w:r>
      <w:r w:rsidRPr="00823065">
        <w:rPr>
          <w:rFonts w:ascii="Arial" w:hAnsi="Arial" w:cs="Arial"/>
          <w:color w:val="000000"/>
          <w:sz w:val="20"/>
          <w:szCs w:val="20"/>
        </w:rPr>
        <w:t>(e) and (f) of the PR, with respect to an admission to trading.</w:t>
      </w:r>
    </w:p>
    <w:p w14:paraId="12641F5F" w14:textId="77777777" w:rsidR="00823065" w:rsidRDefault="00823065" w:rsidP="00823065">
      <w:pPr>
        <w:pStyle w:val="ListParagraph"/>
        <w:ind w:left="0"/>
        <w:jc w:val="both"/>
        <w:rPr>
          <w:rFonts w:ascii="Arial" w:hAnsi="Arial" w:cs="Arial"/>
          <w:sz w:val="21"/>
          <w:szCs w:val="21"/>
        </w:rPr>
      </w:pPr>
    </w:p>
    <w:p w14:paraId="62F30671" w14:textId="77777777"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 xml:space="preserve">As the proposed content requirements are neither fully aligned with the </w:t>
      </w:r>
      <w:proofErr w:type="gramStart"/>
      <w:r w:rsidRPr="00823065">
        <w:rPr>
          <w:rFonts w:ascii="Arial" w:hAnsi="Arial" w:cs="Arial"/>
          <w:color w:val="000000"/>
          <w:sz w:val="20"/>
          <w:szCs w:val="20"/>
        </w:rPr>
        <w:t>contents</w:t>
      </w:r>
      <w:proofErr w:type="gramEnd"/>
      <w:r w:rsidRPr="00823065">
        <w:rPr>
          <w:rFonts w:ascii="Arial" w:hAnsi="Arial" w:cs="Arial"/>
          <w:color w:val="000000"/>
          <w:sz w:val="20"/>
          <w:szCs w:val="20"/>
        </w:rPr>
        <w:t xml:space="preserve"> requirements imposed by the Takeovers Directive nor significantly alleviated, a bidder may consider it preferable to produce an approved prospectus than an exempted document, as the market is familiar with the former concept. Given that an exempted document will not be subject to the review process of a competent authority under Article 20 of the </w:t>
      </w:r>
      <w:r w:rsidRPr="00823065">
        <w:rPr>
          <w:rStyle w:val="fc-glossary"/>
          <w:rFonts w:ascii="Arial" w:hAnsi="Arial" w:cs="Arial"/>
          <w:color w:val="000000"/>
          <w:sz w:val="20"/>
          <w:szCs w:val="20"/>
        </w:rPr>
        <w:t xml:space="preserve">PR, unlike </w:t>
      </w:r>
      <w:r w:rsidRPr="00823065">
        <w:rPr>
          <w:rFonts w:ascii="Arial" w:hAnsi="Arial" w:cs="Arial"/>
          <w:color w:val="000000"/>
          <w:sz w:val="20"/>
          <w:szCs w:val="20"/>
        </w:rPr>
        <w:t xml:space="preserve">a prospectus, it is possible that </w:t>
      </w:r>
      <w:r w:rsidRPr="00823065">
        <w:rPr>
          <w:rStyle w:val="wj"/>
          <w:rFonts w:ascii="Arial" w:hAnsi="Arial" w:cs="Arial"/>
          <w:color w:val="000000"/>
          <w:sz w:val="20"/>
          <w:szCs w:val="20"/>
        </w:rPr>
        <w:t>inconsistent approaches to the content of exempted documents will arise, in practice</w:t>
      </w:r>
      <w:r w:rsidRPr="00823065">
        <w:rPr>
          <w:rFonts w:ascii="Arial" w:hAnsi="Arial" w:cs="Arial"/>
          <w:color w:val="000000"/>
          <w:sz w:val="20"/>
          <w:szCs w:val="20"/>
        </w:rPr>
        <w:t>.  The production of an exempted document may therefore result in adaptive costs for market participants, as the market will need to adjust to applying its contents regime in practice.</w:t>
      </w:r>
    </w:p>
    <w:p w14:paraId="204B13F7" w14:textId="77777777" w:rsidR="00823065" w:rsidRPr="00823065" w:rsidRDefault="00823065" w:rsidP="00823065">
      <w:pPr>
        <w:pStyle w:val="ListParagraph"/>
        <w:jc w:val="both"/>
        <w:rPr>
          <w:rFonts w:ascii="Arial" w:hAnsi="Arial" w:cs="Arial"/>
          <w:color w:val="000000"/>
          <w:sz w:val="20"/>
          <w:szCs w:val="20"/>
        </w:rPr>
      </w:pPr>
    </w:p>
    <w:p w14:paraId="3DE9F0A8" w14:textId="77777777"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 xml:space="preserve">We acknowledge that a maximum </w:t>
      </w:r>
      <w:proofErr w:type="spellStart"/>
      <w:r w:rsidRPr="00823065">
        <w:rPr>
          <w:rFonts w:ascii="Arial" w:hAnsi="Arial" w:cs="Arial"/>
          <w:color w:val="000000"/>
          <w:sz w:val="20"/>
          <w:szCs w:val="20"/>
        </w:rPr>
        <w:t>harmonisation</w:t>
      </w:r>
      <w:proofErr w:type="spellEnd"/>
      <w:r w:rsidRPr="00823065">
        <w:rPr>
          <w:rFonts w:ascii="Arial" w:hAnsi="Arial" w:cs="Arial"/>
          <w:color w:val="000000"/>
          <w:sz w:val="20"/>
          <w:szCs w:val="20"/>
        </w:rPr>
        <w:t xml:space="preserve"> approach to exempted documents is not within the scope of ESMA’s mandate from the Commission. </w:t>
      </w:r>
    </w:p>
    <w:p w14:paraId="52C22244" w14:textId="77777777" w:rsidR="00823065" w:rsidRPr="00823065" w:rsidRDefault="00823065" w:rsidP="00823065">
      <w:pPr>
        <w:pStyle w:val="ListParagraph"/>
        <w:jc w:val="both"/>
        <w:rPr>
          <w:rFonts w:ascii="Arial" w:hAnsi="Arial" w:cs="Arial"/>
          <w:color w:val="000000"/>
          <w:sz w:val="20"/>
          <w:szCs w:val="20"/>
        </w:rPr>
      </w:pPr>
    </w:p>
    <w:p w14:paraId="0D457569" w14:textId="77777777"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In addition, an approved prospectus will be required, in any event, where the bidder wishes to passport the document into an EU jurisdiction</w:t>
      </w:r>
    </w:p>
    <w:p w14:paraId="092E6475" w14:textId="77777777" w:rsidR="00823065" w:rsidRDefault="00823065" w:rsidP="00823065">
      <w:pPr>
        <w:jc w:val="both"/>
        <w:rPr>
          <w:rFonts w:ascii="Arial" w:hAnsi="Arial" w:cs="Arial"/>
          <w:i/>
          <w:iCs/>
          <w:color w:val="000000"/>
          <w:sz w:val="20"/>
          <w:szCs w:val="20"/>
          <w:lang w:eastAsia="en-GB"/>
        </w:rPr>
      </w:pPr>
    </w:p>
    <w:p w14:paraId="5F9E6180" w14:textId="77777777" w:rsidR="00823065" w:rsidRDefault="00823065" w:rsidP="00823065">
      <w:pPr>
        <w:jc w:val="both"/>
        <w:rPr>
          <w:rFonts w:ascii="Arial" w:hAnsi="Arial" w:cs="Arial"/>
          <w:i/>
          <w:iCs/>
          <w:color w:val="000000"/>
          <w:sz w:val="20"/>
          <w:szCs w:val="20"/>
          <w:lang w:eastAsia="en-GB"/>
        </w:rPr>
      </w:pPr>
    </w:p>
    <w:p w14:paraId="1A1CE72A" w14:textId="77777777" w:rsidR="00823065" w:rsidRDefault="00823065" w:rsidP="00823065">
      <w:pPr>
        <w:jc w:val="both"/>
        <w:rPr>
          <w:rFonts w:ascii="Arial" w:hAnsi="Arial" w:cs="Arial"/>
          <w:i/>
          <w:iCs/>
          <w:color w:val="000000"/>
          <w:sz w:val="20"/>
          <w:szCs w:val="20"/>
          <w:lang w:eastAsia="en-GB"/>
        </w:rPr>
      </w:pPr>
    </w:p>
    <w:p w14:paraId="73E8787E" w14:textId="77777777" w:rsidR="00823065" w:rsidRDefault="00823065" w:rsidP="00823065">
      <w:pPr>
        <w:jc w:val="both"/>
        <w:rPr>
          <w:rFonts w:ascii="Arial" w:hAnsi="Arial" w:cs="Arial"/>
          <w:i/>
          <w:iCs/>
          <w:color w:val="000000"/>
          <w:sz w:val="20"/>
          <w:szCs w:val="20"/>
          <w:lang w:eastAsia="en-GB"/>
        </w:rPr>
      </w:pPr>
    </w:p>
    <w:p w14:paraId="59108C35" w14:textId="61DCEFCD" w:rsidR="00823065" w:rsidRPr="00823065" w:rsidRDefault="00823065" w:rsidP="00823065">
      <w:pPr>
        <w:jc w:val="both"/>
        <w:rPr>
          <w:rFonts w:ascii="Arial" w:hAnsi="Arial" w:cs="Arial"/>
          <w:i/>
          <w:iCs/>
          <w:color w:val="000000"/>
          <w:sz w:val="20"/>
          <w:szCs w:val="20"/>
          <w:lang w:eastAsia="en-GB"/>
        </w:rPr>
      </w:pPr>
      <w:r w:rsidRPr="00823065">
        <w:rPr>
          <w:rFonts w:ascii="Arial" w:hAnsi="Arial" w:cs="Arial"/>
          <w:i/>
          <w:iCs/>
          <w:color w:val="000000"/>
          <w:sz w:val="20"/>
          <w:szCs w:val="20"/>
          <w:lang w:eastAsia="en-GB"/>
        </w:rPr>
        <w:lastRenderedPageBreak/>
        <w:t xml:space="preserve">ESMA’s letter to the </w:t>
      </w:r>
      <w:r w:rsidRPr="00823065">
        <w:rPr>
          <w:rFonts w:ascii="Arial" w:hAnsi="Arial" w:cs="Arial"/>
          <w:color w:val="000000"/>
          <w:sz w:val="20"/>
          <w:szCs w:val="20"/>
        </w:rPr>
        <w:t xml:space="preserve">European </w:t>
      </w:r>
      <w:r w:rsidRPr="00823065">
        <w:rPr>
          <w:rFonts w:ascii="Arial" w:hAnsi="Arial" w:cs="Arial"/>
          <w:i/>
          <w:iCs/>
          <w:color w:val="000000"/>
          <w:sz w:val="20"/>
          <w:szCs w:val="20"/>
          <w:lang w:eastAsia="en-GB"/>
        </w:rPr>
        <w:t>Commission of 11 July 2018</w:t>
      </w:r>
    </w:p>
    <w:p w14:paraId="791E54EC" w14:textId="77777777" w:rsidR="00823065" w:rsidRPr="00823065" w:rsidRDefault="00823065" w:rsidP="00823065">
      <w:pPr>
        <w:pStyle w:val="ListParagraph"/>
        <w:ind w:left="0"/>
        <w:jc w:val="both"/>
        <w:rPr>
          <w:rFonts w:ascii="Arial" w:hAnsi="Arial" w:cs="Arial"/>
          <w:sz w:val="21"/>
          <w:szCs w:val="21"/>
        </w:rPr>
      </w:pPr>
    </w:p>
    <w:p w14:paraId="35F1C372" w14:textId="14DFD804" w:rsid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 xml:space="preserve">We note that </w:t>
      </w:r>
      <w:r w:rsidRPr="00823065">
        <w:rPr>
          <w:rStyle w:val="fc-glossary"/>
          <w:rFonts w:ascii="Arial" w:hAnsi="Arial" w:cs="Arial"/>
          <w:color w:val="000000"/>
          <w:sz w:val="20"/>
          <w:szCs w:val="20"/>
        </w:rPr>
        <w:t>ESMA</w:t>
      </w:r>
      <w:r w:rsidRPr="00823065">
        <w:rPr>
          <w:rFonts w:ascii="Arial" w:hAnsi="Arial" w:cs="Arial"/>
          <w:color w:val="000000"/>
          <w:sz w:val="20"/>
          <w:szCs w:val="20"/>
        </w:rPr>
        <w:t xml:space="preserve"> raised concerns in the Consultation and in a letter to the European Commission dated 11 July 2018 (</w:t>
      </w:r>
      <w:hyperlink r:id="rId17" w:history="1">
        <w:r w:rsidRPr="00823065">
          <w:rPr>
            <w:rStyle w:val="Hyperlink"/>
            <w:rFonts w:ascii="Arial" w:hAnsi="Arial" w:cs="Arial"/>
            <w:color w:val="000000"/>
            <w:sz w:val="20"/>
            <w:szCs w:val="20"/>
          </w:rPr>
          <w:t>here</w:t>
        </w:r>
      </w:hyperlink>
      <w:r w:rsidRPr="00823065">
        <w:rPr>
          <w:rFonts w:ascii="Arial" w:hAnsi="Arial" w:cs="Arial"/>
          <w:color w:val="000000"/>
          <w:sz w:val="20"/>
          <w:szCs w:val="20"/>
        </w:rPr>
        <w:t xml:space="preserve">) regarding the scope of the takeover exemptions. ESMA considers that the exemption should not be available where the issuer’s securities are not already admitted to trading on a regulated market. In the letter, </w:t>
      </w:r>
      <w:r w:rsidRPr="00823065">
        <w:rPr>
          <w:rStyle w:val="fc-glossary"/>
          <w:rFonts w:ascii="Arial" w:hAnsi="Arial" w:cs="Arial"/>
          <w:color w:val="000000"/>
          <w:sz w:val="20"/>
          <w:szCs w:val="20"/>
        </w:rPr>
        <w:t>ESMA</w:t>
      </w:r>
      <w:r w:rsidRPr="00823065">
        <w:rPr>
          <w:rFonts w:ascii="Arial" w:hAnsi="Arial" w:cs="Arial"/>
          <w:color w:val="000000"/>
          <w:sz w:val="20"/>
          <w:szCs w:val="20"/>
        </w:rPr>
        <w:t xml:space="preserve"> expresses its serious concerns regarding lack of scrutiny and approval in this context and considers this could be potentially detrimental to investor protection. </w:t>
      </w:r>
      <w:r w:rsidRPr="00823065">
        <w:rPr>
          <w:rStyle w:val="fc-glossary"/>
          <w:rFonts w:ascii="Arial" w:hAnsi="Arial" w:cs="Arial"/>
          <w:color w:val="000000"/>
          <w:sz w:val="20"/>
          <w:szCs w:val="20"/>
        </w:rPr>
        <w:t>ESMA</w:t>
      </w:r>
      <w:r w:rsidRPr="00823065">
        <w:rPr>
          <w:rFonts w:ascii="Arial" w:hAnsi="Arial" w:cs="Arial"/>
          <w:color w:val="000000"/>
          <w:sz w:val="20"/>
          <w:szCs w:val="20"/>
        </w:rPr>
        <w:t xml:space="preserve"> also expresses its concerns that some of the transactions that qualify for the exemption may lead to the admission to trading on a regulated market of unlisted issuers without the publication of a </w:t>
      </w:r>
      <w:proofErr w:type="spellStart"/>
      <w:r w:rsidRPr="00823065">
        <w:rPr>
          <w:rFonts w:ascii="Arial" w:hAnsi="Arial" w:cs="Arial"/>
          <w:color w:val="000000"/>
          <w:sz w:val="20"/>
          <w:szCs w:val="20"/>
        </w:rPr>
        <w:t>scrutinised</w:t>
      </w:r>
      <w:proofErr w:type="spellEnd"/>
      <w:r w:rsidRPr="00823065">
        <w:rPr>
          <w:rFonts w:ascii="Arial" w:hAnsi="Arial" w:cs="Arial"/>
          <w:color w:val="000000"/>
          <w:sz w:val="20"/>
          <w:szCs w:val="20"/>
        </w:rPr>
        <w:t xml:space="preserve"> and approved </w:t>
      </w:r>
      <w:r w:rsidRPr="00823065">
        <w:rPr>
          <w:rStyle w:val="fc-glossary"/>
          <w:rFonts w:ascii="Arial" w:hAnsi="Arial" w:cs="Arial"/>
          <w:color w:val="000000"/>
          <w:sz w:val="20"/>
          <w:szCs w:val="20"/>
        </w:rPr>
        <w:t>IPO</w:t>
      </w:r>
      <w:r w:rsidRPr="00823065">
        <w:rPr>
          <w:rFonts w:ascii="Arial" w:hAnsi="Arial" w:cs="Arial"/>
          <w:color w:val="000000"/>
          <w:sz w:val="20"/>
          <w:szCs w:val="20"/>
        </w:rPr>
        <w:t xml:space="preserve"> prospectus. ESMA’s express preference would be for the Commission to deal with these matters by way of amendments to the </w:t>
      </w:r>
      <w:r w:rsidRPr="00823065">
        <w:rPr>
          <w:rStyle w:val="fc-glossary"/>
          <w:rFonts w:ascii="Arial" w:hAnsi="Arial" w:cs="Arial"/>
          <w:color w:val="000000"/>
          <w:sz w:val="20"/>
          <w:szCs w:val="20"/>
        </w:rPr>
        <w:t>Prospectus Regulation</w:t>
      </w:r>
      <w:r w:rsidRPr="00823065">
        <w:rPr>
          <w:rFonts w:ascii="Arial" w:hAnsi="Arial" w:cs="Arial"/>
          <w:color w:val="000000"/>
          <w:sz w:val="20"/>
          <w:szCs w:val="20"/>
        </w:rPr>
        <w:t xml:space="preserve">. ESMA may wish to resolve these concerns with the Commission, and explain the position in its Final Report, so that market participants are clear on their expectations. </w:t>
      </w:r>
    </w:p>
    <w:p w14:paraId="6A6ECC45" w14:textId="02CA0669" w:rsidR="00823065" w:rsidRDefault="00823065" w:rsidP="00823065">
      <w:pPr>
        <w:jc w:val="both"/>
        <w:rPr>
          <w:rFonts w:ascii="Arial" w:hAnsi="Arial" w:cs="Arial"/>
          <w:sz w:val="21"/>
          <w:szCs w:val="21"/>
        </w:rPr>
      </w:pPr>
    </w:p>
    <w:p w14:paraId="339405BD" w14:textId="77777777" w:rsidR="00823065" w:rsidRDefault="00823065" w:rsidP="00823065">
      <w:pPr>
        <w:jc w:val="both"/>
        <w:rPr>
          <w:rFonts w:ascii="Arial" w:hAnsi="Arial" w:cs="Arial"/>
          <w:i/>
          <w:iCs/>
          <w:color w:val="000000"/>
          <w:sz w:val="20"/>
          <w:szCs w:val="20"/>
        </w:rPr>
      </w:pPr>
    </w:p>
    <w:p w14:paraId="7D6D1507" w14:textId="5CCCB04B" w:rsidR="00823065" w:rsidRDefault="00823065" w:rsidP="00823065">
      <w:pPr>
        <w:jc w:val="both"/>
        <w:rPr>
          <w:rFonts w:ascii="Arial" w:hAnsi="Arial" w:cs="Arial"/>
          <w:i/>
          <w:iCs/>
          <w:color w:val="000000"/>
          <w:sz w:val="20"/>
          <w:szCs w:val="20"/>
        </w:rPr>
      </w:pPr>
      <w:r>
        <w:rPr>
          <w:rFonts w:ascii="Arial" w:hAnsi="Arial" w:cs="Arial"/>
          <w:i/>
          <w:iCs/>
          <w:color w:val="000000"/>
          <w:sz w:val="20"/>
          <w:szCs w:val="20"/>
        </w:rPr>
        <w:t xml:space="preserve">Specific comment about the Exempted Document content requirements </w:t>
      </w:r>
    </w:p>
    <w:p w14:paraId="1B6499CD" w14:textId="77777777" w:rsidR="00823065" w:rsidRPr="00823065" w:rsidRDefault="00823065" w:rsidP="00823065">
      <w:pPr>
        <w:jc w:val="both"/>
        <w:rPr>
          <w:rFonts w:ascii="Arial" w:hAnsi="Arial" w:cs="Arial"/>
          <w:sz w:val="21"/>
          <w:szCs w:val="21"/>
        </w:rPr>
      </w:pPr>
    </w:p>
    <w:p w14:paraId="3D1FEF21" w14:textId="0D2591F1"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color w:val="000000"/>
          <w:sz w:val="20"/>
          <w:szCs w:val="20"/>
        </w:rPr>
        <w:t xml:space="preserve">ESMA’s proposal includes different appendixes setting out the minimum information requirements, depending on whether the issuer issuing or admitting securities is known, and information is already available, to the market.  Given ESMA’s reservations as expressed to the Commission in its July 2018 letter, we limit our remarks to the situation where the issuer is known, and information is already available, to the market. </w:t>
      </w:r>
      <w:r w:rsidRPr="00823065">
        <w:rPr>
          <w:rFonts w:ascii="Arial" w:hAnsi="Arial" w:cs="Arial"/>
          <w:sz w:val="20"/>
          <w:szCs w:val="20"/>
        </w:rPr>
        <w:t>ESMA’s proposed Appendix 1 does not sufficiently reduce the substantive mandatory disclosure requirements as against a full Prospectus as might have been possible, and so may not meet the objectives of the Level 1 measures to reduce the costs of producing an exempted document to make a compelling case for companies to seek to make use of it.</w:t>
      </w:r>
    </w:p>
    <w:p w14:paraId="755C92EE" w14:textId="7B7DA021" w:rsidR="00823065" w:rsidRDefault="00823065" w:rsidP="00823065">
      <w:pPr>
        <w:pStyle w:val="ListParagraph"/>
        <w:ind w:left="0"/>
        <w:jc w:val="both"/>
        <w:rPr>
          <w:rFonts w:ascii="Arial" w:hAnsi="Arial" w:cs="Arial"/>
          <w:color w:val="000000"/>
          <w:sz w:val="20"/>
          <w:szCs w:val="20"/>
        </w:rPr>
      </w:pPr>
    </w:p>
    <w:p w14:paraId="39516A7A" w14:textId="77777777" w:rsidR="00823065" w:rsidRDefault="00823065" w:rsidP="00823065">
      <w:pPr>
        <w:jc w:val="both"/>
        <w:rPr>
          <w:rFonts w:ascii="Arial" w:hAnsi="Arial" w:cs="Arial"/>
          <w:b/>
          <w:bCs/>
          <w:sz w:val="20"/>
          <w:szCs w:val="20"/>
        </w:rPr>
      </w:pPr>
    </w:p>
    <w:p w14:paraId="2F647241" w14:textId="3B800520" w:rsidR="00823065" w:rsidRDefault="00823065" w:rsidP="00823065">
      <w:pPr>
        <w:jc w:val="both"/>
        <w:rPr>
          <w:rFonts w:ascii="Arial" w:hAnsi="Arial" w:cs="Arial"/>
          <w:b/>
          <w:bCs/>
          <w:sz w:val="20"/>
          <w:szCs w:val="20"/>
        </w:rPr>
      </w:pPr>
      <w:r>
        <w:rPr>
          <w:rFonts w:ascii="Arial" w:hAnsi="Arial" w:cs="Arial"/>
          <w:b/>
          <w:bCs/>
          <w:sz w:val="20"/>
          <w:szCs w:val="20"/>
        </w:rPr>
        <w:t>Regulatory disclosures – paragraph 13.1</w:t>
      </w:r>
    </w:p>
    <w:p w14:paraId="1D7512F1" w14:textId="77777777" w:rsidR="00823065" w:rsidRDefault="00823065" w:rsidP="00823065">
      <w:pPr>
        <w:pStyle w:val="ListParagraph"/>
        <w:ind w:left="0"/>
        <w:jc w:val="both"/>
        <w:rPr>
          <w:rFonts w:ascii="Arial" w:hAnsi="Arial" w:cs="Arial"/>
          <w:sz w:val="21"/>
          <w:szCs w:val="21"/>
        </w:rPr>
      </w:pPr>
    </w:p>
    <w:p w14:paraId="1EDDFE8B" w14:textId="457AE726"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sz w:val="20"/>
          <w:szCs w:val="20"/>
        </w:rPr>
        <w:t>We would suggest that ESMA make the amendments set out below to the proposed Level 2 requirement set out in Appendix 1, paragraph 13.1 of the Consultation.</w:t>
      </w:r>
    </w:p>
    <w:p w14:paraId="17026FAE" w14:textId="77777777" w:rsidR="00823065" w:rsidRPr="00823065" w:rsidRDefault="00823065" w:rsidP="00823065">
      <w:pPr>
        <w:pStyle w:val="ListParagraph"/>
        <w:ind w:left="0"/>
        <w:jc w:val="both"/>
        <w:rPr>
          <w:rFonts w:ascii="Arial" w:hAnsi="Arial" w:cs="Arial"/>
          <w:sz w:val="21"/>
          <w:szCs w:val="21"/>
        </w:rPr>
      </w:pPr>
    </w:p>
    <w:p w14:paraId="06F69311" w14:textId="77777777"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sz w:val="20"/>
          <w:szCs w:val="20"/>
        </w:rPr>
        <w:t xml:space="preserve">“The summary of the relevant information disclosed under Regulation (EU) 596/2014 featured in an Exempted Document shall be presented in an easily </w:t>
      </w:r>
      <w:proofErr w:type="spellStart"/>
      <w:r w:rsidRPr="00823065">
        <w:rPr>
          <w:rFonts w:ascii="Arial" w:hAnsi="Arial" w:cs="Arial"/>
          <w:sz w:val="20"/>
          <w:szCs w:val="20"/>
        </w:rPr>
        <w:t>analysable</w:t>
      </w:r>
      <w:proofErr w:type="spellEnd"/>
      <w:r w:rsidRPr="00823065">
        <w:rPr>
          <w:rFonts w:ascii="Arial" w:hAnsi="Arial" w:cs="Arial"/>
          <w:sz w:val="20"/>
          <w:szCs w:val="20"/>
        </w:rPr>
        <w:t>, concise and comprehensible form. It shall not replicate information already published under Regulation 596/2014 and shall be an intelligible summary of the last relevant information”.</w:t>
      </w:r>
    </w:p>
    <w:p w14:paraId="3C749A10" w14:textId="77777777" w:rsidR="00823065" w:rsidRPr="00823065" w:rsidRDefault="00823065" w:rsidP="00823065">
      <w:pPr>
        <w:pStyle w:val="ListParagraph"/>
        <w:jc w:val="both"/>
        <w:rPr>
          <w:rFonts w:ascii="Arial" w:hAnsi="Arial" w:cs="Arial"/>
          <w:sz w:val="20"/>
          <w:szCs w:val="20"/>
        </w:rPr>
      </w:pPr>
    </w:p>
    <w:p w14:paraId="3330AFFD" w14:textId="3702F179" w:rsidR="00823065" w:rsidRPr="00823065" w:rsidRDefault="00823065" w:rsidP="00823065">
      <w:pPr>
        <w:pStyle w:val="ListParagraph"/>
        <w:numPr>
          <w:ilvl w:val="0"/>
          <w:numId w:val="9"/>
        </w:numPr>
        <w:ind w:left="0" w:hanging="709"/>
        <w:jc w:val="both"/>
        <w:rPr>
          <w:rFonts w:ascii="Arial" w:hAnsi="Arial" w:cs="Arial"/>
          <w:sz w:val="21"/>
          <w:szCs w:val="21"/>
        </w:rPr>
      </w:pPr>
      <w:r w:rsidRPr="00823065">
        <w:rPr>
          <w:rFonts w:ascii="Arial" w:hAnsi="Arial" w:cs="Arial"/>
          <w:sz w:val="20"/>
          <w:szCs w:val="20"/>
        </w:rPr>
        <w:t>We would also recommend that ESMA:</w:t>
      </w:r>
    </w:p>
    <w:p w14:paraId="6DDC50C1" w14:textId="77777777" w:rsidR="00823065" w:rsidRDefault="00823065" w:rsidP="00823065">
      <w:pPr>
        <w:pStyle w:val="ListParagraph"/>
        <w:numPr>
          <w:ilvl w:val="0"/>
          <w:numId w:val="11"/>
        </w:numPr>
        <w:contextualSpacing w:val="0"/>
        <w:jc w:val="both"/>
        <w:rPr>
          <w:rFonts w:ascii="Arial" w:hAnsi="Arial" w:cs="Arial"/>
          <w:sz w:val="20"/>
          <w:szCs w:val="20"/>
        </w:rPr>
      </w:pPr>
      <w:r>
        <w:rPr>
          <w:rFonts w:ascii="Arial" w:hAnsi="Arial" w:cs="Arial"/>
          <w:sz w:val="20"/>
          <w:szCs w:val="20"/>
        </w:rPr>
        <w:t>Include a provision in Level 2 that, without prejudice to the concise summary of an issuer’s MAR and TD disclosures included in the prospectus, an Issuer’s MAR and TD disclosures (</w:t>
      </w:r>
      <w:proofErr w:type="gramStart"/>
      <w:r>
        <w:rPr>
          <w:rFonts w:ascii="Arial" w:hAnsi="Arial" w:cs="Arial"/>
          <w:sz w:val="20"/>
          <w:szCs w:val="20"/>
        </w:rPr>
        <w:t>whether or not</w:t>
      </w:r>
      <w:proofErr w:type="gramEnd"/>
      <w:r>
        <w:rPr>
          <w:rFonts w:ascii="Arial" w:hAnsi="Arial" w:cs="Arial"/>
          <w:sz w:val="20"/>
          <w:szCs w:val="20"/>
        </w:rPr>
        <w:t xml:space="preserve"> </w:t>
      </w:r>
      <w:proofErr w:type="spellStart"/>
      <w:r>
        <w:rPr>
          <w:rFonts w:ascii="Arial" w:hAnsi="Arial" w:cs="Arial"/>
          <w:sz w:val="20"/>
          <w:szCs w:val="20"/>
        </w:rPr>
        <w:t>summarised</w:t>
      </w:r>
      <w:proofErr w:type="spellEnd"/>
      <w:r>
        <w:rPr>
          <w:rFonts w:ascii="Arial" w:hAnsi="Arial" w:cs="Arial"/>
          <w:sz w:val="20"/>
          <w:szCs w:val="20"/>
        </w:rPr>
        <w:t>) do not form part of an issuer’s prospectus unless expressly incorporated by reference.</w:t>
      </w:r>
    </w:p>
    <w:p w14:paraId="3812DFC5" w14:textId="77777777" w:rsidR="00823065" w:rsidRDefault="00823065" w:rsidP="00823065">
      <w:pPr>
        <w:pStyle w:val="ListParagraph"/>
        <w:numPr>
          <w:ilvl w:val="0"/>
          <w:numId w:val="11"/>
        </w:numPr>
        <w:contextualSpacing w:val="0"/>
        <w:jc w:val="both"/>
        <w:rPr>
          <w:rFonts w:ascii="Arial" w:hAnsi="Arial" w:cs="Arial"/>
          <w:sz w:val="20"/>
          <w:szCs w:val="20"/>
        </w:rPr>
      </w:pPr>
      <w:r>
        <w:rPr>
          <w:rFonts w:ascii="Arial" w:hAnsi="Arial" w:cs="Arial"/>
          <w:sz w:val="20"/>
          <w:szCs w:val="20"/>
        </w:rPr>
        <w:t>Require an issuer to include specific wording in a prospectus stating that its MAR and TD disclosures do not fo</w:t>
      </w:r>
      <w:bookmarkStart w:id="1" w:name="_GoBack"/>
      <w:bookmarkEnd w:id="1"/>
      <w:r>
        <w:rPr>
          <w:rFonts w:ascii="Arial" w:hAnsi="Arial" w:cs="Arial"/>
          <w:sz w:val="20"/>
          <w:szCs w:val="20"/>
        </w:rPr>
        <w:t>rm part of an issuer’s Exempted Document.</w:t>
      </w:r>
    </w:p>
    <w:p w14:paraId="471F5285" w14:textId="77777777" w:rsidR="00823065" w:rsidRDefault="00823065" w:rsidP="00823065">
      <w:pPr>
        <w:pStyle w:val="AODocTxt"/>
        <w:rPr>
          <w:sz w:val="20"/>
          <w:szCs w:val="20"/>
        </w:rPr>
      </w:pPr>
    </w:p>
    <w:p w14:paraId="17AD9CDF" w14:textId="77777777" w:rsidR="00823065" w:rsidRDefault="00823065" w:rsidP="00823065">
      <w:pPr>
        <w:pStyle w:val="AODocTxt"/>
      </w:pPr>
    </w:p>
    <w:p w14:paraId="3F1CAE79" w14:textId="77777777" w:rsidR="002212A1" w:rsidRPr="00CA279E" w:rsidRDefault="00CA279E" w:rsidP="00823065">
      <w:pPr>
        <w:ind w:left="720" w:hanging="720"/>
        <w:jc w:val="both"/>
        <w:rPr>
          <w:rFonts w:ascii="Arial" w:eastAsia="Times New Roman" w:hAnsi="Arial" w:cs="Arial"/>
          <w:b/>
          <w:sz w:val="21"/>
          <w:szCs w:val="21"/>
          <w:lang w:val="en-GB"/>
        </w:rPr>
      </w:pPr>
      <w:r>
        <w:rPr>
          <w:rFonts w:ascii="Arial" w:eastAsia="Times New Roman" w:hAnsi="Arial" w:cs="Arial"/>
          <w:b/>
          <w:bCs/>
          <w:sz w:val="21"/>
          <w:szCs w:val="21"/>
          <w:lang w:val="en-GB"/>
        </w:rPr>
        <w:tab/>
      </w:r>
    </w:p>
    <w:p w14:paraId="4A5E3D69" w14:textId="77777777" w:rsidR="002212A1" w:rsidRDefault="002212A1" w:rsidP="00823065">
      <w:pPr>
        <w:ind w:left="-142"/>
        <w:jc w:val="both"/>
        <w:rPr>
          <w:rFonts w:ascii="Arial" w:eastAsia="Times New Roman" w:hAnsi="Arial" w:cs="Arial"/>
          <w:b/>
          <w:sz w:val="21"/>
          <w:szCs w:val="21"/>
        </w:rPr>
      </w:pPr>
    </w:p>
    <w:p w14:paraId="1C66BCBD" w14:textId="77777777" w:rsidR="002212A1" w:rsidRDefault="00C02FC4" w:rsidP="00823065">
      <w:pPr>
        <w:ind w:left="-142"/>
        <w:jc w:val="both"/>
        <w:rPr>
          <w:rFonts w:ascii="Arial" w:eastAsia="Times New Roman" w:hAnsi="Arial" w:cs="Arial"/>
          <w:b/>
          <w:sz w:val="21"/>
          <w:szCs w:val="21"/>
        </w:rPr>
      </w:pPr>
      <w:r>
        <w:rPr>
          <w:rFonts w:ascii="Arial" w:eastAsia="Times New Roman" w:hAnsi="Arial" w:cs="Arial"/>
          <w:b/>
          <w:sz w:val="21"/>
          <w:szCs w:val="21"/>
        </w:rPr>
        <w:t>FOR FURTHER INFORMATION PLEASE CONTACT:</w:t>
      </w:r>
    </w:p>
    <w:p w14:paraId="2C635F1A" w14:textId="77777777" w:rsidR="002212A1" w:rsidRDefault="002212A1" w:rsidP="00823065">
      <w:pPr>
        <w:ind w:left="-142"/>
        <w:jc w:val="both"/>
        <w:rPr>
          <w:rFonts w:ascii="Arial" w:eastAsia="Times New Roman" w:hAnsi="Arial" w:cs="Arial"/>
          <w:b/>
          <w:sz w:val="21"/>
          <w:szCs w:val="21"/>
        </w:rPr>
      </w:pPr>
      <w:r>
        <w:rPr>
          <w:rFonts w:ascii="Arial" w:eastAsia="Times New Roman" w:hAnsi="Arial" w:cs="Arial"/>
          <w:b/>
          <w:sz w:val="21"/>
          <w:szCs w:val="21"/>
        </w:rPr>
        <w:t xml:space="preserve"> </w:t>
      </w:r>
    </w:p>
    <w:p w14:paraId="7B442403" w14:textId="3470D201" w:rsidR="003B5229" w:rsidRDefault="00795279" w:rsidP="00823065">
      <w:pPr>
        <w:ind w:left="-142"/>
        <w:jc w:val="both"/>
        <w:rPr>
          <w:rStyle w:val="Hyperlink"/>
          <w:rFonts w:ascii="Arial" w:eastAsia="Times New Roman" w:hAnsi="Arial" w:cs="Arial"/>
          <w:sz w:val="21"/>
          <w:szCs w:val="21"/>
        </w:rPr>
      </w:pPr>
      <w:r w:rsidRPr="00A7528F">
        <w:rPr>
          <w:rFonts w:ascii="Arial" w:eastAsia="Times New Roman" w:hAnsi="Arial" w:cs="Arial"/>
          <w:sz w:val="21"/>
          <w:szCs w:val="21"/>
        </w:rPr>
        <w:t xml:space="preserve">Richard Ufland </w:t>
      </w:r>
      <w:r>
        <w:rPr>
          <w:rFonts w:ascii="Arial" w:eastAsia="Times New Roman" w:hAnsi="Arial" w:cs="Arial"/>
          <w:sz w:val="21"/>
          <w:szCs w:val="21"/>
        </w:rPr>
        <w:t xml:space="preserve">(+44 207 </w:t>
      </w:r>
      <w:r w:rsidRPr="00A7528F">
        <w:rPr>
          <w:rFonts w:ascii="Arial" w:eastAsia="Times New Roman" w:hAnsi="Arial" w:cs="Arial"/>
          <w:sz w:val="21"/>
          <w:szCs w:val="21"/>
        </w:rPr>
        <w:t xml:space="preserve">296 </w:t>
      </w:r>
      <w:r>
        <w:rPr>
          <w:rFonts w:ascii="Arial" w:eastAsia="Times New Roman" w:hAnsi="Arial" w:cs="Arial"/>
          <w:sz w:val="21"/>
          <w:szCs w:val="21"/>
        </w:rPr>
        <w:t xml:space="preserve">5712) or </w:t>
      </w:r>
      <w:hyperlink r:id="rId18" w:history="1">
        <w:r w:rsidRPr="00CB0E85">
          <w:rPr>
            <w:rStyle w:val="Hyperlink"/>
            <w:rFonts w:ascii="Arial" w:eastAsia="Times New Roman" w:hAnsi="Arial" w:cs="Arial"/>
            <w:sz w:val="21"/>
            <w:szCs w:val="21"/>
          </w:rPr>
          <w:t>richard.ufland@hoganlovells.com</w:t>
        </w:r>
      </w:hyperlink>
    </w:p>
    <w:p w14:paraId="33F6EF1F" w14:textId="77777777" w:rsidR="00B00D6D" w:rsidRDefault="00B00D6D" w:rsidP="00B00D6D">
      <w:pPr>
        <w:ind w:left="-142"/>
        <w:jc w:val="both"/>
        <w:rPr>
          <w:rFonts w:ascii="Arial" w:eastAsia="Times New Roman" w:hAnsi="Arial" w:cs="Arial"/>
          <w:sz w:val="21"/>
          <w:szCs w:val="21"/>
        </w:rPr>
      </w:pPr>
      <w:r>
        <w:rPr>
          <w:rFonts w:ascii="Arial" w:eastAsia="Times New Roman" w:hAnsi="Arial" w:cs="Arial"/>
          <w:sz w:val="21"/>
          <w:szCs w:val="21"/>
        </w:rPr>
        <w:t xml:space="preserve">Nick Denys (+44 207 316 5507) or </w:t>
      </w:r>
      <w:hyperlink r:id="rId19" w:history="1">
        <w:r>
          <w:rPr>
            <w:rStyle w:val="Hyperlink"/>
            <w:rFonts w:ascii="Arial" w:eastAsia="Times New Roman" w:hAnsi="Arial" w:cs="Arial"/>
            <w:sz w:val="21"/>
            <w:szCs w:val="21"/>
          </w:rPr>
          <w:t>nick.denys@lawsociety.org.uk</w:t>
        </w:r>
      </w:hyperlink>
      <w:r>
        <w:rPr>
          <w:rFonts w:ascii="Arial" w:eastAsia="Times New Roman" w:hAnsi="Arial" w:cs="Arial"/>
          <w:sz w:val="21"/>
          <w:szCs w:val="21"/>
        </w:rPr>
        <w:t xml:space="preserve"> </w:t>
      </w:r>
    </w:p>
    <w:p w14:paraId="67355284" w14:textId="77777777" w:rsidR="00B00D6D" w:rsidRPr="003B5229" w:rsidRDefault="00B00D6D" w:rsidP="00823065">
      <w:pPr>
        <w:ind w:left="-142"/>
        <w:jc w:val="both"/>
        <w:rPr>
          <w:rFonts w:ascii="Arial" w:eastAsia="Times New Roman" w:hAnsi="Arial" w:cs="Arial"/>
          <w:b/>
          <w:sz w:val="21"/>
          <w:szCs w:val="21"/>
        </w:rPr>
      </w:pPr>
    </w:p>
    <w:sectPr w:rsidR="00B00D6D" w:rsidRPr="003B5229" w:rsidSect="00394949">
      <w:pgSz w:w="11900" w:h="16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6E98" w14:textId="77777777" w:rsidR="00FF19DB" w:rsidRDefault="00FF19DB" w:rsidP="005C3D8E">
      <w:r>
        <w:separator/>
      </w:r>
    </w:p>
  </w:endnote>
  <w:endnote w:type="continuationSeparator" w:id="0">
    <w:p w14:paraId="58D88EE4" w14:textId="77777777" w:rsidR="00FF19DB" w:rsidRDefault="00FF19DB" w:rsidP="005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8286" w14:textId="77777777" w:rsidR="00FF19DB" w:rsidRDefault="00FF19DB" w:rsidP="003601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6F040" w14:textId="77777777" w:rsidR="00FF19DB" w:rsidRDefault="00FF19DB" w:rsidP="005C3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F80D" w14:textId="77777777" w:rsidR="00FF19DB" w:rsidRPr="00FF19DB" w:rsidRDefault="00FF19DB" w:rsidP="00394949">
    <w:pPr>
      <w:pStyle w:val="Footer"/>
      <w:tabs>
        <w:tab w:val="clear" w:pos="4513"/>
        <w:tab w:val="clear" w:pos="9026"/>
        <w:tab w:val="right" w:pos="8660"/>
      </w:tabs>
      <w:ind w:right="360"/>
      <w:rPr>
        <w:rFonts w:ascii="Arial" w:hAnsi="Arial" w:cs="Arial"/>
        <w:sz w:val="20"/>
        <w:szCs w:val="20"/>
      </w:rPr>
    </w:pPr>
    <w:r>
      <w:rPr>
        <w:rFonts w:ascii="Arial" w:hAnsi="Arial" w:cs="Arial"/>
        <w:sz w:val="20"/>
        <w:szCs w:val="20"/>
      </w:rPr>
      <w:t xml:space="preserve">The </w:t>
    </w:r>
    <w:r w:rsidRPr="00FF19DB">
      <w:rPr>
        <w:rFonts w:ascii="Arial" w:hAnsi="Arial" w:cs="Arial"/>
        <w:sz w:val="20"/>
        <w:szCs w:val="20"/>
      </w:rPr>
      <w:t>Law Society 2016 ©</w:t>
    </w:r>
    <w:r w:rsidR="00394949">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7677" w14:textId="77777777" w:rsidR="00394949" w:rsidRDefault="0039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B983" w14:textId="77777777" w:rsidR="00FF19DB" w:rsidRDefault="00FF19DB" w:rsidP="005C3D8E">
      <w:r>
        <w:separator/>
      </w:r>
    </w:p>
  </w:footnote>
  <w:footnote w:type="continuationSeparator" w:id="0">
    <w:p w14:paraId="4AC8D8F0" w14:textId="77777777" w:rsidR="00FF19DB" w:rsidRDefault="00FF19DB" w:rsidP="005C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B4B9" w14:textId="77777777" w:rsidR="00394949" w:rsidRDefault="00394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148661"/>
      <w:docPartObj>
        <w:docPartGallery w:val="Page Numbers (Top of Page)"/>
        <w:docPartUnique/>
      </w:docPartObj>
    </w:sdtPr>
    <w:sdtEndPr/>
    <w:sdtContent>
      <w:p w14:paraId="111EE2C0" w14:textId="77777777" w:rsidR="00394949" w:rsidRDefault="00394949" w:rsidP="008660CB">
        <w:pPr>
          <w:pStyle w:val="Header"/>
          <w:jc w:val="center"/>
        </w:pPr>
        <w:r>
          <w:t xml:space="preserve">- </w:t>
        </w:r>
        <w:r>
          <w:fldChar w:fldCharType="begin"/>
        </w:r>
        <w:r>
          <w:instrText xml:space="preserve"> PAGE  \* MERGEFORMAT </w:instrText>
        </w:r>
        <w:r>
          <w:fldChar w:fldCharType="separate"/>
        </w:r>
        <w:r w:rsidR="00AC7AC7">
          <w:rPr>
            <w:noProof/>
          </w:rPr>
          <w:t>2</w:t>
        </w:r>
        <w:r>
          <w:fldChar w:fldCharType="end"/>
        </w:r>
        <w:r>
          <w:t xml:space="preserve"> -</w:t>
        </w:r>
      </w:p>
      <w:p w14:paraId="68ED9B9E" w14:textId="77777777" w:rsidR="00394949" w:rsidRDefault="00B00D6D" w:rsidP="008660CB">
        <w:pPr>
          <w:pStyle w:val="Header"/>
        </w:pPr>
      </w:p>
    </w:sdtContent>
  </w:sdt>
  <w:p w14:paraId="7E77DB41" w14:textId="77777777" w:rsidR="00FA7546" w:rsidRDefault="00FA7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6043" w14:textId="77777777" w:rsidR="00394949" w:rsidRDefault="00394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DF7"/>
    <w:multiLevelType w:val="hybridMultilevel"/>
    <w:tmpl w:val="312C5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030ED"/>
    <w:multiLevelType w:val="hybridMultilevel"/>
    <w:tmpl w:val="5204E6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53C473A"/>
    <w:multiLevelType w:val="hybridMultilevel"/>
    <w:tmpl w:val="68F87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6452F8"/>
    <w:multiLevelType w:val="hybridMultilevel"/>
    <w:tmpl w:val="9A229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3B5361"/>
    <w:multiLevelType w:val="hybridMultilevel"/>
    <w:tmpl w:val="CA468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B7820"/>
    <w:multiLevelType w:val="hybridMultilevel"/>
    <w:tmpl w:val="55EA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349F6"/>
    <w:multiLevelType w:val="hybridMultilevel"/>
    <w:tmpl w:val="D162241E"/>
    <w:lvl w:ilvl="0" w:tplc="A1E0827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5F1B83"/>
    <w:multiLevelType w:val="hybridMultilevel"/>
    <w:tmpl w:val="337EB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C5291E"/>
    <w:multiLevelType w:val="hybridMultilevel"/>
    <w:tmpl w:val="5AC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34C6C"/>
    <w:multiLevelType w:val="hybridMultilevel"/>
    <w:tmpl w:val="25104970"/>
    <w:lvl w:ilvl="0" w:tplc="65ACE8D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27E41"/>
    <w:multiLevelType w:val="hybridMultilevel"/>
    <w:tmpl w:val="C1D6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52174"/>
    <w:multiLevelType w:val="hybridMultilevel"/>
    <w:tmpl w:val="54F47B88"/>
    <w:lvl w:ilvl="0" w:tplc="43A8F8FE">
      <w:start w:val="1"/>
      <w:numFmt w:val="bullet"/>
      <w:lvlText w:val=""/>
      <w:lvlJc w:val="left"/>
      <w:pPr>
        <w:ind w:left="720" w:hanging="360"/>
      </w:pPr>
      <w:rPr>
        <w:rFonts w:ascii="Symbol" w:hAnsi="Symbol" w:hint="default"/>
      </w:rPr>
    </w:lvl>
    <w:lvl w:ilvl="1" w:tplc="CD2CBB14">
      <w:start w:val="1"/>
      <w:numFmt w:val="bullet"/>
      <w:lvlText w:val="o"/>
      <w:lvlJc w:val="left"/>
      <w:pPr>
        <w:ind w:left="1440" w:hanging="360"/>
      </w:pPr>
      <w:rPr>
        <w:rFonts w:ascii="Courier New" w:hAnsi="Courier New" w:cs="Courier New" w:hint="default"/>
      </w:rPr>
    </w:lvl>
    <w:lvl w:ilvl="2" w:tplc="89169364">
      <w:start w:val="1"/>
      <w:numFmt w:val="bullet"/>
      <w:lvlText w:val=""/>
      <w:lvlJc w:val="left"/>
      <w:pPr>
        <w:ind w:left="2160" w:hanging="360"/>
      </w:pPr>
      <w:rPr>
        <w:rFonts w:ascii="Wingdings" w:hAnsi="Wingdings" w:hint="default"/>
      </w:rPr>
    </w:lvl>
    <w:lvl w:ilvl="3" w:tplc="0BBA25A8">
      <w:start w:val="1"/>
      <w:numFmt w:val="bullet"/>
      <w:lvlText w:val=""/>
      <w:lvlJc w:val="left"/>
      <w:pPr>
        <w:ind w:left="2880" w:hanging="360"/>
      </w:pPr>
      <w:rPr>
        <w:rFonts w:ascii="Symbol" w:hAnsi="Symbol" w:hint="default"/>
      </w:rPr>
    </w:lvl>
    <w:lvl w:ilvl="4" w:tplc="11101022">
      <w:start w:val="1"/>
      <w:numFmt w:val="bullet"/>
      <w:lvlText w:val="o"/>
      <w:lvlJc w:val="left"/>
      <w:pPr>
        <w:ind w:left="3600" w:hanging="360"/>
      </w:pPr>
      <w:rPr>
        <w:rFonts w:ascii="Courier New" w:hAnsi="Courier New" w:cs="Courier New" w:hint="default"/>
      </w:rPr>
    </w:lvl>
    <w:lvl w:ilvl="5" w:tplc="4C585AD8">
      <w:start w:val="1"/>
      <w:numFmt w:val="bullet"/>
      <w:lvlText w:val=""/>
      <w:lvlJc w:val="left"/>
      <w:pPr>
        <w:ind w:left="4320" w:hanging="360"/>
      </w:pPr>
      <w:rPr>
        <w:rFonts w:ascii="Wingdings" w:hAnsi="Wingdings" w:hint="default"/>
      </w:rPr>
    </w:lvl>
    <w:lvl w:ilvl="6" w:tplc="6C7E8F52">
      <w:start w:val="1"/>
      <w:numFmt w:val="bullet"/>
      <w:lvlText w:val=""/>
      <w:lvlJc w:val="left"/>
      <w:pPr>
        <w:ind w:left="5040" w:hanging="360"/>
      </w:pPr>
      <w:rPr>
        <w:rFonts w:ascii="Symbol" w:hAnsi="Symbol" w:hint="default"/>
      </w:rPr>
    </w:lvl>
    <w:lvl w:ilvl="7" w:tplc="DFC4FD32">
      <w:start w:val="1"/>
      <w:numFmt w:val="bullet"/>
      <w:lvlText w:val="o"/>
      <w:lvlJc w:val="left"/>
      <w:pPr>
        <w:ind w:left="5760" w:hanging="360"/>
      </w:pPr>
      <w:rPr>
        <w:rFonts w:ascii="Courier New" w:hAnsi="Courier New" w:cs="Courier New" w:hint="default"/>
      </w:rPr>
    </w:lvl>
    <w:lvl w:ilvl="8" w:tplc="23528AD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11"/>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ED44E5"/>
    <w:rsid w:val="00013A5B"/>
    <w:rsid w:val="000353F6"/>
    <w:rsid w:val="000374BE"/>
    <w:rsid w:val="00056D8E"/>
    <w:rsid w:val="00060539"/>
    <w:rsid w:val="000767F6"/>
    <w:rsid w:val="00083E99"/>
    <w:rsid w:val="000A7B7F"/>
    <w:rsid w:val="000C44CE"/>
    <w:rsid w:val="000E3C94"/>
    <w:rsid w:val="000E69BE"/>
    <w:rsid w:val="000F4ECE"/>
    <w:rsid w:val="000F5DCA"/>
    <w:rsid w:val="000F76B6"/>
    <w:rsid w:val="00104277"/>
    <w:rsid w:val="00114BD2"/>
    <w:rsid w:val="00134798"/>
    <w:rsid w:val="001356E2"/>
    <w:rsid w:val="0016051E"/>
    <w:rsid w:val="00175610"/>
    <w:rsid w:val="001902CC"/>
    <w:rsid w:val="001913FA"/>
    <w:rsid w:val="001A3CA4"/>
    <w:rsid w:val="001C7610"/>
    <w:rsid w:val="001C79EF"/>
    <w:rsid w:val="001D00D3"/>
    <w:rsid w:val="001D5B64"/>
    <w:rsid w:val="001E1EE4"/>
    <w:rsid w:val="001E7E93"/>
    <w:rsid w:val="001F42D7"/>
    <w:rsid w:val="00201268"/>
    <w:rsid w:val="002212A1"/>
    <w:rsid w:val="00251BBB"/>
    <w:rsid w:val="00270C14"/>
    <w:rsid w:val="002715B3"/>
    <w:rsid w:val="00291526"/>
    <w:rsid w:val="002A010D"/>
    <w:rsid w:val="002B4A69"/>
    <w:rsid w:val="002E66F9"/>
    <w:rsid w:val="003012D6"/>
    <w:rsid w:val="0030352C"/>
    <w:rsid w:val="00314D86"/>
    <w:rsid w:val="00326F0E"/>
    <w:rsid w:val="003338C7"/>
    <w:rsid w:val="0034380C"/>
    <w:rsid w:val="00346680"/>
    <w:rsid w:val="00346927"/>
    <w:rsid w:val="003601E5"/>
    <w:rsid w:val="00365426"/>
    <w:rsid w:val="00375EBB"/>
    <w:rsid w:val="0037679A"/>
    <w:rsid w:val="00392647"/>
    <w:rsid w:val="00394949"/>
    <w:rsid w:val="003B5229"/>
    <w:rsid w:val="003C06DC"/>
    <w:rsid w:val="003E5223"/>
    <w:rsid w:val="0042564E"/>
    <w:rsid w:val="00433402"/>
    <w:rsid w:val="00433522"/>
    <w:rsid w:val="00463F7C"/>
    <w:rsid w:val="00470AF6"/>
    <w:rsid w:val="004C1EBF"/>
    <w:rsid w:val="005206CF"/>
    <w:rsid w:val="00522EBC"/>
    <w:rsid w:val="00551849"/>
    <w:rsid w:val="00552B98"/>
    <w:rsid w:val="00552C3D"/>
    <w:rsid w:val="00572321"/>
    <w:rsid w:val="00580E1E"/>
    <w:rsid w:val="005823E9"/>
    <w:rsid w:val="005905F4"/>
    <w:rsid w:val="00593C2D"/>
    <w:rsid w:val="005965B4"/>
    <w:rsid w:val="0059736C"/>
    <w:rsid w:val="005C3D8E"/>
    <w:rsid w:val="005C6B67"/>
    <w:rsid w:val="005F6659"/>
    <w:rsid w:val="00630276"/>
    <w:rsid w:val="00632CCE"/>
    <w:rsid w:val="006345DD"/>
    <w:rsid w:val="006529A5"/>
    <w:rsid w:val="0065461C"/>
    <w:rsid w:val="00673086"/>
    <w:rsid w:val="006740C0"/>
    <w:rsid w:val="006A0BB7"/>
    <w:rsid w:val="006A4B25"/>
    <w:rsid w:val="006B318A"/>
    <w:rsid w:val="006C5136"/>
    <w:rsid w:val="006C5422"/>
    <w:rsid w:val="006E54BD"/>
    <w:rsid w:val="006F5A4C"/>
    <w:rsid w:val="00704334"/>
    <w:rsid w:val="00713213"/>
    <w:rsid w:val="007353EB"/>
    <w:rsid w:val="00743451"/>
    <w:rsid w:val="007528ED"/>
    <w:rsid w:val="00795279"/>
    <w:rsid w:val="007C2049"/>
    <w:rsid w:val="007E4B38"/>
    <w:rsid w:val="007E558C"/>
    <w:rsid w:val="00802D9F"/>
    <w:rsid w:val="00811064"/>
    <w:rsid w:val="00823065"/>
    <w:rsid w:val="00843F34"/>
    <w:rsid w:val="008505DD"/>
    <w:rsid w:val="00860326"/>
    <w:rsid w:val="00870EFD"/>
    <w:rsid w:val="008A1B28"/>
    <w:rsid w:val="008B50F5"/>
    <w:rsid w:val="008C601D"/>
    <w:rsid w:val="008F1EB6"/>
    <w:rsid w:val="00903D0F"/>
    <w:rsid w:val="00937B95"/>
    <w:rsid w:val="0097780C"/>
    <w:rsid w:val="009940E4"/>
    <w:rsid w:val="00995445"/>
    <w:rsid w:val="009A71FB"/>
    <w:rsid w:val="009A7808"/>
    <w:rsid w:val="009B1554"/>
    <w:rsid w:val="009B6CBD"/>
    <w:rsid w:val="009C6646"/>
    <w:rsid w:val="009C7344"/>
    <w:rsid w:val="00A209A7"/>
    <w:rsid w:val="00A22265"/>
    <w:rsid w:val="00A32891"/>
    <w:rsid w:val="00A3553A"/>
    <w:rsid w:val="00A36D83"/>
    <w:rsid w:val="00A93DCB"/>
    <w:rsid w:val="00A96852"/>
    <w:rsid w:val="00AC4A32"/>
    <w:rsid w:val="00AC7AC7"/>
    <w:rsid w:val="00AD0462"/>
    <w:rsid w:val="00AF5305"/>
    <w:rsid w:val="00B00D6D"/>
    <w:rsid w:val="00B2294B"/>
    <w:rsid w:val="00B349CC"/>
    <w:rsid w:val="00B352B6"/>
    <w:rsid w:val="00B4184D"/>
    <w:rsid w:val="00B5325D"/>
    <w:rsid w:val="00B84CBB"/>
    <w:rsid w:val="00BB4938"/>
    <w:rsid w:val="00BB76D5"/>
    <w:rsid w:val="00BC6FE4"/>
    <w:rsid w:val="00BE50E9"/>
    <w:rsid w:val="00C02FC4"/>
    <w:rsid w:val="00C10330"/>
    <w:rsid w:val="00C13ED5"/>
    <w:rsid w:val="00C17C7E"/>
    <w:rsid w:val="00C40727"/>
    <w:rsid w:val="00C465BD"/>
    <w:rsid w:val="00C70E10"/>
    <w:rsid w:val="00C97C00"/>
    <w:rsid w:val="00CA279E"/>
    <w:rsid w:val="00CA3A40"/>
    <w:rsid w:val="00CA54D8"/>
    <w:rsid w:val="00CE1365"/>
    <w:rsid w:val="00CE5FB3"/>
    <w:rsid w:val="00CF4F2F"/>
    <w:rsid w:val="00CF6EFB"/>
    <w:rsid w:val="00D06B68"/>
    <w:rsid w:val="00D254A6"/>
    <w:rsid w:val="00D37469"/>
    <w:rsid w:val="00D514F6"/>
    <w:rsid w:val="00D70FC9"/>
    <w:rsid w:val="00D81F6F"/>
    <w:rsid w:val="00DA4294"/>
    <w:rsid w:val="00DA5E61"/>
    <w:rsid w:val="00DE049B"/>
    <w:rsid w:val="00DE6148"/>
    <w:rsid w:val="00DF31A6"/>
    <w:rsid w:val="00DF572D"/>
    <w:rsid w:val="00DF7815"/>
    <w:rsid w:val="00E02B0B"/>
    <w:rsid w:val="00E22F84"/>
    <w:rsid w:val="00E250ED"/>
    <w:rsid w:val="00E431FF"/>
    <w:rsid w:val="00E45BA7"/>
    <w:rsid w:val="00E50AA1"/>
    <w:rsid w:val="00E53E9F"/>
    <w:rsid w:val="00E60E31"/>
    <w:rsid w:val="00E820A8"/>
    <w:rsid w:val="00E934F7"/>
    <w:rsid w:val="00E95782"/>
    <w:rsid w:val="00EB11EA"/>
    <w:rsid w:val="00EC14F2"/>
    <w:rsid w:val="00ED44E5"/>
    <w:rsid w:val="00ED59AF"/>
    <w:rsid w:val="00EE2F53"/>
    <w:rsid w:val="00EE3496"/>
    <w:rsid w:val="00F25422"/>
    <w:rsid w:val="00F523D9"/>
    <w:rsid w:val="00F65A6E"/>
    <w:rsid w:val="00F72547"/>
    <w:rsid w:val="00FA6653"/>
    <w:rsid w:val="00FA7546"/>
    <w:rsid w:val="00FB2DAA"/>
    <w:rsid w:val="00FB44DD"/>
    <w:rsid w:val="00FE6FC4"/>
    <w:rsid w:val="00FF19DB"/>
    <w:rsid w:val="00FF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3A571C"/>
  <w15:docId w15:val="{4B8909C8-D264-4B60-A007-7F1473FE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8C7"/>
    <w:rPr>
      <w:rFonts w:ascii="Times New Roman" w:hAnsi="Times New Roman" w:cs="Times New Roman"/>
    </w:rPr>
  </w:style>
  <w:style w:type="paragraph" w:styleId="Heading1">
    <w:name w:val="heading 1"/>
    <w:basedOn w:val="Normal"/>
    <w:next w:val="Normal"/>
    <w:link w:val="Heading1Char"/>
    <w:qFormat/>
    <w:rsid w:val="00FF19DB"/>
    <w:pPr>
      <w:outlineLvl w:val="0"/>
    </w:pPr>
    <w:rPr>
      <w:rFonts w:ascii="Arial" w:eastAsia="Times New Roman" w:hAnsi="Arial" w:cs="Arial"/>
      <w:bCs/>
      <w:sz w:val="20"/>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D8E"/>
    <w:pPr>
      <w:tabs>
        <w:tab w:val="center" w:pos="4513"/>
        <w:tab w:val="right" w:pos="9026"/>
      </w:tabs>
    </w:pPr>
  </w:style>
  <w:style w:type="character" w:customStyle="1" w:styleId="FooterChar">
    <w:name w:val="Footer Char"/>
    <w:basedOn w:val="DefaultParagraphFont"/>
    <w:link w:val="Footer"/>
    <w:uiPriority w:val="99"/>
    <w:rsid w:val="005C3D8E"/>
    <w:rPr>
      <w:rFonts w:ascii="Times New Roman" w:hAnsi="Times New Roman" w:cs="Times New Roman"/>
    </w:rPr>
  </w:style>
  <w:style w:type="character" w:styleId="PageNumber">
    <w:name w:val="page number"/>
    <w:basedOn w:val="DefaultParagraphFont"/>
    <w:uiPriority w:val="99"/>
    <w:semiHidden/>
    <w:unhideWhenUsed/>
    <w:rsid w:val="005C3D8E"/>
  </w:style>
  <w:style w:type="paragraph" w:styleId="Header">
    <w:name w:val="header"/>
    <w:basedOn w:val="Normal"/>
    <w:link w:val="HeaderChar"/>
    <w:uiPriority w:val="13"/>
    <w:unhideWhenUsed/>
    <w:rsid w:val="000F4ECE"/>
    <w:pPr>
      <w:tabs>
        <w:tab w:val="center" w:pos="4513"/>
        <w:tab w:val="right" w:pos="9026"/>
      </w:tabs>
    </w:pPr>
  </w:style>
  <w:style w:type="character" w:customStyle="1" w:styleId="HeaderChar">
    <w:name w:val="Header Char"/>
    <w:basedOn w:val="DefaultParagraphFont"/>
    <w:link w:val="Header"/>
    <w:uiPriority w:val="13"/>
    <w:rsid w:val="000F4ECE"/>
    <w:rPr>
      <w:rFonts w:ascii="Times New Roman" w:hAnsi="Times New Roman" w:cs="Times New Roman"/>
    </w:rPr>
  </w:style>
  <w:style w:type="paragraph" w:styleId="ListParagraph">
    <w:name w:val="List Paragraph"/>
    <w:aliases w:val="EC,Paragraphe EI,Paragraphe de liste1"/>
    <w:basedOn w:val="Normal"/>
    <w:link w:val="ListParagraphChar"/>
    <w:uiPriority w:val="34"/>
    <w:qFormat/>
    <w:rsid w:val="00E431FF"/>
    <w:pPr>
      <w:ind w:left="720"/>
      <w:contextualSpacing/>
    </w:pPr>
  </w:style>
  <w:style w:type="table" w:styleId="TableGrid">
    <w:name w:val="Table Grid"/>
    <w:basedOn w:val="TableNormal"/>
    <w:uiPriority w:val="39"/>
    <w:rsid w:val="003601E5"/>
    <w:rPr>
      <w:rFonts w:ascii="Arial" w:hAnsi="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3601E5"/>
    <w:rPr>
      <w:rFonts w:ascii="Arial" w:hAnsi="Arial"/>
      <w:b/>
      <w:color w:val="auto"/>
      <w:kern w:val="16"/>
      <w:position w:val="6"/>
      <w:sz w:val="14"/>
      <w:u w:val="none"/>
    </w:rPr>
  </w:style>
  <w:style w:type="paragraph" w:styleId="FootnoteText">
    <w:name w:val="footnote text"/>
    <w:basedOn w:val="Normal"/>
    <w:link w:val="FootnoteTextChar"/>
    <w:uiPriority w:val="99"/>
    <w:semiHidden/>
    <w:rsid w:val="003601E5"/>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ascii="Arial" w:hAnsi="Arial" w:cstheme="minorBidi"/>
      <w:kern w:val="16"/>
      <w:sz w:val="16"/>
      <w:szCs w:val="22"/>
      <w:lang w:val="en-GB"/>
    </w:rPr>
  </w:style>
  <w:style w:type="character" w:customStyle="1" w:styleId="FootnoteTextChar">
    <w:name w:val="Footnote Text Char"/>
    <w:basedOn w:val="DefaultParagraphFont"/>
    <w:link w:val="FootnoteText"/>
    <w:uiPriority w:val="99"/>
    <w:semiHidden/>
    <w:rsid w:val="003601E5"/>
    <w:rPr>
      <w:rFonts w:ascii="Arial" w:hAnsi="Arial"/>
      <w:kern w:val="16"/>
      <w:sz w:val="16"/>
      <w:szCs w:val="22"/>
      <w:lang w:val="en-GB"/>
    </w:rPr>
  </w:style>
  <w:style w:type="character" w:customStyle="1" w:styleId="Heading1Char">
    <w:name w:val="Heading 1 Char"/>
    <w:basedOn w:val="DefaultParagraphFont"/>
    <w:link w:val="Heading1"/>
    <w:rsid w:val="00FF19DB"/>
    <w:rPr>
      <w:rFonts w:ascii="Arial" w:eastAsia="Times New Roman" w:hAnsi="Arial" w:cs="Arial"/>
      <w:bCs/>
      <w:sz w:val="20"/>
      <w:szCs w:val="32"/>
      <w:lang w:val="en-GB" w:eastAsia="en-GB"/>
    </w:rPr>
  </w:style>
  <w:style w:type="paragraph" w:customStyle="1" w:styleId="Body1">
    <w:name w:val="Body 1"/>
    <w:basedOn w:val="Normal"/>
    <w:link w:val="Body1Char"/>
    <w:qFormat/>
    <w:rsid w:val="00FF19DB"/>
    <w:pPr>
      <w:spacing w:after="140" w:line="290" w:lineRule="auto"/>
      <w:ind w:left="680"/>
      <w:jc w:val="both"/>
    </w:pPr>
    <w:rPr>
      <w:rFonts w:ascii="Arial" w:eastAsia="Times New Roman" w:hAnsi="Arial"/>
      <w:kern w:val="20"/>
      <w:sz w:val="20"/>
      <w:lang w:val="en-GB" w:eastAsia="en-GB"/>
    </w:rPr>
  </w:style>
  <w:style w:type="character" w:customStyle="1" w:styleId="Body1Char">
    <w:name w:val="Body 1 Char"/>
    <w:basedOn w:val="DefaultParagraphFont"/>
    <w:link w:val="Body1"/>
    <w:rsid w:val="00FF19DB"/>
    <w:rPr>
      <w:rFonts w:ascii="Arial" w:eastAsia="Times New Roman" w:hAnsi="Arial" w:cs="Times New Roman"/>
      <w:kern w:val="20"/>
      <w:sz w:val="20"/>
      <w:lang w:val="en-GB" w:eastAsia="en-GB"/>
    </w:rPr>
  </w:style>
  <w:style w:type="character" w:styleId="Hyperlink">
    <w:name w:val="Hyperlink"/>
    <w:basedOn w:val="DefaultParagraphFont"/>
    <w:uiPriority w:val="99"/>
    <w:unhideWhenUsed/>
    <w:rsid w:val="00795279"/>
    <w:rPr>
      <w:color w:val="0563C1" w:themeColor="hyperlink"/>
      <w:u w:val="single"/>
    </w:rPr>
  </w:style>
  <w:style w:type="paragraph" w:customStyle="1" w:styleId="AODocTxt">
    <w:name w:val="AODocTxt"/>
    <w:basedOn w:val="Normal"/>
    <w:uiPriority w:val="99"/>
    <w:rsid w:val="008C601D"/>
    <w:pPr>
      <w:spacing w:before="240" w:line="260" w:lineRule="atLeast"/>
      <w:jc w:val="both"/>
    </w:pPr>
    <w:rPr>
      <w:sz w:val="22"/>
      <w:szCs w:val="22"/>
      <w:lang w:val="en-GB"/>
    </w:rPr>
  </w:style>
  <w:style w:type="paragraph" w:styleId="NormalWeb">
    <w:name w:val="Normal (Web)"/>
    <w:basedOn w:val="Normal"/>
    <w:uiPriority w:val="99"/>
    <w:unhideWhenUsed/>
    <w:rsid w:val="008C601D"/>
    <w:pPr>
      <w:spacing w:before="100" w:beforeAutospacing="1" w:after="100" w:afterAutospacing="1"/>
    </w:pPr>
    <w:rPr>
      <w:lang w:val="en-GB" w:eastAsia="en-GB"/>
    </w:rPr>
  </w:style>
  <w:style w:type="character" w:customStyle="1" w:styleId="ListParagraphChar">
    <w:name w:val="List Paragraph Char"/>
    <w:aliases w:val="EC Char,Paragraphe EI Char,Paragraphe de liste1 Char"/>
    <w:basedOn w:val="DefaultParagraphFont"/>
    <w:link w:val="ListParagraph"/>
    <w:uiPriority w:val="34"/>
    <w:locked/>
    <w:rsid w:val="008C601D"/>
    <w:rPr>
      <w:rFonts w:ascii="Times New Roman" w:hAnsi="Times New Roman" w:cs="Times New Roman"/>
    </w:rPr>
  </w:style>
  <w:style w:type="character" w:customStyle="1" w:styleId="wj">
    <w:name w:val="wj"/>
    <w:basedOn w:val="DefaultParagraphFont"/>
    <w:rsid w:val="008C601D"/>
  </w:style>
  <w:style w:type="character" w:customStyle="1" w:styleId="fc-glossary">
    <w:name w:val="fc-glossary"/>
    <w:basedOn w:val="DefaultParagraphFont"/>
    <w:rsid w:val="008C601D"/>
  </w:style>
  <w:style w:type="character" w:styleId="Strong">
    <w:name w:val="Strong"/>
    <w:basedOn w:val="DefaultParagraphFont"/>
    <w:uiPriority w:val="22"/>
    <w:qFormat/>
    <w:rsid w:val="008C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7254">
      <w:bodyDiv w:val="1"/>
      <w:marLeft w:val="0"/>
      <w:marRight w:val="0"/>
      <w:marTop w:val="0"/>
      <w:marBottom w:val="0"/>
      <w:divBdr>
        <w:top w:val="none" w:sz="0" w:space="0" w:color="auto"/>
        <w:left w:val="none" w:sz="0" w:space="0" w:color="auto"/>
        <w:bottom w:val="none" w:sz="0" w:space="0" w:color="auto"/>
        <w:right w:val="none" w:sz="0" w:space="0" w:color="auto"/>
      </w:divBdr>
    </w:div>
    <w:div w:id="333342549">
      <w:bodyDiv w:val="1"/>
      <w:marLeft w:val="0"/>
      <w:marRight w:val="0"/>
      <w:marTop w:val="0"/>
      <w:marBottom w:val="0"/>
      <w:divBdr>
        <w:top w:val="none" w:sz="0" w:space="0" w:color="auto"/>
        <w:left w:val="none" w:sz="0" w:space="0" w:color="auto"/>
        <w:bottom w:val="none" w:sz="0" w:space="0" w:color="auto"/>
        <w:right w:val="none" w:sz="0" w:space="0" w:color="auto"/>
      </w:divBdr>
    </w:div>
    <w:div w:id="532886121">
      <w:bodyDiv w:val="1"/>
      <w:marLeft w:val="0"/>
      <w:marRight w:val="0"/>
      <w:marTop w:val="0"/>
      <w:marBottom w:val="0"/>
      <w:divBdr>
        <w:top w:val="none" w:sz="0" w:space="0" w:color="auto"/>
        <w:left w:val="none" w:sz="0" w:space="0" w:color="auto"/>
        <w:bottom w:val="none" w:sz="0" w:space="0" w:color="auto"/>
        <w:right w:val="none" w:sz="0" w:space="0" w:color="auto"/>
      </w:divBdr>
    </w:div>
    <w:div w:id="648246781">
      <w:bodyDiv w:val="1"/>
      <w:marLeft w:val="0"/>
      <w:marRight w:val="0"/>
      <w:marTop w:val="0"/>
      <w:marBottom w:val="0"/>
      <w:divBdr>
        <w:top w:val="none" w:sz="0" w:space="0" w:color="auto"/>
        <w:left w:val="none" w:sz="0" w:space="0" w:color="auto"/>
        <w:bottom w:val="none" w:sz="0" w:space="0" w:color="auto"/>
        <w:right w:val="none" w:sz="0" w:space="0" w:color="auto"/>
      </w:divBdr>
    </w:div>
    <w:div w:id="798109795">
      <w:bodyDiv w:val="1"/>
      <w:marLeft w:val="0"/>
      <w:marRight w:val="0"/>
      <w:marTop w:val="0"/>
      <w:marBottom w:val="0"/>
      <w:divBdr>
        <w:top w:val="none" w:sz="0" w:space="0" w:color="auto"/>
        <w:left w:val="none" w:sz="0" w:space="0" w:color="auto"/>
        <w:bottom w:val="none" w:sz="0" w:space="0" w:color="auto"/>
        <w:right w:val="none" w:sz="0" w:space="0" w:color="auto"/>
      </w:divBdr>
    </w:div>
    <w:div w:id="891965647">
      <w:bodyDiv w:val="1"/>
      <w:marLeft w:val="0"/>
      <w:marRight w:val="0"/>
      <w:marTop w:val="0"/>
      <w:marBottom w:val="0"/>
      <w:divBdr>
        <w:top w:val="none" w:sz="0" w:space="0" w:color="auto"/>
        <w:left w:val="none" w:sz="0" w:space="0" w:color="auto"/>
        <w:bottom w:val="none" w:sz="0" w:space="0" w:color="auto"/>
        <w:right w:val="none" w:sz="0" w:space="0" w:color="auto"/>
      </w:divBdr>
    </w:div>
    <w:div w:id="1304970911">
      <w:bodyDiv w:val="1"/>
      <w:marLeft w:val="0"/>
      <w:marRight w:val="0"/>
      <w:marTop w:val="0"/>
      <w:marBottom w:val="0"/>
      <w:divBdr>
        <w:top w:val="none" w:sz="0" w:space="0" w:color="auto"/>
        <w:left w:val="none" w:sz="0" w:space="0" w:color="auto"/>
        <w:bottom w:val="none" w:sz="0" w:space="0" w:color="auto"/>
        <w:right w:val="none" w:sz="0" w:space="0" w:color="auto"/>
      </w:divBdr>
    </w:div>
    <w:div w:id="1336226926">
      <w:bodyDiv w:val="1"/>
      <w:marLeft w:val="0"/>
      <w:marRight w:val="0"/>
      <w:marTop w:val="0"/>
      <w:marBottom w:val="0"/>
      <w:divBdr>
        <w:top w:val="none" w:sz="0" w:space="0" w:color="auto"/>
        <w:left w:val="none" w:sz="0" w:space="0" w:color="auto"/>
        <w:bottom w:val="none" w:sz="0" w:space="0" w:color="auto"/>
        <w:right w:val="none" w:sz="0" w:space="0" w:color="auto"/>
      </w:divBdr>
    </w:div>
    <w:div w:id="1625193165">
      <w:bodyDiv w:val="1"/>
      <w:marLeft w:val="0"/>
      <w:marRight w:val="0"/>
      <w:marTop w:val="0"/>
      <w:marBottom w:val="0"/>
      <w:divBdr>
        <w:top w:val="none" w:sz="0" w:space="0" w:color="auto"/>
        <w:left w:val="none" w:sz="0" w:space="0" w:color="auto"/>
        <w:bottom w:val="none" w:sz="0" w:space="0" w:color="auto"/>
        <w:right w:val="none" w:sz="0" w:space="0" w:color="auto"/>
      </w:divBdr>
    </w:div>
    <w:div w:id="2052341976">
      <w:bodyDiv w:val="1"/>
      <w:marLeft w:val="0"/>
      <w:marRight w:val="0"/>
      <w:marTop w:val="0"/>
      <w:marBottom w:val="0"/>
      <w:divBdr>
        <w:top w:val="none" w:sz="0" w:space="0" w:color="auto"/>
        <w:left w:val="none" w:sz="0" w:space="0" w:color="auto"/>
        <w:bottom w:val="none" w:sz="0" w:space="0" w:color="auto"/>
        <w:right w:val="none" w:sz="0" w:space="0" w:color="auto"/>
      </w:divBdr>
    </w:div>
    <w:div w:id="208178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richard.ufland@hoganlovell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sma.europa.eu/sites/default/files/library/esma31-59-995_draft_letter_to_ec_pr_l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mailto:nick.denys@lawsociety.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C1DMSA</field>
    <field id="AuthorName" dmfield="" type="string"/>
    <field id="ClientNumber" dmfield="CLIENT_ID" type="string">1A0020</field>
    <field id="MatterNumber" dmfield="MATTER_ID" type="string">089260</field>
    <field id="DocumentType" dmfield="TYPE_ID" type="string">OTH</field>
    <field id="DocumentTitle" dmfield="DOCNAME" type="string"/>
    <field id="DocumentNumber" dmfield="DOCNUM" type="string">6181491</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6181491</field>
    <field id="FirstPageHeaded" dmfield="" type="">False</field>
    <field id="ContPage" dmfield="" type="">False</field>
    <field id="DraftSpacing" dmfield="" type="">False</field>
    <field id="DocID" dmfield="" type="">LIB01/C1DMSA/6181491.1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3EC5-E865-4287-A5C2-E26DE84E30A0}">
  <ds:schemaRefs>
    <ds:schemaRef ds:uri="http://hoganlovells.com/word2010/custom"/>
  </ds:schemaRefs>
</ds:datastoreItem>
</file>

<file path=customXml/itemProps2.xml><?xml version="1.0" encoding="utf-8"?>
<ds:datastoreItem xmlns:ds="http://schemas.openxmlformats.org/officeDocument/2006/customXml" ds:itemID="{5CAE4242-F292-4148-9A6B-439F2532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Denys</dc:creator>
  <cp:lastModifiedBy>Catrin Lewis</cp:lastModifiedBy>
  <cp:revision>3</cp:revision>
  <cp:lastPrinted>2016-12-07T15:52:00Z</cp:lastPrinted>
  <dcterms:created xsi:type="dcterms:W3CDTF">2018-10-05T13:36:00Z</dcterms:created>
  <dcterms:modified xsi:type="dcterms:W3CDTF">2018-10-05T13:49:00Z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CMNumber">
    <vt:lpwstr>222302/10018</vt:lpwstr>
  </property>
  <property fmtid="{D5CDD505-2E9C-101B-9397-08002B2CF9AE}" pid="3" name="udp_DeptCode">
    <vt:lpwstr/>
  </property>
  <property fmtid="{D5CDD505-2E9C-101B-9397-08002B2CF9AE}" pid="4" name="udp_DocID">
    <vt:lpwstr>538023263</vt:lpwstr>
  </property>
  <property fmtid="{D5CDD505-2E9C-101B-9397-08002B2CF9AE}" pid="5" name="udp_Author">
    <vt:lpwstr/>
  </property>
  <property fmtid="{D5CDD505-2E9C-101B-9397-08002B2CF9AE}" pid="6" name="udp_Date">
    <vt:lpwstr>13 July 2016</vt:lpwstr>
  </property>
  <property fmtid="{D5CDD505-2E9C-101B-9397-08002B2CF9AE}" pid="7" name="WS_TRACKING_ID">
    <vt:lpwstr>fa9b0bce-d985-4900-bd7c-f9ffc2572651</vt:lpwstr>
  </property>
</Properties>
</file>