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0A6DB3" w:rsidP="000A6DB3">
            <w:pPr>
              <w:pStyle w:val="00bDBInfo"/>
              <w:rPr>
                <w:rFonts w:cs="Arial"/>
              </w:rPr>
            </w:pPr>
            <w:bookmarkStart w:id="0" w:name="_GoBack"/>
            <w:bookmarkEnd w:id="0"/>
            <w:r>
              <w:rPr>
                <w:rFonts w:cs="Arial"/>
              </w:rPr>
              <w:t xml:space="preserve">13 July 2018 </w:t>
            </w:r>
            <w:r w:rsidRPr="000A6DB3">
              <w:rPr>
                <w:rFonts w:cs="Arial"/>
              </w:rPr>
              <w:t>| ESMA70-156-</w:t>
            </w:r>
            <w:r>
              <w:rPr>
                <w:rFonts w:cs="Arial"/>
              </w:rPr>
              <w:t xml:space="preserve">471   </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rsidTr="006E0A4F">
        <w:trPr>
          <w:trHeight w:hRule="exact" w:val="2475"/>
        </w:trPr>
        <w:tc>
          <w:tcPr>
            <w:tcW w:w="9646" w:type="dxa"/>
            <w:vAlign w:val="bottom"/>
          </w:tcPr>
          <w:p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the </w:t>
            </w:r>
            <w:r w:rsidR="00171CBD" w:rsidRPr="00171CBD">
              <w:rPr>
                <w:rFonts w:cs="Arial"/>
                <w:szCs w:val="56"/>
              </w:rPr>
              <w:t>Amendment to RTS</w:t>
            </w:r>
            <w:r w:rsidR="00171CBD">
              <w:rPr>
                <w:rFonts w:cs="Arial"/>
                <w:szCs w:val="56"/>
              </w:rPr>
              <w:t xml:space="preserve"> 11</w:t>
            </w:r>
            <w:r w:rsidR="006D2F32">
              <w:rPr>
                <w:rFonts w:cs="Arial"/>
                <w:szCs w:val="56"/>
              </w:rPr>
              <w:t xml:space="preserve"> (</w:t>
            </w:r>
            <w:r w:rsidR="006D2F32" w:rsidRPr="006D2F32">
              <w:rPr>
                <w:rFonts w:cs="Arial"/>
                <w:szCs w:val="56"/>
              </w:rPr>
              <w:t>ESMA70-156-357</w:t>
            </w:r>
            <w:r w:rsidR="006D2F32">
              <w:rPr>
                <w:rFonts w:cs="Arial"/>
                <w:szCs w:val="56"/>
              </w:rPr>
              <w:t>)</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7243F1">
            <w:pPr>
              <w:pStyle w:val="02Date"/>
              <w:rPr>
                <w:rFonts w:cs="Arial"/>
              </w:rPr>
            </w:pPr>
            <w:r w:rsidRPr="004E49B0">
              <w:rPr>
                <w:rFonts w:cs="Arial"/>
              </w:rPr>
              <w:lastRenderedPageBreak/>
              <w:t xml:space="preserve">Date: </w:t>
            </w:r>
            <w:r w:rsidR="00E302F3">
              <w:rPr>
                <w:rFonts w:cs="Arial"/>
              </w:rPr>
              <w:t>13</w:t>
            </w:r>
            <w:r w:rsidR="007243F1">
              <w:rPr>
                <w:rFonts w:cs="Arial"/>
              </w:rPr>
              <w:t xml:space="preserve"> July</w:t>
            </w:r>
            <w:r w:rsidR="005738DE">
              <w:rPr>
                <w:rFonts w:cs="Arial"/>
              </w:rPr>
              <w:t xml:space="preserve"> 2018</w:t>
            </w:r>
          </w:p>
          <w:p w:rsidR="000A6DB3" w:rsidRPr="004E49B0" w:rsidRDefault="000A6DB3" w:rsidP="007243F1">
            <w:pPr>
              <w:pStyle w:val="02Date"/>
              <w:rPr>
                <w:rFonts w:cs="Arial"/>
              </w:rPr>
            </w:pPr>
            <w:r>
              <w:rPr>
                <w:rFonts w:cs="Arial"/>
              </w:rPr>
              <w:t>ESMA70-156-471</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9A3017" w:rsidRDefault="009A3017" w:rsidP="000A6DB3">
      <w:pPr>
        <w:spacing w:after="240"/>
        <w:jc w:val="both"/>
        <w:rPr>
          <w:rStyle w:val="SubtleEmphasis"/>
          <w:b w:val="0"/>
          <w:sz w:val="22"/>
        </w:rPr>
      </w:pPr>
      <w:r w:rsidRPr="000A6DB3">
        <w:rPr>
          <w:rStyle w:val="SubtleEmphasis"/>
          <w:b w:val="0"/>
          <w:sz w:val="22"/>
        </w:rPr>
        <w:t xml:space="preserve">ESMA invites responses to the questions set out throughout </w:t>
      </w:r>
      <w:r w:rsidR="00963D60" w:rsidRPr="000A6DB3">
        <w:rPr>
          <w:rStyle w:val="SubtleEmphasis"/>
          <w:b w:val="0"/>
          <w:sz w:val="22"/>
        </w:rPr>
        <w:t xml:space="preserve">its </w:t>
      </w:r>
      <w:r w:rsidR="00EF5FB9" w:rsidRPr="000A6DB3">
        <w:rPr>
          <w:rStyle w:val="SubtleEmphasis"/>
          <w:b w:val="0"/>
          <w:sz w:val="22"/>
        </w:rPr>
        <w:t xml:space="preserve">Consultation Paper </w:t>
      </w:r>
      <w:r w:rsidR="006D2F32" w:rsidRPr="000A6DB3">
        <w:rPr>
          <w:rStyle w:val="SubtleEmphasis"/>
          <w:b w:val="0"/>
          <w:sz w:val="22"/>
        </w:rPr>
        <w:t>(</w:t>
      </w:r>
      <w:r w:rsidR="006D2F32" w:rsidRPr="006D2F32">
        <w:rPr>
          <w:rStyle w:val="SubtleEmphasis"/>
          <w:b w:val="0"/>
          <w:sz w:val="22"/>
        </w:rPr>
        <w:t xml:space="preserve">ESMA70-156-357) </w:t>
      </w:r>
      <w:r w:rsidR="006D2F32" w:rsidRPr="000A6DB3">
        <w:rPr>
          <w:rStyle w:val="SubtleEmphasis"/>
          <w:b w:val="0"/>
          <w:sz w:val="22"/>
        </w:rPr>
        <w:t>proposing</w:t>
      </w:r>
      <w:r w:rsidR="00AF38AF" w:rsidRPr="000A6DB3">
        <w:rPr>
          <w:rStyle w:val="SubtleEmphasis"/>
          <w:b w:val="0"/>
          <w:sz w:val="22"/>
        </w:rPr>
        <w:t xml:space="preserve"> </w:t>
      </w:r>
      <w:r w:rsidR="006D2F32" w:rsidRPr="000A6DB3">
        <w:rPr>
          <w:rStyle w:val="SubtleEmphasis"/>
          <w:b w:val="0"/>
          <w:sz w:val="22"/>
        </w:rPr>
        <w:t>a</w:t>
      </w:r>
      <w:r w:rsidR="00171CBD" w:rsidRPr="000A6DB3">
        <w:rPr>
          <w:rStyle w:val="SubtleEmphasis"/>
          <w:b w:val="0"/>
          <w:sz w:val="22"/>
        </w:rPr>
        <w:t>mendment</w:t>
      </w:r>
      <w:r w:rsidR="006D2F32" w:rsidRPr="000A6DB3">
        <w:rPr>
          <w:rStyle w:val="SubtleEmphasis"/>
          <w:b w:val="0"/>
          <w:sz w:val="22"/>
        </w:rPr>
        <w:t>s</w:t>
      </w:r>
      <w:r w:rsidR="00171CBD" w:rsidRPr="000A6DB3">
        <w:rPr>
          <w:rStyle w:val="SubtleEmphasis"/>
          <w:b w:val="0"/>
          <w:sz w:val="22"/>
        </w:rPr>
        <w:t xml:space="preserve"> to Commission Delegated Regulation (EU) 2017/588 (RTS 11)</w:t>
      </w:r>
      <w:r w:rsidRPr="000A6DB3">
        <w:rPr>
          <w:rStyle w:val="SubtleEmphasis"/>
          <w:b w:val="0"/>
          <w:sz w:val="22"/>
        </w:rPr>
        <w:t>. Responses are most helpful if they:</w:t>
      </w:r>
    </w:p>
    <w:p w:rsidR="009A3017" w:rsidRPr="00E40A5C" w:rsidRDefault="009A3017" w:rsidP="000A6DB3">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rsidR="009A3017" w:rsidRPr="00E40A5C" w:rsidRDefault="009A3017" w:rsidP="009A3017">
      <w:pPr>
        <w:spacing w:after="240"/>
        <w:jc w:val="both"/>
        <w:rPr>
          <w:rStyle w:val="SubtleEmphasis"/>
          <w:b w:val="0"/>
          <w:sz w:val="22"/>
        </w:rPr>
      </w:pPr>
      <w:r w:rsidRPr="006D2F32">
        <w:rPr>
          <w:rStyle w:val="SubtleEmphasis"/>
          <w:b w:val="0"/>
          <w:sz w:val="22"/>
        </w:rPr>
        <w:t xml:space="preserve">ESMA will consider all responses received by </w:t>
      </w:r>
      <w:r w:rsidR="006D2F32" w:rsidRPr="000A6DB3">
        <w:rPr>
          <w:rStyle w:val="SubtleEmphasis"/>
          <w:sz w:val="22"/>
        </w:rPr>
        <w:t>7 September</w:t>
      </w:r>
      <w:r w:rsidR="005C6485" w:rsidRPr="000A6DB3">
        <w:rPr>
          <w:rStyle w:val="SubtleEmphasis"/>
          <w:sz w:val="22"/>
        </w:rPr>
        <w:t xml:space="preserve"> 2018</w:t>
      </w:r>
      <w:r w:rsidRPr="001D5360">
        <w:rPr>
          <w:rStyle w:val="SubtleEmphasis"/>
          <w:b w:val="0"/>
          <w:sz w:val="22"/>
        </w:rPr>
        <w:t>.</w:t>
      </w:r>
    </w:p>
    <w:p w:rsidR="009A3017" w:rsidRPr="00E40A5C" w:rsidRDefault="009A3017" w:rsidP="009A3017">
      <w:pPr>
        <w:spacing w:after="120"/>
        <w:jc w:val="both"/>
        <w:rPr>
          <w:rStyle w:val="SubtleEmphasis"/>
          <w:sz w:val="22"/>
        </w:rPr>
      </w:pPr>
      <w:r w:rsidRPr="00E40A5C">
        <w:rPr>
          <w:rStyle w:val="SubtleEmphasis"/>
          <w:sz w:val="22"/>
        </w:rPr>
        <w:t>Instructions</w:t>
      </w:r>
    </w:p>
    <w:p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171CBD">
        <w:rPr>
          <w:rStyle w:val="SubtleEmphasis"/>
          <w:b w:val="0"/>
          <w:sz w:val="22"/>
        </w:rPr>
        <w:t>ACDR</w:t>
      </w:r>
      <w:r w:rsidRPr="00E40A5C">
        <w:rPr>
          <w:rStyle w:val="SubtleEmphasis"/>
          <w:b w:val="0"/>
          <w:sz w:val="22"/>
        </w:rPr>
        <w:t>_1&gt;. Your response to each question has to be framed by the two tags corresponding to the question.</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825B8E">
        <w:rPr>
          <w:rStyle w:val="SubtleEmphasis"/>
          <w:b w:val="0"/>
          <w:sz w:val="22"/>
        </w:rPr>
        <w:t>PE</w:t>
      </w:r>
      <w:r w:rsidRPr="00E40A5C">
        <w:rPr>
          <w:rStyle w:val="SubtleEmphasis"/>
          <w:b w:val="0"/>
          <w:sz w:val="22"/>
        </w:rPr>
        <w:t>_nameofrespondent_RESPONSEFORM. For example, for a respondent named ABCD, the response form would be entitled ESMA_</w:t>
      </w:r>
      <w:r w:rsidR="00171CBD">
        <w:rPr>
          <w:rStyle w:val="SubtleEmphasis"/>
          <w:b w:val="0"/>
          <w:sz w:val="22"/>
        </w:rPr>
        <w:t>ACDR</w:t>
      </w:r>
      <w:r w:rsidRPr="00E40A5C">
        <w:rPr>
          <w:rStyle w:val="SubtleEmphasis"/>
          <w:b w:val="0"/>
          <w:sz w:val="22"/>
        </w:rPr>
        <w:t>_ABCD_RESPONSEFORM.</w:t>
      </w:r>
    </w:p>
    <w:p w:rsidR="009A3017" w:rsidRPr="00E40A5C" w:rsidRDefault="009A3017" w:rsidP="000A6DB3">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 xml:space="preserve">Consultation </w:t>
      </w:r>
      <w:r w:rsidR="00EF5FB9">
        <w:rPr>
          <w:rStyle w:val="SubtleEmphasis"/>
          <w:b w:val="0"/>
          <w:sz w:val="22"/>
        </w:rPr>
        <w:t>on</w:t>
      </w:r>
      <w:r w:rsidR="00EF5FB9" w:rsidRPr="00EF5FB9">
        <w:rPr>
          <w:rStyle w:val="SubtleEmphasis"/>
          <w:b w:val="0"/>
          <w:sz w:val="22"/>
        </w:rPr>
        <w:t xml:space="preserve"> Securitisation Repositories Application</w:t>
      </w:r>
      <w:r w:rsidR="00EF5FB9">
        <w:rPr>
          <w:rStyle w:val="SubtleEmphasis"/>
          <w:b w:val="0"/>
          <w:sz w:val="22"/>
        </w:rPr>
        <w:t xml:space="preserve"> Requirements</w:t>
      </w:r>
      <w:r w:rsidR="006E0A4F" w:rsidRPr="001D5360">
        <w:rPr>
          <w:rStyle w:val="SubtleEmphasis"/>
          <w:b w:val="0"/>
          <w:sz w:val="22"/>
        </w:rPr>
        <w:t>”</w:t>
      </w:r>
      <w:r w:rsidRPr="001D5360">
        <w:rPr>
          <w:rStyle w:val="SubtleEmphasis"/>
          <w:b w:val="0"/>
          <w:sz w:val="22"/>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rsidR="000A6DB3" w:rsidRPr="00E40A5C" w:rsidRDefault="000A6DB3" w:rsidP="009A3017">
      <w:pPr>
        <w:spacing w:after="240"/>
        <w:jc w:val="both"/>
        <w:rPr>
          <w:rStyle w:val="SubtleEmphasis"/>
          <w:b w:val="0"/>
          <w:sz w:val="22"/>
          <w:lang w:eastAsia="en-GB"/>
        </w:rPr>
      </w:pPr>
      <w:r w:rsidRPr="000A6DB3">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w:t>
      </w:r>
      <w:r w:rsidRPr="000A6DB3">
        <w:rPr>
          <w:rStyle w:val="SubtleEmphasis"/>
          <w:b w:val="0"/>
          <w:sz w:val="22"/>
          <w:lang w:eastAsia="en-GB"/>
        </w:rPr>
        <w:t>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9A3017" w:rsidRPr="00E40A5C" w:rsidRDefault="009A3017" w:rsidP="004E6AE4">
      <w:pPr>
        <w:rPr>
          <w:rStyle w:val="SubtleEmphasis"/>
          <w:sz w:val="22"/>
          <w:lang w:eastAsia="en-GB"/>
        </w:rPr>
      </w:pPr>
      <w:r w:rsidRPr="00E40A5C">
        <w:rPr>
          <w:rStyle w:val="SubtleEmphasis"/>
          <w:sz w:val="22"/>
          <w:lang w:eastAsia="en-GB"/>
        </w:rPr>
        <w:lastRenderedPageBreak/>
        <w:t>Data protection</w:t>
      </w:r>
    </w:p>
    <w:p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1"/>
    <w:p w:rsidR="00332304" w:rsidRPr="000A6DB3" w:rsidRDefault="00595239" w:rsidP="004E6AE4">
      <w:pPr>
        <w:rPr>
          <w:rFonts w:cs="Arial"/>
          <w:b/>
          <w:bCs/>
          <w:kern w:val="32"/>
          <w:sz w:val="22"/>
          <w:szCs w:val="22"/>
        </w:rPr>
      </w:pPr>
      <w:r w:rsidRPr="000A6DB3">
        <w:rPr>
          <w:sz w:val="22"/>
          <w:szCs w:val="22"/>
        </w:rPr>
        <w:t>All interested stakeholders are invited to respond to this consultation paper. This consultation paper is primarily of interest to trading venues offering trading in equity instruments but responses are also sought from any other market participant which might be impacted by the proposals contained in this document including investment firms, trade associations and industry bodies, as well as institutional and retail investors.</w:t>
      </w:r>
      <w:r w:rsidR="00C422C5" w:rsidRPr="000A6DB3">
        <w:rPr>
          <w:sz w:val="22"/>
          <w:szCs w:val="22"/>
        </w:rPr>
        <w:t xml:space="preserve"> </w:t>
      </w:r>
      <w:r w:rsidR="00332304" w:rsidRPr="000A6DB3">
        <w:rPr>
          <w:sz w:val="22"/>
          <w:szCs w:val="22"/>
        </w:rPr>
        <w:br w:type="page"/>
      </w:r>
    </w:p>
    <w:p w:rsidR="00B327E9" w:rsidRPr="00AB6D88" w:rsidRDefault="00B327E9" w:rsidP="00B327E9">
      <w:pPr>
        <w:pStyle w:val="Heading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1411925722"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B327E9" w:rsidRPr="00AB6D88" w:rsidRDefault="00921FF3" w:rsidP="008B5819">
                <w:pPr>
                  <w:rPr>
                    <w:rStyle w:val="PlaceholderText"/>
                    <w:rFonts w:cs="Arial"/>
                  </w:rPr>
                </w:pPr>
                <w:r>
                  <w:rPr>
                    <w:rStyle w:val="PlaceholderText"/>
                    <w:rFonts w:cs="Arial"/>
                  </w:rPr>
                  <w:t xml:space="preserve">Cboe Europe </w:t>
                </w:r>
                <w:r w:rsidR="008B5819">
                  <w:rPr>
                    <w:rStyle w:val="PlaceholderText"/>
                    <w:rFonts w:cs="Arial"/>
                  </w:rPr>
                  <w:t>Limited</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2143114452" w:edGrp="everyone" w:colFirst="1" w:colLast="1"/>
            <w:permEnd w:id="1411925722"/>
            <w:r w:rsidRPr="00E40A5C">
              <w:rPr>
                <w:rFonts w:cs="Arial"/>
                <w:sz w:val="22"/>
              </w:rPr>
              <w:t>Activity</w:t>
            </w:r>
          </w:p>
        </w:tc>
        <w:tc>
          <w:tcPr>
            <w:tcW w:w="5595" w:type="dxa"/>
            <w:shd w:val="clear" w:color="auto" w:fill="auto"/>
          </w:tcPr>
          <w:p w:rsidR="00B327E9" w:rsidRPr="00AB6D88" w:rsidRDefault="00FD5FBB"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B5819">
                  <w:rPr>
                    <w:rFonts w:cs="Arial"/>
                  </w:rPr>
                  <w:t>Regulated markets/Exchanges/Trading Systems</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1740392935" w:edGrp="everyone" w:colFirst="1" w:colLast="1"/>
            <w:permEnd w:id="2143114452"/>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B327E9" w:rsidRPr="00AB6D88" w:rsidRDefault="00F5266D" w:rsidP="00F136AD">
                <w:pPr>
                  <w:rPr>
                    <w:rFonts w:cs="Arial"/>
                  </w:rPr>
                </w:pPr>
                <w:r>
                  <w:rPr>
                    <w:rFonts w:ascii="MS Gothic" w:eastAsia="MS Gothic" w:hAnsi="MS Gothic" w:cs="Arial" w:hint="eastAsia"/>
                  </w:rPr>
                  <w:t>☐</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297046292" w:edGrp="everyone" w:colFirst="1" w:colLast="1"/>
            <w:permEnd w:id="1740392935"/>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8B5819" w:rsidP="00F136AD">
                <w:pPr>
                  <w:rPr>
                    <w:rFonts w:cs="Arial"/>
                  </w:rPr>
                </w:pPr>
                <w:r>
                  <w:rPr>
                    <w:rFonts w:cs="Arial"/>
                  </w:rPr>
                  <w:t>UK</w:t>
                </w:r>
              </w:p>
            </w:tc>
          </w:sdtContent>
        </w:sdt>
      </w:tr>
      <w:permEnd w:id="1297046292"/>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p>
    <w:p w:rsidR="00B327E9" w:rsidRPr="00E40A5C" w:rsidRDefault="00B327E9" w:rsidP="00B327E9">
      <w:pPr>
        <w:rPr>
          <w:rStyle w:val="IntenseEmphasis"/>
          <w:sz w:val="22"/>
        </w:rPr>
      </w:pPr>
      <w:r w:rsidRPr="00E40A5C">
        <w:rPr>
          <w:rStyle w:val="IntenseEmphasis"/>
          <w:sz w:val="22"/>
        </w:rPr>
        <w:t>Please make your introductory comments below, if any:</w:t>
      </w:r>
    </w:p>
    <w:p w:rsidR="00B327E9" w:rsidRPr="00BF28DA" w:rsidRDefault="00B327E9" w:rsidP="00B327E9"/>
    <w:p w:rsidR="00B327E9" w:rsidRPr="006F4535" w:rsidRDefault="00B327E9" w:rsidP="00B327E9">
      <w:r w:rsidRPr="006F4535">
        <w:t>&lt;ESMA_COMMENT_</w:t>
      </w:r>
      <w:r w:rsidR="00171CBD">
        <w:t>ACDR</w:t>
      </w:r>
      <w:r w:rsidRPr="006F4535">
        <w:t>_1&gt;</w:t>
      </w:r>
    </w:p>
    <w:p w:rsidR="008B5819" w:rsidRDefault="008B5819" w:rsidP="008B5819">
      <w:pPr>
        <w:rPr>
          <w:rFonts w:asciiTheme="minorHAnsi" w:hAnsiTheme="minorHAnsi"/>
        </w:rPr>
      </w:pPr>
      <w:permStart w:id="1177622387" w:edGrp="everyone"/>
      <w:r w:rsidRPr="00696C77">
        <w:rPr>
          <w:rFonts w:asciiTheme="minorHAnsi" w:hAnsiTheme="minorHAnsi"/>
        </w:rPr>
        <w:t xml:space="preserve">Cboe Europe (Cboe) is the largest European equities exchange by market share and value traded. </w:t>
      </w:r>
    </w:p>
    <w:p w:rsidR="008B5819" w:rsidRPr="00696C77" w:rsidRDefault="008B5819" w:rsidP="008B5819">
      <w:pPr>
        <w:rPr>
          <w:rFonts w:asciiTheme="minorHAnsi" w:hAnsiTheme="minorHAnsi"/>
        </w:rPr>
      </w:pPr>
    </w:p>
    <w:p w:rsidR="008B5819" w:rsidRDefault="008B5819" w:rsidP="008B5819">
      <w:pPr>
        <w:rPr>
          <w:rFonts w:asciiTheme="minorHAnsi" w:hAnsiTheme="minorHAnsi"/>
        </w:rPr>
      </w:pPr>
      <w:r w:rsidRPr="00696C77">
        <w:rPr>
          <w:rFonts w:asciiTheme="minorHAnsi" w:hAnsiTheme="minorHAnsi"/>
        </w:rPr>
        <w:t>Cboe Europe is the brand name of Cboe Europe Limited, a subsidiary of Cboe Global Markets Inc., which is a leading operator of stock and options markets in the U.S. and Europe. Cboe Europe is a Recognised Investment Exchange regulated by the UK Financial Conduct Authority (“FCA”).</w:t>
      </w:r>
    </w:p>
    <w:p w:rsidR="008B5819" w:rsidRPr="00696C77" w:rsidRDefault="008B5819" w:rsidP="008B5819">
      <w:pPr>
        <w:rPr>
          <w:rFonts w:asciiTheme="minorHAnsi" w:hAnsiTheme="minorHAnsi"/>
        </w:rPr>
      </w:pPr>
    </w:p>
    <w:p w:rsidR="008B5819" w:rsidRDefault="008B5819" w:rsidP="008B5819">
      <w:pPr>
        <w:rPr>
          <w:rFonts w:asciiTheme="minorHAnsi" w:hAnsiTheme="minorHAnsi"/>
        </w:rPr>
      </w:pPr>
      <w:r w:rsidRPr="00696C77">
        <w:rPr>
          <w:rFonts w:asciiTheme="minorHAnsi" w:hAnsiTheme="minorHAnsi"/>
        </w:rPr>
        <w:t xml:space="preserve">Cboe supports open and fair competition and drives innovation in the European equities markets. </w:t>
      </w:r>
    </w:p>
    <w:p w:rsidR="008B5819" w:rsidRPr="00696C77" w:rsidRDefault="008B5819" w:rsidP="008B5819">
      <w:pPr>
        <w:rPr>
          <w:rFonts w:asciiTheme="minorHAnsi" w:hAnsiTheme="minorHAnsi"/>
        </w:rPr>
      </w:pPr>
    </w:p>
    <w:p w:rsidR="005458E4" w:rsidRDefault="008B5819" w:rsidP="00B327E9">
      <w:r w:rsidRPr="00696C77">
        <w:rPr>
          <w:rFonts w:asciiTheme="minorHAnsi" w:hAnsiTheme="minorHAnsi"/>
        </w:rPr>
        <w:t xml:space="preserve">Full details about Cboe Europe, the services it offers and how we operates can be found on our website at: </w:t>
      </w:r>
      <w:hyperlink r:id="rId18" w:history="1">
        <w:r w:rsidRPr="00696C77">
          <w:rPr>
            <w:rStyle w:val="Hyperlink"/>
            <w:lang w:val="en-US"/>
          </w:rPr>
          <w:t>markets.cboe.com</w:t>
        </w:r>
      </w:hyperlink>
    </w:p>
    <w:permEnd w:id="1177622387"/>
    <w:p w:rsidR="00B327E9" w:rsidRPr="00BF28DA" w:rsidRDefault="00B327E9" w:rsidP="00B327E9">
      <w:r w:rsidRPr="00BF28DA">
        <w:t>&lt;ESMA_COMMENT_</w:t>
      </w:r>
      <w:r w:rsidR="00171CBD">
        <w:rPr>
          <w:rFonts w:cs="Arial"/>
        </w:rPr>
        <w:t>ACDR</w:t>
      </w:r>
      <w:r w:rsidR="000A58BE">
        <w:t>_</w:t>
      </w:r>
      <w:r w:rsidRPr="00BF28DA">
        <w:t>1&gt;</w:t>
      </w:r>
    </w:p>
    <w:p w:rsidR="002E7113" w:rsidRDefault="002E7113" w:rsidP="002E7113">
      <w:pPr>
        <w:pStyle w:val="Heading1"/>
        <w:numPr>
          <w:ilvl w:val="0"/>
          <w:numId w:val="0"/>
        </w:numPr>
      </w:pPr>
    </w:p>
    <w:p w:rsidR="00F31E57" w:rsidRPr="00BF28DA" w:rsidRDefault="00F31E57" w:rsidP="00D34282"/>
    <w:p w:rsidR="00171CBD" w:rsidRDefault="00F31E57" w:rsidP="00171CBD">
      <w:pPr>
        <w:pStyle w:val="Questionstyle"/>
        <w:numPr>
          <w:ilvl w:val="0"/>
          <w:numId w:val="39"/>
        </w:numPr>
      </w:pPr>
      <w:r w:rsidRPr="0075015C">
        <w:br w:type="page"/>
      </w:r>
      <w:r w:rsidR="00171CBD" w:rsidRPr="006E7059">
        <w:lastRenderedPageBreak/>
        <w:t>: Do you agree with the proposed amendments to RTS 11 described above? If you do not, please explain why and what alternative you would suggest.</w:t>
      </w:r>
    </w:p>
    <w:p w:rsidR="00171CBD" w:rsidRDefault="00171CBD" w:rsidP="00171CBD">
      <w:pPr>
        <w:rPr>
          <w:rFonts w:cs="Arial"/>
        </w:rPr>
      </w:pPr>
      <w:r>
        <w:rPr>
          <w:rFonts w:cs="Arial"/>
        </w:rPr>
        <w:t>&lt;ESMA_QUESTION_ACDR_1&gt;</w:t>
      </w:r>
    </w:p>
    <w:p w:rsidR="005458E4" w:rsidRDefault="005458E4" w:rsidP="005458E4">
      <w:permStart w:id="1803028349" w:edGrp="everyone"/>
      <w:r w:rsidRPr="005458E4">
        <w:t>Cboe welcomes</w:t>
      </w:r>
      <w:r>
        <w:t xml:space="preserve"> ESMA</w:t>
      </w:r>
      <w:r w:rsidR="00304F9D">
        <w:t>’</w:t>
      </w:r>
      <w:r>
        <w:t xml:space="preserve">s consultation paper and supports its </w:t>
      </w:r>
      <w:r w:rsidR="00F5266D">
        <w:t>plans to amend</w:t>
      </w:r>
      <w:r>
        <w:t xml:space="preserve"> RTS 11. </w:t>
      </w:r>
      <w:r w:rsidR="00304F9D">
        <w:t xml:space="preserve">Aligning </w:t>
      </w:r>
      <w:r>
        <w:t xml:space="preserve">tick sizes </w:t>
      </w:r>
      <w:r w:rsidR="00304F9D">
        <w:t>in</w:t>
      </w:r>
      <w:r>
        <w:t xml:space="preserve"> third country instruments is crucial for ensuring competitiveness and consistency throughout EU venues and consequently EU markets.  </w:t>
      </w:r>
    </w:p>
    <w:p w:rsidR="005458E4" w:rsidRDefault="005458E4" w:rsidP="005458E4"/>
    <w:p w:rsidR="005458E4" w:rsidRDefault="005458E4" w:rsidP="005458E4">
      <w:r>
        <w:t xml:space="preserve">The paper establishes several approaches to remedy the shortfalls of the metric for calculating tick sizes for third country instruments. Cboe believes approach C would be </w:t>
      </w:r>
      <w:r w:rsidR="00304F9D">
        <w:t>the</w:t>
      </w:r>
      <w:r>
        <w:t xml:space="preserve"> optimal solution to the tick size issue identified. </w:t>
      </w:r>
      <w:r w:rsidR="00F5266D">
        <w:t xml:space="preserve">However we note and agree with ESMA’s reservations about the practicalities of ESMA ingesting and processing data </w:t>
      </w:r>
      <w:r w:rsidR="002D2955" w:rsidRPr="00913832">
        <w:t xml:space="preserve">from </w:t>
      </w:r>
      <w:r w:rsidR="00F5266D">
        <w:t>third country venues.</w:t>
      </w:r>
    </w:p>
    <w:p w:rsidR="00304F9D" w:rsidRDefault="00304F9D" w:rsidP="005458E4"/>
    <w:p w:rsidR="00304F9D" w:rsidRDefault="00304F9D" w:rsidP="005458E4">
      <w:r>
        <w:t>We note that approach D requires NCAs to co-ordinate and feel that there is too much potential here for disagreement.  It also leaves open the po</w:t>
      </w:r>
      <w:r w:rsidR="00AC2F54">
        <w:t>ssibility that the relevant NCA</w:t>
      </w:r>
      <w:r>
        <w:t>s will agree on a tick size that differs from that available on the third country market.</w:t>
      </w:r>
    </w:p>
    <w:p w:rsidR="005458E4" w:rsidRDefault="005458E4" w:rsidP="005458E4"/>
    <w:p w:rsidR="005458E4" w:rsidRDefault="00F5266D" w:rsidP="005458E4">
      <w:r>
        <w:t xml:space="preserve">We would instead support approach A as </w:t>
      </w:r>
      <w:r w:rsidR="00304F9D">
        <w:t xml:space="preserve">being </w:t>
      </w:r>
      <w:r>
        <w:t>the most pragmatic. In most cases it will be clear that a third country venue is the most liquid venue for</w:t>
      </w:r>
      <w:r w:rsidR="00304F9D">
        <w:t xml:space="preserve"> a</w:t>
      </w:r>
      <w:r>
        <w:t xml:space="preserve"> given instrument,</w:t>
      </w:r>
      <w:r w:rsidR="00304F9D">
        <w:t xml:space="preserve"> </w:t>
      </w:r>
      <w:r>
        <w:t xml:space="preserve">and if that venue is trading the instrument, it will be observing a tick size, even if the jurisdiction does not impose one (EU venues </w:t>
      </w:r>
      <w:r w:rsidR="00304F9D">
        <w:t xml:space="preserve">had minimum tick sizes before </w:t>
      </w:r>
      <w:r>
        <w:t>MiFID II imposed them)</w:t>
      </w:r>
      <w:r w:rsidR="005458E4">
        <w:t>. Cboe believe</w:t>
      </w:r>
      <w:r>
        <w:t>s</w:t>
      </w:r>
      <w:r w:rsidR="005458E4">
        <w:t xml:space="preserve"> this approach would </w:t>
      </w:r>
      <w:r w:rsidR="00304F9D">
        <w:t>address</w:t>
      </w:r>
      <w:r w:rsidR="005458E4">
        <w:t xml:space="preserve"> any possible tick size inconsistencies between EU and non-EU venues. </w:t>
      </w:r>
      <w:r w:rsidR="00304F9D">
        <w:t>Indeed, this approach has been taken by some NCAs and has addressed the issues that were observed when MiFID II was first implemented.</w:t>
      </w:r>
      <w:r w:rsidR="009C7324">
        <w:t xml:space="preserve"> ESMA should clarify that EU venues may still follow the MiFID II tick if they so wish.</w:t>
      </w:r>
    </w:p>
    <w:p w:rsidR="00035750" w:rsidRDefault="00035750" w:rsidP="005458E4"/>
    <w:p w:rsidR="00035750" w:rsidRDefault="00035750" w:rsidP="005458E4">
      <w:r>
        <w:t>We note that in its favoured approach, ESMA proposes that any changes be made by venues on the day following communication. To ensure orderly application, and whatever approach is taken, we would encourage ESMA to allow at least two days for venues to follow any change to the tick.</w:t>
      </w:r>
    </w:p>
    <w:permEnd w:id="1803028349"/>
    <w:p w:rsidR="00171CBD" w:rsidRDefault="00171CBD" w:rsidP="00171CBD">
      <w:pPr>
        <w:rPr>
          <w:rFonts w:cs="Arial"/>
        </w:rPr>
      </w:pPr>
    </w:p>
    <w:p w:rsidR="00171CBD" w:rsidRDefault="00171CBD" w:rsidP="00171CBD">
      <w:pPr>
        <w:rPr>
          <w:rFonts w:cs="Arial"/>
        </w:rPr>
      </w:pPr>
      <w:r>
        <w:rPr>
          <w:rFonts w:cs="Arial"/>
        </w:rPr>
        <w:t>&lt;ESMA_QUESTION_ACDR_1&gt;</w:t>
      </w:r>
    </w:p>
    <w:p w:rsidR="00AF38AF" w:rsidRDefault="00AF38AF" w:rsidP="00AF38AF">
      <w:pPr>
        <w:rPr>
          <w:rFonts w:cs="Arial"/>
          <w:sz w:val="18"/>
          <w:szCs w:val="18"/>
        </w:rPr>
      </w:pPr>
    </w:p>
    <w:p w:rsidR="00171CBD" w:rsidRDefault="00171CBD" w:rsidP="00AF38AF">
      <w:pPr>
        <w:rPr>
          <w:rFonts w:cs="Arial"/>
          <w:sz w:val="18"/>
          <w:szCs w:val="18"/>
        </w:rPr>
      </w:pPr>
    </w:p>
    <w:p w:rsidR="00171CBD" w:rsidRDefault="00171CBD" w:rsidP="00171CBD">
      <w:pPr>
        <w:pStyle w:val="Questionstyle"/>
        <w:numPr>
          <w:ilvl w:val="0"/>
          <w:numId w:val="47"/>
        </w:numPr>
      </w:pPr>
      <w:r w:rsidRPr="006E7059">
        <w:t>: Do you agree not to include depositary receipts in the scope of instruments for which the ADNT could be adjusted? If not, please provide evidence supporting their inclusion.</w:t>
      </w:r>
    </w:p>
    <w:p w:rsidR="00171CBD" w:rsidRDefault="00171CBD" w:rsidP="00171CBD">
      <w:pPr>
        <w:rPr>
          <w:rFonts w:cs="Arial"/>
        </w:rPr>
      </w:pPr>
      <w:r>
        <w:rPr>
          <w:rFonts w:cs="Arial"/>
        </w:rPr>
        <w:t>&lt;ESMA_QUESTION_ACDR_2&gt;</w:t>
      </w:r>
    </w:p>
    <w:p w:rsidR="005458E4" w:rsidRDefault="005458E4" w:rsidP="00171CBD">
      <w:pPr>
        <w:rPr>
          <w:rFonts w:cs="Arial"/>
        </w:rPr>
      </w:pPr>
      <w:permStart w:id="757996229" w:edGrp="everyone"/>
      <w:r w:rsidRPr="005458E4">
        <w:rPr>
          <w:rFonts w:cs="Arial"/>
        </w:rPr>
        <w:t xml:space="preserve">Cboe </w:t>
      </w:r>
      <w:r w:rsidR="009C7324">
        <w:rPr>
          <w:rFonts w:cs="Arial"/>
        </w:rPr>
        <w:t>does not agree</w:t>
      </w:r>
      <w:r w:rsidRPr="005458E4">
        <w:rPr>
          <w:rFonts w:cs="Arial"/>
        </w:rPr>
        <w:t xml:space="preserve"> </w:t>
      </w:r>
      <w:r w:rsidR="00035750">
        <w:rPr>
          <w:rFonts w:cs="Arial"/>
        </w:rPr>
        <w:t>with ESMA’s proposal</w:t>
      </w:r>
      <w:r w:rsidRPr="005458E4">
        <w:rPr>
          <w:rFonts w:cs="Arial"/>
        </w:rPr>
        <w:t xml:space="preserve"> </w:t>
      </w:r>
      <w:r w:rsidR="006C2C88">
        <w:rPr>
          <w:rFonts w:cs="Arial"/>
        </w:rPr>
        <w:t>not</w:t>
      </w:r>
      <w:r w:rsidR="00035750">
        <w:rPr>
          <w:rFonts w:cs="Arial"/>
        </w:rPr>
        <w:t xml:space="preserve"> to</w:t>
      </w:r>
      <w:r w:rsidR="006C2C88">
        <w:rPr>
          <w:rFonts w:cs="Arial"/>
        </w:rPr>
        <w:t xml:space="preserve"> </w:t>
      </w:r>
      <w:r w:rsidRPr="005458E4">
        <w:rPr>
          <w:rFonts w:cs="Arial"/>
        </w:rPr>
        <w:t xml:space="preserve">include depositary receipts within the scope of instruments for which the ADNT </w:t>
      </w:r>
      <w:r w:rsidR="009C7324">
        <w:rPr>
          <w:rFonts w:cs="Arial"/>
        </w:rPr>
        <w:t>can be</w:t>
      </w:r>
      <w:r w:rsidRPr="005458E4">
        <w:rPr>
          <w:rFonts w:cs="Arial"/>
        </w:rPr>
        <w:t xml:space="preserve"> adjusted</w:t>
      </w:r>
      <w:r w:rsidR="00CE22E4">
        <w:rPr>
          <w:rFonts w:cs="Arial"/>
        </w:rPr>
        <w:t>.</w:t>
      </w:r>
      <w:r w:rsidR="009C7324">
        <w:rPr>
          <w:rFonts w:cs="Arial"/>
        </w:rPr>
        <w:t xml:space="preserve"> </w:t>
      </w:r>
      <w:r w:rsidR="006C2C88">
        <w:rPr>
          <w:rFonts w:cs="Arial"/>
        </w:rPr>
        <w:t xml:space="preserve">While it does not currently seem to be an issue, </w:t>
      </w:r>
      <w:r w:rsidR="009C7324">
        <w:rPr>
          <w:rFonts w:cs="Arial"/>
        </w:rPr>
        <w:t xml:space="preserve">EU venues may wish to offer trading in </w:t>
      </w:r>
      <w:r w:rsidR="006C2C88">
        <w:rPr>
          <w:rFonts w:cs="Arial"/>
        </w:rPr>
        <w:t>depository receipts</w:t>
      </w:r>
      <w:r w:rsidR="009C7324">
        <w:rPr>
          <w:rFonts w:cs="Arial"/>
        </w:rPr>
        <w:t xml:space="preserve"> that are most liquid on</w:t>
      </w:r>
      <w:r w:rsidR="00AC2F54">
        <w:rPr>
          <w:rFonts w:cs="Arial"/>
        </w:rPr>
        <w:t xml:space="preserve"> third country exchanges</w:t>
      </w:r>
      <w:r w:rsidR="009C7324">
        <w:rPr>
          <w:rFonts w:cs="Arial"/>
        </w:rPr>
        <w:t xml:space="preserve"> </w:t>
      </w:r>
      <w:r w:rsidR="006C2C88">
        <w:rPr>
          <w:rFonts w:cs="Arial"/>
        </w:rPr>
        <w:t xml:space="preserve">e.g. </w:t>
      </w:r>
      <w:r w:rsidR="009C7324">
        <w:rPr>
          <w:rFonts w:cs="Arial"/>
        </w:rPr>
        <w:t>US exchanges</w:t>
      </w:r>
      <w:r w:rsidR="006C2C88">
        <w:rPr>
          <w:rFonts w:cs="Arial"/>
        </w:rPr>
        <w:t xml:space="preserve">.  Furthermore, the UK, which </w:t>
      </w:r>
      <w:r w:rsidR="002D2955" w:rsidRPr="00913832">
        <w:rPr>
          <w:rFonts w:cs="Arial"/>
        </w:rPr>
        <w:t xml:space="preserve">is </w:t>
      </w:r>
      <w:r w:rsidR="006C2C88">
        <w:rPr>
          <w:rFonts w:cs="Arial"/>
        </w:rPr>
        <w:t>the most liquid market for depository receipt</w:t>
      </w:r>
      <w:r w:rsidR="00AC2F54">
        <w:rPr>
          <w:rFonts w:cs="Arial"/>
        </w:rPr>
        <w:t>s</w:t>
      </w:r>
      <w:r w:rsidR="006C2C88">
        <w:rPr>
          <w:rFonts w:cs="Arial"/>
        </w:rPr>
        <w:t xml:space="preserve"> in Europe is soon to become a third country and those venues in the EU that do trade DRs may still wish to align.</w:t>
      </w:r>
    </w:p>
    <w:permEnd w:id="757996229"/>
    <w:p w:rsidR="00171CBD" w:rsidRDefault="00171CBD" w:rsidP="00171CBD">
      <w:pPr>
        <w:rPr>
          <w:rFonts w:cs="Arial"/>
        </w:rPr>
      </w:pPr>
      <w:r>
        <w:rPr>
          <w:rFonts w:cs="Arial"/>
        </w:rPr>
        <w:t>&lt;ESMA_QUESTION_ACDR_2&gt;</w:t>
      </w:r>
    </w:p>
    <w:p w:rsidR="00171CBD" w:rsidRDefault="00171CBD" w:rsidP="00171CBD">
      <w:pPr>
        <w:rPr>
          <w:rFonts w:cs="Arial"/>
        </w:rPr>
      </w:pPr>
    </w:p>
    <w:p w:rsidR="00171CBD" w:rsidRDefault="00171CBD" w:rsidP="00171CBD">
      <w:pPr>
        <w:pStyle w:val="Questionstyle"/>
        <w:numPr>
          <w:ilvl w:val="0"/>
          <w:numId w:val="47"/>
        </w:numPr>
      </w:pPr>
      <w:r w:rsidRPr="006E7059">
        <w:t>: Do you agree with ESMA’s assessment that the first months of application of the new tick size regime have not fundamentally called into question the calibration of this regime? If not, please provide evidence of any detrimental effects that you consider the current regime is causing.</w:t>
      </w:r>
    </w:p>
    <w:p w:rsidR="00171CBD" w:rsidRDefault="00171CBD" w:rsidP="00171CBD">
      <w:pPr>
        <w:rPr>
          <w:rFonts w:cs="Arial"/>
        </w:rPr>
      </w:pPr>
      <w:r>
        <w:rPr>
          <w:rFonts w:cs="Arial"/>
        </w:rPr>
        <w:t>&lt;ESMA_QUESTION_ACDR_3&gt;</w:t>
      </w:r>
    </w:p>
    <w:p w:rsidR="002D1523" w:rsidRDefault="006C2C88" w:rsidP="002D1523">
      <w:permStart w:id="824802446" w:edGrp="everyone"/>
      <w:r>
        <w:t>The first few months of operation have not fundamentally called into question the calibration of the regime. However, i</w:t>
      </w:r>
      <w:r w:rsidRPr="006C2C88">
        <w:t xml:space="preserve">t is essential that institutional and retail investors seeking execution of orders can do so at the mid-point of the Bid-Ask spread.  The mid-point is understood and accepted globally as a fair execution price, and European markets would be materially harmed (and out of step with global markets) should </w:t>
      </w:r>
      <w:r>
        <w:t>the ability to execute at the m</w:t>
      </w:r>
      <w:r w:rsidRPr="006C2C88">
        <w:t>id-point be constrained.</w:t>
      </w:r>
    </w:p>
    <w:p w:rsidR="006C2C88" w:rsidRDefault="006C2C88" w:rsidP="002D1523"/>
    <w:p w:rsidR="002D1523" w:rsidRDefault="00035750" w:rsidP="00035750">
      <w:r>
        <w:lastRenderedPageBreak/>
        <w:t>Application of the tick size regime should therefore be understood as permitting the execution of mid-point orders at a half tick where the bid and ask being pegged to are an odd number of tick increments apart. Rounding these executions to a whole tick will</w:t>
      </w:r>
      <w:r w:rsidR="00E9067A">
        <w:t xml:space="preserve"> force the venue into favouring</w:t>
      </w:r>
      <w:r w:rsidRPr="002D2955">
        <w:rPr>
          <w:color w:val="FF0000"/>
        </w:rPr>
        <w:t xml:space="preserve"> </w:t>
      </w:r>
      <w:r>
        <w:t>one set of investors and disadvantaging another, resulting in detrimental execution outcomes for end investors</w:t>
      </w:r>
      <w:r w:rsidR="00CE22E4">
        <w:t>.</w:t>
      </w:r>
    </w:p>
    <w:p w:rsidR="00CE22E4" w:rsidRDefault="00CE22E4" w:rsidP="002D1523"/>
    <w:p w:rsidR="002D1523" w:rsidRDefault="00035750" w:rsidP="002D1523">
      <w:r>
        <w:t>We believe that this point could be clarified in an updated ESMA Market Structure Q&amp;A as follows:</w:t>
      </w:r>
    </w:p>
    <w:p w:rsidR="00035750" w:rsidRDefault="00035750" w:rsidP="002D1523"/>
    <w:p w:rsidR="00035750" w:rsidRPr="00035750" w:rsidRDefault="00035750" w:rsidP="00035750">
      <w:pPr>
        <w:jc w:val="both"/>
        <w:rPr>
          <w:i/>
          <w:color w:val="000000" w:themeColor="text1"/>
        </w:rPr>
      </w:pPr>
      <w:r w:rsidRPr="00035750">
        <w:rPr>
          <w:b/>
          <w:i/>
          <w:color w:val="000000" w:themeColor="text1"/>
        </w:rPr>
        <w:t>Question 11</w:t>
      </w:r>
    </w:p>
    <w:p w:rsidR="00035750" w:rsidRPr="00035750" w:rsidRDefault="00035750" w:rsidP="00035750">
      <w:pPr>
        <w:jc w:val="both"/>
        <w:rPr>
          <w:i/>
          <w:color w:val="000000" w:themeColor="text1"/>
        </w:rPr>
      </w:pPr>
    </w:p>
    <w:p w:rsidR="00035750" w:rsidRPr="00035750" w:rsidRDefault="00035750" w:rsidP="00035750">
      <w:pPr>
        <w:jc w:val="both"/>
        <w:rPr>
          <w:b/>
          <w:i/>
          <w:color w:val="000000" w:themeColor="text1"/>
        </w:rPr>
      </w:pPr>
      <w:r w:rsidRPr="00035750">
        <w:rPr>
          <w:b/>
          <w:i/>
          <w:color w:val="000000" w:themeColor="text1"/>
        </w:rPr>
        <w:t>How should venues apply the tick size regime to mid-point peg orders where the mid-point referred to is at a half-tick?</w:t>
      </w:r>
    </w:p>
    <w:p w:rsidR="00035750" w:rsidRPr="00035750" w:rsidRDefault="00035750" w:rsidP="00035750">
      <w:pPr>
        <w:jc w:val="both"/>
        <w:rPr>
          <w:b/>
          <w:i/>
          <w:color w:val="000000" w:themeColor="text1"/>
        </w:rPr>
      </w:pPr>
    </w:p>
    <w:p w:rsidR="00035750" w:rsidRPr="00035750" w:rsidRDefault="00035750" w:rsidP="00035750">
      <w:pPr>
        <w:jc w:val="both"/>
        <w:rPr>
          <w:b/>
          <w:i/>
          <w:color w:val="000000" w:themeColor="text1"/>
        </w:rPr>
      </w:pPr>
      <w:r w:rsidRPr="00035750">
        <w:rPr>
          <w:b/>
          <w:i/>
          <w:color w:val="000000" w:themeColor="text1"/>
        </w:rPr>
        <w:t>Answer 11</w:t>
      </w:r>
    </w:p>
    <w:p w:rsidR="00035750" w:rsidRPr="00E9067A" w:rsidRDefault="00035750" w:rsidP="00035750">
      <w:pPr>
        <w:rPr>
          <w:b/>
          <w:i/>
          <w:color w:val="000000" w:themeColor="text1"/>
        </w:rPr>
      </w:pPr>
      <w:r w:rsidRPr="00035750">
        <w:rPr>
          <w:b/>
          <w:i/>
          <w:color w:val="000000" w:themeColor="text1"/>
        </w:rPr>
        <w:t>Requiring venues to round mid-point orders up or down to the nearest tick would disadvantage either the buyer or the seller.  Accordingly, mid-point peg orders should be permitted to rest and trade at a half tick where that reflects the mid-point of the BBO being used</w:t>
      </w:r>
      <w:r w:rsidRPr="00E9067A">
        <w:rPr>
          <w:b/>
          <w:i/>
          <w:color w:val="000000" w:themeColor="text1"/>
        </w:rPr>
        <w:t>.</w:t>
      </w:r>
    </w:p>
    <w:permEnd w:id="824802446"/>
    <w:p w:rsidR="00171CBD" w:rsidRDefault="00171CBD" w:rsidP="00171CBD">
      <w:pPr>
        <w:rPr>
          <w:rFonts w:cs="Arial"/>
        </w:rPr>
      </w:pPr>
      <w:r>
        <w:rPr>
          <w:rFonts w:cs="Arial"/>
        </w:rPr>
        <w:t>&lt;ESMA_QUESTION_ACDR_3&gt;</w:t>
      </w:r>
    </w:p>
    <w:p w:rsidR="00171CBD" w:rsidRDefault="00171CBD" w:rsidP="00171CBD">
      <w:pPr>
        <w:rPr>
          <w:rFonts w:cs="Arial"/>
        </w:rPr>
      </w:pPr>
    </w:p>
    <w:p w:rsidR="00171CBD" w:rsidRDefault="00171CBD" w:rsidP="00171CBD">
      <w:pPr>
        <w:pStyle w:val="Questionstyle"/>
        <w:numPr>
          <w:ilvl w:val="0"/>
          <w:numId w:val="47"/>
        </w:numPr>
      </w:pPr>
      <w:r w:rsidRPr="006E7059">
        <w:t>: Do you consider that ESMA should introduce some clarifications regarding ETFs</w:t>
      </w:r>
      <w:r>
        <w:t xml:space="preserve"> within the scope of the mandatory tick size regime</w:t>
      </w:r>
      <w:r w:rsidRPr="006E7059">
        <w:t>? If yes, please explain which ones.</w:t>
      </w:r>
    </w:p>
    <w:p w:rsidR="00171CBD" w:rsidRDefault="00171CBD" w:rsidP="00171CBD">
      <w:pPr>
        <w:rPr>
          <w:rFonts w:cs="Arial"/>
        </w:rPr>
      </w:pPr>
      <w:r>
        <w:rPr>
          <w:rFonts w:cs="Arial"/>
        </w:rPr>
        <w:t>&lt;ESMA_QUESTION_ACDR_4&gt;</w:t>
      </w:r>
    </w:p>
    <w:p w:rsidR="001A3CCC" w:rsidRDefault="00F5266D" w:rsidP="001A3CCC">
      <w:permStart w:id="879238707" w:edGrp="everyone"/>
      <w:r>
        <w:t xml:space="preserve">We believe that ETFs should all be assigned to a single </w:t>
      </w:r>
      <w:r w:rsidR="00035750">
        <w:t>liquidity</w:t>
      </w:r>
      <w:r>
        <w:t xml:space="preserve"> band to avoid confusion</w:t>
      </w:r>
      <w:r w:rsidR="001A3CCC">
        <w:t>.</w:t>
      </w:r>
      <w:r w:rsidR="00035750">
        <w:t xml:space="preserve"> It is currently extremely difficult to determine which ETFs are subject to the regime.</w:t>
      </w:r>
    </w:p>
    <w:permEnd w:id="879238707"/>
    <w:p w:rsidR="00171CBD" w:rsidRDefault="00171CBD" w:rsidP="00171CBD">
      <w:pPr>
        <w:rPr>
          <w:rFonts w:cs="Arial"/>
        </w:rPr>
      </w:pPr>
      <w:r>
        <w:rPr>
          <w:rFonts w:cs="Arial"/>
        </w:rPr>
        <w:t>&lt;ESMA_QUESTION_ACDR_4&gt;</w:t>
      </w:r>
    </w:p>
    <w:p w:rsidR="00171CBD" w:rsidRDefault="00171CBD" w:rsidP="00171CBD">
      <w:pPr>
        <w:rPr>
          <w:rFonts w:cs="Arial"/>
        </w:rPr>
      </w:pPr>
    </w:p>
    <w:p w:rsidR="00171CBD" w:rsidRDefault="00171CBD" w:rsidP="00171CBD">
      <w:pPr>
        <w:pStyle w:val="Questionstyle"/>
        <w:numPr>
          <w:ilvl w:val="0"/>
          <w:numId w:val="47"/>
        </w:numPr>
      </w:pPr>
      <w:r w:rsidRPr="006B7A5D">
        <w:t>CBA: This first question aims at identifying the categor</w:t>
      </w:r>
      <w:r>
        <w:t>y of firm/entity you belong to:</w:t>
      </w:r>
    </w:p>
    <w:p w:rsidR="00171CBD" w:rsidRDefault="00171CBD" w:rsidP="00171CBD">
      <w:pPr>
        <w:rPr>
          <w:rFonts w:cs="Arial"/>
        </w:rPr>
      </w:pPr>
      <w:r>
        <w:rPr>
          <w:rFonts w:cs="Arial"/>
        </w:rPr>
        <w:t>&lt;ESMA_QUESTION_ACDR_5&gt;</w:t>
      </w:r>
    </w:p>
    <w:tbl>
      <w:tblPr>
        <w:tblStyle w:val="TableGrid"/>
        <w:tblW w:w="0" w:type="auto"/>
        <w:tblLook w:val="04A0" w:firstRow="1" w:lastRow="0" w:firstColumn="1" w:lastColumn="0" w:noHBand="0" w:noVBand="1"/>
      </w:tblPr>
      <w:tblGrid>
        <w:gridCol w:w="2254"/>
        <w:gridCol w:w="2254"/>
        <w:gridCol w:w="3000"/>
      </w:tblGrid>
      <w:tr w:rsidR="00171CBD" w:rsidTr="00B45B83">
        <w:tc>
          <w:tcPr>
            <w:tcW w:w="2254" w:type="dxa"/>
          </w:tcPr>
          <w:p w:rsidR="00171CBD" w:rsidRDefault="00171CBD" w:rsidP="00B45B83">
            <w:pPr>
              <w:rPr>
                <w:b/>
              </w:rPr>
            </w:pPr>
            <w:r>
              <w:rPr>
                <w:b/>
              </w:rPr>
              <w:t xml:space="preserve">Category </w:t>
            </w:r>
          </w:p>
        </w:tc>
        <w:tc>
          <w:tcPr>
            <w:tcW w:w="2254" w:type="dxa"/>
          </w:tcPr>
          <w:p w:rsidR="00171CBD" w:rsidRDefault="00171CBD" w:rsidP="00B45B83">
            <w:pPr>
              <w:rPr>
                <w:b/>
              </w:rPr>
            </w:pPr>
            <w:r>
              <w:rPr>
                <w:b/>
              </w:rPr>
              <w:t xml:space="preserve">Number of employees </w:t>
            </w:r>
          </w:p>
        </w:tc>
        <w:tc>
          <w:tcPr>
            <w:tcW w:w="3000" w:type="dxa"/>
          </w:tcPr>
          <w:p w:rsidR="00171CBD" w:rsidRDefault="00171CBD" w:rsidP="00B45B83">
            <w:pPr>
              <w:spacing w:before="240"/>
              <w:rPr>
                <w:b/>
              </w:rPr>
            </w:pPr>
            <w:r>
              <w:rPr>
                <w:b/>
              </w:rPr>
              <w:t>Total turnover in 2017 (in millions euros</w:t>
            </w:r>
          </w:p>
        </w:tc>
      </w:tr>
      <w:tr w:rsidR="00171CBD" w:rsidTr="00B45B83">
        <w:tc>
          <w:tcPr>
            <w:tcW w:w="2254" w:type="dxa"/>
            <w:vMerge w:val="restart"/>
          </w:tcPr>
          <w:p w:rsidR="00171CBD" w:rsidRDefault="00171CBD" w:rsidP="00B45B83">
            <w:pPr>
              <w:rPr>
                <w:b/>
              </w:rPr>
            </w:pPr>
            <w:r>
              <w:rPr>
                <w:b/>
              </w:rPr>
              <w:t>Trading venue</w:t>
            </w:r>
          </w:p>
        </w:tc>
        <w:tc>
          <w:tcPr>
            <w:tcW w:w="2254" w:type="dxa"/>
          </w:tcPr>
          <w:p w:rsidR="00171CBD" w:rsidRPr="00FF17F8" w:rsidRDefault="00171CBD" w:rsidP="00B45B83">
            <w:r w:rsidRPr="00FF17F8">
              <w:t>[1-50]</w:t>
            </w:r>
          </w:p>
        </w:tc>
        <w:tc>
          <w:tcPr>
            <w:tcW w:w="3000" w:type="dxa"/>
          </w:tcPr>
          <w:p w:rsidR="00171CBD" w:rsidRPr="00C87535" w:rsidRDefault="00171CBD" w:rsidP="00B45B83">
            <w:pPr>
              <w:rPr>
                <w:b/>
              </w:rPr>
            </w:pPr>
            <w:permStart w:id="783890996" w:edGrp="everyone"/>
            <w:permEnd w:id="783890996"/>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[51-250]</w:t>
            </w:r>
          </w:p>
        </w:tc>
        <w:tc>
          <w:tcPr>
            <w:tcW w:w="3000" w:type="dxa"/>
          </w:tcPr>
          <w:p w:rsidR="00171CBD" w:rsidRPr="00874222" w:rsidRDefault="008B1A2C" w:rsidP="00B45B83">
            <w:pPr>
              <w:rPr>
                <w:rFonts w:cs="Arial"/>
              </w:rPr>
            </w:pPr>
            <w:permStart w:id="1003172498" w:edGrp="everyone"/>
            <w:r>
              <w:rPr>
                <w:rFonts w:cs="Arial"/>
              </w:rPr>
              <w:t>92,400,000</w:t>
            </w:r>
            <w:permEnd w:id="1003172498"/>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[251-1000]</w:t>
            </w:r>
          </w:p>
        </w:tc>
        <w:tc>
          <w:tcPr>
            <w:tcW w:w="3000" w:type="dxa"/>
          </w:tcPr>
          <w:p w:rsidR="00171CBD" w:rsidRPr="00874222" w:rsidRDefault="00171CBD" w:rsidP="00B45B83">
            <w:pPr>
              <w:rPr>
                <w:rFonts w:cs="Arial"/>
              </w:rPr>
            </w:pPr>
            <w:permStart w:id="1434389856" w:edGrp="everyone"/>
            <w:permEnd w:id="1434389856"/>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&gt;1000</w:t>
            </w:r>
          </w:p>
        </w:tc>
        <w:tc>
          <w:tcPr>
            <w:tcW w:w="3000" w:type="dxa"/>
          </w:tcPr>
          <w:p w:rsidR="00171CBD" w:rsidRPr="00C87535" w:rsidRDefault="00171CBD" w:rsidP="00B45B83">
            <w:pPr>
              <w:rPr>
                <w:b/>
              </w:rPr>
            </w:pPr>
            <w:permStart w:id="893529989" w:edGrp="everyone"/>
            <w:permEnd w:id="893529989"/>
          </w:p>
        </w:tc>
      </w:tr>
      <w:tr w:rsidR="00171CBD" w:rsidTr="00B45B83">
        <w:tc>
          <w:tcPr>
            <w:tcW w:w="2254" w:type="dxa"/>
            <w:vMerge w:val="restart"/>
          </w:tcPr>
          <w:p w:rsidR="00171CBD" w:rsidRDefault="00171CBD" w:rsidP="00B45B83">
            <w:pPr>
              <w:rPr>
                <w:b/>
              </w:rPr>
            </w:pPr>
            <w:r>
              <w:rPr>
                <w:b/>
              </w:rPr>
              <w:t xml:space="preserve">Sell-side firm </w:t>
            </w:r>
          </w:p>
        </w:tc>
        <w:tc>
          <w:tcPr>
            <w:tcW w:w="2254" w:type="dxa"/>
          </w:tcPr>
          <w:p w:rsidR="00171CBD" w:rsidRPr="00FF17F8" w:rsidRDefault="00171CBD" w:rsidP="00B45B83">
            <w:r w:rsidRPr="00FF17F8">
              <w:t>[1-50]</w:t>
            </w:r>
          </w:p>
        </w:tc>
        <w:tc>
          <w:tcPr>
            <w:tcW w:w="3000" w:type="dxa"/>
          </w:tcPr>
          <w:p w:rsidR="00171CBD" w:rsidRPr="00FF17F8" w:rsidRDefault="00171CBD" w:rsidP="00B45B83">
            <w:permStart w:id="1078222291" w:edGrp="everyone"/>
            <w:permEnd w:id="1078222291"/>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[51-250]</w:t>
            </w:r>
          </w:p>
        </w:tc>
        <w:tc>
          <w:tcPr>
            <w:tcW w:w="3000" w:type="dxa"/>
          </w:tcPr>
          <w:p w:rsidR="00171CBD" w:rsidRPr="00FF17F8" w:rsidRDefault="00171CBD" w:rsidP="00B45B83">
            <w:permStart w:id="1987855207" w:edGrp="everyone"/>
            <w:permEnd w:id="1987855207"/>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[251-1000]</w:t>
            </w:r>
          </w:p>
        </w:tc>
        <w:tc>
          <w:tcPr>
            <w:tcW w:w="3000" w:type="dxa"/>
          </w:tcPr>
          <w:p w:rsidR="00171CBD" w:rsidRPr="00FF17F8" w:rsidRDefault="00171CBD" w:rsidP="00B45B83">
            <w:permStart w:id="80036694" w:edGrp="everyone"/>
            <w:permEnd w:id="80036694"/>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&gt;1000</w:t>
            </w:r>
          </w:p>
        </w:tc>
        <w:tc>
          <w:tcPr>
            <w:tcW w:w="3000" w:type="dxa"/>
          </w:tcPr>
          <w:p w:rsidR="00171CBD" w:rsidRPr="00FF17F8" w:rsidRDefault="00171CBD" w:rsidP="00B45B83">
            <w:permStart w:id="1179465379" w:edGrp="everyone"/>
            <w:permEnd w:id="1179465379"/>
          </w:p>
        </w:tc>
      </w:tr>
      <w:tr w:rsidR="00171CBD" w:rsidTr="00B45B83">
        <w:tc>
          <w:tcPr>
            <w:tcW w:w="2254" w:type="dxa"/>
          </w:tcPr>
          <w:p w:rsidR="00171CBD" w:rsidRDefault="00171CBD" w:rsidP="00B45B83">
            <w:pPr>
              <w:rPr>
                <w:b/>
              </w:rPr>
            </w:pPr>
          </w:p>
        </w:tc>
        <w:tc>
          <w:tcPr>
            <w:tcW w:w="2254" w:type="dxa"/>
          </w:tcPr>
          <w:p w:rsidR="00171CBD" w:rsidRPr="00FF17F8" w:rsidRDefault="00171CBD" w:rsidP="00B45B83"/>
        </w:tc>
        <w:tc>
          <w:tcPr>
            <w:tcW w:w="3000" w:type="dxa"/>
          </w:tcPr>
          <w:p w:rsidR="00171CBD" w:rsidRPr="00DD03CA" w:rsidRDefault="00171CBD" w:rsidP="00B45B83">
            <w:pPr>
              <w:spacing w:before="240"/>
              <w:rPr>
                <w:b/>
              </w:rPr>
            </w:pPr>
            <w:r w:rsidRPr="00DD03CA">
              <w:rPr>
                <w:b/>
              </w:rPr>
              <w:t>Asset</w:t>
            </w:r>
            <w:r>
              <w:rPr>
                <w:b/>
              </w:rPr>
              <w:t>s</w:t>
            </w:r>
            <w:r w:rsidRPr="00DD03CA">
              <w:rPr>
                <w:b/>
              </w:rPr>
              <w:t xml:space="preserve"> under management </w:t>
            </w:r>
            <w:r>
              <w:rPr>
                <w:b/>
              </w:rPr>
              <w:t xml:space="preserve">on </w:t>
            </w:r>
            <w:r w:rsidRPr="00DD03CA">
              <w:rPr>
                <w:b/>
              </w:rPr>
              <w:t>31/12/2017</w:t>
            </w:r>
            <w:r>
              <w:rPr>
                <w:b/>
              </w:rPr>
              <w:t xml:space="preserve"> (in millions euros)</w:t>
            </w:r>
          </w:p>
        </w:tc>
      </w:tr>
      <w:tr w:rsidR="00171CBD" w:rsidTr="00B45B83">
        <w:tc>
          <w:tcPr>
            <w:tcW w:w="2254" w:type="dxa"/>
            <w:vMerge w:val="restart"/>
          </w:tcPr>
          <w:p w:rsidR="00171CBD" w:rsidRDefault="00171CBD" w:rsidP="00B45B83">
            <w:pPr>
              <w:rPr>
                <w:b/>
              </w:rPr>
            </w:pPr>
            <w:r>
              <w:rPr>
                <w:b/>
              </w:rPr>
              <w:t>Buy-side firm</w:t>
            </w:r>
          </w:p>
        </w:tc>
        <w:tc>
          <w:tcPr>
            <w:tcW w:w="2254" w:type="dxa"/>
          </w:tcPr>
          <w:p w:rsidR="00171CBD" w:rsidRPr="00FF17F8" w:rsidRDefault="00171CBD" w:rsidP="00B45B83">
            <w:r w:rsidRPr="00FF17F8">
              <w:t>[1-50]</w:t>
            </w:r>
          </w:p>
        </w:tc>
        <w:tc>
          <w:tcPr>
            <w:tcW w:w="3000" w:type="dxa"/>
          </w:tcPr>
          <w:p w:rsidR="00171CBD" w:rsidRPr="00FF17F8" w:rsidRDefault="00171CBD" w:rsidP="00B45B83">
            <w:permStart w:id="1277372970" w:edGrp="everyone"/>
            <w:permEnd w:id="1277372970"/>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[51-250]</w:t>
            </w:r>
          </w:p>
        </w:tc>
        <w:tc>
          <w:tcPr>
            <w:tcW w:w="3000" w:type="dxa"/>
          </w:tcPr>
          <w:p w:rsidR="00171CBD" w:rsidRPr="00FF17F8" w:rsidRDefault="00171CBD" w:rsidP="00B45B83">
            <w:permStart w:id="1068900141" w:edGrp="everyone"/>
            <w:permEnd w:id="1068900141"/>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[251-1000]</w:t>
            </w:r>
          </w:p>
        </w:tc>
        <w:tc>
          <w:tcPr>
            <w:tcW w:w="3000" w:type="dxa"/>
          </w:tcPr>
          <w:p w:rsidR="00171CBD" w:rsidRPr="00FF17F8" w:rsidRDefault="00171CBD" w:rsidP="00B45B83">
            <w:permStart w:id="1368226002" w:edGrp="everyone"/>
            <w:permEnd w:id="1368226002"/>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&gt;1000</w:t>
            </w:r>
          </w:p>
        </w:tc>
        <w:tc>
          <w:tcPr>
            <w:tcW w:w="3000" w:type="dxa"/>
          </w:tcPr>
          <w:p w:rsidR="00171CBD" w:rsidRPr="00FF17F8" w:rsidRDefault="00171CBD" w:rsidP="00B45B83">
            <w:permStart w:id="1389192650" w:edGrp="everyone"/>
            <w:permEnd w:id="1389192650"/>
          </w:p>
        </w:tc>
      </w:tr>
      <w:tr w:rsidR="00171CBD" w:rsidTr="00B45B83">
        <w:tc>
          <w:tcPr>
            <w:tcW w:w="2254" w:type="dxa"/>
            <w:vMerge w:val="restart"/>
          </w:tcPr>
          <w:p w:rsidR="00171CBD" w:rsidRDefault="00171CBD" w:rsidP="00B45B83">
            <w:pPr>
              <w:rPr>
                <w:b/>
              </w:rPr>
            </w:pPr>
            <w:r>
              <w:rPr>
                <w:b/>
              </w:rPr>
              <w:t xml:space="preserve">Other (please specify) </w:t>
            </w:r>
          </w:p>
        </w:tc>
        <w:tc>
          <w:tcPr>
            <w:tcW w:w="2254" w:type="dxa"/>
          </w:tcPr>
          <w:p w:rsidR="00171CBD" w:rsidRPr="00FF17F8" w:rsidRDefault="00171CBD" w:rsidP="00B45B83">
            <w:r w:rsidRPr="00FF17F8">
              <w:t>[1-50]</w:t>
            </w:r>
          </w:p>
        </w:tc>
        <w:tc>
          <w:tcPr>
            <w:tcW w:w="3000" w:type="dxa"/>
          </w:tcPr>
          <w:p w:rsidR="00171CBD" w:rsidRPr="00FF17F8" w:rsidRDefault="00171CBD" w:rsidP="00B45B83">
            <w:permStart w:id="1064982802" w:edGrp="everyone"/>
            <w:permEnd w:id="1064982802"/>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[51-250]</w:t>
            </w:r>
          </w:p>
        </w:tc>
        <w:tc>
          <w:tcPr>
            <w:tcW w:w="3000" w:type="dxa"/>
          </w:tcPr>
          <w:p w:rsidR="00171CBD" w:rsidRPr="00FF17F8" w:rsidRDefault="00171CBD" w:rsidP="00B45B83">
            <w:permStart w:id="34040925" w:edGrp="everyone"/>
            <w:permEnd w:id="34040925"/>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[251-1000]</w:t>
            </w:r>
          </w:p>
        </w:tc>
        <w:tc>
          <w:tcPr>
            <w:tcW w:w="3000" w:type="dxa"/>
          </w:tcPr>
          <w:p w:rsidR="00171CBD" w:rsidRPr="00FF17F8" w:rsidRDefault="00171CBD" w:rsidP="00B45B83">
            <w:permStart w:id="999190957" w:edGrp="everyone"/>
            <w:permEnd w:id="999190957"/>
          </w:p>
        </w:tc>
      </w:tr>
      <w:tr w:rsidR="00171CBD" w:rsidTr="00B45B83">
        <w:tc>
          <w:tcPr>
            <w:tcW w:w="2254" w:type="dxa"/>
            <w:vMerge/>
          </w:tcPr>
          <w:p w:rsidR="00171CBD" w:rsidRDefault="00171CBD" w:rsidP="00B45B83">
            <w:pPr>
              <w:rPr>
                <w:b/>
              </w:rPr>
            </w:pPr>
          </w:p>
        </w:tc>
        <w:tc>
          <w:tcPr>
            <w:tcW w:w="2254" w:type="dxa"/>
          </w:tcPr>
          <w:p w:rsidR="00171CBD" w:rsidRPr="00FF17F8" w:rsidRDefault="00171CBD" w:rsidP="00B45B83">
            <w:r w:rsidRPr="00FF17F8">
              <w:t>&gt;1000</w:t>
            </w:r>
          </w:p>
        </w:tc>
        <w:tc>
          <w:tcPr>
            <w:tcW w:w="3000" w:type="dxa"/>
          </w:tcPr>
          <w:p w:rsidR="00171CBD" w:rsidRPr="00FF17F8" w:rsidRDefault="00171CBD" w:rsidP="00B45B83">
            <w:permStart w:id="1521448476" w:edGrp="everyone"/>
            <w:permEnd w:id="1521448476"/>
          </w:p>
        </w:tc>
      </w:tr>
    </w:tbl>
    <w:p w:rsidR="00171CBD" w:rsidRDefault="00171CBD" w:rsidP="00171CBD">
      <w:pPr>
        <w:rPr>
          <w:rFonts w:cs="Arial"/>
        </w:rPr>
      </w:pPr>
    </w:p>
    <w:p w:rsidR="00171CBD" w:rsidRDefault="00171CBD" w:rsidP="00171CBD">
      <w:pPr>
        <w:rPr>
          <w:rFonts w:cs="Arial"/>
        </w:rPr>
      </w:pPr>
      <w:r>
        <w:rPr>
          <w:rFonts w:cs="Arial"/>
        </w:rPr>
        <w:t>&lt;ESMA_QUESTION_ACDR_5&gt;</w:t>
      </w:r>
    </w:p>
    <w:p w:rsidR="00171CBD" w:rsidRDefault="00171CBD" w:rsidP="00171CBD">
      <w:pPr>
        <w:rPr>
          <w:rFonts w:cs="Arial"/>
        </w:rPr>
      </w:pPr>
    </w:p>
    <w:p w:rsidR="00171CBD" w:rsidRPr="006245F6" w:rsidRDefault="00171CBD" w:rsidP="00171CBD">
      <w:pPr>
        <w:pStyle w:val="Questionstyle"/>
        <w:numPr>
          <w:ilvl w:val="0"/>
          <w:numId w:val="47"/>
        </w:numPr>
      </w:pPr>
      <w:r w:rsidRPr="006B7A5D">
        <w:t>CBA: (</w:t>
      </w:r>
      <w:r w:rsidRPr="006245F6">
        <w:t>Not for trading venues</w:t>
      </w:r>
      <w:r w:rsidRPr="006B7A5D">
        <w:t xml:space="preserve">) Based on the definition of third country shares provided in the draft RTS, how often do you trade any </w:t>
      </w:r>
      <w:r>
        <w:t xml:space="preserve">of </w:t>
      </w:r>
      <w:r w:rsidRPr="006B7A5D">
        <w:t>those instruments on an EU trading venues (on average):</w:t>
      </w:r>
    </w:p>
    <w:p w:rsidR="00171CBD" w:rsidRDefault="00171CBD" w:rsidP="00171CBD">
      <w:pPr>
        <w:rPr>
          <w:rFonts w:cs="Arial"/>
        </w:rPr>
      </w:pPr>
      <w:r>
        <w:rPr>
          <w:rFonts w:cs="Arial"/>
        </w:rPr>
        <w:t>&lt;ESMA_QUESTION_ACDR_6&gt;</w:t>
      </w:r>
    </w:p>
    <w:permStart w:id="470692140" w:edGrp="everyone"/>
    <w:p w:rsidR="00171CBD" w:rsidRPr="003C36D4" w:rsidRDefault="00FD5FBB" w:rsidP="00171CBD">
      <w:pPr>
        <w:rPr>
          <w:rFonts w:eastAsiaTheme="minorEastAsia" w:cs="Arial"/>
          <w:szCs w:val="20"/>
          <w:lang w:val="nl-BE"/>
        </w:rPr>
      </w:pPr>
      <w:sdt>
        <w:sdtPr>
          <w:rPr>
            <w:rFonts w:eastAsiaTheme="minorEastAsia" w:cs="Arial"/>
            <w:szCs w:val="20"/>
            <w:lang w:val="nl-BE"/>
          </w:rPr>
          <w:alias w:val="How often"/>
          <w:tag w:val="How often"/>
          <w:id w:val="1935851575"/>
          <w:comboBox>
            <w:listItem w:displayText="Choose an item." w:value="Choose an item."/>
            <w:listItem w:displayText="Never" w:value="Never"/>
            <w:listItem w:displayText="On a daily basis" w:value="On a daily basis"/>
            <w:listItem w:displayText="On a weekly basis" w:value="On a weekly basis"/>
            <w:listItem w:displayText="On a monthly basis" w:value="On a monthly basis"/>
            <w:listItem w:displayText="Less than on a monthly basis" w:value="Less than on a monthly basis"/>
          </w:comboBox>
        </w:sdtPr>
        <w:sdtEndPr/>
        <w:sdtContent>
          <w:r w:rsidR="00171CBD">
            <w:rPr>
              <w:rFonts w:eastAsiaTheme="minorEastAsia" w:cs="Arial"/>
              <w:szCs w:val="20"/>
              <w:lang w:val="nl-BE"/>
            </w:rPr>
            <w:t>Choose an item.</w:t>
          </w:r>
        </w:sdtContent>
      </w:sdt>
    </w:p>
    <w:permEnd w:id="470692140"/>
    <w:p w:rsidR="00171CBD" w:rsidRDefault="00171CBD" w:rsidP="00171CBD">
      <w:pPr>
        <w:rPr>
          <w:rFonts w:cs="Arial"/>
        </w:rPr>
      </w:pPr>
      <w:r>
        <w:rPr>
          <w:rFonts w:cs="Arial"/>
        </w:rPr>
        <w:t xml:space="preserve"> &lt;ESMA_QUESTION_ACDR_6&gt;</w:t>
      </w:r>
    </w:p>
    <w:p w:rsidR="00171CBD" w:rsidRDefault="00171CBD" w:rsidP="00171CBD">
      <w:pPr>
        <w:rPr>
          <w:rFonts w:cs="Arial"/>
        </w:rPr>
      </w:pPr>
    </w:p>
    <w:p w:rsidR="00171CBD" w:rsidRPr="006245F6" w:rsidRDefault="00171CBD" w:rsidP="00171CBD">
      <w:pPr>
        <w:pStyle w:val="Questionstyle"/>
        <w:numPr>
          <w:ilvl w:val="0"/>
          <w:numId w:val="47"/>
        </w:numPr>
      </w:pPr>
      <w:r w:rsidRPr="006B7A5D">
        <w:t>CBA: (</w:t>
      </w:r>
      <w:r w:rsidRPr="006245F6">
        <w:t>For trading venues only</w:t>
      </w:r>
      <w:r w:rsidRPr="006B7A5D">
        <w:t>) Based on the definition of third country shares provided in the draft RTS, how many shares traded on your trading venue would be eligible for a revised tick size regime? Which percentage of the total number of shares traded on your trading venue does this account for? Which percentage of total turnover does this account for?</w:t>
      </w:r>
    </w:p>
    <w:p w:rsidR="00171CBD" w:rsidRDefault="00171CBD" w:rsidP="00171CBD">
      <w:pPr>
        <w:rPr>
          <w:rFonts w:cs="Arial"/>
        </w:rPr>
      </w:pPr>
      <w:r>
        <w:rPr>
          <w:rFonts w:cs="Arial"/>
        </w:rPr>
        <w:t>&lt;ESMA_QUESTION_ACDR_7&gt;</w:t>
      </w:r>
    </w:p>
    <w:tbl>
      <w:tblPr>
        <w:tblStyle w:val="TableGrid"/>
        <w:tblW w:w="9351" w:type="dxa"/>
        <w:tblLook w:val="04A0" w:firstRow="1" w:lastRow="0" w:firstColumn="1" w:lastColumn="0" w:noHBand="0" w:noVBand="1"/>
      </w:tblPr>
      <w:tblGrid>
        <w:gridCol w:w="6658"/>
        <w:gridCol w:w="2693"/>
      </w:tblGrid>
      <w:tr w:rsidR="00171CBD" w:rsidTr="00B45B83">
        <w:tc>
          <w:tcPr>
            <w:tcW w:w="6658" w:type="dxa"/>
            <w:shd w:val="clear" w:color="auto" w:fill="auto"/>
          </w:tcPr>
          <w:p w:rsidR="00171CBD" w:rsidRPr="008E5940" w:rsidRDefault="00171CBD" w:rsidP="00B45B83">
            <w:pPr>
              <w:rPr>
                <w:b/>
              </w:rPr>
            </w:pPr>
            <w:r>
              <w:rPr>
                <w:b/>
              </w:rPr>
              <w:t>Third country shares (shares for which the most liquid venue is located outside the EU and traded at least once a week on the most liquid EU venue)</w:t>
            </w:r>
            <w:r w:rsidRPr="008E5940">
              <w:rPr>
                <w:b/>
              </w:rPr>
              <w:t xml:space="preserve"> </w:t>
            </w:r>
          </w:p>
          <w:p w:rsidR="00171CBD" w:rsidRDefault="00171CBD" w:rsidP="00B45B83"/>
        </w:tc>
        <w:tc>
          <w:tcPr>
            <w:tcW w:w="2693" w:type="dxa"/>
            <w:shd w:val="clear" w:color="auto" w:fill="auto"/>
          </w:tcPr>
          <w:p w:rsidR="00171CBD" w:rsidRPr="008E5940" w:rsidRDefault="00171CBD" w:rsidP="00B45B83">
            <w:pPr>
              <w:rPr>
                <w:b/>
              </w:rPr>
            </w:pPr>
            <w:r>
              <w:rPr>
                <w:b/>
              </w:rPr>
              <w:t>As of 30/06/2018</w:t>
            </w:r>
          </w:p>
        </w:tc>
      </w:tr>
      <w:tr w:rsidR="00171CBD" w:rsidTr="00B45B83">
        <w:tc>
          <w:tcPr>
            <w:tcW w:w="6658" w:type="dxa"/>
            <w:shd w:val="clear" w:color="auto" w:fill="auto"/>
          </w:tcPr>
          <w:p w:rsidR="00171CBD" w:rsidRDefault="00171CBD" w:rsidP="00B45B83">
            <w:r>
              <w:t xml:space="preserve">Number of third country shares traded on your trading venue </w:t>
            </w:r>
          </w:p>
          <w:p w:rsidR="00171CBD" w:rsidRDefault="00171CBD" w:rsidP="00B45B83"/>
        </w:tc>
        <w:tc>
          <w:tcPr>
            <w:tcW w:w="2693" w:type="dxa"/>
            <w:shd w:val="clear" w:color="auto" w:fill="auto"/>
          </w:tcPr>
          <w:p w:rsidR="00171CBD" w:rsidRPr="00874222" w:rsidRDefault="00EB5F3D" w:rsidP="00B45B83">
            <w:pPr>
              <w:rPr>
                <w:rFonts w:cs="Arial"/>
              </w:rPr>
            </w:pPr>
            <w:permStart w:id="103251776" w:edGrp="everyone"/>
            <w:r>
              <w:rPr>
                <w:rFonts w:cs="Arial"/>
              </w:rPr>
              <w:t>1,048</w:t>
            </w:r>
            <w:permEnd w:id="103251776"/>
          </w:p>
        </w:tc>
      </w:tr>
      <w:tr w:rsidR="00171CBD" w:rsidTr="00B45B83">
        <w:tc>
          <w:tcPr>
            <w:tcW w:w="6658" w:type="dxa"/>
            <w:shd w:val="clear" w:color="auto" w:fill="auto"/>
          </w:tcPr>
          <w:p w:rsidR="00171CBD" w:rsidRDefault="00171CBD" w:rsidP="00B45B83">
            <w:r>
              <w:t>% of total number of shares traded on your trading venue meeting the third country share definition</w:t>
            </w:r>
          </w:p>
        </w:tc>
        <w:tc>
          <w:tcPr>
            <w:tcW w:w="2693" w:type="dxa"/>
            <w:shd w:val="clear" w:color="auto" w:fill="auto"/>
          </w:tcPr>
          <w:p w:rsidR="00171CBD" w:rsidRDefault="00EB5F3D" w:rsidP="00B45B83">
            <w:pPr>
              <w:rPr>
                <w:rFonts w:cs="Arial"/>
              </w:rPr>
            </w:pPr>
            <w:permStart w:id="79771828" w:edGrp="everyone"/>
            <w:r>
              <w:rPr>
                <w:rFonts w:cs="Arial"/>
              </w:rPr>
              <w:t>17.2</w:t>
            </w:r>
            <w:r w:rsidR="00FA6E00">
              <w:rPr>
                <w:rFonts w:cs="Arial"/>
              </w:rPr>
              <w:t>0</w:t>
            </w:r>
            <w:r>
              <w:rPr>
                <w:rFonts w:cs="Arial"/>
              </w:rPr>
              <w:t>%</w:t>
            </w:r>
          </w:p>
          <w:permEnd w:id="79771828"/>
          <w:p w:rsidR="00171CBD" w:rsidRDefault="00171CBD" w:rsidP="00B45B83"/>
        </w:tc>
      </w:tr>
      <w:tr w:rsidR="00171CBD" w:rsidTr="00B45B83">
        <w:tc>
          <w:tcPr>
            <w:tcW w:w="6658" w:type="dxa"/>
          </w:tcPr>
          <w:p w:rsidR="00171CBD" w:rsidRDefault="00171CBD" w:rsidP="00B45B83">
            <w:r w:rsidRPr="00D91E0B">
              <w:t xml:space="preserve">% of total share trading attributable to shares meeting the third country share definition </w:t>
            </w:r>
            <w:r>
              <w:t>during 1H2018</w:t>
            </w:r>
          </w:p>
        </w:tc>
        <w:tc>
          <w:tcPr>
            <w:tcW w:w="2693" w:type="dxa"/>
          </w:tcPr>
          <w:p w:rsidR="00171CBD" w:rsidRDefault="00FA6E00" w:rsidP="00B45B83">
            <w:pPr>
              <w:rPr>
                <w:rFonts w:cs="Arial"/>
              </w:rPr>
            </w:pPr>
            <w:permStart w:id="1485113349" w:edGrp="everyone"/>
            <w:r>
              <w:rPr>
                <w:rFonts w:cs="Arial"/>
              </w:rPr>
              <w:t>33.81%</w:t>
            </w:r>
          </w:p>
          <w:permEnd w:id="1485113349"/>
          <w:p w:rsidR="00171CBD" w:rsidRDefault="00171CBD" w:rsidP="00B45B83"/>
        </w:tc>
      </w:tr>
      <w:tr w:rsidR="00171CBD" w:rsidTr="00B45B83">
        <w:tc>
          <w:tcPr>
            <w:tcW w:w="6658" w:type="dxa"/>
          </w:tcPr>
          <w:p w:rsidR="00171CBD" w:rsidRDefault="00171CBD" w:rsidP="00B45B83">
            <w:r>
              <w:t xml:space="preserve">Market share in those third country shares (average) </w:t>
            </w:r>
          </w:p>
          <w:p w:rsidR="00171CBD" w:rsidRDefault="00171CBD" w:rsidP="00B45B83">
            <w:r>
              <w:t xml:space="preserve">If average is not meaningful, please provide a range of %  </w:t>
            </w:r>
          </w:p>
        </w:tc>
        <w:tc>
          <w:tcPr>
            <w:tcW w:w="2693" w:type="dxa"/>
          </w:tcPr>
          <w:p w:rsidR="00171CBD" w:rsidRDefault="00DD1706" w:rsidP="00B45B83">
            <w:permStart w:id="294731826" w:edGrp="everyone"/>
            <w:r w:rsidRPr="00DD1706">
              <w:t>18.90%</w:t>
            </w:r>
            <w:permEnd w:id="294731826"/>
          </w:p>
        </w:tc>
      </w:tr>
    </w:tbl>
    <w:p w:rsidR="00171CBD" w:rsidRDefault="00171CBD" w:rsidP="00171CBD">
      <w:pPr>
        <w:rPr>
          <w:rFonts w:cs="Arial"/>
        </w:rPr>
      </w:pPr>
    </w:p>
    <w:p w:rsidR="00171CBD" w:rsidRDefault="00171CBD" w:rsidP="00171CBD">
      <w:pPr>
        <w:rPr>
          <w:rFonts w:cs="Arial"/>
        </w:rPr>
      </w:pPr>
      <w:r>
        <w:rPr>
          <w:rFonts w:cs="Arial"/>
        </w:rPr>
        <w:t>&lt;ESMA_QUESTION_ACDR_7&gt;</w:t>
      </w:r>
    </w:p>
    <w:p w:rsidR="00171CBD" w:rsidRDefault="00171CBD" w:rsidP="00171CBD">
      <w:pPr>
        <w:rPr>
          <w:rFonts w:cs="Arial"/>
        </w:rPr>
      </w:pPr>
    </w:p>
    <w:p w:rsidR="00171CBD" w:rsidRPr="006245F6" w:rsidRDefault="00171CBD" w:rsidP="00171CBD">
      <w:pPr>
        <w:pStyle w:val="Questionstyle"/>
        <w:numPr>
          <w:ilvl w:val="0"/>
          <w:numId w:val="47"/>
        </w:numPr>
      </w:pPr>
      <w:r w:rsidRPr="006B7A5D">
        <w:t>CBA: Based on the draft RTS, which impacts do you expect from the revised tick size regime for third country shares?</w:t>
      </w:r>
    </w:p>
    <w:p w:rsidR="00171CBD" w:rsidRDefault="00171CBD" w:rsidP="00171CBD">
      <w:pPr>
        <w:rPr>
          <w:rFonts w:cs="Arial"/>
        </w:rPr>
      </w:pPr>
      <w:r>
        <w:rPr>
          <w:rFonts w:cs="Arial"/>
        </w:rPr>
        <w:t>&lt;ESMA_QUESTION_ACDR_8&gt;</w:t>
      </w:r>
    </w:p>
    <w:tbl>
      <w:tblPr>
        <w:tblStyle w:val="TableGrid"/>
        <w:tblW w:w="0" w:type="auto"/>
        <w:tblLook w:val="04A0" w:firstRow="1" w:lastRow="0" w:firstColumn="1" w:lastColumn="0" w:noHBand="0" w:noVBand="1"/>
      </w:tblPr>
      <w:tblGrid>
        <w:gridCol w:w="3005"/>
        <w:gridCol w:w="3005"/>
        <w:gridCol w:w="3006"/>
      </w:tblGrid>
      <w:tr w:rsidR="00171CBD" w:rsidTr="00B45B83">
        <w:tc>
          <w:tcPr>
            <w:tcW w:w="3005" w:type="dxa"/>
          </w:tcPr>
          <w:p w:rsidR="00171CBD" w:rsidRDefault="00171CBD" w:rsidP="00B45B83">
            <w:r>
              <w:t>Revised tick size regime</w:t>
            </w:r>
          </w:p>
        </w:tc>
        <w:tc>
          <w:tcPr>
            <w:tcW w:w="3005" w:type="dxa"/>
          </w:tcPr>
          <w:p w:rsidR="00171CBD" w:rsidRDefault="00171CBD" w:rsidP="00B45B83">
            <w:r>
              <w:t xml:space="preserve">Positive Impact </w:t>
            </w:r>
          </w:p>
        </w:tc>
        <w:tc>
          <w:tcPr>
            <w:tcW w:w="3006" w:type="dxa"/>
          </w:tcPr>
          <w:p w:rsidR="00171CBD" w:rsidRDefault="00171CBD" w:rsidP="00B45B83">
            <w:r>
              <w:t xml:space="preserve">Negative impact </w:t>
            </w:r>
          </w:p>
        </w:tc>
      </w:tr>
      <w:tr w:rsidR="00171CBD" w:rsidTr="00B45B83">
        <w:tc>
          <w:tcPr>
            <w:tcW w:w="3005" w:type="dxa"/>
          </w:tcPr>
          <w:p w:rsidR="00171CBD" w:rsidRDefault="00171CBD" w:rsidP="00B45B83">
            <w:r>
              <w:t xml:space="preserve">Impact on your business model/ organisation/ client relationship </w:t>
            </w:r>
          </w:p>
          <w:p w:rsidR="00171CBD" w:rsidRDefault="00171CBD" w:rsidP="00B45B83"/>
        </w:tc>
        <w:tc>
          <w:tcPr>
            <w:tcW w:w="3005" w:type="dxa"/>
          </w:tcPr>
          <w:p w:rsidR="00171CBD" w:rsidRDefault="00D02E94" w:rsidP="00B45B83">
            <w:permStart w:id="1195313460" w:edGrp="everyone"/>
            <w:r w:rsidRPr="00D02E94">
              <w:rPr>
                <w:rFonts w:cs="Arial"/>
              </w:rPr>
              <w:t>The FCA and other NCAs permitted Cboe to follow the Swiss domestic regime, however, before they allowed this Cboe did notice a dramatic drop in our Swiss market share.</w:t>
            </w:r>
            <w:permEnd w:id="1195313460"/>
          </w:p>
        </w:tc>
        <w:tc>
          <w:tcPr>
            <w:tcW w:w="3006" w:type="dxa"/>
          </w:tcPr>
          <w:p w:rsidR="00171CBD" w:rsidRDefault="00171CBD" w:rsidP="00B45B83">
            <w:permStart w:id="47778872" w:edGrp="everyone"/>
            <w:permEnd w:id="47778872"/>
          </w:p>
        </w:tc>
      </w:tr>
      <w:tr w:rsidR="00171CBD" w:rsidTr="00B45B83">
        <w:tc>
          <w:tcPr>
            <w:tcW w:w="3005" w:type="dxa"/>
          </w:tcPr>
          <w:p w:rsidR="00171CBD" w:rsidRDefault="00171CBD" w:rsidP="00B45B83">
            <w:r>
              <w:t>Impact on your revenues</w:t>
            </w:r>
          </w:p>
          <w:p w:rsidR="00171CBD" w:rsidRDefault="00171CBD" w:rsidP="00B45B83"/>
        </w:tc>
        <w:tc>
          <w:tcPr>
            <w:tcW w:w="3005" w:type="dxa"/>
          </w:tcPr>
          <w:p w:rsidR="00171CBD" w:rsidRDefault="00D02E94" w:rsidP="00B45B83">
            <w:pPr>
              <w:rPr>
                <w:rFonts w:cs="Arial"/>
              </w:rPr>
            </w:pPr>
            <w:permStart w:id="914913048" w:edGrp="everyone"/>
            <w:r>
              <w:rPr>
                <w:rFonts w:cs="Arial"/>
              </w:rPr>
              <w:t>Positive</w:t>
            </w:r>
          </w:p>
          <w:permEnd w:id="914913048"/>
          <w:p w:rsidR="00171CBD" w:rsidRDefault="00171CBD" w:rsidP="00B45B83"/>
        </w:tc>
        <w:tc>
          <w:tcPr>
            <w:tcW w:w="3006" w:type="dxa"/>
          </w:tcPr>
          <w:p w:rsidR="00171CBD" w:rsidRDefault="00171CBD" w:rsidP="00B45B83">
            <w:permStart w:id="1128149773" w:edGrp="everyone"/>
            <w:permEnd w:id="1128149773"/>
          </w:p>
        </w:tc>
      </w:tr>
      <w:tr w:rsidR="00171CBD" w:rsidTr="00B45B83">
        <w:tc>
          <w:tcPr>
            <w:tcW w:w="3005" w:type="dxa"/>
          </w:tcPr>
          <w:p w:rsidR="00171CBD" w:rsidRDefault="00171CBD" w:rsidP="00B45B83">
            <w:r>
              <w:t>Impact on market structure (e.g. principal vs agency trading, etc.)</w:t>
            </w:r>
          </w:p>
          <w:p w:rsidR="00171CBD" w:rsidRDefault="00171CBD" w:rsidP="00B45B83"/>
        </w:tc>
        <w:tc>
          <w:tcPr>
            <w:tcW w:w="3005" w:type="dxa"/>
          </w:tcPr>
          <w:p w:rsidR="00171CBD" w:rsidRDefault="00171CBD" w:rsidP="00B45B83">
            <w:permStart w:id="211380454" w:edGrp="everyone"/>
            <w:permEnd w:id="211380454"/>
          </w:p>
        </w:tc>
        <w:tc>
          <w:tcPr>
            <w:tcW w:w="3006" w:type="dxa"/>
          </w:tcPr>
          <w:p w:rsidR="00171CBD" w:rsidRDefault="00D02E94" w:rsidP="00B45B83">
            <w:permStart w:id="1067974963" w:edGrp="everyone"/>
            <w:r w:rsidRPr="00D02E94">
              <w:rPr>
                <w:rFonts w:cs="Arial"/>
              </w:rPr>
              <w:t xml:space="preserve">The absence of mid-point peg orders will impact the market structure negatively. Largely impacting the end investor. </w:t>
            </w:r>
            <w:permEnd w:id="1067974963"/>
          </w:p>
        </w:tc>
      </w:tr>
      <w:tr w:rsidR="00171CBD" w:rsidTr="00B45B83">
        <w:tc>
          <w:tcPr>
            <w:tcW w:w="3005" w:type="dxa"/>
          </w:tcPr>
          <w:p w:rsidR="00171CBD" w:rsidRDefault="00171CBD" w:rsidP="00B45B83">
            <w:r>
              <w:t>Impact on market liquidity and execution costs</w:t>
            </w:r>
          </w:p>
        </w:tc>
        <w:tc>
          <w:tcPr>
            <w:tcW w:w="3005" w:type="dxa"/>
          </w:tcPr>
          <w:p w:rsidR="00171CBD" w:rsidRDefault="00D02E94" w:rsidP="00B45B83">
            <w:permStart w:id="465259251" w:edGrp="everyone"/>
            <w:r w:rsidRPr="00D02E94">
              <w:rPr>
                <w:rFonts w:cs="Arial"/>
              </w:rPr>
              <w:t xml:space="preserve">If a provision for mid-point peg orders is permitted, this will improve market liquidity and reduce execution costs. </w:t>
            </w:r>
            <w:permEnd w:id="465259251"/>
          </w:p>
        </w:tc>
        <w:tc>
          <w:tcPr>
            <w:tcW w:w="3006" w:type="dxa"/>
          </w:tcPr>
          <w:p w:rsidR="00171CBD" w:rsidRDefault="00171CBD" w:rsidP="00B45B83">
            <w:permStart w:id="1095597712" w:edGrp="everyone"/>
            <w:permEnd w:id="1095597712"/>
          </w:p>
        </w:tc>
      </w:tr>
      <w:tr w:rsidR="00171CBD" w:rsidTr="00B45B83">
        <w:tc>
          <w:tcPr>
            <w:tcW w:w="3005" w:type="dxa"/>
          </w:tcPr>
          <w:p w:rsidR="00171CBD" w:rsidRDefault="00171CBD" w:rsidP="00B45B83">
            <w:r>
              <w:t xml:space="preserve">Other impacts. Please elaborate  </w:t>
            </w:r>
          </w:p>
        </w:tc>
        <w:tc>
          <w:tcPr>
            <w:tcW w:w="3005" w:type="dxa"/>
          </w:tcPr>
          <w:p w:rsidR="00171CBD" w:rsidRDefault="00D02E94" w:rsidP="00B45B83">
            <w:pPr>
              <w:rPr>
                <w:rFonts w:cs="Arial"/>
              </w:rPr>
            </w:pPr>
            <w:permStart w:id="325606199" w:edGrp="everyone"/>
            <w:r>
              <w:rPr>
                <w:rFonts w:cs="Arial"/>
              </w:rPr>
              <w:t>N/A</w:t>
            </w:r>
          </w:p>
          <w:permEnd w:id="325606199"/>
          <w:p w:rsidR="00171CBD" w:rsidRDefault="00171CBD" w:rsidP="00B45B83"/>
        </w:tc>
        <w:tc>
          <w:tcPr>
            <w:tcW w:w="3006" w:type="dxa"/>
          </w:tcPr>
          <w:p w:rsidR="00171CBD" w:rsidRDefault="00171CBD" w:rsidP="00B45B83">
            <w:permStart w:id="475144237" w:edGrp="everyone"/>
            <w:permEnd w:id="475144237"/>
          </w:p>
        </w:tc>
      </w:tr>
    </w:tbl>
    <w:p w:rsidR="00171CBD" w:rsidRDefault="00171CBD" w:rsidP="00171CBD">
      <w:pPr>
        <w:rPr>
          <w:rFonts w:cs="Arial"/>
        </w:rPr>
      </w:pPr>
    </w:p>
    <w:p w:rsidR="00171CBD" w:rsidRDefault="00171CBD" w:rsidP="00171CBD">
      <w:pPr>
        <w:rPr>
          <w:rFonts w:cs="Arial"/>
        </w:rPr>
      </w:pPr>
      <w:r>
        <w:rPr>
          <w:rFonts w:cs="Arial"/>
        </w:rPr>
        <w:t>&lt;ESMA_QUESTION_ACDR_8&gt;</w:t>
      </w:r>
    </w:p>
    <w:p w:rsidR="00171CBD" w:rsidRDefault="00171CBD" w:rsidP="00171CBD">
      <w:pPr>
        <w:rPr>
          <w:rFonts w:cs="Arial"/>
        </w:rPr>
      </w:pPr>
    </w:p>
    <w:p w:rsidR="00171CBD" w:rsidRDefault="00171CBD" w:rsidP="00171CBD">
      <w:pPr>
        <w:pStyle w:val="Questionstyle"/>
        <w:numPr>
          <w:ilvl w:val="0"/>
          <w:numId w:val="47"/>
        </w:numPr>
      </w:pPr>
      <w:r w:rsidRPr="006B7A5D">
        <w:t>CBA: Is there any specific provision in the draft RTS that you would expect to be a source of significant concerns or cost? If so, please elaborate</w:t>
      </w:r>
    </w:p>
    <w:p w:rsidR="00171CBD" w:rsidRDefault="00171CBD" w:rsidP="00171CBD">
      <w:pPr>
        <w:rPr>
          <w:rFonts w:cs="Arial"/>
        </w:rPr>
      </w:pPr>
      <w:r>
        <w:rPr>
          <w:rFonts w:cs="Arial"/>
        </w:rPr>
        <w:t>&lt;ESMA_QUESTION_ACDR_9&gt;</w:t>
      </w:r>
    </w:p>
    <w:p w:rsidR="00153860" w:rsidRDefault="00153860" w:rsidP="00153860">
      <w:pPr>
        <w:rPr>
          <w:rFonts w:cs="Arial"/>
        </w:rPr>
      </w:pPr>
      <w:permStart w:id="461973129" w:edGrp="everyone"/>
      <w:r w:rsidRPr="00153860">
        <w:rPr>
          <w:rFonts w:cs="Arial"/>
        </w:rPr>
        <w:t xml:space="preserve">The absence of mid-point peg orders is concerning. This is a significant market structure issue that needs to be resolved. </w:t>
      </w:r>
    </w:p>
    <w:p w:rsidR="00153860" w:rsidRPr="00153860" w:rsidRDefault="00153860" w:rsidP="00153860">
      <w:pPr>
        <w:rPr>
          <w:rFonts w:cs="Arial"/>
        </w:rPr>
      </w:pPr>
    </w:p>
    <w:p w:rsidR="00171CBD" w:rsidRPr="006D506A" w:rsidRDefault="00153860" w:rsidP="00153860">
      <w:pPr>
        <w:rPr>
          <w:rFonts w:cs="Arial"/>
        </w:rPr>
      </w:pPr>
      <w:r w:rsidRPr="00153860">
        <w:rPr>
          <w:rFonts w:cs="Arial"/>
        </w:rPr>
        <w:t xml:space="preserve">Generally, there are low compliance costs </w:t>
      </w:r>
      <w:r w:rsidR="0087505E">
        <w:rPr>
          <w:rFonts w:cs="Arial"/>
        </w:rPr>
        <w:t>for following the tick regime so</w:t>
      </w:r>
      <w:r w:rsidRPr="00153860">
        <w:rPr>
          <w:rFonts w:cs="Arial"/>
        </w:rPr>
        <w:t xml:space="preserve"> long as the regulatory data is readily available.</w:t>
      </w:r>
    </w:p>
    <w:permEnd w:id="461973129"/>
    <w:p w:rsidR="00171CBD" w:rsidRDefault="00171CBD" w:rsidP="00171CBD">
      <w:pPr>
        <w:rPr>
          <w:rFonts w:cs="Arial"/>
        </w:rPr>
      </w:pPr>
      <w:r>
        <w:rPr>
          <w:rFonts w:cs="Arial"/>
        </w:rPr>
        <w:t>&lt;ESMA_QUESTION_ACDR_9&gt;</w:t>
      </w:r>
    </w:p>
    <w:p w:rsidR="00171CBD" w:rsidRDefault="00171CBD" w:rsidP="00171CBD">
      <w:pPr>
        <w:rPr>
          <w:rFonts w:cs="Arial"/>
        </w:rPr>
      </w:pPr>
    </w:p>
    <w:p w:rsidR="00171CBD" w:rsidRPr="006245F6" w:rsidRDefault="00171CBD" w:rsidP="00171CBD">
      <w:pPr>
        <w:pStyle w:val="Questionstyle"/>
        <w:numPr>
          <w:ilvl w:val="0"/>
          <w:numId w:val="47"/>
        </w:numPr>
      </w:pPr>
      <w:r w:rsidRPr="006B7A5D">
        <w:t>CBA: Please provide an indication, even a rough one, of compliance costs (in thousands of euros)</w:t>
      </w:r>
    </w:p>
    <w:p w:rsidR="00171CBD" w:rsidRDefault="00171CBD" w:rsidP="00171CBD">
      <w:pPr>
        <w:rPr>
          <w:rFonts w:cs="Arial"/>
        </w:rPr>
      </w:pPr>
      <w:r>
        <w:rPr>
          <w:rFonts w:cs="Arial"/>
        </w:rPr>
        <w:t>&lt;ESMA_QUESTION_ACDR_10&gt;</w:t>
      </w:r>
    </w:p>
    <w:tbl>
      <w:tblPr>
        <w:tblStyle w:val="TableGrid"/>
        <w:tblW w:w="8179" w:type="dxa"/>
        <w:tblLook w:val="04A0" w:firstRow="1" w:lastRow="0" w:firstColumn="1" w:lastColumn="0" w:noHBand="0" w:noVBand="1"/>
      </w:tblPr>
      <w:tblGrid>
        <w:gridCol w:w="1338"/>
        <w:gridCol w:w="1209"/>
        <w:gridCol w:w="1230"/>
        <w:gridCol w:w="1189"/>
        <w:gridCol w:w="1263"/>
        <w:gridCol w:w="1950"/>
      </w:tblGrid>
      <w:tr w:rsidR="00171CBD" w:rsidTr="00B45B83">
        <w:tc>
          <w:tcPr>
            <w:tcW w:w="1338" w:type="dxa"/>
          </w:tcPr>
          <w:p w:rsidR="00171CBD" w:rsidRDefault="00171CBD" w:rsidP="00B45B83">
            <w:r>
              <w:t>Draft amendment to RTS11</w:t>
            </w:r>
          </w:p>
        </w:tc>
        <w:tc>
          <w:tcPr>
            <w:tcW w:w="1209" w:type="dxa"/>
          </w:tcPr>
          <w:p w:rsidR="00171CBD" w:rsidRDefault="00171CBD" w:rsidP="00B45B83">
            <w:r>
              <w:t xml:space="preserve">a. IT costs </w:t>
            </w:r>
          </w:p>
        </w:tc>
        <w:tc>
          <w:tcPr>
            <w:tcW w:w="1230" w:type="dxa"/>
          </w:tcPr>
          <w:p w:rsidR="00171CBD" w:rsidRDefault="00171CBD" w:rsidP="00B45B83">
            <w:r>
              <w:t>b. Training costs</w:t>
            </w:r>
          </w:p>
        </w:tc>
        <w:tc>
          <w:tcPr>
            <w:tcW w:w="1189" w:type="dxa"/>
          </w:tcPr>
          <w:p w:rsidR="00171CBD" w:rsidRDefault="00171CBD" w:rsidP="00B45B83">
            <w:r>
              <w:t>c. Staff costs</w:t>
            </w:r>
          </w:p>
        </w:tc>
        <w:tc>
          <w:tcPr>
            <w:tcW w:w="1263" w:type="dxa"/>
          </w:tcPr>
          <w:p w:rsidR="00171CBD" w:rsidRDefault="00171CBD" w:rsidP="00B45B83">
            <w:r>
              <w:t>d. Other costs (please identify)</w:t>
            </w:r>
          </w:p>
        </w:tc>
        <w:tc>
          <w:tcPr>
            <w:tcW w:w="1950" w:type="dxa"/>
          </w:tcPr>
          <w:p w:rsidR="00171CBD" w:rsidRDefault="00171CBD" w:rsidP="00B45B83">
            <w:r>
              <w:t xml:space="preserve">Total cots ( if a, b, c or d are not available separately) </w:t>
            </w:r>
          </w:p>
        </w:tc>
      </w:tr>
      <w:tr w:rsidR="00171CBD" w:rsidTr="00B45B83">
        <w:tc>
          <w:tcPr>
            <w:tcW w:w="1338" w:type="dxa"/>
          </w:tcPr>
          <w:p w:rsidR="00171CBD" w:rsidRDefault="00171CBD" w:rsidP="00B45B83">
            <w:r>
              <w:t xml:space="preserve">One-off costs </w:t>
            </w:r>
          </w:p>
          <w:p w:rsidR="00171CBD" w:rsidRDefault="00171CBD" w:rsidP="00B45B83"/>
        </w:tc>
        <w:tc>
          <w:tcPr>
            <w:tcW w:w="1209" w:type="dxa"/>
          </w:tcPr>
          <w:p w:rsidR="00171CBD" w:rsidRDefault="001100D6" w:rsidP="00B45B83">
            <w:pPr>
              <w:rPr>
                <w:rFonts w:cs="Arial"/>
              </w:rPr>
            </w:pPr>
            <w:permStart w:id="827458944" w:edGrp="everyone"/>
            <w:r>
              <w:rPr>
                <w:rFonts w:cs="Arial"/>
              </w:rPr>
              <w:t>10,000</w:t>
            </w:r>
          </w:p>
          <w:permEnd w:id="827458944"/>
          <w:p w:rsidR="00171CBD" w:rsidRDefault="00171CBD" w:rsidP="00B45B83"/>
        </w:tc>
        <w:tc>
          <w:tcPr>
            <w:tcW w:w="1230" w:type="dxa"/>
          </w:tcPr>
          <w:p w:rsidR="00171CBD" w:rsidRDefault="001100D6" w:rsidP="00B45B83">
            <w:pPr>
              <w:rPr>
                <w:rFonts w:cs="Arial"/>
              </w:rPr>
            </w:pPr>
            <w:permStart w:id="683757447" w:edGrp="everyone"/>
            <w:r>
              <w:rPr>
                <w:rFonts w:cs="Arial"/>
              </w:rPr>
              <w:t>N/A</w:t>
            </w:r>
          </w:p>
          <w:permEnd w:id="683757447"/>
          <w:p w:rsidR="00171CBD" w:rsidRDefault="00171CBD" w:rsidP="00B45B83"/>
        </w:tc>
        <w:tc>
          <w:tcPr>
            <w:tcW w:w="1189" w:type="dxa"/>
          </w:tcPr>
          <w:p w:rsidR="001100D6" w:rsidRDefault="001100D6" w:rsidP="001100D6">
            <w:pPr>
              <w:rPr>
                <w:rFonts w:cs="Arial"/>
              </w:rPr>
            </w:pPr>
            <w:permStart w:id="1746352711" w:edGrp="everyone"/>
            <w:r>
              <w:rPr>
                <w:rFonts w:cs="Arial"/>
              </w:rPr>
              <w:t>N/A</w:t>
            </w:r>
          </w:p>
          <w:permEnd w:id="1746352711"/>
          <w:p w:rsidR="00171CBD" w:rsidRDefault="00171CBD" w:rsidP="00B45B83"/>
        </w:tc>
        <w:tc>
          <w:tcPr>
            <w:tcW w:w="1263" w:type="dxa"/>
          </w:tcPr>
          <w:p w:rsidR="001100D6" w:rsidRDefault="001100D6" w:rsidP="001100D6">
            <w:pPr>
              <w:rPr>
                <w:rFonts w:cs="Arial"/>
              </w:rPr>
            </w:pPr>
            <w:permStart w:id="1952611332" w:edGrp="everyone"/>
            <w:r>
              <w:rPr>
                <w:rFonts w:cs="Arial"/>
              </w:rPr>
              <w:t>N/A</w:t>
            </w:r>
          </w:p>
          <w:permEnd w:id="1952611332"/>
          <w:p w:rsidR="00171CBD" w:rsidRDefault="00171CBD" w:rsidP="00B45B83"/>
        </w:tc>
        <w:tc>
          <w:tcPr>
            <w:tcW w:w="1950" w:type="dxa"/>
          </w:tcPr>
          <w:p w:rsidR="001100D6" w:rsidRDefault="001100D6" w:rsidP="001100D6">
            <w:pPr>
              <w:rPr>
                <w:rFonts w:cs="Arial"/>
              </w:rPr>
            </w:pPr>
            <w:permStart w:id="1363225027" w:edGrp="everyone"/>
            <w:r>
              <w:rPr>
                <w:rFonts w:cs="Arial"/>
              </w:rPr>
              <w:t>N/A</w:t>
            </w:r>
          </w:p>
          <w:permEnd w:id="1363225027"/>
          <w:p w:rsidR="00171CBD" w:rsidRDefault="00171CBD" w:rsidP="00B45B83"/>
        </w:tc>
      </w:tr>
      <w:tr w:rsidR="00171CBD" w:rsidTr="00B45B83">
        <w:tc>
          <w:tcPr>
            <w:tcW w:w="1338" w:type="dxa"/>
          </w:tcPr>
          <w:p w:rsidR="00171CBD" w:rsidRDefault="00171CBD" w:rsidP="00B45B83">
            <w:r>
              <w:t>Recurring costs (on an annual basis}</w:t>
            </w:r>
          </w:p>
        </w:tc>
        <w:tc>
          <w:tcPr>
            <w:tcW w:w="1209" w:type="dxa"/>
          </w:tcPr>
          <w:p w:rsidR="001100D6" w:rsidRDefault="001100D6" w:rsidP="001100D6">
            <w:pPr>
              <w:rPr>
                <w:rFonts w:cs="Arial"/>
              </w:rPr>
            </w:pPr>
            <w:permStart w:id="1033926101" w:edGrp="everyone"/>
            <w:r>
              <w:rPr>
                <w:rFonts w:cs="Arial"/>
              </w:rPr>
              <w:t>N/A</w:t>
            </w:r>
          </w:p>
          <w:permEnd w:id="1033926101"/>
          <w:p w:rsidR="00171CBD" w:rsidRDefault="00171CBD" w:rsidP="00B45B83"/>
        </w:tc>
        <w:tc>
          <w:tcPr>
            <w:tcW w:w="1230" w:type="dxa"/>
          </w:tcPr>
          <w:p w:rsidR="001100D6" w:rsidRDefault="001100D6" w:rsidP="001100D6">
            <w:pPr>
              <w:rPr>
                <w:rFonts w:cs="Arial"/>
              </w:rPr>
            </w:pPr>
            <w:permStart w:id="811815762" w:edGrp="everyone"/>
            <w:r>
              <w:rPr>
                <w:rFonts w:cs="Arial"/>
              </w:rPr>
              <w:t>N/A</w:t>
            </w:r>
          </w:p>
          <w:permEnd w:id="811815762"/>
          <w:p w:rsidR="00171CBD" w:rsidRDefault="00171CBD" w:rsidP="00B45B83"/>
        </w:tc>
        <w:tc>
          <w:tcPr>
            <w:tcW w:w="1189" w:type="dxa"/>
          </w:tcPr>
          <w:p w:rsidR="001100D6" w:rsidRDefault="001100D6" w:rsidP="001100D6">
            <w:pPr>
              <w:rPr>
                <w:rFonts w:cs="Arial"/>
              </w:rPr>
            </w:pPr>
            <w:permStart w:id="1408135317" w:edGrp="everyone"/>
            <w:r>
              <w:rPr>
                <w:rFonts w:cs="Arial"/>
              </w:rPr>
              <w:t>N/A</w:t>
            </w:r>
          </w:p>
          <w:permEnd w:id="1408135317"/>
          <w:p w:rsidR="00171CBD" w:rsidRDefault="00171CBD" w:rsidP="00B45B83"/>
        </w:tc>
        <w:tc>
          <w:tcPr>
            <w:tcW w:w="1263" w:type="dxa"/>
          </w:tcPr>
          <w:p w:rsidR="001100D6" w:rsidRDefault="001100D6" w:rsidP="001100D6">
            <w:pPr>
              <w:rPr>
                <w:rFonts w:cs="Arial"/>
              </w:rPr>
            </w:pPr>
            <w:permStart w:id="714676366" w:edGrp="everyone"/>
            <w:r>
              <w:rPr>
                <w:rFonts w:cs="Arial"/>
              </w:rPr>
              <w:t>N/A</w:t>
            </w:r>
          </w:p>
          <w:permEnd w:id="714676366"/>
          <w:p w:rsidR="00171CBD" w:rsidRDefault="00171CBD" w:rsidP="00B45B83"/>
        </w:tc>
        <w:tc>
          <w:tcPr>
            <w:tcW w:w="1950" w:type="dxa"/>
          </w:tcPr>
          <w:p w:rsidR="001100D6" w:rsidRDefault="001100D6" w:rsidP="001100D6">
            <w:pPr>
              <w:rPr>
                <w:rFonts w:cs="Arial"/>
              </w:rPr>
            </w:pPr>
            <w:permStart w:id="1862166841" w:edGrp="everyone"/>
            <w:r>
              <w:rPr>
                <w:rFonts w:cs="Arial"/>
              </w:rPr>
              <w:t>N/A</w:t>
            </w:r>
          </w:p>
          <w:permEnd w:id="1862166841"/>
          <w:p w:rsidR="00171CBD" w:rsidRDefault="00171CBD" w:rsidP="00B45B83"/>
        </w:tc>
      </w:tr>
    </w:tbl>
    <w:p w:rsidR="00171CBD" w:rsidRDefault="00171CBD" w:rsidP="00171CBD">
      <w:pPr>
        <w:rPr>
          <w:rFonts w:cs="Arial"/>
        </w:rPr>
      </w:pPr>
    </w:p>
    <w:p w:rsidR="00171CBD" w:rsidRDefault="00171CBD" w:rsidP="00171CBD">
      <w:pPr>
        <w:rPr>
          <w:rFonts w:cs="Arial"/>
        </w:rPr>
      </w:pPr>
      <w:r>
        <w:rPr>
          <w:rFonts w:cs="Arial"/>
        </w:rPr>
        <w:t>&lt;ESMA_QUESTION_ACDR_10&gt;</w:t>
      </w:r>
    </w:p>
    <w:p w:rsidR="00171CBD" w:rsidRDefault="00171CBD" w:rsidP="00171CBD">
      <w:pPr>
        <w:rPr>
          <w:rFonts w:cs="Arial"/>
        </w:rPr>
      </w:pPr>
    </w:p>
    <w:p w:rsidR="00171CBD" w:rsidRPr="006245F6" w:rsidRDefault="00171CBD" w:rsidP="00171CBD">
      <w:pPr>
        <w:pStyle w:val="Questionstyle"/>
        <w:numPr>
          <w:ilvl w:val="0"/>
          <w:numId w:val="47"/>
        </w:numPr>
      </w:pPr>
      <w:r>
        <w:t>CBA</w:t>
      </w:r>
      <w:r w:rsidRPr="006B7A5D">
        <w:t xml:space="preserve">: Taking into account the size of your firm, would you qualify overall compliance costs as </w:t>
      </w:r>
      <w:r>
        <w:t>“</w:t>
      </w:r>
      <w:r w:rsidRPr="006B7A5D">
        <w:t>low</w:t>
      </w:r>
      <w:r>
        <w:t>”</w:t>
      </w:r>
      <w:r w:rsidRPr="006B7A5D">
        <w:t xml:space="preserve">, </w:t>
      </w:r>
      <w:r>
        <w:t>“</w:t>
      </w:r>
      <w:r w:rsidRPr="006B7A5D">
        <w:t>medium</w:t>
      </w:r>
      <w:r>
        <w:t>”</w:t>
      </w:r>
      <w:r w:rsidRPr="006B7A5D">
        <w:t xml:space="preserve"> or </w:t>
      </w:r>
      <w:r>
        <w:t>“</w:t>
      </w:r>
      <w:r w:rsidRPr="006B7A5D">
        <w:t>high</w:t>
      </w:r>
      <w:r>
        <w:t>”</w:t>
      </w:r>
      <w:r w:rsidRPr="006B7A5D">
        <w:t>?</w:t>
      </w:r>
    </w:p>
    <w:p w:rsidR="00171CBD" w:rsidRDefault="00171CBD" w:rsidP="00171CBD">
      <w:pPr>
        <w:rPr>
          <w:rFonts w:cs="Arial"/>
        </w:rPr>
      </w:pPr>
      <w:r>
        <w:rPr>
          <w:rFonts w:cs="Arial"/>
        </w:rPr>
        <w:t>&lt;ESMA_QUESTION_ACDR_11&gt;</w:t>
      </w:r>
    </w:p>
    <w:p w:rsidR="00171CBD" w:rsidRPr="00AB6D88" w:rsidRDefault="00FD5FBB" w:rsidP="00171CBD">
      <w:pPr>
        <w:rPr>
          <w:rFonts w:cs="Arial"/>
        </w:rPr>
      </w:pPr>
      <w:sdt>
        <w:sdtPr>
          <w:rPr>
            <w:rFonts w:cs="Arial"/>
          </w:rPr>
          <w:alias w:val="Overall compliance costs"/>
          <w:tag w:val="Overall compliance costs"/>
          <w:id w:val="-1580285920"/>
          <w:comboBox>
            <w:listItem w:displayText="Choose an item." w:value="Choose an item."/>
            <w:listItem w:displayText="Low" w:value="Low"/>
            <w:listItem w:displayText="Medium" w:value="Medium"/>
            <w:listItem w:displayText="High" w:value="High"/>
          </w:comboBox>
        </w:sdtPr>
        <w:sdtEndPr/>
        <w:sdtContent>
          <w:permStart w:id="425936453" w:edGrp="everyone"/>
          <w:r w:rsidR="00252F1A">
            <w:rPr>
              <w:rFonts w:cs="Arial"/>
            </w:rPr>
            <w:t>Low</w:t>
          </w:r>
        </w:sdtContent>
      </w:sdt>
    </w:p>
    <w:permEnd w:id="425936453"/>
    <w:p w:rsidR="00171CBD" w:rsidRDefault="00171CBD" w:rsidP="00171CBD">
      <w:pPr>
        <w:rPr>
          <w:rFonts w:cs="Arial"/>
        </w:rPr>
      </w:pPr>
      <w:r>
        <w:rPr>
          <w:rFonts w:cs="Arial"/>
        </w:rPr>
        <w:t>&lt;ESMA_QUESTION_ACDR_11&gt;</w:t>
      </w:r>
    </w:p>
    <w:p w:rsidR="00171CBD" w:rsidRDefault="00171CBD" w:rsidP="00171CBD">
      <w:pPr>
        <w:rPr>
          <w:rFonts w:cs="Arial"/>
        </w:rPr>
      </w:pPr>
    </w:p>
    <w:p w:rsidR="00171CBD" w:rsidRPr="007B52B2" w:rsidRDefault="00171CBD" w:rsidP="00171CBD">
      <w:pPr>
        <w:rPr>
          <w:rFonts w:cs="Arial"/>
        </w:rPr>
      </w:pPr>
    </w:p>
    <w:p w:rsidR="00171CBD" w:rsidRDefault="00171CBD" w:rsidP="00AF38AF">
      <w:pPr>
        <w:rPr>
          <w:rFonts w:cs="Arial"/>
          <w:sz w:val="18"/>
          <w:szCs w:val="18"/>
        </w:rPr>
      </w:pPr>
    </w:p>
    <w:sectPr w:rsidR="00171CBD"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4F0" w:rsidRDefault="005004F0">
      <w:r>
        <w:separator/>
      </w:r>
    </w:p>
    <w:p w:rsidR="005004F0" w:rsidRDefault="005004F0"/>
  </w:endnote>
  <w:endnote w:type="continuationSeparator" w:id="0">
    <w:p w:rsidR="005004F0" w:rsidRDefault="005004F0">
      <w:r>
        <w:continuationSeparator/>
      </w:r>
    </w:p>
    <w:p w:rsidR="005004F0" w:rsidRDefault="005004F0"/>
  </w:endnote>
  <w:endnote w:type="continuationNotice" w:id="1">
    <w:p w:rsidR="005004F0" w:rsidRDefault="00500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FD5FBB">
            <w:rPr>
              <w:rFonts w:cs="Arial"/>
              <w:noProof/>
              <w:sz w:val="22"/>
              <w:szCs w:val="22"/>
            </w:rPr>
            <w:t>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4F0" w:rsidRDefault="005004F0">
      <w:r>
        <w:separator/>
      </w:r>
    </w:p>
    <w:p w:rsidR="005004F0" w:rsidRDefault="005004F0"/>
  </w:footnote>
  <w:footnote w:type="continuationSeparator" w:id="0">
    <w:p w:rsidR="005004F0" w:rsidRDefault="005004F0">
      <w:r>
        <w:continuationSeparator/>
      </w:r>
    </w:p>
    <w:p w:rsidR="005004F0" w:rsidRDefault="005004F0"/>
  </w:footnote>
  <w:footnote w:type="continuationNotice" w:id="1">
    <w:p w:rsidR="005004F0" w:rsidRDefault="005004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pPr>
      <w:pStyle w:val="Header"/>
    </w:pPr>
    <w:r>
      <w:rPr>
        <w:noProof/>
        <w:lang w:eastAsia="en-GB"/>
      </w:rPr>
      <w:drawing>
        <wp:anchor distT="0" distB="0" distL="114300" distR="114300" simplePos="0" relativeHeight="251658240" behindDoc="0" locked="0" layoutInCell="1" allowOverlap="1" wp14:anchorId="75FCF6AD" wp14:editId="75FCF6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75FCF6AF" wp14:editId="75FCF6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DD2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75FCF6B1" wp14:editId="75FCF6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5FCF6B3" wp14:editId="75FCF6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75FCF6B5" wp14:editId="75FCF6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6ABD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FCF6B7" wp14:editId="75FCF6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FBF7A9F"/>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679E2"/>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C1E7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3E65345"/>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AB3030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15:restartNumberingAfterBreak="0">
    <w:nsid w:val="7D86582C"/>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633C10"/>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2"/>
  </w:num>
  <w:num w:numId="3">
    <w:abstractNumId w:val="15"/>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6"/>
  </w:num>
  <w:num w:numId="15">
    <w:abstractNumId w:val="8"/>
  </w:num>
  <w:num w:numId="16">
    <w:abstractNumId w:val="1"/>
  </w:num>
  <w:num w:numId="17">
    <w:abstractNumId w:val="18"/>
  </w:num>
  <w:num w:numId="18">
    <w:abstractNumId w:val="19"/>
  </w:num>
  <w:num w:numId="19">
    <w:abstractNumId w:val="21"/>
  </w:num>
  <w:num w:numId="20">
    <w:abstractNumId w:val="32"/>
  </w:num>
  <w:num w:numId="21">
    <w:abstractNumId w:val="41"/>
  </w:num>
  <w:num w:numId="22">
    <w:abstractNumId w:val="30"/>
  </w:num>
  <w:num w:numId="23">
    <w:abstractNumId w:val="7"/>
  </w:num>
  <w:num w:numId="24">
    <w:abstractNumId w:val="35"/>
  </w:num>
  <w:num w:numId="25">
    <w:abstractNumId w:val="34"/>
  </w:num>
  <w:num w:numId="26">
    <w:abstractNumId w:val="23"/>
  </w:num>
  <w:num w:numId="27">
    <w:abstractNumId w:val="38"/>
  </w:num>
  <w:num w:numId="28">
    <w:abstractNumId w:val="44"/>
  </w:num>
  <w:num w:numId="29">
    <w:abstractNumId w:val="5"/>
  </w:num>
  <w:num w:numId="30">
    <w:abstractNumId w:val="2"/>
  </w:num>
  <w:num w:numId="31">
    <w:abstractNumId w:val="25"/>
  </w:num>
  <w:num w:numId="32">
    <w:abstractNumId w:val="24"/>
  </w:num>
  <w:num w:numId="33">
    <w:abstractNumId w:val="40"/>
  </w:num>
  <w:num w:numId="34">
    <w:abstractNumId w:val="39"/>
  </w:num>
  <w:num w:numId="35">
    <w:abstractNumId w:val="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7"/>
  </w:num>
  <w:num w:numId="39">
    <w:abstractNumId w:val="16"/>
  </w:num>
  <w:num w:numId="40">
    <w:abstractNumId w:val="11"/>
  </w:num>
  <w:num w:numId="41">
    <w:abstractNumId w:val="10"/>
  </w:num>
  <w:num w:numId="42">
    <w:abstractNumId w:val="13"/>
  </w:num>
  <w:num w:numId="43">
    <w:abstractNumId w:val="29"/>
  </w:num>
  <w:num w:numId="44">
    <w:abstractNumId w:val="46"/>
  </w:num>
  <w:num w:numId="45">
    <w:abstractNumId w:val="43"/>
  </w:num>
  <w:num w:numId="46">
    <w:abstractNumId w:val="12"/>
  </w:num>
  <w:num w:numId="47">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pe63DAkXqq8Mg9KxfJwh+g7XnPLBH/6OaIxCQtTykBfLQngHPKnnCVwCRWlOHf1VdSYkKsInfDPTO5VRpBrUA==" w:salt="NLfaN3sEjYXp5Bj1mR9V0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575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AB3"/>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36AC"/>
    <w:rsid w:val="00094C4C"/>
    <w:rsid w:val="00096762"/>
    <w:rsid w:val="000969C8"/>
    <w:rsid w:val="0009752D"/>
    <w:rsid w:val="00097AEE"/>
    <w:rsid w:val="000A014A"/>
    <w:rsid w:val="000A04B6"/>
    <w:rsid w:val="000A0E36"/>
    <w:rsid w:val="000A1BD2"/>
    <w:rsid w:val="000A2127"/>
    <w:rsid w:val="000A358F"/>
    <w:rsid w:val="000A43CC"/>
    <w:rsid w:val="000A58BE"/>
    <w:rsid w:val="000A6DB3"/>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2F2"/>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0D6"/>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3860"/>
    <w:rsid w:val="001544C8"/>
    <w:rsid w:val="00155FAB"/>
    <w:rsid w:val="001567A1"/>
    <w:rsid w:val="00156857"/>
    <w:rsid w:val="00157E79"/>
    <w:rsid w:val="00157EED"/>
    <w:rsid w:val="00160118"/>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1CBD"/>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3CCC"/>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2F1A"/>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523"/>
    <w:rsid w:val="002D16E4"/>
    <w:rsid w:val="002D2955"/>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4F9D"/>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CDF"/>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52B"/>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1821"/>
    <w:rsid w:val="003F2E45"/>
    <w:rsid w:val="003F3EFE"/>
    <w:rsid w:val="003F40B8"/>
    <w:rsid w:val="003F5C06"/>
    <w:rsid w:val="003F6295"/>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207"/>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04F0"/>
    <w:rsid w:val="00501BF5"/>
    <w:rsid w:val="00501D8B"/>
    <w:rsid w:val="00503A3E"/>
    <w:rsid w:val="00503F59"/>
    <w:rsid w:val="005049A7"/>
    <w:rsid w:val="005053B2"/>
    <w:rsid w:val="00506331"/>
    <w:rsid w:val="00507D11"/>
    <w:rsid w:val="00510662"/>
    <w:rsid w:val="005109B7"/>
    <w:rsid w:val="00510A19"/>
    <w:rsid w:val="00511AAB"/>
    <w:rsid w:val="00512770"/>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315F"/>
    <w:rsid w:val="005347CE"/>
    <w:rsid w:val="00535477"/>
    <w:rsid w:val="00535DEA"/>
    <w:rsid w:val="0053723A"/>
    <w:rsid w:val="00537636"/>
    <w:rsid w:val="00537B1D"/>
    <w:rsid w:val="00540191"/>
    <w:rsid w:val="00540A2A"/>
    <w:rsid w:val="00541F27"/>
    <w:rsid w:val="00542297"/>
    <w:rsid w:val="005424BC"/>
    <w:rsid w:val="00542A28"/>
    <w:rsid w:val="005441D4"/>
    <w:rsid w:val="005458E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239"/>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88"/>
    <w:rsid w:val="006C2CCB"/>
    <w:rsid w:val="006C4334"/>
    <w:rsid w:val="006C4B0F"/>
    <w:rsid w:val="006C5E96"/>
    <w:rsid w:val="006D2F32"/>
    <w:rsid w:val="006D399F"/>
    <w:rsid w:val="006D4F0C"/>
    <w:rsid w:val="006D506A"/>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3F1"/>
    <w:rsid w:val="00724C18"/>
    <w:rsid w:val="00726630"/>
    <w:rsid w:val="00727F73"/>
    <w:rsid w:val="00730705"/>
    <w:rsid w:val="00730944"/>
    <w:rsid w:val="0073248E"/>
    <w:rsid w:val="00733EE9"/>
    <w:rsid w:val="00735B8E"/>
    <w:rsid w:val="0073673C"/>
    <w:rsid w:val="00736935"/>
    <w:rsid w:val="0074077E"/>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B8E"/>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505E"/>
    <w:rsid w:val="00880224"/>
    <w:rsid w:val="0088244C"/>
    <w:rsid w:val="00883337"/>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1A2C"/>
    <w:rsid w:val="008B2B9E"/>
    <w:rsid w:val="008B31F5"/>
    <w:rsid w:val="008B4C79"/>
    <w:rsid w:val="008B581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4B8"/>
    <w:rsid w:val="00907631"/>
    <w:rsid w:val="00907776"/>
    <w:rsid w:val="00913401"/>
    <w:rsid w:val="00913567"/>
    <w:rsid w:val="009137B6"/>
    <w:rsid w:val="00913832"/>
    <w:rsid w:val="00915EBA"/>
    <w:rsid w:val="00917093"/>
    <w:rsid w:val="0092030E"/>
    <w:rsid w:val="009203D0"/>
    <w:rsid w:val="009217B1"/>
    <w:rsid w:val="00921A42"/>
    <w:rsid w:val="00921FF3"/>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098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C7324"/>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7FA"/>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138"/>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5693B"/>
    <w:rsid w:val="00A60D6F"/>
    <w:rsid w:val="00A61009"/>
    <w:rsid w:val="00A61762"/>
    <w:rsid w:val="00A61938"/>
    <w:rsid w:val="00A61CFD"/>
    <w:rsid w:val="00A62B86"/>
    <w:rsid w:val="00A63C96"/>
    <w:rsid w:val="00A65805"/>
    <w:rsid w:val="00A66BEE"/>
    <w:rsid w:val="00A671C9"/>
    <w:rsid w:val="00A67DFD"/>
    <w:rsid w:val="00A700BE"/>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2F54"/>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1DF"/>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22E4"/>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2E94"/>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1706"/>
    <w:rsid w:val="00DD2B94"/>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2F3"/>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67A"/>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F3D"/>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3D1"/>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731"/>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66D"/>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E00"/>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5FBB"/>
    <w:rsid w:val="00FD7858"/>
    <w:rsid w:val="00FD7A8D"/>
    <w:rsid w:val="00FE1330"/>
    <w:rsid w:val="00FE1CE5"/>
    <w:rsid w:val="00FE2832"/>
    <w:rsid w:val="00FE2AB5"/>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88153048">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markets.cboe.com/europe/equities/tradin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6042502ab67b2af6e6a8219aa65b6c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479ea9e3861a99406658e6f9fabf6ac2"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ESMA70-156-471</_dlc_DocId>
    <_dlc_DocIdUrl xmlns="20fbe147-bbda-4e53-b6b1-7e8bbff3fe19">
      <Url>https://sherpa.esma.europa.eu/sites/MKT/SMK/_layouts/15/DocIdRedir.aspx?ID=ESMA70-156-471</Url>
      <Description>ESMA70-156-471</Description>
    </_dlc_DocIdUrl>
    <TaxCatchAll xmlns="20fbe147-bbda-4e53-b6b1-7e8bbff3fe19">
      <Value>91</Value>
      <Value>14</Value>
      <Value>4</Value>
      <Value>344</Value>
      <Value>42</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Structure</TermName>
          <TermId xmlns="http://schemas.microsoft.com/office/infopath/2007/PartnerControls">64d04d13-f5dd-4d7c-9661-ac41a6b467f2</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Structure - Tick sizes</TermName>
          <TermId xmlns="http://schemas.microsoft.com/office/infopath/2007/PartnerControls">2e828c2b-dbb1-4a81-bf4d-074a2ade765c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9822A0C6-7135-40D0-A39E-2C8F4FE39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purl.org/dc/dcmitype/"/>
    <ds:schemaRef ds:uri="20fbe147-bbda-4e53-b6b1-7e8bbff3fe19"/>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schemas.microsoft.com/sharepoint/v4"/>
    <ds:schemaRef ds:uri="http://schemas.microsoft.com/office/2006/metadata/properties"/>
    <ds:schemaRef ds:uri="http://purl.org/dc/terms/"/>
    <ds:schemaRef ds:uri="http://purl.org/dc/elements/1.1/"/>
  </ds:schemaRefs>
</ds:datastoreItem>
</file>

<file path=customXml/itemProps5.xml><?xml version="1.0" encoding="utf-8"?>
<ds:datastoreItem xmlns:ds="http://schemas.openxmlformats.org/officeDocument/2006/customXml" ds:itemID="{775363FB-1216-4114-9D5A-7C1A91FBB224}">
  <ds:schemaRefs>
    <ds:schemaRef ds:uri="http://schemas.openxmlformats.org/officeDocument/2006/bibliography"/>
  </ds:schemaRefs>
</ds:datastoreItem>
</file>

<file path=customXml/itemProps6.xml><?xml version="1.0" encoding="utf-8"?>
<ds:datastoreItem xmlns:ds="http://schemas.openxmlformats.org/officeDocument/2006/customXml" ds:itemID="{B2B77EDD-FAA7-4918-AF70-F6EF5317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1912</Words>
  <Characters>10676</Characters>
  <Application>Microsoft Office Word</Application>
  <DocSecurity>12</DocSecurity>
  <Lines>88</Lines>
  <Paragraphs>25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12563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Julie Hutchison</cp:lastModifiedBy>
  <cp:revision>2</cp:revision>
  <cp:lastPrinted>2018-08-14T08:25:00Z</cp:lastPrinted>
  <dcterms:created xsi:type="dcterms:W3CDTF">2018-09-07T12:28:00Z</dcterms:created>
  <dcterms:modified xsi:type="dcterms:W3CDTF">2018-09-07T12:28:00Z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42;#Market Structure|64d04d13-f5dd-4d7c-9661-ac41a6b467f2</vt:lpwstr>
  </property>
  <property fmtid="{D5CDD505-2E9C-101B-9397-08002B2CF9AE}" pid="6" name="SubTopic">
    <vt:lpwstr>344;#Market Structure - Tick sizes|2e828c2b-dbb1-4a81-bf4d-074a2ade765c</vt:lpwstr>
  </property>
  <property fmtid="{D5CDD505-2E9C-101B-9397-08002B2CF9AE}" pid="7" name="DocumentType">
    <vt:lpwstr>91;#Consultation Paper|c6238baf-c3d7-4bb8-8cf2-f28a89601f52</vt:lpwstr>
  </property>
  <property fmtid="{D5CDD505-2E9C-101B-9397-08002B2CF9AE}" pid="8" name="ConfidentialityLevel">
    <vt:lpwstr>14;#Regular|07f1e362-856b-423d-bea6-a14079762141</vt:lpwstr>
  </property>
  <property fmtid="{D5CDD505-2E9C-101B-9397-08002B2CF9AE}" pid="9" name="_dlc_DocIdItemGuid">
    <vt:lpwstr>7c84c7ee-1c00-4026-87f9-a60aeee8b4f6</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