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35550B" w:rsidRPr="004A0164" w14:paraId="2AEED33A" w14:textId="77777777" w:rsidTr="00180C5D">
        <w:trPr>
          <w:trHeight w:val="284"/>
        </w:trPr>
        <w:tc>
          <w:tcPr>
            <w:tcW w:w="9412" w:type="dxa"/>
          </w:tcPr>
          <w:p w14:paraId="6DAD42F6" w14:textId="77777777" w:rsidR="0035550B" w:rsidRPr="00A8300E" w:rsidRDefault="0035550B" w:rsidP="00180C5D">
            <w:pPr>
              <w:pStyle w:val="00bDBInfo"/>
              <w:rPr>
                <w:rFonts w:asciiTheme="minorHAnsi" w:hAnsiTheme="minorHAnsi" w:cs="Arial"/>
                <w:sz w:val="22"/>
                <w:szCs w:val="22"/>
              </w:rPr>
            </w:pPr>
            <w:r w:rsidRPr="00A8300E">
              <w:rPr>
                <w:rFonts w:asciiTheme="minorHAnsi" w:hAnsiTheme="minorHAnsi" w:cs="Arial"/>
                <w:sz w:val="22"/>
                <w:szCs w:val="22"/>
              </w:rPr>
              <w:t xml:space="preserve">13 July 2018 | ESMA70-156-471   </w:t>
            </w:r>
          </w:p>
        </w:tc>
      </w:tr>
    </w:tbl>
    <w:p w14:paraId="272A154A" w14:textId="77777777" w:rsidR="0035550B" w:rsidRPr="004A0164" w:rsidRDefault="0035550B" w:rsidP="0035550B">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35550B" w:rsidRPr="004A0164" w14:paraId="34298FB2" w14:textId="77777777" w:rsidTr="00180C5D">
        <w:trPr>
          <w:trHeight w:hRule="exact" w:val="2475"/>
        </w:trPr>
        <w:tc>
          <w:tcPr>
            <w:tcW w:w="9646" w:type="dxa"/>
            <w:vAlign w:val="bottom"/>
          </w:tcPr>
          <w:p w14:paraId="147F7AB9" w14:textId="77777777" w:rsidR="0035550B" w:rsidRPr="00A8300E" w:rsidRDefault="0035550B" w:rsidP="00180C5D">
            <w:pPr>
              <w:pStyle w:val="01aDBTitle"/>
              <w:jc w:val="left"/>
              <w:rPr>
                <w:rFonts w:asciiTheme="minorHAnsi" w:hAnsiTheme="minorHAnsi" w:cs="Arial"/>
                <w:sz w:val="22"/>
                <w:szCs w:val="22"/>
              </w:rPr>
            </w:pPr>
            <w:r w:rsidRPr="00A8300E">
              <w:rPr>
                <w:rFonts w:asciiTheme="minorHAnsi" w:hAnsiTheme="minorHAnsi" w:cs="Arial"/>
                <w:sz w:val="22"/>
                <w:szCs w:val="22"/>
              </w:rPr>
              <w:t>Response form for the Consultation Paper on the Amendment to RTS 11 (ESMA70-156-357)</w:t>
            </w:r>
          </w:p>
          <w:p w14:paraId="7993BF94" w14:textId="77777777" w:rsidR="0035550B" w:rsidRPr="00A8300E" w:rsidRDefault="0035550B" w:rsidP="00180C5D">
            <w:pPr>
              <w:pStyle w:val="01aDBTitle"/>
              <w:rPr>
                <w:rFonts w:asciiTheme="minorHAnsi" w:hAnsiTheme="minorHAnsi" w:cs="Arial"/>
                <w:sz w:val="22"/>
                <w:szCs w:val="22"/>
              </w:rPr>
            </w:pPr>
            <w:r w:rsidRPr="00A8300E">
              <w:rPr>
                <w:rFonts w:asciiTheme="minorHAnsi" w:hAnsiTheme="minorHAnsi" w:cs="Arial"/>
                <w:sz w:val="22"/>
                <w:szCs w:val="22"/>
              </w:rPr>
              <w:t xml:space="preserve">  </w:t>
            </w:r>
          </w:p>
        </w:tc>
      </w:tr>
      <w:tr w:rsidR="0035550B" w:rsidRPr="004A0164" w14:paraId="28DF2F32" w14:textId="77777777" w:rsidTr="00180C5D">
        <w:trPr>
          <w:trHeight w:hRule="exact" w:val="1237"/>
        </w:trPr>
        <w:tc>
          <w:tcPr>
            <w:tcW w:w="9646" w:type="dxa"/>
            <w:tcMar>
              <w:top w:w="142" w:type="dxa"/>
            </w:tcMar>
          </w:tcPr>
          <w:p w14:paraId="397A6E1D" w14:textId="77777777" w:rsidR="0035550B" w:rsidRPr="00A8300E" w:rsidRDefault="0035550B" w:rsidP="00180C5D">
            <w:pPr>
              <w:pStyle w:val="01bDBSubtitle"/>
              <w:rPr>
                <w:rFonts w:asciiTheme="minorHAnsi" w:hAnsiTheme="minorHAnsi" w:cs="Arial"/>
                <w:sz w:val="22"/>
                <w:szCs w:val="22"/>
              </w:rPr>
            </w:pPr>
            <w:r w:rsidRPr="00A8300E">
              <w:rPr>
                <w:rFonts w:asciiTheme="minorHAnsi" w:hAnsiTheme="minorHAnsi" w:cs="Arial"/>
                <w:sz w:val="22"/>
                <w:szCs w:val="22"/>
              </w:rPr>
              <w:t xml:space="preserve"> </w:t>
            </w:r>
          </w:p>
        </w:tc>
      </w:tr>
    </w:tbl>
    <w:p w14:paraId="152250C8" w14:textId="77777777" w:rsidR="0035550B" w:rsidRPr="00A8300E" w:rsidRDefault="0035550B" w:rsidP="0035550B">
      <w:pPr>
        <w:pStyle w:val="05HeadlinenoIndex"/>
        <w:rPr>
          <w:rFonts w:asciiTheme="minorHAnsi" w:hAnsiTheme="minorHAnsi" w:cs="Arial"/>
          <w:sz w:val="22"/>
          <w:szCs w:val="22"/>
        </w:rPr>
        <w:sectPr w:rsidR="0035550B" w:rsidRPr="00A8300E" w:rsidSect="00180C5D">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35550B" w:rsidRPr="004A0164" w14:paraId="5EEF73A6" w14:textId="77777777" w:rsidTr="00180C5D">
        <w:trPr>
          <w:trHeight w:hRule="exact" w:val="964"/>
        </w:trPr>
        <w:tc>
          <w:tcPr>
            <w:tcW w:w="2325" w:type="dxa"/>
          </w:tcPr>
          <w:p w14:paraId="6081C44C" w14:textId="77777777" w:rsidR="0035550B" w:rsidRPr="00A8300E" w:rsidRDefault="0035550B" w:rsidP="00180C5D">
            <w:pPr>
              <w:pStyle w:val="02Date"/>
              <w:rPr>
                <w:rFonts w:asciiTheme="minorHAnsi" w:hAnsiTheme="minorHAnsi" w:cs="Arial"/>
                <w:sz w:val="22"/>
                <w:szCs w:val="22"/>
              </w:rPr>
            </w:pPr>
            <w:r w:rsidRPr="00A8300E">
              <w:rPr>
                <w:rFonts w:asciiTheme="minorHAnsi" w:hAnsiTheme="minorHAnsi" w:cs="Arial"/>
                <w:sz w:val="22"/>
                <w:szCs w:val="22"/>
              </w:rPr>
              <w:lastRenderedPageBreak/>
              <w:t>Date: 13 July 2018</w:t>
            </w:r>
          </w:p>
          <w:p w14:paraId="6D5487ED" w14:textId="77777777" w:rsidR="0035550B" w:rsidRPr="00A8300E" w:rsidRDefault="0035550B" w:rsidP="00180C5D">
            <w:pPr>
              <w:pStyle w:val="02Date"/>
              <w:rPr>
                <w:rFonts w:asciiTheme="minorHAnsi" w:hAnsiTheme="minorHAnsi" w:cs="Arial"/>
                <w:sz w:val="22"/>
                <w:szCs w:val="22"/>
              </w:rPr>
            </w:pPr>
            <w:r w:rsidRPr="00A8300E">
              <w:rPr>
                <w:rFonts w:asciiTheme="minorHAnsi" w:hAnsiTheme="minorHAnsi" w:cs="Arial"/>
                <w:sz w:val="22"/>
                <w:szCs w:val="22"/>
              </w:rPr>
              <w:t>ESMA70-156-471</w:t>
            </w:r>
          </w:p>
        </w:tc>
      </w:tr>
    </w:tbl>
    <w:p w14:paraId="23349E85" w14:textId="77777777" w:rsidR="0035550B" w:rsidRPr="00B034F3" w:rsidRDefault="0035550B" w:rsidP="0035550B">
      <w:pPr>
        <w:pStyle w:val="05HeadlinenoIndex"/>
        <w:rPr>
          <w:rFonts w:asciiTheme="minorHAnsi" w:hAnsiTheme="minorHAnsi" w:cs="Arial"/>
          <w:sz w:val="22"/>
          <w:szCs w:val="22"/>
        </w:rPr>
      </w:pPr>
      <w:bookmarkStart w:id="0" w:name="_Toc280628648"/>
      <w:r w:rsidRPr="00B034F3">
        <w:rPr>
          <w:rFonts w:asciiTheme="minorHAnsi" w:hAnsiTheme="minorHAnsi" w:cs="Arial"/>
          <w:sz w:val="22"/>
          <w:szCs w:val="22"/>
        </w:rPr>
        <w:t xml:space="preserve">Responding to this paper </w:t>
      </w:r>
    </w:p>
    <w:p w14:paraId="34B2076B" w14:textId="77777777" w:rsidR="0035550B" w:rsidRPr="00B034F3" w:rsidRDefault="0035550B" w:rsidP="0035550B">
      <w:pPr>
        <w:spacing w:after="240"/>
        <w:jc w:val="both"/>
        <w:rPr>
          <w:rStyle w:val="SchwacheHervorhebung"/>
          <w:b w:val="0"/>
          <w:sz w:val="22"/>
        </w:rPr>
      </w:pPr>
      <w:r w:rsidRPr="00B034F3">
        <w:rPr>
          <w:rStyle w:val="SchwacheHervorhebung"/>
          <w:sz w:val="22"/>
        </w:rPr>
        <w:t>ESMA invites responses to the questions set out throughout its Consultation Paper (ESMA70-156-357) proposing amendments to Commission Delegated Regulation (EU) 2017/588 (RTS 11). Responses are most helpful if they:</w:t>
      </w:r>
    </w:p>
    <w:p w14:paraId="2CD36911" w14:textId="77777777" w:rsidR="0035550B" w:rsidRPr="00B034F3" w:rsidRDefault="0035550B" w:rsidP="0035550B">
      <w:pPr>
        <w:pStyle w:val="Listenabsatz"/>
        <w:numPr>
          <w:ilvl w:val="0"/>
          <w:numId w:val="2"/>
        </w:numPr>
        <w:spacing w:after="240" w:line="276" w:lineRule="auto"/>
        <w:ind w:left="567" w:hanging="567"/>
        <w:contextualSpacing w:val="0"/>
        <w:jc w:val="both"/>
        <w:rPr>
          <w:rStyle w:val="SchwacheHervorhebung"/>
          <w:rFonts w:asciiTheme="minorHAnsi" w:hAnsiTheme="minorHAnsi"/>
          <w:b w:val="0"/>
          <w:sz w:val="22"/>
          <w:szCs w:val="22"/>
        </w:rPr>
      </w:pPr>
      <w:r w:rsidRPr="00B034F3">
        <w:rPr>
          <w:rStyle w:val="SchwacheHervorhebung"/>
          <w:rFonts w:asciiTheme="minorHAnsi" w:hAnsiTheme="minorHAnsi"/>
          <w:sz w:val="22"/>
          <w:szCs w:val="22"/>
        </w:rPr>
        <w:t>respond to the question stated;</w:t>
      </w:r>
    </w:p>
    <w:p w14:paraId="457278CF" w14:textId="77777777" w:rsidR="0035550B" w:rsidRPr="00B034F3" w:rsidRDefault="0035550B" w:rsidP="0035550B">
      <w:pPr>
        <w:pStyle w:val="Listenabsatz"/>
        <w:numPr>
          <w:ilvl w:val="0"/>
          <w:numId w:val="2"/>
        </w:numPr>
        <w:spacing w:after="240" w:line="276" w:lineRule="auto"/>
        <w:ind w:left="567" w:hanging="567"/>
        <w:contextualSpacing w:val="0"/>
        <w:jc w:val="both"/>
        <w:rPr>
          <w:rStyle w:val="SchwacheHervorhebung"/>
          <w:rFonts w:asciiTheme="minorHAnsi" w:hAnsiTheme="minorHAnsi"/>
          <w:b w:val="0"/>
          <w:sz w:val="22"/>
          <w:szCs w:val="22"/>
        </w:rPr>
      </w:pPr>
      <w:r w:rsidRPr="00B034F3">
        <w:rPr>
          <w:rStyle w:val="SchwacheHervorhebung"/>
          <w:rFonts w:asciiTheme="minorHAnsi" w:hAnsiTheme="minorHAnsi"/>
          <w:sz w:val="22"/>
          <w:szCs w:val="22"/>
        </w:rPr>
        <w:t>contain a clear rationale; and</w:t>
      </w:r>
    </w:p>
    <w:p w14:paraId="5391698D" w14:textId="77777777" w:rsidR="0035550B" w:rsidRPr="00B034F3" w:rsidRDefault="0035550B" w:rsidP="0035550B">
      <w:pPr>
        <w:pStyle w:val="Listenabsatz"/>
        <w:numPr>
          <w:ilvl w:val="0"/>
          <w:numId w:val="2"/>
        </w:numPr>
        <w:spacing w:after="240" w:line="276" w:lineRule="auto"/>
        <w:ind w:left="567" w:hanging="567"/>
        <w:contextualSpacing w:val="0"/>
        <w:jc w:val="both"/>
        <w:rPr>
          <w:rStyle w:val="SchwacheHervorhebung"/>
          <w:rFonts w:asciiTheme="minorHAnsi" w:hAnsiTheme="minorHAnsi"/>
          <w:b w:val="0"/>
          <w:sz w:val="22"/>
          <w:szCs w:val="22"/>
        </w:rPr>
      </w:pPr>
      <w:r w:rsidRPr="00B034F3">
        <w:rPr>
          <w:rStyle w:val="SchwacheHervorhebung"/>
          <w:rFonts w:asciiTheme="minorHAnsi" w:hAnsiTheme="minorHAnsi"/>
          <w:sz w:val="22"/>
          <w:szCs w:val="22"/>
        </w:rPr>
        <w:t>describe any alternatives ESMA should consider.</w:t>
      </w:r>
    </w:p>
    <w:p w14:paraId="0C8B2396" w14:textId="77777777" w:rsidR="0035550B" w:rsidRPr="00B034F3" w:rsidRDefault="0035550B" w:rsidP="0035550B">
      <w:pPr>
        <w:spacing w:after="240"/>
        <w:jc w:val="both"/>
        <w:rPr>
          <w:rStyle w:val="SchwacheHervorhebung"/>
          <w:b w:val="0"/>
          <w:sz w:val="22"/>
        </w:rPr>
      </w:pPr>
      <w:r w:rsidRPr="00B034F3">
        <w:rPr>
          <w:rStyle w:val="SchwacheHervorhebung"/>
          <w:sz w:val="22"/>
        </w:rPr>
        <w:t>ESMA will consider all responses received by 7 September 2018.</w:t>
      </w:r>
    </w:p>
    <w:p w14:paraId="50E0F168" w14:textId="77777777" w:rsidR="0035550B" w:rsidRPr="00B034F3" w:rsidRDefault="0035550B" w:rsidP="0035550B">
      <w:pPr>
        <w:spacing w:after="120"/>
        <w:jc w:val="both"/>
        <w:rPr>
          <w:rStyle w:val="SchwacheHervorhebung"/>
          <w:sz w:val="22"/>
        </w:rPr>
      </w:pPr>
      <w:r w:rsidRPr="00B034F3">
        <w:rPr>
          <w:rStyle w:val="SchwacheHervorhebung"/>
          <w:sz w:val="22"/>
        </w:rPr>
        <w:t>Instructions</w:t>
      </w:r>
    </w:p>
    <w:p w14:paraId="6099FA4C" w14:textId="77777777" w:rsidR="0035550B" w:rsidRPr="00B034F3" w:rsidRDefault="0035550B" w:rsidP="0035550B">
      <w:pPr>
        <w:spacing w:after="240"/>
        <w:jc w:val="both"/>
        <w:rPr>
          <w:rStyle w:val="SchwacheHervorhebung"/>
          <w:b w:val="0"/>
          <w:sz w:val="22"/>
        </w:rPr>
      </w:pPr>
      <w:r w:rsidRPr="00B034F3">
        <w:rPr>
          <w:rStyle w:val="SchwacheHervorhebung"/>
          <w:sz w:val="22"/>
        </w:rPr>
        <w:t>In order to facilitate analysis of responses to the Consultation Paper, respondents are requested to follow the below steps when preparing and submitting their response:</w:t>
      </w:r>
    </w:p>
    <w:p w14:paraId="0E241572" w14:textId="77777777" w:rsidR="0035550B" w:rsidRPr="00B034F3" w:rsidRDefault="0035550B" w:rsidP="0035550B">
      <w:pPr>
        <w:pStyle w:val="Listenabsatz"/>
        <w:numPr>
          <w:ilvl w:val="0"/>
          <w:numId w:val="2"/>
        </w:numPr>
        <w:spacing w:after="240" w:line="276" w:lineRule="auto"/>
        <w:ind w:left="567" w:hanging="567"/>
        <w:contextualSpacing w:val="0"/>
        <w:jc w:val="both"/>
        <w:rPr>
          <w:rStyle w:val="SchwacheHervorhebung"/>
          <w:rFonts w:asciiTheme="minorHAnsi" w:hAnsiTheme="minorHAnsi"/>
          <w:b w:val="0"/>
          <w:sz w:val="22"/>
          <w:szCs w:val="22"/>
        </w:rPr>
      </w:pPr>
      <w:r w:rsidRPr="00B034F3">
        <w:rPr>
          <w:rStyle w:val="SchwacheHervorhebung"/>
          <w:rFonts w:asciiTheme="minorHAnsi" w:hAnsiTheme="minorHAnsi"/>
          <w:sz w:val="22"/>
          <w:szCs w:val="22"/>
        </w:rPr>
        <w:t xml:space="preserve">Insert your responses to the questions in the Consultation Paper in the present response form. </w:t>
      </w:r>
    </w:p>
    <w:p w14:paraId="1957761B" w14:textId="77777777" w:rsidR="0035550B" w:rsidRPr="00B034F3" w:rsidRDefault="0035550B" w:rsidP="0035550B">
      <w:pPr>
        <w:pStyle w:val="Listenabsatz"/>
        <w:numPr>
          <w:ilvl w:val="0"/>
          <w:numId w:val="2"/>
        </w:numPr>
        <w:spacing w:after="240" w:line="276" w:lineRule="auto"/>
        <w:ind w:left="567" w:hanging="567"/>
        <w:contextualSpacing w:val="0"/>
        <w:jc w:val="both"/>
        <w:rPr>
          <w:rStyle w:val="SchwacheHervorhebung"/>
          <w:rFonts w:asciiTheme="minorHAnsi" w:hAnsiTheme="minorHAnsi"/>
          <w:b w:val="0"/>
          <w:sz w:val="22"/>
          <w:szCs w:val="22"/>
        </w:rPr>
      </w:pPr>
      <w:r w:rsidRPr="00B034F3">
        <w:rPr>
          <w:rStyle w:val="SchwacheHervorhebung"/>
          <w:rFonts w:asciiTheme="minorHAnsi" w:hAnsiTheme="minorHAnsi"/>
          <w:sz w:val="22"/>
          <w:szCs w:val="22"/>
        </w:rPr>
        <w:t>Please do not remove tags of the type &lt;ESMA_QUESTION_ACDR_1&gt;. Your response to each question has to be framed by the two tags corresponding to the question.</w:t>
      </w:r>
    </w:p>
    <w:p w14:paraId="4B5AAC6B" w14:textId="77777777" w:rsidR="0035550B" w:rsidRPr="00B034F3" w:rsidRDefault="0035550B" w:rsidP="0035550B">
      <w:pPr>
        <w:pStyle w:val="Listenabsatz"/>
        <w:numPr>
          <w:ilvl w:val="0"/>
          <w:numId w:val="2"/>
        </w:numPr>
        <w:spacing w:after="240" w:line="276" w:lineRule="auto"/>
        <w:ind w:left="567" w:hanging="567"/>
        <w:contextualSpacing w:val="0"/>
        <w:jc w:val="both"/>
        <w:rPr>
          <w:rStyle w:val="SchwacheHervorhebung"/>
          <w:rFonts w:asciiTheme="minorHAnsi" w:hAnsiTheme="minorHAnsi"/>
          <w:b w:val="0"/>
          <w:sz w:val="22"/>
          <w:szCs w:val="22"/>
        </w:rPr>
      </w:pPr>
      <w:r w:rsidRPr="00B034F3">
        <w:rPr>
          <w:rStyle w:val="SchwacheHervorhebung"/>
          <w:rFonts w:asciiTheme="minorHAnsi" w:hAnsiTheme="minorHAnsi"/>
          <w:sz w:val="22"/>
          <w:szCs w:val="22"/>
        </w:rPr>
        <w:t>If you do not wish to respond to a given question, please do not delete it but simply leave the text “TYPE YOUR TEXT HERE” between the tags.</w:t>
      </w:r>
    </w:p>
    <w:p w14:paraId="70957111" w14:textId="77777777" w:rsidR="0035550B" w:rsidRPr="00B034F3" w:rsidRDefault="0035550B" w:rsidP="0035550B">
      <w:pPr>
        <w:pStyle w:val="Listenabsatz"/>
        <w:numPr>
          <w:ilvl w:val="0"/>
          <w:numId w:val="2"/>
        </w:numPr>
        <w:spacing w:after="240" w:line="276" w:lineRule="auto"/>
        <w:ind w:left="567" w:hanging="567"/>
        <w:contextualSpacing w:val="0"/>
        <w:jc w:val="both"/>
        <w:rPr>
          <w:rStyle w:val="SchwacheHervorhebung"/>
          <w:rFonts w:asciiTheme="minorHAnsi" w:hAnsiTheme="minorHAnsi"/>
          <w:b w:val="0"/>
          <w:sz w:val="22"/>
          <w:szCs w:val="22"/>
        </w:rPr>
      </w:pPr>
      <w:r w:rsidRPr="00B034F3">
        <w:rPr>
          <w:rStyle w:val="SchwacheHervorhebung"/>
          <w:rFonts w:asciiTheme="minorHAnsi" w:hAnsiTheme="minorHAnsi"/>
          <w:sz w:val="22"/>
          <w:szCs w:val="22"/>
        </w:rPr>
        <w:t>When you have drafted your response, name your response form according to the following convention: ESMA_PE_nameofrespondent_RESPONSEFORM. For example, for a respondent named ABCD, the response form would be entitled ESMA_ACDR_ABCD_RESPONSEFORM.</w:t>
      </w:r>
    </w:p>
    <w:p w14:paraId="301F7E1B" w14:textId="77777777" w:rsidR="0035550B" w:rsidRPr="00B034F3" w:rsidRDefault="0035550B" w:rsidP="0035550B">
      <w:pPr>
        <w:pStyle w:val="Listenabsatz"/>
        <w:numPr>
          <w:ilvl w:val="0"/>
          <w:numId w:val="2"/>
        </w:numPr>
        <w:spacing w:after="240" w:line="276" w:lineRule="auto"/>
        <w:ind w:left="567" w:hanging="567"/>
        <w:contextualSpacing w:val="0"/>
        <w:jc w:val="both"/>
        <w:rPr>
          <w:rStyle w:val="SchwacheHervorhebung"/>
          <w:rFonts w:asciiTheme="minorHAnsi" w:hAnsiTheme="minorHAnsi"/>
          <w:b w:val="0"/>
          <w:sz w:val="22"/>
          <w:szCs w:val="22"/>
        </w:rPr>
      </w:pPr>
      <w:r w:rsidRPr="00B034F3">
        <w:rPr>
          <w:rStyle w:val="SchwacheHervorhebung"/>
          <w:rFonts w:asciiTheme="minorHAnsi" w:hAnsiTheme="minorHAnsi"/>
          <w:sz w:val="22"/>
          <w:szCs w:val="22"/>
        </w:rPr>
        <w:t>Upload the form containing your responses, in Word format, to ESMA’s website (</w:t>
      </w:r>
      <w:hyperlink r:id="rId16" w:history="1">
        <w:r w:rsidRPr="00B034F3">
          <w:rPr>
            <w:rStyle w:val="Hyperlink"/>
            <w:rFonts w:asciiTheme="minorHAnsi" w:hAnsiTheme="minorHAnsi" w:cs="Arial"/>
            <w:sz w:val="22"/>
            <w:szCs w:val="22"/>
          </w:rPr>
          <w:t>www.esma.europa.eu</w:t>
        </w:r>
      </w:hyperlink>
      <w:r w:rsidRPr="00B034F3">
        <w:rPr>
          <w:rStyle w:val="SchwacheHervorhebung"/>
          <w:rFonts w:asciiTheme="minorHAnsi" w:hAnsiTheme="minorHAnsi"/>
          <w:sz w:val="22"/>
          <w:szCs w:val="22"/>
        </w:rPr>
        <w:t xml:space="preserve"> under the heading “Your input – Open consultations” </w:t>
      </w:r>
      <w:r w:rsidRPr="00B034F3">
        <w:rPr>
          <w:rStyle w:val="SchwacheHervorhebung"/>
          <w:rFonts w:asciiTheme="minorHAnsi" w:hAnsiTheme="minorHAnsi"/>
          <w:sz w:val="22"/>
          <w:szCs w:val="22"/>
        </w:rPr>
        <w:sym w:font="Wingdings" w:char="F0E0"/>
      </w:r>
      <w:r w:rsidRPr="00B034F3">
        <w:rPr>
          <w:rStyle w:val="SchwacheHervorhebung"/>
          <w:rFonts w:asciiTheme="minorHAnsi" w:hAnsiTheme="minorHAnsi"/>
          <w:sz w:val="22"/>
          <w:szCs w:val="22"/>
        </w:rPr>
        <w:t xml:space="preserve"> “Consultation on Securitisation Repositories Application Requirements”).</w:t>
      </w:r>
    </w:p>
    <w:p w14:paraId="43359F0F" w14:textId="77777777" w:rsidR="0035550B" w:rsidRPr="00B034F3" w:rsidRDefault="0035550B" w:rsidP="0035550B">
      <w:pPr>
        <w:spacing w:after="120"/>
        <w:jc w:val="both"/>
        <w:rPr>
          <w:rStyle w:val="SchwacheHervorhebung"/>
          <w:sz w:val="22"/>
          <w:lang w:eastAsia="en-GB"/>
        </w:rPr>
      </w:pPr>
      <w:r w:rsidRPr="00B034F3">
        <w:rPr>
          <w:rStyle w:val="SchwacheHervorhebung"/>
          <w:sz w:val="22"/>
          <w:lang w:eastAsia="en-GB"/>
        </w:rPr>
        <w:lastRenderedPageBreak/>
        <w:t>Publication of responses</w:t>
      </w:r>
    </w:p>
    <w:p w14:paraId="7B23E6B3" w14:textId="77777777" w:rsidR="0035550B" w:rsidRPr="00B034F3" w:rsidRDefault="0035550B" w:rsidP="0035550B">
      <w:pPr>
        <w:spacing w:after="240"/>
        <w:jc w:val="both"/>
        <w:rPr>
          <w:rStyle w:val="SchwacheHervorhebung"/>
          <w:b w:val="0"/>
          <w:sz w:val="22"/>
          <w:lang w:eastAsia="en-GB"/>
        </w:rPr>
      </w:pPr>
      <w:r w:rsidRPr="00B034F3">
        <w:rPr>
          <w:rStyle w:val="SchwacheHervorhebung"/>
          <w:sz w:val="22"/>
          <w:lang w:eastAsia="en-GB"/>
        </w:rPr>
        <w:t>All contributions received will be published following the close of the consultation, unless you request otherwise. Please clearly indicate by ticking the appropriate checkbox on the website submission page if you do not wish your contribution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2B566294" w14:textId="77777777" w:rsidR="0035550B" w:rsidRPr="00B034F3" w:rsidRDefault="0035550B" w:rsidP="0035550B">
      <w:pPr>
        <w:rPr>
          <w:rStyle w:val="SchwacheHervorhebung"/>
          <w:sz w:val="22"/>
          <w:lang w:eastAsia="en-GB"/>
        </w:rPr>
      </w:pPr>
      <w:r w:rsidRPr="00B034F3">
        <w:rPr>
          <w:rStyle w:val="SchwacheHervorhebung"/>
          <w:sz w:val="22"/>
          <w:lang w:eastAsia="en-GB"/>
        </w:rPr>
        <w:t>Data protection</w:t>
      </w:r>
    </w:p>
    <w:p w14:paraId="2C10A3DB" w14:textId="77777777" w:rsidR="0035550B" w:rsidRPr="00B034F3" w:rsidRDefault="0035550B" w:rsidP="0035550B">
      <w:pPr>
        <w:spacing w:after="240"/>
        <w:jc w:val="both"/>
        <w:rPr>
          <w:rStyle w:val="SchwacheHervorhebung"/>
          <w:b w:val="0"/>
          <w:sz w:val="22"/>
          <w:lang w:eastAsia="en-GB"/>
        </w:rPr>
      </w:pPr>
      <w:r w:rsidRPr="00B034F3">
        <w:rPr>
          <w:rStyle w:val="SchwacheHervorhebung"/>
          <w:sz w:val="22"/>
          <w:lang w:eastAsia="en-GB"/>
        </w:rPr>
        <w:t xml:space="preserve">Information on data protection can be found at </w:t>
      </w:r>
      <w:hyperlink r:id="rId17" w:history="1">
        <w:r w:rsidRPr="00110E7C">
          <w:rPr>
            <w:rStyle w:val="Hyperlink"/>
            <w:rFonts w:cs="Arial"/>
            <w:lang w:eastAsia="en-GB"/>
          </w:rPr>
          <w:t>www.esma.europa.eu</w:t>
        </w:r>
      </w:hyperlink>
      <w:r w:rsidRPr="00B034F3">
        <w:rPr>
          <w:rStyle w:val="SchwacheHervorhebung"/>
          <w:sz w:val="22"/>
          <w:lang w:eastAsia="en-GB"/>
        </w:rPr>
        <w:t xml:space="preserve"> under the heading “Data protection”.</w:t>
      </w:r>
    </w:p>
    <w:p w14:paraId="156AC51B" w14:textId="77777777" w:rsidR="0035550B" w:rsidRPr="00B034F3" w:rsidRDefault="0035550B" w:rsidP="0035550B">
      <w:pPr>
        <w:spacing w:after="120"/>
        <w:jc w:val="both"/>
        <w:rPr>
          <w:rStyle w:val="SchwacheHervorhebung"/>
          <w:sz w:val="22"/>
          <w:lang w:eastAsia="en-GB"/>
        </w:rPr>
      </w:pPr>
      <w:r w:rsidRPr="00B034F3">
        <w:rPr>
          <w:rStyle w:val="SchwacheHervorhebung"/>
          <w:sz w:val="22"/>
          <w:lang w:eastAsia="en-GB"/>
        </w:rPr>
        <w:t>Who should read the Consultation Paper</w:t>
      </w:r>
    </w:p>
    <w:bookmarkEnd w:id="0"/>
    <w:p w14:paraId="3C18474B" w14:textId="77777777" w:rsidR="0035550B" w:rsidRPr="004A0164" w:rsidRDefault="0035550B" w:rsidP="0035550B">
      <w:pPr>
        <w:rPr>
          <w:rFonts w:cs="Arial"/>
          <w:b/>
          <w:bCs/>
          <w:kern w:val="32"/>
        </w:rPr>
      </w:pPr>
      <w:r w:rsidRPr="004A0164">
        <w:t>All interested stakeholders are invited to respond to this consultation paper. This consultation paper is primarily of interest to trading ven</w:t>
      </w:r>
      <w:r w:rsidRPr="00110E7C">
        <w:t>ues offering trading in equity instruments but responses are also sought from any other market participant which might be impacted</w:t>
      </w:r>
      <w:r w:rsidRPr="004A0164">
        <w:t xml:space="preserve"> by the proposals contained in this document including investment firms, trade associations and industry bodies, as well as institutional and retail investors. </w:t>
      </w:r>
      <w:r w:rsidRPr="004A0164">
        <w:br w:type="page"/>
      </w:r>
    </w:p>
    <w:p w14:paraId="0A73E1B7" w14:textId="77777777" w:rsidR="0035550B" w:rsidRPr="00A8300E" w:rsidRDefault="0035550B" w:rsidP="0035550B">
      <w:pPr>
        <w:pStyle w:val="berschrift1"/>
        <w:numPr>
          <w:ilvl w:val="0"/>
          <w:numId w:val="0"/>
        </w:numPr>
        <w:rPr>
          <w:rFonts w:asciiTheme="minorHAnsi" w:hAnsiTheme="minorHAnsi"/>
          <w:sz w:val="22"/>
          <w:szCs w:val="22"/>
        </w:rPr>
      </w:pPr>
      <w:r w:rsidRPr="00A8300E">
        <w:rPr>
          <w:rFonts w:asciiTheme="minorHAnsi" w:hAnsiTheme="minorHAnsi"/>
          <w:sz w:val="22"/>
          <w:szCs w:val="22"/>
        </w:rPr>
        <w:lastRenderedPageBreak/>
        <w:t>General information about respondent</w:t>
      </w:r>
    </w:p>
    <w:p w14:paraId="1AA6D850" w14:textId="77777777" w:rsidR="0035550B" w:rsidRPr="004A0164" w:rsidRDefault="0035550B" w:rsidP="0035550B">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35550B" w:rsidRPr="004A0164" w14:paraId="058287D1" w14:textId="77777777" w:rsidTr="00180C5D">
        <w:tc>
          <w:tcPr>
            <w:tcW w:w="3929" w:type="dxa"/>
            <w:shd w:val="clear" w:color="auto" w:fill="auto"/>
          </w:tcPr>
          <w:p w14:paraId="0DC53CB3" w14:textId="77777777" w:rsidR="0035550B" w:rsidRPr="00110E7C" w:rsidRDefault="0035550B" w:rsidP="00180C5D">
            <w:pPr>
              <w:rPr>
                <w:rFonts w:cs="Arial"/>
              </w:rPr>
            </w:pPr>
            <w:r w:rsidRPr="00110E7C">
              <w:rPr>
                <w:rFonts w:cs="Arial"/>
              </w:rPr>
              <w:t>Name of the company / organisation</w:t>
            </w:r>
          </w:p>
        </w:tc>
        <w:sdt>
          <w:sdtPr>
            <w:rPr>
              <w:rStyle w:val="Platzhaltertext"/>
              <w:rFonts w:cs="Arial"/>
              <w:color w:val="auto"/>
            </w:rPr>
            <w:id w:val="-1905066999"/>
            <w:text/>
          </w:sdtPr>
          <w:sdtEndPr>
            <w:rPr>
              <w:rStyle w:val="Platzhaltertext"/>
            </w:rPr>
          </w:sdtEndPr>
          <w:sdtContent>
            <w:tc>
              <w:tcPr>
                <w:tcW w:w="5595" w:type="dxa"/>
                <w:shd w:val="clear" w:color="auto" w:fill="auto"/>
              </w:tcPr>
              <w:p w14:paraId="62B64504" w14:textId="29241C05" w:rsidR="0035550B" w:rsidRPr="004A0164" w:rsidRDefault="002F7D99" w:rsidP="002F7D99">
                <w:pPr>
                  <w:rPr>
                    <w:rStyle w:val="Platzhaltertext"/>
                    <w:rFonts w:cs="Arial"/>
                  </w:rPr>
                </w:pPr>
                <w:r w:rsidRPr="006B7B44">
                  <w:rPr>
                    <w:rStyle w:val="Platzhaltertext"/>
                    <w:rFonts w:cs="Arial"/>
                    <w:color w:val="auto"/>
                  </w:rPr>
                  <w:t xml:space="preserve">Deutsche </w:t>
                </w:r>
                <w:r w:rsidR="006B7B44">
                  <w:rPr>
                    <w:rStyle w:val="Platzhaltertext"/>
                    <w:rFonts w:cs="Arial"/>
                    <w:color w:val="auto"/>
                  </w:rPr>
                  <w:t>Börse</w:t>
                </w:r>
                <w:r w:rsidRPr="006B7B44">
                  <w:rPr>
                    <w:rStyle w:val="Platzhaltertext"/>
                    <w:rFonts w:cs="Arial"/>
                    <w:color w:val="auto"/>
                  </w:rPr>
                  <w:t xml:space="preserve"> AG</w:t>
                </w:r>
              </w:p>
            </w:tc>
          </w:sdtContent>
        </w:sdt>
      </w:tr>
      <w:tr w:rsidR="0035550B" w:rsidRPr="004A0164" w14:paraId="11E82299" w14:textId="77777777" w:rsidTr="00180C5D">
        <w:tc>
          <w:tcPr>
            <w:tcW w:w="3929" w:type="dxa"/>
            <w:shd w:val="clear" w:color="auto" w:fill="auto"/>
          </w:tcPr>
          <w:p w14:paraId="7BA11CD6" w14:textId="77777777" w:rsidR="0035550B" w:rsidRPr="004A0164" w:rsidRDefault="0035550B" w:rsidP="00180C5D">
            <w:pPr>
              <w:rPr>
                <w:rFonts w:cs="Arial"/>
              </w:rPr>
            </w:pPr>
            <w:r w:rsidRPr="004A0164">
              <w:rPr>
                <w:rFonts w:cs="Arial"/>
              </w:rPr>
              <w:t>Activity</w:t>
            </w:r>
          </w:p>
        </w:tc>
        <w:tc>
          <w:tcPr>
            <w:tcW w:w="5595" w:type="dxa"/>
            <w:shd w:val="clear" w:color="auto" w:fill="auto"/>
          </w:tcPr>
          <w:p w14:paraId="6EDC3B9F" w14:textId="3219A8E5" w:rsidR="0035550B" w:rsidRPr="004A0164" w:rsidRDefault="005F51F7" w:rsidP="002F7D99">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C1B46" w:rsidRPr="004A0164">
                  <w:rPr>
                    <w:rFonts w:cs="Arial"/>
                  </w:rPr>
                  <w:t>Regulated markets/Exchanges/Trading Systems</w:t>
                </w:r>
              </w:sdtContent>
            </w:sdt>
          </w:p>
        </w:tc>
      </w:tr>
      <w:tr w:rsidR="0035550B" w:rsidRPr="004A0164" w14:paraId="471B94B8" w14:textId="77777777" w:rsidTr="00180C5D">
        <w:tc>
          <w:tcPr>
            <w:tcW w:w="3929" w:type="dxa"/>
            <w:shd w:val="clear" w:color="auto" w:fill="auto"/>
          </w:tcPr>
          <w:p w14:paraId="11840759" w14:textId="77777777" w:rsidR="0035550B" w:rsidRPr="004A0164" w:rsidRDefault="0035550B" w:rsidP="00180C5D">
            <w:pPr>
              <w:rPr>
                <w:rFonts w:cs="Arial"/>
              </w:rPr>
            </w:pPr>
            <w:r w:rsidRPr="004A0164">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11AAAEA" w14:textId="6B150C99" w:rsidR="0035550B" w:rsidRPr="004A0164" w:rsidRDefault="0035550B" w:rsidP="00180C5D">
                <w:pPr>
                  <w:rPr>
                    <w:rFonts w:cs="Arial"/>
                  </w:rPr>
                </w:pPr>
                <w:r w:rsidRPr="004A0164">
                  <w:rPr>
                    <w:rFonts w:ascii="Segoe UI Symbol" w:eastAsia="MS Gothic" w:hAnsi="Segoe UI Symbol" w:cs="Segoe UI Symbol"/>
                  </w:rPr>
                  <w:t>☐</w:t>
                </w:r>
              </w:p>
            </w:tc>
          </w:sdtContent>
        </w:sdt>
      </w:tr>
      <w:tr w:rsidR="0035550B" w:rsidRPr="004A0164" w14:paraId="559F428C" w14:textId="77777777" w:rsidTr="00180C5D">
        <w:tc>
          <w:tcPr>
            <w:tcW w:w="3929" w:type="dxa"/>
            <w:shd w:val="clear" w:color="auto" w:fill="auto"/>
          </w:tcPr>
          <w:p w14:paraId="08253C27" w14:textId="77777777" w:rsidR="0035550B" w:rsidRPr="004A0164" w:rsidRDefault="0035550B" w:rsidP="00180C5D">
            <w:pPr>
              <w:rPr>
                <w:rFonts w:cs="Arial"/>
              </w:rPr>
            </w:pPr>
            <w:r w:rsidRPr="004A0164">
              <w:rPr>
                <w:rFonts w:cs="Arial"/>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7814776" w14:textId="3AA2B030" w:rsidR="0035550B" w:rsidRPr="004A0164" w:rsidRDefault="002D76B9" w:rsidP="002F7D99">
                <w:pPr>
                  <w:rPr>
                    <w:rFonts w:cs="Arial"/>
                  </w:rPr>
                </w:pPr>
                <w:r w:rsidRPr="004A0164">
                  <w:rPr>
                    <w:rFonts w:cs="Arial"/>
                  </w:rPr>
                  <w:t>Germany</w:t>
                </w:r>
              </w:p>
            </w:tc>
          </w:sdtContent>
        </w:sdt>
      </w:tr>
    </w:tbl>
    <w:p w14:paraId="59C8D60A" w14:textId="77777777" w:rsidR="0035550B" w:rsidRPr="004A0164" w:rsidRDefault="0035550B" w:rsidP="0035550B">
      <w:pPr>
        <w:spacing w:after="120" w:line="264" w:lineRule="auto"/>
      </w:pPr>
    </w:p>
    <w:p w14:paraId="08C82E07" w14:textId="77777777" w:rsidR="0035550B" w:rsidRPr="00A8300E" w:rsidRDefault="0035550B" w:rsidP="0035550B">
      <w:pPr>
        <w:pStyle w:val="berschrift1"/>
        <w:numPr>
          <w:ilvl w:val="0"/>
          <w:numId w:val="0"/>
        </w:numPr>
        <w:ind w:left="431" w:hanging="431"/>
        <w:rPr>
          <w:rFonts w:asciiTheme="minorHAnsi" w:hAnsiTheme="minorHAnsi"/>
          <w:sz w:val="22"/>
          <w:szCs w:val="22"/>
        </w:rPr>
      </w:pPr>
      <w:r w:rsidRPr="00A8300E">
        <w:rPr>
          <w:rFonts w:asciiTheme="minorHAnsi" w:hAnsiTheme="minorHAnsi"/>
          <w:sz w:val="22"/>
          <w:szCs w:val="22"/>
        </w:rPr>
        <w:t>Introduction</w:t>
      </w:r>
    </w:p>
    <w:p w14:paraId="029A87B5" w14:textId="77777777" w:rsidR="0035550B" w:rsidRPr="00110E7C" w:rsidRDefault="0035550B" w:rsidP="0035550B">
      <w:pPr>
        <w:rPr>
          <w:rStyle w:val="IntensiveHervorhebung"/>
        </w:rPr>
      </w:pPr>
      <w:r w:rsidRPr="004A0164">
        <w:rPr>
          <w:rStyle w:val="IntensiveHervorhebung"/>
        </w:rPr>
        <w:t>Please make your introductory comments below, if any:</w:t>
      </w:r>
    </w:p>
    <w:p w14:paraId="7D54D0F7" w14:textId="77777777" w:rsidR="0035550B" w:rsidRPr="004A0164" w:rsidRDefault="0035550B" w:rsidP="0035550B"/>
    <w:p w14:paraId="39E18600" w14:textId="77777777" w:rsidR="0035550B" w:rsidRPr="004A0164" w:rsidRDefault="0035550B" w:rsidP="0035550B">
      <w:r w:rsidRPr="004A0164">
        <w:t>&lt;ESMA_COMMENT_ACDR_1&gt;</w:t>
      </w:r>
    </w:p>
    <w:p w14:paraId="1BDE788E" w14:textId="7595CDD1" w:rsidR="0035550B" w:rsidRPr="004A0164" w:rsidRDefault="000D6693" w:rsidP="00CC206F">
      <w:pPr>
        <w:jc w:val="both"/>
      </w:pPr>
      <w:r w:rsidRPr="004A0164">
        <w:t xml:space="preserve">Deutsche </w:t>
      </w:r>
      <w:r w:rsidR="006B7B44">
        <w:t>Börse</w:t>
      </w:r>
      <w:r w:rsidRPr="004A0164">
        <w:t xml:space="preserve"> Group </w:t>
      </w:r>
      <w:r w:rsidR="001F0717" w:rsidRPr="004A0164">
        <w:t xml:space="preserve">welcomes </w:t>
      </w:r>
      <w:r w:rsidR="009C1B46" w:rsidRPr="004A0164">
        <w:t xml:space="preserve">the consultation paper on amendment to RTS 11 and </w:t>
      </w:r>
      <w:r w:rsidR="001F0717" w:rsidRPr="004A0164">
        <w:t xml:space="preserve">ESMA’s efforts to adapt the legislation in order to ensure a better liquidity for </w:t>
      </w:r>
      <w:r w:rsidR="00425568" w:rsidRPr="004A0164">
        <w:t xml:space="preserve">third country instruments </w:t>
      </w:r>
      <w:r w:rsidR="001F0717" w:rsidRPr="004A0164">
        <w:t xml:space="preserve">traded in </w:t>
      </w:r>
      <w:r w:rsidR="00425568" w:rsidRPr="004A0164">
        <w:t xml:space="preserve">the Union as foreseen in </w:t>
      </w:r>
      <w:r w:rsidR="006B7B44">
        <w:t xml:space="preserve">the Commission </w:t>
      </w:r>
      <w:r w:rsidR="00425568" w:rsidRPr="004A0164">
        <w:t>Delegated Regulation (EU) 2017/588 (RTS 11). With our comments</w:t>
      </w:r>
      <w:r w:rsidR="002C1342" w:rsidRPr="004A0164">
        <w:t xml:space="preserve"> and proposals</w:t>
      </w:r>
      <w:r w:rsidR="009B130D" w:rsidRPr="004A0164">
        <w:t>,</w:t>
      </w:r>
      <w:r w:rsidR="002C1342" w:rsidRPr="004A0164">
        <w:t xml:space="preserve"> </w:t>
      </w:r>
      <w:r w:rsidR="00425568" w:rsidRPr="004A0164">
        <w:t>we hope to contribute to th</w:t>
      </w:r>
      <w:r w:rsidR="002C1342" w:rsidRPr="004A0164">
        <w:t>is</w:t>
      </w:r>
      <w:r w:rsidR="00425568" w:rsidRPr="004A0164">
        <w:t xml:space="preserve"> end</w:t>
      </w:r>
      <w:r w:rsidR="001C156D" w:rsidRPr="004A0164">
        <w:t xml:space="preserve">; </w:t>
      </w:r>
      <w:r w:rsidR="00425568" w:rsidRPr="004A0164">
        <w:t xml:space="preserve">we would like to raise legislators’ and regulators’ attention </w:t>
      </w:r>
      <w:r w:rsidR="002C1342" w:rsidRPr="004A0164">
        <w:t>on a number of</w:t>
      </w:r>
      <w:r w:rsidR="00425568" w:rsidRPr="004A0164">
        <w:t xml:space="preserve"> issues</w:t>
      </w:r>
      <w:r w:rsidR="001C156D" w:rsidRPr="004A0164">
        <w:t xml:space="preserve"> and limitations in the proposal </w:t>
      </w:r>
      <w:r w:rsidR="006B7B44">
        <w:t>from</w:t>
      </w:r>
      <w:r w:rsidR="006B7B44" w:rsidRPr="004A0164">
        <w:t xml:space="preserve"> </w:t>
      </w:r>
      <w:r w:rsidR="001C156D" w:rsidRPr="004A0164">
        <w:t>ESMA as it stands but also in the broader context of the new tick size regime and its application to ETFs.</w:t>
      </w:r>
    </w:p>
    <w:p w14:paraId="40C3AF29" w14:textId="05CF7D52" w:rsidR="00425568" w:rsidRPr="004A0164" w:rsidRDefault="00DB2F2B" w:rsidP="00CC206F">
      <w:pPr>
        <w:jc w:val="both"/>
      </w:pPr>
      <w:r w:rsidRPr="004A0164">
        <w:t>Frankfurter Wertpapierbörse (FWB®) includes Xetra</w:t>
      </w:r>
      <w:r w:rsidR="00C76AC3" w:rsidRPr="004A0164">
        <w:t>®</w:t>
      </w:r>
      <w:r w:rsidRPr="004A0164">
        <w:t xml:space="preserve"> and B</w:t>
      </w:r>
      <w:r w:rsidR="006B7B44">
        <w:t>ö</w:t>
      </w:r>
      <w:r w:rsidRPr="004A0164">
        <w:t>rse Frankfurt where equity and non</w:t>
      </w:r>
      <w:r w:rsidR="009B130D" w:rsidRPr="004A0164">
        <w:t>-</w:t>
      </w:r>
      <w:r w:rsidRPr="004A0164">
        <w:t xml:space="preserve">equity instruments are traded. </w:t>
      </w:r>
      <w:r w:rsidR="00CC206F" w:rsidRPr="004A0164">
        <w:t>As of 31</w:t>
      </w:r>
      <w:r w:rsidR="00CC206F" w:rsidRPr="004A0164">
        <w:rPr>
          <w:vertAlign w:val="superscript"/>
        </w:rPr>
        <w:t>st</w:t>
      </w:r>
      <w:r w:rsidR="00CC206F" w:rsidRPr="004A0164">
        <w:t xml:space="preserve"> August 2018, 768</w:t>
      </w:r>
      <w:r w:rsidRPr="004A0164">
        <w:t xml:space="preserve"> shares</w:t>
      </w:r>
      <w:r w:rsidR="00CC206F" w:rsidRPr="004A0164">
        <w:t xml:space="preserve"> and depositary receipts</w:t>
      </w:r>
      <w:r w:rsidRPr="004A0164">
        <w:t xml:space="preserve"> were traded </w:t>
      </w:r>
      <w:r w:rsidR="00CC206F" w:rsidRPr="004A0164">
        <w:t xml:space="preserve">on Xetra and 11,190 </w:t>
      </w:r>
      <w:r w:rsidR="008014B0" w:rsidRPr="004A0164">
        <w:t xml:space="preserve">on </w:t>
      </w:r>
      <w:r w:rsidR="006B7B44">
        <w:t>Börse</w:t>
      </w:r>
      <w:r w:rsidR="008014B0" w:rsidRPr="004A0164">
        <w:t xml:space="preserve"> Frankfurt</w:t>
      </w:r>
      <w:r w:rsidRPr="004A0164">
        <w:t xml:space="preserve">. </w:t>
      </w:r>
      <w:r w:rsidR="00E5563F" w:rsidRPr="004A0164">
        <w:t xml:space="preserve">On </w:t>
      </w:r>
      <w:r w:rsidR="006B7B44">
        <w:t>both exchanges</w:t>
      </w:r>
      <w:r w:rsidR="00E5563F" w:rsidRPr="004A0164">
        <w:t xml:space="preserve"> but more s</w:t>
      </w:r>
      <w:r w:rsidRPr="004A0164">
        <w:t xml:space="preserve">pecifically on </w:t>
      </w:r>
      <w:r w:rsidR="006B7B44">
        <w:t>Börse</w:t>
      </w:r>
      <w:r w:rsidRPr="004A0164">
        <w:t xml:space="preserve"> Frankfurt, a large number of </w:t>
      </w:r>
      <w:r w:rsidR="006B7B44">
        <w:t xml:space="preserve">listed </w:t>
      </w:r>
      <w:r w:rsidRPr="004A0164">
        <w:t xml:space="preserve">shares are secondary listings, where </w:t>
      </w:r>
      <w:r w:rsidR="00E5563F" w:rsidRPr="004A0164">
        <w:t xml:space="preserve">the </w:t>
      </w:r>
      <w:r w:rsidRPr="004A0164">
        <w:t xml:space="preserve">security has its primary listing on another </w:t>
      </w:r>
      <w:r w:rsidR="006B7B44">
        <w:t>trading venue</w:t>
      </w:r>
      <w:r w:rsidRPr="004A0164">
        <w:t xml:space="preserve">. Several </w:t>
      </w:r>
      <w:r w:rsidR="00E5563F" w:rsidRPr="004A0164">
        <w:t>thousands</w:t>
      </w:r>
      <w:r w:rsidRPr="004A0164">
        <w:t xml:space="preserve"> of instruments are concerned, with shares primar</w:t>
      </w:r>
      <w:r w:rsidR="009454E7" w:rsidRPr="004A0164">
        <w:t>il</w:t>
      </w:r>
      <w:r w:rsidRPr="004A0164">
        <w:t>y listed</w:t>
      </w:r>
      <w:r w:rsidR="00E10D78" w:rsidRPr="004A0164">
        <w:t xml:space="preserve"> in the Union but also</w:t>
      </w:r>
      <w:r w:rsidRPr="004A0164">
        <w:t xml:space="preserve"> in the US, Canada, Switzerland, </w:t>
      </w:r>
      <w:r w:rsidR="009F3193" w:rsidRPr="004A0164">
        <w:t xml:space="preserve">Hong Kong, Norway, etc. </w:t>
      </w:r>
      <w:r w:rsidR="006B7B44">
        <w:t>M</w:t>
      </w:r>
      <w:r w:rsidR="009F3193" w:rsidRPr="004A0164">
        <w:t xml:space="preserve">arket participants can </w:t>
      </w:r>
      <w:r w:rsidR="006B7B44">
        <w:t>trade</w:t>
      </w:r>
      <w:r w:rsidR="006B7B44" w:rsidRPr="004A0164">
        <w:t xml:space="preserve"> </w:t>
      </w:r>
      <w:r w:rsidR="009F3193" w:rsidRPr="004A0164">
        <w:t xml:space="preserve">instruments </w:t>
      </w:r>
      <w:r w:rsidR="00E10D78" w:rsidRPr="004A0164">
        <w:t>on a</w:t>
      </w:r>
      <w:r w:rsidR="009454E7" w:rsidRPr="004A0164">
        <w:t>n</w:t>
      </w:r>
      <w:r w:rsidR="00E10D78" w:rsidRPr="004A0164">
        <w:t xml:space="preserve"> EU trading venue</w:t>
      </w:r>
      <w:r w:rsidR="00E10D78" w:rsidRPr="004A0164" w:rsidDel="00E10D78">
        <w:t xml:space="preserve"> </w:t>
      </w:r>
      <w:r w:rsidR="006B7B44">
        <w:t xml:space="preserve">although the latter are </w:t>
      </w:r>
      <w:r w:rsidR="009F3193" w:rsidRPr="004A0164">
        <w:t xml:space="preserve"> primary list</w:t>
      </w:r>
      <w:r w:rsidR="006B7B44">
        <w:t>ed</w:t>
      </w:r>
      <w:r w:rsidR="009F3193" w:rsidRPr="004A0164">
        <w:t xml:space="preserve"> outside the Union.</w:t>
      </w:r>
    </w:p>
    <w:p w14:paraId="2E238DFD" w14:textId="4A0B978A" w:rsidR="00BF00F8" w:rsidRPr="004A0164" w:rsidRDefault="00BF00F8" w:rsidP="00CC206F">
      <w:pPr>
        <w:jc w:val="both"/>
      </w:pPr>
      <w:r w:rsidRPr="00110E7C">
        <w:t xml:space="preserve">In this context, Deutsche </w:t>
      </w:r>
      <w:r w:rsidR="006B7B44">
        <w:t>Börse</w:t>
      </w:r>
      <w:r w:rsidRPr="00110E7C">
        <w:t xml:space="preserve"> Group receives positively the recognition from ESMA that the minimum tick size applicable to shares and depositary receipts </w:t>
      </w:r>
      <w:r w:rsidR="00421286" w:rsidRPr="00110E7C">
        <w:t xml:space="preserve">as per RTS 11 </w:t>
      </w:r>
      <w:r w:rsidRPr="00A27806">
        <w:t>is not well suited for third country instruments where the tick size result</w:t>
      </w:r>
      <w:r w:rsidRPr="004A0164">
        <w:t xml:space="preserve">ing from the liquidity in the Union </w:t>
      </w:r>
      <w:r w:rsidR="009454E7" w:rsidRPr="004A0164">
        <w:t xml:space="preserve">disregards </w:t>
      </w:r>
      <w:r w:rsidRPr="004A0164">
        <w:t>the actual liquidity of the instrument outside the Union</w:t>
      </w:r>
      <w:r w:rsidR="006B7B44">
        <w:t xml:space="preserve">; this </w:t>
      </w:r>
      <w:r w:rsidR="009454E7" w:rsidRPr="004A0164">
        <w:t>leads to t</w:t>
      </w:r>
      <w:r w:rsidR="00B64CF0" w:rsidRPr="004A0164">
        <w:t xml:space="preserve">ick sizes </w:t>
      </w:r>
      <w:r w:rsidR="0039549A" w:rsidRPr="004A0164">
        <w:t xml:space="preserve">which are </w:t>
      </w:r>
      <w:r w:rsidR="00B64CF0" w:rsidRPr="004A0164">
        <w:t xml:space="preserve">artificially too wide </w:t>
      </w:r>
      <w:r w:rsidR="009454E7" w:rsidRPr="004A0164">
        <w:t xml:space="preserve">and </w:t>
      </w:r>
      <w:r w:rsidR="00B64CF0" w:rsidRPr="004A0164">
        <w:t>increase</w:t>
      </w:r>
      <w:r w:rsidR="00FF1E72">
        <w:t>d</w:t>
      </w:r>
      <w:r w:rsidR="00B64CF0" w:rsidRPr="004A0164">
        <w:t xml:space="preserve"> </w:t>
      </w:r>
      <w:r w:rsidR="00E5563F" w:rsidRPr="004A0164">
        <w:t xml:space="preserve">implicit </w:t>
      </w:r>
      <w:r w:rsidR="00B64CF0" w:rsidRPr="004A0164">
        <w:t xml:space="preserve">costs for market participants but also </w:t>
      </w:r>
      <w:r w:rsidR="00B64CF0" w:rsidRPr="004A0164">
        <w:lastRenderedPageBreak/>
        <w:t>create</w:t>
      </w:r>
      <w:r w:rsidR="00FF1E72">
        <w:t>s</w:t>
      </w:r>
      <w:r w:rsidR="00B64CF0" w:rsidRPr="004A0164">
        <w:t xml:space="preserve"> a competitive disadvantage </w:t>
      </w:r>
      <w:r w:rsidR="008C40E6" w:rsidRPr="004A0164">
        <w:t>compared to venues allowing a smaller tick size</w:t>
      </w:r>
      <w:r w:rsidR="00FF1E72">
        <w:t>. T</w:t>
      </w:r>
      <w:r w:rsidR="008C40E6" w:rsidRPr="004A0164">
        <w:t xml:space="preserve">he result is a </w:t>
      </w:r>
      <w:r w:rsidR="00FF1E72">
        <w:t>reduced</w:t>
      </w:r>
      <w:r w:rsidR="00FF1E72" w:rsidRPr="004A0164">
        <w:t xml:space="preserve"> </w:t>
      </w:r>
      <w:r w:rsidR="00B64CF0" w:rsidRPr="004A0164">
        <w:t xml:space="preserve">liquidity </w:t>
      </w:r>
      <w:r w:rsidR="00FF1E72">
        <w:t>for</w:t>
      </w:r>
      <w:r w:rsidR="00FF1E72" w:rsidRPr="004A0164">
        <w:t xml:space="preserve"> </w:t>
      </w:r>
      <w:r w:rsidR="00B64CF0" w:rsidRPr="004A0164">
        <w:t>third country instruments traded in the Union</w:t>
      </w:r>
      <w:r w:rsidR="00421286" w:rsidRPr="004A0164">
        <w:t xml:space="preserve">, and in the medium to long term, </w:t>
      </w:r>
      <w:r w:rsidR="008C40E6" w:rsidRPr="004A0164">
        <w:t xml:space="preserve">the delisting of those instruments </w:t>
      </w:r>
      <w:r w:rsidR="00421286" w:rsidRPr="004A0164">
        <w:t xml:space="preserve">because of lack of activity. This would mean </w:t>
      </w:r>
      <w:r w:rsidR="0039549A" w:rsidRPr="004A0164">
        <w:t xml:space="preserve">that </w:t>
      </w:r>
      <w:r w:rsidR="00421286" w:rsidRPr="004A0164">
        <w:t xml:space="preserve">more than 67% of the listings on </w:t>
      </w:r>
      <w:r w:rsidR="006B7B44">
        <w:t>Börse</w:t>
      </w:r>
      <w:r w:rsidR="00421286" w:rsidRPr="004A0164">
        <w:t xml:space="preserve"> Frankfurt </w:t>
      </w:r>
      <w:r w:rsidR="0039549A" w:rsidRPr="004A0164">
        <w:t xml:space="preserve">are </w:t>
      </w:r>
      <w:r w:rsidR="00421286" w:rsidRPr="004A0164">
        <w:t>at risk if no appropriate solution is found to adapt the tick size of third country instruments to appropriate levels</w:t>
      </w:r>
      <w:r w:rsidR="008C40E6" w:rsidRPr="004A0164">
        <w:t xml:space="preserve"> in the Union</w:t>
      </w:r>
      <w:r w:rsidR="00421286" w:rsidRPr="004A0164">
        <w:t>.</w:t>
      </w:r>
    </w:p>
    <w:p w14:paraId="39AEE2C1" w14:textId="4B3279CD" w:rsidR="00E11D48" w:rsidRPr="004A0164" w:rsidRDefault="00E11D48" w:rsidP="00CC206F">
      <w:pPr>
        <w:jc w:val="both"/>
      </w:pPr>
      <w:r w:rsidRPr="004A0164">
        <w:t xml:space="preserve">Moreover, </w:t>
      </w:r>
      <w:r w:rsidRPr="004A0164">
        <w:rPr>
          <w:rFonts w:cstheme="minorHAnsi"/>
        </w:rPr>
        <w:t xml:space="preserve">in light of the present matter of tick size regime on trading venues for third country instruments, Deutsche </w:t>
      </w:r>
      <w:r w:rsidR="006B7B44">
        <w:rPr>
          <w:rFonts w:cstheme="minorHAnsi"/>
        </w:rPr>
        <w:t>Börse</w:t>
      </w:r>
      <w:r w:rsidRPr="004A0164">
        <w:rPr>
          <w:rFonts w:cstheme="minorHAnsi"/>
        </w:rPr>
        <w:t xml:space="preserve"> Group would like to reiterate the need to apply the tick size regime consistently and as soon as possible to all possible execution venues. The artificially wide tick sizes for third country instruments also reflects the unlevel playing field within the EU. Systematic </w:t>
      </w:r>
      <w:r w:rsidR="009454E7" w:rsidRPr="004A0164">
        <w:rPr>
          <w:rFonts w:cstheme="minorHAnsi"/>
        </w:rPr>
        <w:t>I</w:t>
      </w:r>
      <w:r w:rsidRPr="004A0164">
        <w:rPr>
          <w:rFonts w:cstheme="minorHAnsi"/>
        </w:rPr>
        <w:t xml:space="preserve">nternalisers (SIs) are currently not subject to the tick size regime and can easily and unfairly compete with regulated markets and </w:t>
      </w:r>
      <w:r w:rsidR="00FF1E72">
        <w:rPr>
          <w:rFonts w:cstheme="minorHAnsi"/>
        </w:rPr>
        <w:t>multi-lateral trading facilities (</w:t>
      </w:r>
      <w:r w:rsidRPr="004A0164">
        <w:rPr>
          <w:rFonts w:cstheme="minorHAnsi"/>
        </w:rPr>
        <w:t>MTFs</w:t>
      </w:r>
      <w:r w:rsidR="00FF1E72">
        <w:rPr>
          <w:rFonts w:cstheme="minorHAnsi"/>
        </w:rPr>
        <w:t>)</w:t>
      </w:r>
      <w:r w:rsidRPr="004A0164">
        <w:rPr>
          <w:rFonts w:cstheme="minorHAnsi"/>
        </w:rPr>
        <w:t xml:space="preserve"> on the basis of </w:t>
      </w:r>
      <w:r w:rsidR="00FF1E72">
        <w:rPr>
          <w:rFonts w:cstheme="minorHAnsi"/>
        </w:rPr>
        <w:t xml:space="preserve">– potentially small - </w:t>
      </w:r>
      <w:r w:rsidRPr="004A0164">
        <w:rPr>
          <w:rFonts w:cstheme="minorHAnsi"/>
        </w:rPr>
        <w:t xml:space="preserve">price improvements which are not possible on the latter due to </w:t>
      </w:r>
      <w:r w:rsidR="009454E7" w:rsidRPr="004A0164">
        <w:rPr>
          <w:rFonts w:cstheme="minorHAnsi"/>
        </w:rPr>
        <w:t>set</w:t>
      </w:r>
      <w:r w:rsidRPr="004A0164">
        <w:rPr>
          <w:rFonts w:cstheme="minorHAnsi"/>
        </w:rPr>
        <w:t xml:space="preserve"> tick sizes. We therefore urge regulators and policy makers to ensure that </w:t>
      </w:r>
      <w:r w:rsidR="00FF1E72">
        <w:rPr>
          <w:rFonts w:cstheme="minorHAnsi"/>
        </w:rPr>
        <w:t>SIs</w:t>
      </w:r>
      <w:r w:rsidRPr="004A0164">
        <w:rPr>
          <w:rFonts w:cstheme="minorHAnsi"/>
        </w:rPr>
        <w:t xml:space="preserve"> </w:t>
      </w:r>
      <w:r w:rsidR="00FF1E72">
        <w:rPr>
          <w:rFonts w:cstheme="minorHAnsi"/>
        </w:rPr>
        <w:t xml:space="preserve">are </w:t>
      </w:r>
      <w:r w:rsidR="00FF1E72" w:rsidRPr="004A0164">
        <w:rPr>
          <w:rFonts w:cstheme="minorHAnsi"/>
        </w:rPr>
        <w:t xml:space="preserve">fully captured by the tick size regime irrespective of the order size </w:t>
      </w:r>
      <w:r w:rsidR="00FF1E72">
        <w:rPr>
          <w:rFonts w:cstheme="minorHAnsi"/>
        </w:rPr>
        <w:t>and</w:t>
      </w:r>
      <w:r w:rsidRPr="004A0164">
        <w:rPr>
          <w:rFonts w:cstheme="minorHAnsi"/>
        </w:rPr>
        <w:t xml:space="preserve"> </w:t>
      </w:r>
      <w:r w:rsidR="00FF1E72">
        <w:rPr>
          <w:rFonts w:cstheme="minorHAnsi"/>
        </w:rPr>
        <w:t xml:space="preserve">not only </w:t>
      </w:r>
      <w:r w:rsidRPr="004A0164">
        <w:rPr>
          <w:rFonts w:cstheme="minorHAnsi"/>
        </w:rPr>
        <w:t>required to comply with the tick size regime for orders up to standard market size.</w:t>
      </w:r>
    </w:p>
    <w:p w14:paraId="5FC0D1ED" w14:textId="06DF561E" w:rsidR="004A0164" w:rsidRPr="004A0164" w:rsidRDefault="00421286" w:rsidP="00E37D34">
      <w:pPr>
        <w:jc w:val="both"/>
      </w:pPr>
      <w:r w:rsidRPr="00A8300E">
        <w:rPr>
          <w:b/>
        </w:rPr>
        <w:t xml:space="preserve">Deutsche </w:t>
      </w:r>
      <w:r w:rsidR="006B7B44">
        <w:rPr>
          <w:b/>
        </w:rPr>
        <w:t>Börse</w:t>
      </w:r>
      <w:r w:rsidRPr="00A8300E">
        <w:rPr>
          <w:b/>
        </w:rPr>
        <w:t xml:space="preserve"> Group has reviewed the different options proposed by ESMA and </w:t>
      </w:r>
      <w:r w:rsidR="009454E7" w:rsidRPr="00A8300E">
        <w:rPr>
          <w:b/>
        </w:rPr>
        <w:t xml:space="preserve">generally considers </w:t>
      </w:r>
      <w:r w:rsidR="004A0164" w:rsidRPr="00A8300E">
        <w:rPr>
          <w:b/>
        </w:rPr>
        <w:t>ESMA</w:t>
      </w:r>
      <w:r w:rsidR="00FF1E72">
        <w:rPr>
          <w:b/>
        </w:rPr>
        <w:t>’</w:t>
      </w:r>
      <w:r w:rsidR="004A0164" w:rsidRPr="00A8300E">
        <w:rPr>
          <w:b/>
        </w:rPr>
        <w:t xml:space="preserve">s preferred </w:t>
      </w:r>
      <w:r w:rsidR="009454E7" w:rsidRPr="00A8300E">
        <w:rPr>
          <w:b/>
        </w:rPr>
        <w:t>option d) to be the most appropriate approach to deliver on the regulatory purpose of introducing a consistent, harmonised and efficient tick size regime for non-EU instruments.</w:t>
      </w:r>
      <w:r w:rsidR="009454E7" w:rsidRPr="004A0164">
        <w:t xml:space="preserve"> We </w:t>
      </w:r>
      <w:r w:rsidRPr="00110E7C">
        <w:t>understand</w:t>
      </w:r>
      <w:r w:rsidR="00FF1E72">
        <w:t xml:space="preserve"> </w:t>
      </w:r>
      <w:r w:rsidRPr="00870D62">
        <w:t xml:space="preserve">that </w:t>
      </w:r>
      <w:r w:rsidRPr="00434309">
        <w:t>option</w:t>
      </w:r>
      <w:r w:rsidR="009454E7" w:rsidRPr="004A0164">
        <w:t xml:space="preserve"> d)</w:t>
      </w:r>
      <w:r w:rsidRPr="004A0164">
        <w:t xml:space="preserve"> allows to identify third country instruments on the basis of their turnover outside the EU, requires coordination between competent authorities (CAs) where the instrument is listed and does not </w:t>
      </w:r>
      <w:r w:rsidR="00582366" w:rsidRPr="004A0164">
        <w:t>incur any</w:t>
      </w:r>
      <w:r w:rsidR="00ED66BB" w:rsidRPr="004A0164">
        <w:t xml:space="preserve"> </w:t>
      </w:r>
      <w:r w:rsidRPr="004A0164">
        <w:t>modification of the ESMA database</w:t>
      </w:r>
      <w:r w:rsidR="00582366" w:rsidRPr="004A0164">
        <w:t xml:space="preserve"> nor centralised publication of the adjusted </w:t>
      </w:r>
      <w:r w:rsidR="007E69D7">
        <w:t>Average Daily Numbers of Transactions (</w:t>
      </w:r>
      <w:r w:rsidR="00582366" w:rsidRPr="004A0164">
        <w:t>ADNTs</w:t>
      </w:r>
      <w:r w:rsidR="007E69D7">
        <w:t>)</w:t>
      </w:r>
      <w:r w:rsidR="002C1342" w:rsidRPr="004A0164">
        <w:t xml:space="preserve">. </w:t>
      </w:r>
      <w:r w:rsidR="004A0164" w:rsidRPr="00A8300E">
        <w:rPr>
          <w:b/>
        </w:rPr>
        <w:t>As w</w:t>
      </w:r>
      <w:r w:rsidR="002C1342" w:rsidRPr="00A8300E">
        <w:rPr>
          <w:b/>
        </w:rPr>
        <w:t>e are very much concerned with</w:t>
      </w:r>
      <w:r w:rsidR="004A0164" w:rsidRPr="00A8300E">
        <w:rPr>
          <w:b/>
        </w:rPr>
        <w:t xml:space="preserve"> some of the features of option d), we </w:t>
      </w:r>
      <w:r w:rsidR="002C1342" w:rsidRPr="00A8300E">
        <w:rPr>
          <w:b/>
        </w:rPr>
        <w:t xml:space="preserve">would like to propose an </w:t>
      </w:r>
      <w:r w:rsidR="004A0164" w:rsidRPr="00A8300E">
        <w:rPr>
          <w:b/>
        </w:rPr>
        <w:t xml:space="preserve">amended version of this </w:t>
      </w:r>
      <w:r w:rsidR="009454E7" w:rsidRPr="00A8300E">
        <w:rPr>
          <w:b/>
        </w:rPr>
        <w:t>option</w:t>
      </w:r>
      <w:r w:rsidR="002C1342" w:rsidRPr="00A8300E">
        <w:rPr>
          <w:b/>
        </w:rPr>
        <w:t>.</w:t>
      </w:r>
      <w:r w:rsidR="002C1342" w:rsidRPr="004A0164">
        <w:t xml:space="preserve"> </w:t>
      </w:r>
    </w:p>
    <w:p w14:paraId="33E8C491" w14:textId="32B77CFE" w:rsidR="004A0164" w:rsidRPr="004A0164" w:rsidRDefault="00242FB8" w:rsidP="00E37D34">
      <w:pPr>
        <w:jc w:val="both"/>
      </w:pPr>
      <w:r w:rsidRPr="004A0164">
        <w:t xml:space="preserve">Our </w:t>
      </w:r>
      <w:r w:rsidR="002C1342" w:rsidRPr="004A0164">
        <w:t>proposal</w:t>
      </w:r>
      <w:r w:rsidRPr="004A0164">
        <w:t xml:space="preserve">, as described </w:t>
      </w:r>
      <w:r w:rsidR="00870D62">
        <w:t xml:space="preserve">extensively </w:t>
      </w:r>
      <w:r w:rsidRPr="004A0164">
        <w:t>in the answer to Q1,</w:t>
      </w:r>
      <w:r w:rsidR="002C1342" w:rsidRPr="004A0164">
        <w:t xml:space="preserve"> </w:t>
      </w:r>
      <w:r w:rsidR="00582366" w:rsidRPr="004A0164">
        <w:t xml:space="preserve">has several merits: </w:t>
      </w:r>
    </w:p>
    <w:p w14:paraId="04A27AD1" w14:textId="77777777" w:rsidR="004A0164" w:rsidRDefault="0082131C" w:rsidP="00A8300E">
      <w:pPr>
        <w:pStyle w:val="Listenabsatz"/>
        <w:numPr>
          <w:ilvl w:val="0"/>
          <w:numId w:val="20"/>
        </w:numPr>
        <w:spacing w:line="276" w:lineRule="auto"/>
        <w:jc w:val="both"/>
      </w:pPr>
      <w:r w:rsidRPr="00A8300E">
        <w:rPr>
          <w:rFonts w:asciiTheme="minorHAnsi" w:hAnsiTheme="minorHAnsi"/>
          <w:sz w:val="22"/>
          <w:szCs w:val="22"/>
        </w:rPr>
        <w:t xml:space="preserve">an easy identification of third country instruments based on the criterion of the legal headquarter of the issuer of the instrument, </w:t>
      </w:r>
    </w:p>
    <w:p w14:paraId="50DF3110" w14:textId="77777777" w:rsidR="004A0164" w:rsidRDefault="0082131C" w:rsidP="00A8300E">
      <w:pPr>
        <w:pStyle w:val="Listenabsatz"/>
        <w:numPr>
          <w:ilvl w:val="0"/>
          <w:numId w:val="20"/>
        </w:numPr>
        <w:spacing w:line="276" w:lineRule="auto"/>
        <w:jc w:val="both"/>
      </w:pPr>
      <w:r w:rsidRPr="00A8300E">
        <w:rPr>
          <w:rFonts w:asciiTheme="minorHAnsi" w:hAnsiTheme="minorHAnsi"/>
          <w:sz w:val="22"/>
          <w:szCs w:val="22"/>
        </w:rPr>
        <w:t xml:space="preserve">a level playing field between countries applying the EU tick size regime, the latter being within or outside the Union, </w:t>
      </w:r>
    </w:p>
    <w:p w14:paraId="05F11D35" w14:textId="77777777" w:rsidR="004A0164" w:rsidRDefault="0082131C" w:rsidP="00A8300E">
      <w:pPr>
        <w:pStyle w:val="Listenabsatz"/>
        <w:numPr>
          <w:ilvl w:val="0"/>
          <w:numId w:val="20"/>
        </w:numPr>
        <w:spacing w:line="276" w:lineRule="auto"/>
        <w:jc w:val="both"/>
      </w:pPr>
      <w:r w:rsidRPr="00A8300E">
        <w:rPr>
          <w:rFonts w:asciiTheme="minorHAnsi" w:hAnsiTheme="minorHAnsi"/>
          <w:sz w:val="22"/>
          <w:szCs w:val="22"/>
        </w:rPr>
        <w:t xml:space="preserve">a simplified process for the determination of the adjusted ADNT by the appointment of a single CA to propose the new value, </w:t>
      </w:r>
    </w:p>
    <w:p w14:paraId="250AF170" w14:textId="49DEDDD5" w:rsidR="00421286" w:rsidRPr="002362FC" w:rsidRDefault="00413DFD" w:rsidP="003F616B">
      <w:pPr>
        <w:pStyle w:val="Listenabsatz"/>
        <w:numPr>
          <w:ilvl w:val="0"/>
          <w:numId w:val="20"/>
        </w:numPr>
        <w:spacing w:after="200" w:line="276" w:lineRule="auto"/>
        <w:ind w:left="714" w:hanging="357"/>
        <w:jc w:val="both"/>
      </w:pPr>
      <w:r w:rsidRPr="00A8300E">
        <w:rPr>
          <w:rFonts w:asciiTheme="minorHAnsi" w:hAnsiTheme="minorHAnsi"/>
          <w:sz w:val="22"/>
          <w:szCs w:val="22"/>
        </w:rPr>
        <w:t>a centralised publication for the adjusted ADNT to guarantee harmonised application o</w:t>
      </w:r>
      <w:r w:rsidR="00242FB8" w:rsidRPr="00A8300E">
        <w:rPr>
          <w:rFonts w:asciiTheme="minorHAnsi" w:hAnsiTheme="minorHAnsi"/>
          <w:sz w:val="22"/>
          <w:szCs w:val="22"/>
        </w:rPr>
        <w:t xml:space="preserve">f the tick size regime and </w:t>
      </w:r>
      <w:r w:rsidR="00ED66BB" w:rsidRPr="00A8300E">
        <w:rPr>
          <w:rFonts w:asciiTheme="minorHAnsi" w:hAnsiTheme="minorHAnsi"/>
          <w:sz w:val="22"/>
          <w:szCs w:val="22"/>
        </w:rPr>
        <w:t xml:space="preserve">easy </w:t>
      </w:r>
      <w:r w:rsidRPr="00A8300E">
        <w:rPr>
          <w:rFonts w:asciiTheme="minorHAnsi" w:hAnsiTheme="minorHAnsi"/>
          <w:sz w:val="22"/>
          <w:szCs w:val="22"/>
        </w:rPr>
        <w:t>access to information for market participants.</w:t>
      </w:r>
    </w:p>
    <w:p w14:paraId="4FC64A22" w14:textId="6EF28557" w:rsidR="002C1342" w:rsidRPr="004A0164" w:rsidRDefault="002C1342" w:rsidP="00E37D34">
      <w:pPr>
        <w:jc w:val="both"/>
      </w:pPr>
      <w:r w:rsidRPr="004A0164">
        <w:lastRenderedPageBreak/>
        <w:t xml:space="preserve">On the other topics mentioned in the consultation paper, Deutsche </w:t>
      </w:r>
      <w:r w:rsidR="006B7B44">
        <w:t>Börse</w:t>
      </w:r>
      <w:r w:rsidRPr="004A0164">
        <w:t xml:space="preserve"> Group </w:t>
      </w:r>
      <w:r w:rsidR="00991449" w:rsidRPr="004A0164">
        <w:t xml:space="preserve">does not consider </w:t>
      </w:r>
      <w:r w:rsidR="00242FB8" w:rsidRPr="004A0164">
        <w:t>that we are</w:t>
      </w:r>
      <w:r w:rsidR="00991449" w:rsidRPr="00110E7C">
        <w:t xml:space="preserve"> able to answer on the recalibration of the new tick size regime given that the new regime is still in the process of being implemented</w:t>
      </w:r>
      <w:r w:rsidR="00242FB8" w:rsidRPr="00870D62">
        <w:t xml:space="preserve"> (cf. our response to Q3)</w:t>
      </w:r>
      <w:r w:rsidR="00991449" w:rsidRPr="00870D62">
        <w:t xml:space="preserve">. </w:t>
      </w:r>
      <w:r w:rsidR="00E909D3">
        <w:t>Given the importance of the new tick size regime for the smooth and eff</w:t>
      </w:r>
      <w:r w:rsidR="00EB6DD6">
        <w:t>i</w:t>
      </w:r>
      <w:r w:rsidR="00E909D3">
        <w:t>cient functioning of equities markets, we would very much appreciate if ESMA would run an in-depth analysis of its functioning as part of its thorough review of the implementation of MiFID II/MiFIR provisions which will be one of the Authority’s key points in 2019 according to its working programme. We definitely see some merit in collecting further empiric</w:t>
      </w:r>
      <w:r w:rsidR="007E69D7">
        <w:t>al</w:t>
      </w:r>
      <w:r w:rsidR="00E909D3">
        <w:t xml:space="preserve"> evidence and considering the industry’s view on the benefits and shortcomings of the new regime. At this point in time, w</w:t>
      </w:r>
      <w:r w:rsidR="00B52760" w:rsidRPr="00870D62">
        <w:t xml:space="preserve">e would like to draw the attention of ESMA on </w:t>
      </w:r>
      <w:r w:rsidR="00242FB8" w:rsidRPr="004A0164">
        <w:t>several</w:t>
      </w:r>
      <w:r w:rsidR="00991449" w:rsidRPr="004A0164">
        <w:t xml:space="preserve"> </w:t>
      </w:r>
      <w:r w:rsidR="00B52760" w:rsidRPr="004A0164">
        <w:t>points</w:t>
      </w:r>
      <w:r w:rsidR="00991449" w:rsidRPr="004A0164">
        <w:t xml:space="preserve"> </w:t>
      </w:r>
      <w:r w:rsidR="007E69D7">
        <w:t>which</w:t>
      </w:r>
      <w:r w:rsidR="007E69D7" w:rsidRPr="004A0164">
        <w:t xml:space="preserve"> </w:t>
      </w:r>
      <w:r w:rsidR="00991449" w:rsidRPr="004A0164">
        <w:t xml:space="preserve">are still open like the procedure for new listings (selection of the most relevant market) and the calculation of ADNTs, </w:t>
      </w:r>
      <w:r w:rsidR="007E69D7">
        <w:t xml:space="preserve">the </w:t>
      </w:r>
      <w:r w:rsidR="00991449" w:rsidRPr="004A0164">
        <w:t>availability of the ADNTs for the listings before 3</w:t>
      </w:r>
      <w:r w:rsidR="00991449" w:rsidRPr="004A0164">
        <w:rPr>
          <w:vertAlign w:val="superscript"/>
        </w:rPr>
        <w:t>rd</w:t>
      </w:r>
      <w:r w:rsidR="00991449" w:rsidRPr="004A0164">
        <w:t xml:space="preserve"> January 2018 in the ESMA database, </w:t>
      </w:r>
      <w:r w:rsidR="007E69D7">
        <w:t xml:space="preserve">the </w:t>
      </w:r>
      <w:r w:rsidR="00BB53BD" w:rsidRPr="004A0164">
        <w:t>procedures in case of corporate actions</w:t>
      </w:r>
      <w:r w:rsidR="007E69D7">
        <w:t xml:space="preserve"> and the</w:t>
      </w:r>
      <w:r w:rsidR="00BB53BD" w:rsidRPr="004A0164">
        <w:t xml:space="preserve"> </w:t>
      </w:r>
      <w:r w:rsidR="00910957" w:rsidRPr="004A0164">
        <w:t>adjustments</w:t>
      </w:r>
      <w:r w:rsidR="00BB53BD" w:rsidRPr="004A0164">
        <w:t xml:space="preserve"> on ADNTs both on an ad hoc basis and in the context of the yearly review.</w:t>
      </w:r>
    </w:p>
    <w:p w14:paraId="0516DCBD" w14:textId="32482354" w:rsidR="00910957" w:rsidRPr="004A0164" w:rsidRDefault="00910957" w:rsidP="00E37D34">
      <w:pPr>
        <w:jc w:val="both"/>
      </w:pPr>
      <w:r w:rsidRPr="004A0164">
        <w:t xml:space="preserve">Regarding clarifications on ETFs and the scope of the mandatory tick size regime, Deutsche </w:t>
      </w:r>
      <w:r w:rsidR="006B7B44">
        <w:t>Börse</w:t>
      </w:r>
      <w:r w:rsidRPr="004A0164">
        <w:t xml:space="preserve"> </w:t>
      </w:r>
      <w:r w:rsidR="00255182" w:rsidRPr="004A0164">
        <w:t xml:space="preserve">Group </w:t>
      </w:r>
      <w:r w:rsidRPr="004A0164">
        <w:t xml:space="preserve">would very much appreciate some guidance from ESMA on </w:t>
      </w:r>
      <w:r w:rsidR="00242FB8" w:rsidRPr="004A0164">
        <w:t xml:space="preserve">the complexity of determining whether an ETF </w:t>
      </w:r>
      <w:r w:rsidR="005413D3" w:rsidRPr="004A0164">
        <w:t>is exclusively invested in equities,</w:t>
      </w:r>
      <w:r w:rsidR="00255182" w:rsidRPr="004A0164">
        <w:t xml:space="preserve"> on</w:t>
      </w:r>
      <w:r w:rsidR="005413D3" w:rsidRPr="004A0164">
        <w:t xml:space="preserve"> the unpredictability of the changes in ETFs composition, the publication of a list of ETFs subject to the tick size regime…</w:t>
      </w:r>
      <w:r w:rsidRPr="004A0164">
        <w:t xml:space="preserve"> </w:t>
      </w:r>
      <w:r w:rsidR="00242FB8" w:rsidRPr="004A0164">
        <w:t>(cf. our response to Q4)</w:t>
      </w:r>
      <w:r w:rsidRPr="004A0164">
        <w:t>. We would like in that context to recall the suggestions made by the industry via FESE to their competent authorities</w:t>
      </w:r>
      <w:r w:rsidR="005413D3" w:rsidRPr="004A0164">
        <w:t xml:space="preserve">, suggestions currently followed by Deutsche </w:t>
      </w:r>
      <w:r w:rsidR="006B7B44">
        <w:t>Börse</w:t>
      </w:r>
      <w:r w:rsidR="005413D3" w:rsidRPr="004A0164">
        <w:t xml:space="preserve"> Group.</w:t>
      </w:r>
    </w:p>
    <w:p w14:paraId="591EDEBA" w14:textId="77777777" w:rsidR="0035550B" w:rsidRPr="004A0164" w:rsidRDefault="0035550B" w:rsidP="0035550B">
      <w:r w:rsidRPr="004A0164">
        <w:t>&lt;ESMA_COMMENT_</w:t>
      </w:r>
      <w:r w:rsidRPr="004A0164">
        <w:rPr>
          <w:rFonts w:cs="Arial"/>
        </w:rPr>
        <w:t>ACDR</w:t>
      </w:r>
      <w:r w:rsidRPr="004A0164">
        <w:t>_1&gt;</w:t>
      </w:r>
    </w:p>
    <w:p w14:paraId="10537BE3" w14:textId="77777777" w:rsidR="0035550B" w:rsidRPr="00A8300E" w:rsidRDefault="0035550B" w:rsidP="0035550B">
      <w:pPr>
        <w:pStyle w:val="berschrift1"/>
        <w:numPr>
          <w:ilvl w:val="0"/>
          <w:numId w:val="0"/>
        </w:numPr>
        <w:rPr>
          <w:rFonts w:asciiTheme="minorHAnsi" w:hAnsiTheme="minorHAnsi"/>
          <w:sz w:val="22"/>
          <w:szCs w:val="22"/>
        </w:rPr>
      </w:pPr>
    </w:p>
    <w:p w14:paraId="6DC45FAC" w14:textId="77777777" w:rsidR="0035550B" w:rsidRPr="004A0164" w:rsidRDefault="0035550B" w:rsidP="0035550B"/>
    <w:p w14:paraId="219729C5" w14:textId="77777777" w:rsidR="0035550B" w:rsidRPr="00A8300E" w:rsidRDefault="0035550B" w:rsidP="00E26CBF">
      <w:pPr>
        <w:pStyle w:val="Questionstyle"/>
        <w:rPr>
          <w:szCs w:val="22"/>
        </w:rPr>
      </w:pPr>
      <w:r w:rsidRPr="00A8300E">
        <w:rPr>
          <w:szCs w:val="22"/>
        </w:rPr>
        <w:br w:type="page"/>
      </w:r>
      <w:r w:rsidRPr="00A8300E">
        <w:rPr>
          <w:szCs w:val="22"/>
        </w:rPr>
        <w:lastRenderedPageBreak/>
        <w:t>: Do you agree with the proposed amendments to RTS 11 described above? If you do not, please explain why and what alternative you would suggest.</w:t>
      </w:r>
    </w:p>
    <w:p w14:paraId="3F2A2DC7" w14:textId="77777777" w:rsidR="0035550B" w:rsidRPr="004A0164" w:rsidRDefault="0035550B" w:rsidP="0035550B">
      <w:pPr>
        <w:rPr>
          <w:rFonts w:cs="Arial"/>
        </w:rPr>
      </w:pPr>
      <w:r w:rsidRPr="004A0164">
        <w:rPr>
          <w:rFonts w:cs="Arial"/>
        </w:rPr>
        <w:t>&lt;ESMA_QUESTION_ACDR_1&gt;</w:t>
      </w:r>
    </w:p>
    <w:p w14:paraId="502B0282" w14:textId="2AAE39DC" w:rsidR="0035550B" w:rsidRPr="004A0164" w:rsidRDefault="0075213C" w:rsidP="00E37D34">
      <w:pPr>
        <w:jc w:val="both"/>
        <w:rPr>
          <w:rFonts w:cs="Arial"/>
        </w:rPr>
      </w:pPr>
      <w:r w:rsidRPr="004A0164">
        <w:rPr>
          <w:rFonts w:cs="Arial"/>
        </w:rPr>
        <w:t>Deu</w:t>
      </w:r>
      <w:r w:rsidR="00180C5D" w:rsidRPr="004A0164">
        <w:rPr>
          <w:rFonts w:cs="Arial"/>
        </w:rPr>
        <w:t>ts</w:t>
      </w:r>
      <w:r w:rsidRPr="004A0164">
        <w:rPr>
          <w:rFonts w:cs="Arial"/>
        </w:rPr>
        <w:t xml:space="preserve">che </w:t>
      </w:r>
      <w:r w:rsidR="006B7B44">
        <w:rPr>
          <w:rFonts w:cs="Arial"/>
        </w:rPr>
        <w:t>Börse</w:t>
      </w:r>
      <w:r w:rsidRPr="004A0164">
        <w:rPr>
          <w:rFonts w:cs="Arial"/>
        </w:rPr>
        <w:t xml:space="preserve"> Group welcomes </w:t>
      </w:r>
      <w:r w:rsidR="00180C5D" w:rsidRPr="004A0164">
        <w:rPr>
          <w:rFonts w:cs="Arial"/>
        </w:rPr>
        <w:t>the initiative from ESMA to allow for adjustment of the ADNT</w:t>
      </w:r>
      <w:r w:rsidR="00CA78A9" w:rsidRPr="004A0164">
        <w:rPr>
          <w:rFonts w:cs="Arial"/>
        </w:rPr>
        <w:t>s</w:t>
      </w:r>
      <w:r w:rsidR="00180C5D" w:rsidRPr="004A0164">
        <w:rPr>
          <w:rFonts w:cs="Arial"/>
        </w:rPr>
        <w:t xml:space="preserve"> for third country </w:t>
      </w:r>
      <w:r w:rsidR="009369E8" w:rsidRPr="004A0164">
        <w:rPr>
          <w:rFonts w:cs="Arial"/>
        </w:rPr>
        <w:t>instruments</w:t>
      </w:r>
      <w:r w:rsidR="00180C5D" w:rsidRPr="004A0164">
        <w:rPr>
          <w:rFonts w:cs="Arial"/>
        </w:rPr>
        <w:t xml:space="preserve"> which would allow for a better calibration </w:t>
      </w:r>
      <w:r w:rsidR="000446E6" w:rsidRPr="004A0164">
        <w:rPr>
          <w:rFonts w:cs="Arial"/>
        </w:rPr>
        <w:t xml:space="preserve">reflecting the liquidity of the instruments outside the Union. </w:t>
      </w:r>
      <w:r w:rsidR="00F81A99" w:rsidRPr="004A0164">
        <w:rPr>
          <w:rFonts w:cs="Arial"/>
        </w:rPr>
        <w:t xml:space="preserve">We very much appreciate the </w:t>
      </w:r>
      <w:r w:rsidR="0044237C">
        <w:rPr>
          <w:rFonts w:cs="Arial"/>
        </w:rPr>
        <w:t xml:space="preserve">ESMA’s </w:t>
      </w:r>
      <w:r w:rsidR="00F81A99" w:rsidRPr="004A0164">
        <w:rPr>
          <w:rFonts w:cs="Arial"/>
        </w:rPr>
        <w:t xml:space="preserve">efforts to consider different options and understand that there </w:t>
      </w:r>
      <w:r w:rsidR="0044237C">
        <w:rPr>
          <w:rFonts w:cs="Arial"/>
        </w:rPr>
        <w:t xml:space="preserve">is </w:t>
      </w:r>
      <w:r w:rsidR="00F81A99" w:rsidRPr="004A0164">
        <w:rPr>
          <w:rFonts w:cs="Arial"/>
        </w:rPr>
        <w:t>most likely no</w:t>
      </w:r>
      <w:r w:rsidR="00CA78A9" w:rsidRPr="004A0164">
        <w:rPr>
          <w:rFonts w:cs="Arial"/>
        </w:rPr>
        <w:t xml:space="preserve"> </w:t>
      </w:r>
      <w:r w:rsidR="00F81A99" w:rsidRPr="004A0164">
        <w:rPr>
          <w:rFonts w:cs="Arial"/>
        </w:rPr>
        <w:t xml:space="preserve">perfect solution due to the complexity of the topic. We do however believe that the solution adopted shall try to both minimise the costs and efforts for market participants and trading venues and not </w:t>
      </w:r>
      <w:r w:rsidR="00F81A99" w:rsidRPr="004A0164">
        <w:rPr>
          <w:rFonts w:cs="Arial"/>
          <w:i/>
        </w:rPr>
        <w:t>in fine</w:t>
      </w:r>
      <w:r w:rsidR="00F81A99" w:rsidRPr="004A0164">
        <w:rPr>
          <w:rFonts w:cs="Arial"/>
        </w:rPr>
        <w:t xml:space="preserve"> harm the liquidity </w:t>
      </w:r>
      <w:r w:rsidR="00B30C04" w:rsidRPr="004A0164">
        <w:rPr>
          <w:rFonts w:cs="Arial"/>
        </w:rPr>
        <w:t>of</w:t>
      </w:r>
      <w:r w:rsidR="00F81A99" w:rsidRPr="004A0164">
        <w:rPr>
          <w:rFonts w:cs="Arial"/>
        </w:rPr>
        <w:t xml:space="preserve"> third country instruments in the Union.</w:t>
      </w:r>
    </w:p>
    <w:p w14:paraId="71E1D243" w14:textId="78EE7539" w:rsidR="00C63D9E" w:rsidRPr="00110E7C" w:rsidRDefault="00C63D9E" w:rsidP="00CA78A9">
      <w:pPr>
        <w:spacing w:after="0"/>
        <w:jc w:val="both"/>
      </w:pPr>
      <w:r w:rsidRPr="004A0164">
        <w:t>ESMA proposed amendments to RTS 11 addressing the minimum tick size applicable to instruments where the main pool of liquidity is located outside the EU (third country instruments). As recalled by ESMA, the liquidity bands used to define the tick sizes under Article 49 MiFID II - together with the instrument’s price level – are based on the Average Daily Number of Transactions (ADNT) on the Most Relevant Market</w:t>
      </w:r>
      <w:r w:rsidR="000F4E98" w:rsidRPr="004A0164">
        <w:t xml:space="preserve"> (MRM)</w:t>
      </w:r>
      <w:r w:rsidRPr="004A0164">
        <w:t xml:space="preserve"> in the Union. Third country instruments are, based on this methodology, traded on the basis of </w:t>
      </w:r>
      <w:r w:rsidR="0044237C">
        <w:t xml:space="preserve">their </w:t>
      </w:r>
      <w:r w:rsidRPr="004A0164">
        <w:t>trading activity within the Union; trading activity taking place outside of the Union is not considered</w:t>
      </w:r>
      <w:r w:rsidRPr="004A0164">
        <w:rPr>
          <w:rStyle w:val="Funotenzeichen"/>
        </w:rPr>
        <w:footnoteReference w:id="1"/>
      </w:r>
      <w:r w:rsidRPr="004A0164">
        <w:t xml:space="preserve">. This methodology has the fundamental drawback of misestimating the liquidity of the instrument when the trading activity outside of the Union is much higher than reflected in the EU ADNTs. This leads to artificially </w:t>
      </w:r>
      <w:r w:rsidR="0044237C">
        <w:t>wide</w:t>
      </w:r>
      <w:r w:rsidR="0044237C" w:rsidRPr="004A0164">
        <w:t xml:space="preserve"> </w:t>
      </w:r>
      <w:r w:rsidRPr="004A0164">
        <w:t>tick sizes for third country shares in the Union and:</w:t>
      </w:r>
    </w:p>
    <w:p w14:paraId="7F4C37FE" w14:textId="2936ADE8" w:rsidR="00C63D9E" w:rsidRPr="00870D62" w:rsidRDefault="00C63D9E" w:rsidP="00F737B4">
      <w:pPr>
        <w:spacing w:after="0"/>
        <w:jc w:val="both"/>
      </w:pPr>
      <w:r w:rsidRPr="00870D62">
        <w:t xml:space="preserve">a - potentially puts European trading venues at </w:t>
      </w:r>
      <w:r w:rsidR="009B18CC">
        <w:t xml:space="preserve">a </w:t>
      </w:r>
      <w:r w:rsidRPr="00870D62">
        <w:t>competitive disadvantage with their third country</w:t>
      </w:r>
    </w:p>
    <w:p w14:paraId="2A0CFB98" w14:textId="77777777" w:rsidR="00C63D9E" w:rsidRPr="004A0164" w:rsidRDefault="00C63D9E">
      <w:pPr>
        <w:spacing w:after="0"/>
        <w:ind w:left="270"/>
        <w:jc w:val="both"/>
      </w:pPr>
      <w:r w:rsidRPr="004A0164">
        <w:t>venues counterparts;</w:t>
      </w:r>
    </w:p>
    <w:p w14:paraId="4F1CB47C" w14:textId="0381BDB9" w:rsidR="00C63D9E" w:rsidRPr="004A0164" w:rsidRDefault="00C63D9E">
      <w:pPr>
        <w:tabs>
          <w:tab w:val="left" w:pos="270"/>
        </w:tabs>
        <w:spacing w:after="0"/>
        <w:jc w:val="both"/>
      </w:pPr>
      <w:r w:rsidRPr="004A0164">
        <w:t xml:space="preserve">b - increases implicit transaction costs without economic background </w:t>
      </w:r>
      <w:r w:rsidR="009B18CC">
        <w:t>for</w:t>
      </w:r>
      <w:r w:rsidRPr="004A0164">
        <w:t xml:space="preserve"> market participants trading </w:t>
      </w:r>
      <w:r w:rsidRPr="004A0164">
        <w:tab/>
        <w:t>on EU venues.</w:t>
      </w:r>
    </w:p>
    <w:p w14:paraId="1B44D0B7" w14:textId="77777777" w:rsidR="00C63D9E" w:rsidRPr="004A0164" w:rsidRDefault="00C63D9E">
      <w:pPr>
        <w:spacing w:after="0"/>
        <w:ind w:firstLine="720"/>
        <w:jc w:val="both"/>
      </w:pPr>
    </w:p>
    <w:p w14:paraId="3A07C3E3" w14:textId="59800D2F" w:rsidR="00C63D9E" w:rsidRPr="004A0164" w:rsidRDefault="00C63D9E">
      <w:pPr>
        <w:jc w:val="both"/>
        <w:rPr>
          <w:lang w:val="en-US"/>
        </w:rPr>
      </w:pPr>
      <w:r w:rsidRPr="004A0164">
        <w:rPr>
          <w:rStyle w:val="ilfuvd"/>
          <w:bCs/>
        </w:rPr>
        <w:t>On Frankfurter</w:t>
      </w:r>
      <w:r w:rsidRPr="004A0164">
        <w:rPr>
          <w:rStyle w:val="ilfuvd"/>
        </w:rPr>
        <w:t xml:space="preserve"> Wertpapierbörse (</w:t>
      </w:r>
      <w:r w:rsidRPr="004A0164">
        <w:rPr>
          <w:rStyle w:val="ilfuvd"/>
          <w:bCs/>
        </w:rPr>
        <w:t>FWB</w:t>
      </w:r>
      <w:r w:rsidRPr="004A0164">
        <w:rPr>
          <w:rStyle w:val="ilfuvd"/>
        </w:rPr>
        <w:t>®)</w:t>
      </w:r>
      <w:r w:rsidRPr="004A0164">
        <w:rPr>
          <w:lang w:val="en-US"/>
        </w:rPr>
        <w:t>, more than 8,500 third country instruments are listed and cover more than 60 countries including Canada, Brazil, Japan, USA, Switzerland, etc. Adapting the tick sizes for those instruments on 3</w:t>
      </w:r>
      <w:r w:rsidRPr="004A0164">
        <w:rPr>
          <w:vertAlign w:val="superscript"/>
          <w:lang w:val="en-US"/>
        </w:rPr>
        <w:t>rd</w:t>
      </w:r>
      <w:r w:rsidRPr="004A0164">
        <w:rPr>
          <w:lang w:val="en-US"/>
        </w:rPr>
        <w:t xml:space="preserve"> January 2018 to follow the EU tick size regime for shares and depositary receipts meant significant increase</w:t>
      </w:r>
      <w:r w:rsidR="0044237C">
        <w:rPr>
          <w:lang w:val="en-US"/>
        </w:rPr>
        <w:t>s</w:t>
      </w:r>
      <w:r w:rsidRPr="004A0164">
        <w:rPr>
          <w:lang w:val="en-US"/>
        </w:rPr>
        <w:t xml:space="preserve"> in tick sizes and consequently a widening of quoted spreads. For instance, for Swiss SMI 20 instruments, </w:t>
      </w:r>
      <w:r w:rsidRPr="004A0164">
        <w:rPr>
          <w:lang w:val="en-US"/>
        </w:rPr>
        <w:lastRenderedPageBreak/>
        <w:t xml:space="preserve">quoted spreads increased by </w:t>
      </w:r>
      <w:r w:rsidR="002D7DAF">
        <w:rPr>
          <w:lang w:val="en-US"/>
        </w:rPr>
        <w:t>220</w:t>
      </w:r>
      <w:r w:rsidRPr="004A0164">
        <w:rPr>
          <w:lang w:val="en-US"/>
        </w:rPr>
        <w:t>% on Xetra</w:t>
      </w:r>
      <w:r w:rsidR="002D7DAF" w:rsidRPr="004A0164">
        <w:t>®</w:t>
      </w:r>
      <w:r w:rsidRPr="004A0164">
        <w:rPr>
          <w:lang w:val="en-US"/>
        </w:rPr>
        <w:t xml:space="preserve"> and by </w:t>
      </w:r>
      <w:r w:rsidR="002D7DAF">
        <w:rPr>
          <w:lang w:val="en-US"/>
        </w:rPr>
        <w:t>154</w:t>
      </w:r>
      <w:r w:rsidRPr="004A0164">
        <w:rPr>
          <w:lang w:val="en-US"/>
        </w:rPr>
        <w:t xml:space="preserve">% </w:t>
      </w:r>
      <w:r w:rsidR="002D7DAF">
        <w:rPr>
          <w:lang w:val="en-US"/>
        </w:rPr>
        <w:t xml:space="preserve">on Börse Frankfurt </w:t>
      </w:r>
      <w:r w:rsidRPr="004A0164">
        <w:rPr>
          <w:lang w:val="en-US"/>
        </w:rPr>
        <w:t xml:space="preserve">between December 2017 and January 2018. The same observation holds true for a selection of US instruments where quoted spreads increased by </w:t>
      </w:r>
      <w:r w:rsidR="002D7DAF">
        <w:rPr>
          <w:lang w:val="en-US"/>
        </w:rPr>
        <w:t>55</w:t>
      </w:r>
      <w:r w:rsidRPr="004A0164">
        <w:rPr>
          <w:lang w:val="en-US"/>
        </w:rPr>
        <w:t>% on Xetra</w:t>
      </w:r>
      <w:r w:rsidR="002D7DAF" w:rsidRPr="004A0164">
        <w:t>®</w:t>
      </w:r>
      <w:r w:rsidRPr="004A0164">
        <w:rPr>
          <w:lang w:val="en-US"/>
        </w:rPr>
        <w:t xml:space="preserve"> and by </w:t>
      </w:r>
      <w:r w:rsidR="002D7DAF">
        <w:rPr>
          <w:lang w:val="en-US"/>
        </w:rPr>
        <w:t>137</w:t>
      </w:r>
      <w:r w:rsidRPr="004A0164">
        <w:rPr>
          <w:lang w:val="en-US"/>
        </w:rPr>
        <w:t xml:space="preserve">% </w:t>
      </w:r>
      <w:r w:rsidR="000F4E98" w:rsidRPr="004A0164">
        <w:rPr>
          <w:lang w:val="en-US"/>
        </w:rPr>
        <w:t xml:space="preserve">on </w:t>
      </w:r>
      <w:r w:rsidR="006B7B44">
        <w:rPr>
          <w:lang w:val="en-US"/>
        </w:rPr>
        <w:t>Börse</w:t>
      </w:r>
      <w:r w:rsidR="000F4E98" w:rsidRPr="004A0164">
        <w:rPr>
          <w:lang w:val="en-US"/>
        </w:rPr>
        <w:t xml:space="preserve"> Frankfurt </w:t>
      </w:r>
      <w:r w:rsidRPr="004A0164">
        <w:rPr>
          <w:lang w:val="en-US"/>
        </w:rPr>
        <w:t>between December 2017 and January 2018.</w:t>
      </w:r>
    </w:p>
    <w:p w14:paraId="56F2B946" w14:textId="2086B73E" w:rsidR="00C63D9E" w:rsidRPr="004A0164" w:rsidRDefault="00C63D9E" w:rsidP="00C63D9E">
      <w:pPr>
        <w:jc w:val="both"/>
        <w:rPr>
          <w:lang w:val="en-US"/>
        </w:rPr>
      </w:pPr>
      <w:r w:rsidRPr="004A0164">
        <w:rPr>
          <w:lang w:val="en-US"/>
        </w:rPr>
        <w:t xml:space="preserve">Hence Deutsche </w:t>
      </w:r>
      <w:r w:rsidR="006B7B44">
        <w:rPr>
          <w:lang w:val="en-US"/>
        </w:rPr>
        <w:t>Börse</w:t>
      </w:r>
      <w:r w:rsidRPr="004A0164">
        <w:rPr>
          <w:lang w:val="en-US"/>
        </w:rPr>
        <w:t xml:space="preserve"> </w:t>
      </w:r>
      <w:r w:rsidR="000F4E98" w:rsidRPr="004A0164">
        <w:rPr>
          <w:lang w:val="en-US"/>
        </w:rPr>
        <w:t xml:space="preserve">Group </w:t>
      </w:r>
      <w:r w:rsidRPr="004A0164">
        <w:rPr>
          <w:lang w:val="en-US"/>
        </w:rPr>
        <w:t xml:space="preserve">very much welcomes the ESMA initiative to amend RTS 11 in order to account for the actual trading activity of third country instruments outside the Union. </w:t>
      </w:r>
      <w:r w:rsidRPr="004A0164">
        <w:rPr>
          <w:b/>
          <w:lang w:val="en-US"/>
        </w:rPr>
        <w:t>We argue that option d</w:t>
      </w:r>
      <w:r w:rsidR="00CA78A9" w:rsidRPr="004A0164">
        <w:rPr>
          <w:b/>
          <w:lang w:val="en-US"/>
        </w:rPr>
        <w:t>)</w:t>
      </w:r>
      <w:r w:rsidRPr="004A0164">
        <w:rPr>
          <w:b/>
          <w:lang w:val="en-US"/>
        </w:rPr>
        <w:t xml:space="preserve"> may strike a reasonable balance between the regulatory objectives of harmonising tick sizes for non-EU shares across the EU, avoiding competitive distortions between the EU and third countries as well as within the EU and establishing a workable and efficient process. However, we consider that targeted amendments to this option as well as the underlying identification of third country shares are urgently required to effectively deliver on these objectives. In the next sections, we will briefly motivate why we consider these amendments as necessary, why we consider our proposal to be in line with legislators’ intention when designing Art</w:t>
      </w:r>
      <w:r w:rsidR="00DB4314" w:rsidRPr="004A0164">
        <w:rPr>
          <w:b/>
          <w:lang w:val="en-US"/>
        </w:rPr>
        <w:t>icle</w:t>
      </w:r>
      <w:r w:rsidRPr="004A0164">
        <w:rPr>
          <w:b/>
          <w:lang w:val="en-US"/>
        </w:rPr>
        <w:t xml:space="preserve"> 49 MiFID II and how the process may be applied.</w:t>
      </w:r>
    </w:p>
    <w:p w14:paraId="38BA9C27" w14:textId="3EAA1AA5" w:rsidR="00C63D9E" w:rsidRPr="004A0164" w:rsidRDefault="00C63D9E" w:rsidP="00C63D9E">
      <w:pPr>
        <w:jc w:val="both"/>
        <w:rPr>
          <w:lang w:val="en-US"/>
        </w:rPr>
      </w:pPr>
      <w:r w:rsidRPr="004A0164">
        <w:rPr>
          <w:lang w:val="en-US"/>
        </w:rPr>
        <w:t>The proposal favoured by ESMA (proposal d) page 10 of the Consultation Paper) suggests that third country instruments are identified based on their trading activity outside the EU being higher than within the Union and having been admitted to trading in a non EU-jurisdiction. Competent authorities (CAs) of trading venues where those instruments are traded would need to coordinate and determine a more suitable liquidity band on a case by case basis; Instruments where the EU ADNT is lower than one are excluded as well as depositary receipts. From a practical perspective, ESMA stated that they would not modify their system, not update their database and CAs would be responsible to coordinate the process to determine adapted ADNTs and communicate to all relevant CAs and trading venues under their supervision.</w:t>
      </w:r>
    </w:p>
    <w:p w14:paraId="6A056952" w14:textId="1ECD05C8" w:rsidR="00C63D9E" w:rsidRPr="004A0164" w:rsidRDefault="00C63D9E" w:rsidP="00C63D9E">
      <w:pPr>
        <w:jc w:val="both"/>
        <w:rPr>
          <w:lang w:val="en-US"/>
        </w:rPr>
      </w:pPr>
      <w:r w:rsidRPr="004A0164">
        <w:rPr>
          <w:lang w:val="en-US"/>
        </w:rPr>
        <w:t xml:space="preserve">Deutsche </w:t>
      </w:r>
      <w:r w:rsidR="006B7B44">
        <w:rPr>
          <w:lang w:val="en-US"/>
        </w:rPr>
        <w:t>Börse</w:t>
      </w:r>
      <w:r w:rsidRPr="004A0164">
        <w:rPr>
          <w:lang w:val="en-US"/>
        </w:rPr>
        <w:t xml:space="preserve"> </w:t>
      </w:r>
      <w:r w:rsidR="000F4E98" w:rsidRPr="004A0164">
        <w:rPr>
          <w:lang w:val="en-US"/>
        </w:rPr>
        <w:t>Group</w:t>
      </w:r>
      <w:r w:rsidRPr="004A0164">
        <w:rPr>
          <w:lang w:val="en-US"/>
        </w:rPr>
        <w:t xml:space="preserve"> understands how complex the issue is and that a simple solution may be difficult to establish as third country instruments following a tick size regime different from the instruments listed in the Union would add complexity and as well because data in third countries may not always be retrieved easily. However, we would like to point out some drawbacks in the proposal favoured by ESMA and propose </w:t>
      </w:r>
      <w:r w:rsidR="000F4E98" w:rsidRPr="004A0164">
        <w:rPr>
          <w:lang w:val="en-US"/>
        </w:rPr>
        <w:t xml:space="preserve">a </w:t>
      </w:r>
      <w:r w:rsidRPr="004A0164">
        <w:rPr>
          <w:lang w:val="en-US"/>
        </w:rPr>
        <w:t>modified solution</w:t>
      </w:r>
      <w:r w:rsidR="00DB4314" w:rsidRPr="004A0164">
        <w:rPr>
          <w:lang w:val="en-US"/>
        </w:rPr>
        <w:t xml:space="preserve"> to proposal d)</w:t>
      </w:r>
      <w:r w:rsidRPr="004A0164">
        <w:rPr>
          <w:lang w:val="en-US"/>
        </w:rPr>
        <w:t xml:space="preserve">. </w:t>
      </w:r>
    </w:p>
    <w:p w14:paraId="6CA650DE" w14:textId="3A639B54" w:rsidR="00C63D9E" w:rsidRPr="004A0164" w:rsidRDefault="00C63D9E" w:rsidP="00C63D9E">
      <w:pPr>
        <w:jc w:val="both"/>
        <w:rPr>
          <w:lang w:val="en-US"/>
        </w:rPr>
      </w:pPr>
      <w:r w:rsidRPr="004A0164">
        <w:rPr>
          <w:lang w:val="en-US"/>
        </w:rPr>
        <w:t xml:space="preserve">1 – </w:t>
      </w:r>
      <w:r w:rsidR="0082131C" w:rsidRPr="004A0164">
        <w:rPr>
          <w:u w:val="single"/>
          <w:lang w:val="en-US"/>
        </w:rPr>
        <w:t xml:space="preserve">Identification </w:t>
      </w:r>
      <w:r w:rsidRPr="004A0164">
        <w:rPr>
          <w:u w:val="single"/>
          <w:lang w:val="en-US"/>
        </w:rPr>
        <w:t>of third country instruments</w:t>
      </w:r>
      <w:r w:rsidRPr="004A0164">
        <w:rPr>
          <w:lang w:val="en-US"/>
        </w:rPr>
        <w:t xml:space="preserve">: ESMA qualifies third country instruments as shares with the most liquid trading venue located outside the EU – and admitted to trading in a non-EU jurisdiction. This definition has the merit of its simplicity but fails to provide a </w:t>
      </w:r>
      <w:r w:rsidRPr="004A0164">
        <w:rPr>
          <w:lang w:val="en-US"/>
        </w:rPr>
        <w:lastRenderedPageBreak/>
        <w:t xml:space="preserve">predefined set of instruments. The turnover is as well one of the parameters to </w:t>
      </w:r>
      <w:r w:rsidR="000F4E98" w:rsidRPr="004A0164">
        <w:rPr>
          <w:lang w:val="en-US"/>
        </w:rPr>
        <w:t>consider</w:t>
      </w:r>
      <w:r w:rsidR="00095658" w:rsidRPr="004A0164">
        <w:rPr>
          <w:lang w:val="en-US"/>
        </w:rPr>
        <w:t xml:space="preserve"> in order</w:t>
      </w:r>
      <w:r w:rsidR="00DB4314" w:rsidRPr="004A0164">
        <w:rPr>
          <w:lang w:val="en-US"/>
        </w:rPr>
        <w:t xml:space="preserve"> </w:t>
      </w:r>
      <w:r w:rsidRPr="004A0164">
        <w:rPr>
          <w:lang w:val="en-US"/>
        </w:rPr>
        <w:t xml:space="preserve">to adjust the liquidity band in a second step. </w:t>
      </w:r>
      <w:r w:rsidR="009A70C9" w:rsidRPr="004A0164">
        <w:rPr>
          <w:lang w:val="en-US"/>
        </w:rPr>
        <w:t>A</w:t>
      </w:r>
      <w:r w:rsidRPr="004A0164">
        <w:rPr>
          <w:lang w:val="en-US"/>
        </w:rPr>
        <w:t xml:space="preserve"> circularity </w:t>
      </w:r>
      <w:r w:rsidR="009A70C9" w:rsidRPr="004A0164">
        <w:rPr>
          <w:lang w:val="en-US"/>
        </w:rPr>
        <w:t xml:space="preserve">appears </w:t>
      </w:r>
      <w:r w:rsidRPr="004A0164">
        <w:rPr>
          <w:lang w:val="en-US"/>
        </w:rPr>
        <w:t xml:space="preserve">in the process making the latter uneasy and uncertain (only if </w:t>
      </w:r>
      <w:r w:rsidR="00726E16">
        <w:rPr>
          <w:lang w:val="en-US"/>
        </w:rPr>
        <w:t xml:space="preserve">the </w:t>
      </w:r>
      <w:r w:rsidRPr="004A0164">
        <w:rPr>
          <w:lang w:val="en-US"/>
        </w:rPr>
        <w:t xml:space="preserve">turnover outside the Union can be retrieved then the instrument qualifies as third country instruments and </w:t>
      </w:r>
      <w:r w:rsidR="009B18CC">
        <w:rPr>
          <w:lang w:val="en-US"/>
        </w:rPr>
        <w:t xml:space="preserve">the </w:t>
      </w:r>
      <w:r w:rsidRPr="004A0164">
        <w:rPr>
          <w:lang w:val="en-US"/>
        </w:rPr>
        <w:t xml:space="preserve">ADNT can be adjusted – where </w:t>
      </w:r>
      <w:r w:rsidR="00726E16">
        <w:rPr>
          <w:lang w:val="en-US"/>
        </w:rPr>
        <w:t xml:space="preserve">the </w:t>
      </w:r>
      <w:r w:rsidRPr="004A0164">
        <w:rPr>
          <w:lang w:val="en-US"/>
        </w:rPr>
        <w:t xml:space="preserve">turnover or </w:t>
      </w:r>
      <w:r w:rsidR="009B18CC">
        <w:rPr>
          <w:lang w:val="en-US"/>
        </w:rPr>
        <w:t xml:space="preserve">any other </w:t>
      </w:r>
      <w:r w:rsidRPr="004A0164">
        <w:rPr>
          <w:lang w:val="en-US"/>
        </w:rPr>
        <w:t xml:space="preserve">comparable figure cannot be retrieved, </w:t>
      </w:r>
      <w:r w:rsidR="009B18CC">
        <w:rPr>
          <w:lang w:val="en-US"/>
        </w:rPr>
        <w:t xml:space="preserve">the </w:t>
      </w:r>
      <w:r w:rsidRPr="004A0164">
        <w:rPr>
          <w:lang w:val="en-US"/>
        </w:rPr>
        <w:t>ADNT cannot be adjusted although the instrument is a third country instrument</w:t>
      </w:r>
      <w:r w:rsidR="00F815AC" w:rsidRPr="004A0164">
        <w:rPr>
          <w:lang w:val="en-US"/>
        </w:rPr>
        <w:t xml:space="preserve"> according to</w:t>
      </w:r>
      <w:r w:rsidRPr="004A0164">
        <w:rPr>
          <w:lang w:val="en-US"/>
        </w:rPr>
        <w:t xml:space="preserve"> </w:t>
      </w:r>
      <w:r w:rsidR="00726E16">
        <w:rPr>
          <w:lang w:val="en-US"/>
        </w:rPr>
        <w:t>a different</w:t>
      </w:r>
      <w:r w:rsidR="00726E16" w:rsidRPr="004A0164">
        <w:rPr>
          <w:lang w:val="en-US"/>
        </w:rPr>
        <w:t xml:space="preserve"> </w:t>
      </w:r>
      <w:r w:rsidRPr="004A0164">
        <w:rPr>
          <w:lang w:val="en-US"/>
        </w:rPr>
        <w:t>criterion).</w:t>
      </w:r>
    </w:p>
    <w:p w14:paraId="43794BEF" w14:textId="17ADDEEB" w:rsidR="00C63D9E" w:rsidRPr="004A0164" w:rsidRDefault="00C63D9E" w:rsidP="00C63D9E">
      <w:pPr>
        <w:jc w:val="both"/>
        <w:rPr>
          <w:lang w:val="en-US"/>
        </w:rPr>
      </w:pPr>
      <w:r w:rsidRPr="004A0164">
        <w:rPr>
          <w:lang w:val="en-US"/>
        </w:rPr>
        <w:t xml:space="preserve">2 – </w:t>
      </w:r>
      <w:r w:rsidRPr="004A0164">
        <w:rPr>
          <w:u w:val="single"/>
          <w:lang w:val="en-US"/>
        </w:rPr>
        <w:t>Data collection for third country instruments</w:t>
      </w:r>
      <w:r w:rsidRPr="004A0164">
        <w:rPr>
          <w:lang w:val="en-US"/>
        </w:rPr>
        <w:t xml:space="preserve">: based on the fact that </w:t>
      </w:r>
      <w:r w:rsidR="00726E16">
        <w:rPr>
          <w:lang w:val="en-US"/>
        </w:rPr>
        <w:t xml:space="preserve">the </w:t>
      </w:r>
      <w:r w:rsidRPr="004A0164">
        <w:rPr>
          <w:lang w:val="en-US"/>
        </w:rPr>
        <w:t xml:space="preserve">turnover outside the Union is the central criterion for an instrument to qualify as third country instrument, </w:t>
      </w:r>
      <w:r w:rsidR="003A0726">
        <w:rPr>
          <w:lang w:val="en-US"/>
        </w:rPr>
        <w:t>ESMA’s</w:t>
      </w:r>
      <w:r w:rsidR="003A0726" w:rsidRPr="004A0164">
        <w:rPr>
          <w:lang w:val="en-US"/>
        </w:rPr>
        <w:t xml:space="preserve"> </w:t>
      </w:r>
      <w:r w:rsidRPr="004A0164">
        <w:rPr>
          <w:lang w:val="en-US"/>
        </w:rPr>
        <w:t xml:space="preserve">proposal requires to screen all instruments listed on a trading venue and compare on a case by case basis the trading activity in the Union and outside the Union. In the case of Deutsche </w:t>
      </w:r>
      <w:r w:rsidR="006B7B44">
        <w:rPr>
          <w:lang w:val="en-US"/>
        </w:rPr>
        <w:t>Börse</w:t>
      </w:r>
      <w:r w:rsidRPr="004A0164">
        <w:rPr>
          <w:lang w:val="en-US"/>
        </w:rPr>
        <w:t xml:space="preserve"> </w:t>
      </w:r>
      <w:r w:rsidR="00F815AC" w:rsidRPr="004A0164">
        <w:rPr>
          <w:lang w:val="en-US"/>
        </w:rPr>
        <w:t>Group</w:t>
      </w:r>
      <w:r w:rsidRPr="004A0164">
        <w:rPr>
          <w:lang w:val="en-US"/>
        </w:rPr>
        <w:t>, we have identified more than 8</w:t>
      </w:r>
      <w:r w:rsidR="00F815AC" w:rsidRPr="004A0164">
        <w:rPr>
          <w:lang w:val="en-US"/>
        </w:rPr>
        <w:t>,</w:t>
      </w:r>
      <w:r w:rsidRPr="004A0164">
        <w:rPr>
          <w:lang w:val="en-US"/>
        </w:rPr>
        <w:t xml:space="preserve">500 instruments where </w:t>
      </w:r>
      <w:r w:rsidR="002A274D">
        <w:rPr>
          <w:lang w:val="en-US"/>
        </w:rPr>
        <w:t xml:space="preserve">it is unknown so far if </w:t>
      </w:r>
      <w:r w:rsidRPr="004A0164">
        <w:rPr>
          <w:lang w:val="en-US"/>
        </w:rPr>
        <w:t xml:space="preserve">publicly available data </w:t>
      </w:r>
      <w:r w:rsidR="00DB4314" w:rsidRPr="004A0164">
        <w:rPr>
          <w:lang w:val="en-US"/>
        </w:rPr>
        <w:t xml:space="preserve">is accessible </w:t>
      </w:r>
      <w:r w:rsidR="002A274D">
        <w:rPr>
          <w:lang w:val="en-US"/>
        </w:rPr>
        <w:t xml:space="preserve">and accessing the data otherwise </w:t>
      </w:r>
      <w:r w:rsidR="00DB4314" w:rsidRPr="004A0164">
        <w:rPr>
          <w:lang w:val="en-US"/>
        </w:rPr>
        <w:t>may result in prohibitive costs (consider also the staff cost involved to retrieve such data).</w:t>
      </w:r>
      <w:r w:rsidRPr="004A0164">
        <w:rPr>
          <w:lang w:val="en-US"/>
        </w:rPr>
        <w:t xml:space="preserve"> </w:t>
      </w:r>
      <w:r w:rsidR="002A274D">
        <w:rPr>
          <w:lang w:val="en-US"/>
        </w:rPr>
        <w:t xml:space="preserve">Indeed, </w:t>
      </w:r>
      <w:r w:rsidR="002A274D">
        <w:t>r</w:t>
      </w:r>
      <w:r w:rsidR="002A274D" w:rsidRPr="004A0164">
        <w:t xml:space="preserve">etrieving information on turnover - and number of transactions – for all instruments is a cumbersome and costly task (considering that instruments with their main pool of liquidity cannot be pre-selected – the procedure proposed by ESMA is an ex post procedure where an instrument is a third country instrument only when the turnover outside the Union could be retrieved). The public availability of data is to be demonstrated but as much as turnovers are usually available on a trading venue level, it is </w:t>
      </w:r>
      <w:r w:rsidR="002A274D">
        <w:t xml:space="preserve">unlikely </w:t>
      </w:r>
      <w:r w:rsidR="002A274D" w:rsidRPr="004A0164">
        <w:t xml:space="preserve">that data on an instrument level </w:t>
      </w:r>
      <w:r w:rsidR="002A274D">
        <w:t xml:space="preserve">can </w:t>
      </w:r>
      <w:r w:rsidR="002A274D" w:rsidRPr="004A0164">
        <w:t xml:space="preserve"> to be retrieved at no or low costs. Turning to data vendors is a solution </w:t>
      </w:r>
      <w:r w:rsidR="002A274D">
        <w:t>which</w:t>
      </w:r>
      <w:r w:rsidR="002A274D" w:rsidRPr="004A0164">
        <w:t xml:space="preserve"> is not adapted to the exercise. The latter allow for searches on a tick level, which is the identifier for an instrument and a trading venue. One single instrument can be found under several hundreds of identifiers and each one shall be entered manually in the system. The staff and data costs for such are not reasonable.</w:t>
      </w:r>
      <w:r w:rsidR="002A274D">
        <w:t xml:space="preserve"> </w:t>
      </w:r>
      <w:r w:rsidRPr="004A0164">
        <w:rPr>
          <w:lang w:val="en-US"/>
        </w:rPr>
        <w:t>Again, th</w:t>
      </w:r>
      <w:r w:rsidR="002A274D">
        <w:rPr>
          <w:lang w:val="en-US"/>
        </w:rPr>
        <w:t>is</w:t>
      </w:r>
      <w:r w:rsidRPr="004A0164">
        <w:rPr>
          <w:lang w:val="en-US"/>
        </w:rPr>
        <w:t xml:space="preserve"> solution does not guarantee the </w:t>
      </w:r>
      <w:r w:rsidRPr="004A0164">
        <w:rPr>
          <w:i/>
          <w:lang w:val="en-US"/>
        </w:rPr>
        <w:t>a priori</w:t>
      </w:r>
      <w:r w:rsidRPr="004A0164">
        <w:rPr>
          <w:lang w:val="en-US"/>
        </w:rPr>
        <w:t xml:space="preserve"> existence of relevant data.</w:t>
      </w:r>
    </w:p>
    <w:p w14:paraId="23B7D231" w14:textId="730591DE" w:rsidR="002A274D" w:rsidRDefault="002A274D" w:rsidP="00C63D9E">
      <w:pPr>
        <w:jc w:val="both"/>
        <w:rPr>
          <w:lang w:val="en-US"/>
        </w:rPr>
      </w:pPr>
      <w:r>
        <w:rPr>
          <w:lang w:val="en-US"/>
        </w:rPr>
        <w:t>3</w:t>
      </w:r>
      <w:r w:rsidR="00C63D9E" w:rsidRPr="004A0164">
        <w:rPr>
          <w:lang w:val="en-US"/>
        </w:rPr>
        <w:t xml:space="preserve"> – </w:t>
      </w:r>
      <w:r w:rsidR="00C63D9E" w:rsidRPr="004A0164">
        <w:rPr>
          <w:u w:val="single"/>
          <w:lang w:val="en-US"/>
        </w:rPr>
        <w:t>Coordination between CAs</w:t>
      </w:r>
      <w:r w:rsidR="00C63D9E" w:rsidRPr="004A0164">
        <w:rPr>
          <w:lang w:val="en-US"/>
        </w:rPr>
        <w:t xml:space="preserve">: The CAs of trading venues that trade third country instruments need to coordinate amongst themselves to agree on adjusted ADNTs. The ESMA proposal implies that CAs identify all other CAs trading third country instruments on a case by case basis and set up a process (potentially different from one CA to the other) to determine adjusted ADNTs. This process will only be complex and cumbersome, as it does not rely </w:t>
      </w:r>
      <w:r w:rsidR="00F815AC" w:rsidRPr="00110E7C">
        <w:rPr>
          <w:lang w:val="en-US"/>
        </w:rPr>
        <w:t xml:space="preserve">on </w:t>
      </w:r>
      <w:r w:rsidR="00C63D9E" w:rsidRPr="00110E7C">
        <w:rPr>
          <w:lang w:val="en-US"/>
        </w:rPr>
        <w:t>a harmonized procedure limited in time</w:t>
      </w:r>
      <w:r w:rsidR="008A3838" w:rsidRPr="00110E7C">
        <w:rPr>
          <w:lang w:val="en-US"/>
        </w:rPr>
        <w:t>;</w:t>
      </w:r>
      <w:r w:rsidR="00DB4314" w:rsidRPr="00110E7C">
        <w:rPr>
          <w:lang w:val="en-US"/>
        </w:rPr>
        <w:t xml:space="preserve"> </w:t>
      </w:r>
      <w:r w:rsidR="00CC206F" w:rsidRPr="00110E7C">
        <w:rPr>
          <w:lang w:val="en-US"/>
        </w:rPr>
        <w:t>it</w:t>
      </w:r>
      <w:r w:rsidR="00095658" w:rsidRPr="00870D62">
        <w:rPr>
          <w:lang w:val="en-US"/>
        </w:rPr>
        <w:t xml:space="preserve"> is also open to the </w:t>
      </w:r>
      <w:r w:rsidR="00CC206F" w:rsidRPr="004A0164">
        <w:rPr>
          <w:lang w:val="en-US"/>
        </w:rPr>
        <w:t>co-existence</w:t>
      </w:r>
      <w:r w:rsidR="00095658" w:rsidRPr="004A0164">
        <w:rPr>
          <w:lang w:val="en-US"/>
        </w:rPr>
        <w:t xml:space="preserve"> of various </w:t>
      </w:r>
      <w:r w:rsidR="00DF4841" w:rsidRPr="004A0164">
        <w:rPr>
          <w:lang w:val="en-US"/>
        </w:rPr>
        <w:t>methodologies</w:t>
      </w:r>
      <w:r w:rsidR="00095658" w:rsidRPr="004A0164">
        <w:rPr>
          <w:lang w:val="en-US"/>
        </w:rPr>
        <w:t xml:space="preserve"> and procedures from one country to the other, which would </w:t>
      </w:r>
      <w:r w:rsidR="00DF4841" w:rsidRPr="004A0164">
        <w:rPr>
          <w:lang w:val="en-US"/>
        </w:rPr>
        <w:t>be contradictory with ESMA’s task to adopt standards on an EU level.</w:t>
      </w:r>
    </w:p>
    <w:p w14:paraId="110AEBBB" w14:textId="0A11CC3D" w:rsidR="00C63D9E" w:rsidRDefault="00E909D3" w:rsidP="00C63D9E">
      <w:pPr>
        <w:jc w:val="both"/>
        <w:rPr>
          <w:lang w:val="en-US"/>
        </w:rPr>
      </w:pPr>
      <w:r>
        <w:rPr>
          <w:lang w:val="en-US"/>
        </w:rPr>
        <w:lastRenderedPageBreak/>
        <w:t>4</w:t>
      </w:r>
      <w:r w:rsidR="00C63D9E" w:rsidRPr="004A0164">
        <w:rPr>
          <w:lang w:val="en-US"/>
        </w:rPr>
        <w:t xml:space="preserve"> – </w:t>
      </w:r>
      <w:r w:rsidR="00C63D9E" w:rsidRPr="004A0164">
        <w:rPr>
          <w:u w:val="single"/>
          <w:lang w:val="en-US"/>
        </w:rPr>
        <w:t>Bilateral communication between CAs and trading venues</w:t>
      </w:r>
      <w:r w:rsidR="00C63D9E" w:rsidRPr="004A0164">
        <w:rPr>
          <w:lang w:val="en-US"/>
        </w:rPr>
        <w:t xml:space="preserve">: As pointed out by ESMA in the consultation paper, the communication process is not centralized with ESMA and relies on CAs reaching out to trading </w:t>
      </w:r>
      <w:r w:rsidR="003A0726" w:rsidRPr="004A0164">
        <w:rPr>
          <w:lang w:val="en-US"/>
        </w:rPr>
        <w:t>venues, which</w:t>
      </w:r>
      <w:r w:rsidR="00C63D9E" w:rsidRPr="004A0164">
        <w:rPr>
          <w:lang w:val="en-US"/>
        </w:rPr>
        <w:t xml:space="preserve"> does not guarantee consistent application of the tick size regime across the EU. There is a high probability that this process will fail.</w:t>
      </w:r>
    </w:p>
    <w:p w14:paraId="5DC80260" w14:textId="344A64F4" w:rsidR="00EA48E9" w:rsidRPr="004A0164" w:rsidRDefault="00EA48E9" w:rsidP="00C63D9E">
      <w:pPr>
        <w:jc w:val="both"/>
        <w:rPr>
          <w:lang w:val="en-US"/>
        </w:rPr>
      </w:pPr>
      <w:r>
        <w:rPr>
          <w:lang w:val="en-US"/>
        </w:rPr>
        <w:t xml:space="preserve">5 - </w:t>
      </w:r>
      <w:r w:rsidR="00330405" w:rsidRPr="003F616B">
        <w:rPr>
          <w:u w:val="single"/>
        </w:rPr>
        <w:t>L</w:t>
      </w:r>
      <w:r w:rsidRPr="003F616B">
        <w:rPr>
          <w:u w:val="single"/>
        </w:rPr>
        <w:t xml:space="preserve">ack of concentration of the information </w:t>
      </w:r>
      <w:r w:rsidR="00A5351D">
        <w:rPr>
          <w:u w:val="single"/>
        </w:rPr>
        <w:t xml:space="preserve">published </w:t>
      </w:r>
      <w:r w:rsidR="00330405" w:rsidRPr="003F616B">
        <w:rPr>
          <w:u w:val="single"/>
        </w:rPr>
        <w:t>on third country instruments and adjusted ADNTs</w:t>
      </w:r>
      <w:r w:rsidR="00330405">
        <w:t xml:space="preserve">: </w:t>
      </w:r>
      <w:r w:rsidR="00A5351D">
        <w:t>D</w:t>
      </w:r>
      <w:r w:rsidR="00330405">
        <w:t xml:space="preserve">ispatched publication </w:t>
      </w:r>
      <w:r w:rsidR="00A5351D">
        <w:t xml:space="preserve">across CAs and trading venues </w:t>
      </w:r>
      <w:r w:rsidRPr="004A0164">
        <w:t>will at best imply significant costs of communication to market participants for trading venues and competent authorities (CAs) and at worse still not allow a harmonised application of the tick size regime in the Union. If ESMA does not publish centrally the adjusted ADNTs, market participants might not be able to retrieve relevant information from all trading venues and/or CAs and it might as well be that not all CAs can coordinate and communicate in an efficient and orderly manner so as to guarantee harmonised tick sizes across the union for third country instruments.</w:t>
      </w:r>
    </w:p>
    <w:p w14:paraId="6B022DC3" w14:textId="65A9E1C5" w:rsidR="00C63D9E" w:rsidRDefault="00AF5C3D" w:rsidP="00C63D9E">
      <w:pPr>
        <w:jc w:val="both"/>
        <w:rPr>
          <w:lang w:val="en-US"/>
        </w:rPr>
      </w:pPr>
      <w:r w:rsidRPr="003F616B">
        <w:rPr>
          <w:b/>
          <w:lang w:val="en-US"/>
        </w:rPr>
        <w:t xml:space="preserve">Therefore, Deutsche </w:t>
      </w:r>
      <w:r w:rsidR="006B7B44" w:rsidRPr="003F616B">
        <w:rPr>
          <w:b/>
          <w:lang w:val="en-US"/>
        </w:rPr>
        <w:t>Börse</w:t>
      </w:r>
      <w:r w:rsidRPr="003F616B">
        <w:rPr>
          <w:b/>
          <w:lang w:val="en-US"/>
        </w:rPr>
        <w:t xml:space="preserve"> Group</w:t>
      </w:r>
      <w:r w:rsidR="00C63D9E" w:rsidRPr="003F616B">
        <w:rPr>
          <w:b/>
          <w:lang w:val="en-US"/>
        </w:rPr>
        <w:t xml:space="preserve"> would like to make a proposal mainly based on the ESMA’s solution d) but which we believe addresses some of the aforementioned points</w:t>
      </w:r>
      <w:r w:rsidR="00C63D9E" w:rsidRPr="00110E7C">
        <w:rPr>
          <w:lang w:val="en-US"/>
        </w:rPr>
        <w:t>.</w:t>
      </w:r>
      <w:r w:rsidR="00E909D3">
        <w:rPr>
          <w:lang w:val="en-US"/>
        </w:rPr>
        <w:t xml:space="preserve"> We develop below our </w:t>
      </w:r>
      <w:r w:rsidR="00F536E1">
        <w:rPr>
          <w:lang w:val="en-US"/>
        </w:rPr>
        <w:t>amendments</w:t>
      </w:r>
      <w:r w:rsidR="00E909D3">
        <w:rPr>
          <w:lang w:val="en-US"/>
        </w:rPr>
        <w:t>:</w:t>
      </w:r>
    </w:p>
    <w:p w14:paraId="16B151AC" w14:textId="37D6ACF9" w:rsidR="00C63D9E" w:rsidRPr="00870D62" w:rsidRDefault="00C63D9E" w:rsidP="00C63D9E">
      <w:pPr>
        <w:jc w:val="both"/>
        <w:rPr>
          <w:b/>
        </w:rPr>
      </w:pPr>
      <w:r w:rsidRPr="00870D62">
        <w:rPr>
          <w:b/>
        </w:rPr>
        <w:t>DBAG’s proposal</w:t>
      </w:r>
      <w:r w:rsidR="004F0CDE">
        <w:rPr>
          <w:b/>
        </w:rPr>
        <w:t xml:space="preserve"> on the tick size regime for third country instruments</w:t>
      </w:r>
    </w:p>
    <w:p w14:paraId="2B96FB6B" w14:textId="414739A1" w:rsidR="00C63D9E" w:rsidRPr="004A0164" w:rsidRDefault="00C63D9E" w:rsidP="00C63D9E">
      <w:pPr>
        <w:jc w:val="both"/>
        <w:rPr>
          <w:lang w:val="en-US"/>
        </w:rPr>
      </w:pPr>
      <w:r w:rsidRPr="004A0164">
        <w:rPr>
          <w:lang w:val="en-US"/>
        </w:rPr>
        <w:t xml:space="preserve">1 – </w:t>
      </w:r>
      <w:r w:rsidRPr="004A0164">
        <w:rPr>
          <w:b/>
          <w:lang w:val="en-US"/>
        </w:rPr>
        <w:t xml:space="preserve">Third country instruments can be defined either on the basis </w:t>
      </w:r>
      <w:r w:rsidR="00F536E1" w:rsidRPr="004A0164">
        <w:rPr>
          <w:b/>
          <w:lang w:val="en-US"/>
        </w:rPr>
        <w:t>o</w:t>
      </w:r>
      <w:r w:rsidR="00F536E1">
        <w:rPr>
          <w:b/>
          <w:lang w:val="en-US"/>
        </w:rPr>
        <w:t>f</w:t>
      </w:r>
      <w:r w:rsidR="00F536E1" w:rsidRPr="004A0164">
        <w:rPr>
          <w:b/>
          <w:lang w:val="en-US"/>
        </w:rPr>
        <w:t xml:space="preserve"> </w:t>
      </w:r>
      <w:r w:rsidRPr="004A0164">
        <w:rPr>
          <w:b/>
          <w:lang w:val="en-US"/>
        </w:rPr>
        <w:t>the trading activity outside of the EU or can be identified by the fact that the legal headquarter of the issuer is located outside the Union</w:t>
      </w:r>
      <w:r w:rsidRPr="004A0164">
        <w:rPr>
          <w:lang w:val="en-US"/>
        </w:rPr>
        <w:t xml:space="preserve">. This </w:t>
      </w:r>
      <w:r w:rsidR="008C104B">
        <w:rPr>
          <w:lang w:val="en-US"/>
        </w:rPr>
        <w:t xml:space="preserve">approach would mean that a set list of instruments for which </w:t>
      </w:r>
      <w:r w:rsidRPr="004A0164">
        <w:rPr>
          <w:lang w:val="en-US"/>
        </w:rPr>
        <w:t xml:space="preserve">the liquidity band shall be adapted </w:t>
      </w:r>
      <w:r w:rsidR="008C104B">
        <w:rPr>
          <w:lang w:val="en-US"/>
        </w:rPr>
        <w:t>could be produced; It would as well account</w:t>
      </w:r>
      <w:r w:rsidRPr="004A0164">
        <w:rPr>
          <w:lang w:val="en-US"/>
        </w:rPr>
        <w:t xml:space="preserve"> </w:t>
      </w:r>
      <w:r w:rsidR="00F536E1">
        <w:rPr>
          <w:lang w:val="en-US"/>
        </w:rPr>
        <w:t xml:space="preserve">for </w:t>
      </w:r>
      <w:r w:rsidRPr="004A0164">
        <w:rPr>
          <w:lang w:val="en-US"/>
        </w:rPr>
        <w:t>shares becoming third country instruments post-Brexit</w:t>
      </w:r>
      <w:r w:rsidR="008C104B">
        <w:rPr>
          <w:lang w:val="en-US"/>
        </w:rPr>
        <w:t xml:space="preserve"> and would be helpful in assessing dual listed shares, i.e. shares admitted to trading on more than one market on he same day at the request of the issuer</w:t>
      </w:r>
      <w:r w:rsidRPr="004A0164">
        <w:rPr>
          <w:lang w:val="en-US"/>
        </w:rPr>
        <w:t>. Moreover, by combining two criteria, the coverage ratio is maximized while the probability to miss relevant instruments and/or produce false positive</w:t>
      </w:r>
      <w:r w:rsidR="0005785C">
        <w:rPr>
          <w:lang w:val="en-US"/>
        </w:rPr>
        <w:t>s</w:t>
      </w:r>
      <w:r w:rsidRPr="004A0164">
        <w:rPr>
          <w:lang w:val="en-US"/>
        </w:rPr>
        <w:t xml:space="preserve"> is low.</w:t>
      </w:r>
    </w:p>
    <w:p w14:paraId="5A37F9BB" w14:textId="77777777" w:rsidR="00C63D9E" w:rsidRPr="004A0164" w:rsidRDefault="00C63D9E" w:rsidP="00C63D9E">
      <w:pPr>
        <w:jc w:val="both"/>
        <w:rPr>
          <w:lang w:val="en-US"/>
        </w:rPr>
      </w:pPr>
      <w:r w:rsidRPr="004A0164">
        <w:rPr>
          <w:lang w:val="en-US"/>
        </w:rPr>
        <w:t xml:space="preserve">2 – The tick size regime remains harmonized across instruments: the </w:t>
      </w:r>
      <w:r w:rsidRPr="004A0164">
        <w:rPr>
          <w:b/>
          <w:lang w:val="en-US"/>
        </w:rPr>
        <w:t>RTS 11 tick size table would apply to both EU and third country instruments</w:t>
      </w:r>
      <w:r w:rsidRPr="004A0164">
        <w:rPr>
          <w:lang w:val="en-US"/>
        </w:rPr>
        <w:t>.</w:t>
      </w:r>
    </w:p>
    <w:p w14:paraId="30746E2D" w14:textId="647AA104" w:rsidR="00C63D9E" w:rsidRPr="004A0164" w:rsidRDefault="00C63D9E" w:rsidP="00C63D9E">
      <w:pPr>
        <w:jc w:val="both"/>
      </w:pPr>
      <w:r w:rsidRPr="004A0164">
        <w:rPr>
          <w:lang w:val="en-US"/>
        </w:rPr>
        <w:t xml:space="preserve">3 – The </w:t>
      </w:r>
      <w:r w:rsidR="0005785C">
        <w:rPr>
          <w:lang w:val="en-US"/>
        </w:rPr>
        <w:t xml:space="preserve">current </w:t>
      </w:r>
      <w:r w:rsidRPr="004A0164">
        <w:rPr>
          <w:lang w:val="en-US"/>
        </w:rPr>
        <w:t xml:space="preserve">competitive advantage for third country venues coming for smaller tick sizes/smaller implicit costs does not turn into competitive advantage for EU trading venues when trading third country instruments: </w:t>
      </w:r>
      <w:r w:rsidR="0005785C" w:rsidRPr="00A8300E">
        <w:rPr>
          <w:b/>
          <w:lang w:val="en-US"/>
        </w:rPr>
        <w:t xml:space="preserve">where the main pool </w:t>
      </w:r>
      <w:r w:rsidR="00EB6DD6" w:rsidRPr="00EB6DD6">
        <w:rPr>
          <w:b/>
          <w:lang w:val="en-US"/>
        </w:rPr>
        <w:t>of liqui</w:t>
      </w:r>
      <w:r w:rsidR="00EB6DD6" w:rsidRPr="00A35548">
        <w:rPr>
          <w:b/>
          <w:lang w:val="en-US"/>
        </w:rPr>
        <w:t>dity or</w:t>
      </w:r>
      <w:r w:rsidR="00EB6DD6">
        <w:rPr>
          <w:rFonts w:eastAsia="Arial" w:cstheme="minorHAnsi"/>
          <w:b/>
          <w:lang w:eastAsia="en-US"/>
        </w:rPr>
        <w:t xml:space="preserve"> where</w:t>
      </w:r>
      <w:r w:rsidR="00EB6DD6" w:rsidRPr="0018657A">
        <w:rPr>
          <w:rFonts w:eastAsia="Arial" w:cstheme="minorHAnsi"/>
          <w:b/>
          <w:lang w:eastAsia="en-US"/>
        </w:rPr>
        <w:t xml:space="preserve"> the legal headquarter of the issuer </w:t>
      </w:r>
      <w:r w:rsidR="00EB6DD6">
        <w:rPr>
          <w:rFonts w:eastAsia="Arial" w:cstheme="minorHAnsi"/>
          <w:b/>
          <w:lang w:eastAsia="en-US"/>
        </w:rPr>
        <w:t xml:space="preserve">is established </w:t>
      </w:r>
      <w:r w:rsidR="0005785C" w:rsidRPr="00A8300E">
        <w:rPr>
          <w:b/>
          <w:lang w:val="en-US"/>
        </w:rPr>
        <w:t xml:space="preserve">in third countries </w:t>
      </w:r>
      <w:r w:rsidRPr="00EB6DD6">
        <w:rPr>
          <w:b/>
          <w:lang w:val="en-US"/>
        </w:rPr>
        <w:t>following the EU tick size regime</w:t>
      </w:r>
      <w:r w:rsidR="0005785C" w:rsidRPr="00EB6DD6">
        <w:rPr>
          <w:b/>
          <w:lang w:val="en-US"/>
        </w:rPr>
        <w:t xml:space="preserve">, the CAs and trading venues in the Union should use the liquidity bands applied in these </w:t>
      </w:r>
      <w:r w:rsidR="0005785C" w:rsidRPr="00EB6DD6">
        <w:rPr>
          <w:b/>
          <w:lang w:val="en-US"/>
        </w:rPr>
        <w:lastRenderedPageBreak/>
        <w:t>third countries</w:t>
      </w:r>
      <w:r w:rsidRPr="004A0164">
        <w:rPr>
          <w:lang w:val="en-US"/>
        </w:rPr>
        <w:t xml:space="preserve">, without any possibility to adopt a modified ADNT </w:t>
      </w:r>
      <w:r w:rsidRPr="004A0164">
        <w:t xml:space="preserve">higher than the one applied in the </w:t>
      </w:r>
      <w:r w:rsidR="00F536E1">
        <w:t>third country</w:t>
      </w:r>
      <w:r w:rsidR="00F536E1" w:rsidRPr="004A0164">
        <w:t xml:space="preserve"> </w:t>
      </w:r>
      <w:r w:rsidRPr="004A0164">
        <w:t>market. We believe this would be in line with the overall EU tick size regime to avoid regulatory arbitrage and competition between venues based on tick sizes.</w:t>
      </w:r>
    </w:p>
    <w:p w14:paraId="68B98344" w14:textId="08C6E301" w:rsidR="00C63D9E" w:rsidRPr="004A0164" w:rsidRDefault="00E052EA" w:rsidP="00C63D9E">
      <w:pPr>
        <w:jc w:val="both"/>
      </w:pPr>
      <w:r w:rsidRPr="004A0164">
        <w:t>4</w:t>
      </w:r>
      <w:r w:rsidR="00C63D9E" w:rsidRPr="004A0164">
        <w:t xml:space="preserve"> – </w:t>
      </w:r>
      <w:r w:rsidR="00C63D9E" w:rsidRPr="00A8300E">
        <w:rPr>
          <w:b/>
        </w:rPr>
        <w:t>The core of proposal d</w:t>
      </w:r>
      <w:r w:rsidR="001B21C7" w:rsidRPr="00A8300E">
        <w:rPr>
          <w:b/>
        </w:rPr>
        <w:t>)</w:t>
      </w:r>
      <w:r w:rsidR="00C63D9E" w:rsidRPr="00A8300E">
        <w:rPr>
          <w:b/>
        </w:rPr>
        <w:t xml:space="preserve"> remains as it is: once CAs have identified the third country instruments, they can adjust the liquidity band to better reflect the liquidity available on the trading venues in a third country.</w:t>
      </w:r>
      <w:r w:rsidR="00C63D9E" w:rsidRPr="00870D62">
        <w:t xml:space="preserve"> No specific and rigid methodology is prescribed and CAs can use </w:t>
      </w:r>
      <w:r w:rsidR="008A3838" w:rsidRPr="00870D62">
        <w:t>data, which</w:t>
      </w:r>
      <w:r w:rsidR="00C63D9E" w:rsidRPr="004A0164">
        <w:t xml:space="preserve"> is publicly available in case they cannot retrieve data directly from third country venues. The only limitation is the case of third country venues applying the EU tick size regime where the ADNT is bound by the one provided in those countries.</w:t>
      </w:r>
    </w:p>
    <w:p w14:paraId="2FEDC835" w14:textId="227FE304" w:rsidR="00C63D9E" w:rsidRPr="004A0164" w:rsidRDefault="00E052EA" w:rsidP="00C63D9E">
      <w:pPr>
        <w:jc w:val="both"/>
      </w:pPr>
      <w:r w:rsidRPr="004A0164">
        <w:t>5</w:t>
      </w:r>
      <w:r w:rsidR="00C63D9E" w:rsidRPr="004A0164">
        <w:t xml:space="preserve"> – While we understand ESMA’s intention to establish cooperation among CAs as a tool to promote regulatory convergence and harmonised application of the respective tick size bands across Member States, we consider that the process is overly burdensome and may create some obstacles for the swift adoption of the new regime. Hence, </w:t>
      </w:r>
      <w:r w:rsidR="00C63D9E" w:rsidRPr="00A8300E">
        <w:rPr>
          <w:b/>
        </w:rPr>
        <w:t xml:space="preserve">our proposal does not eliminate the idea of cooperation among CAs but merely changes the </w:t>
      </w:r>
      <w:r w:rsidR="00C63D9E" w:rsidRPr="00A8300E">
        <w:rPr>
          <w:b/>
          <w:i/>
        </w:rPr>
        <w:t>modus operandi</w:t>
      </w:r>
      <w:r w:rsidR="00C63D9E" w:rsidRPr="00A8300E">
        <w:rPr>
          <w:b/>
        </w:rPr>
        <w:t xml:space="preserve"> from ex-ante coordination to ex-post communication and correction if needed. Only the </w:t>
      </w:r>
      <w:r w:rsidR="008A3838" w:rsidRPr="00A8300E">
        <w:rPr>
          <w:b/>
        </w:rPr>
        <w:t>CA, which is the most relevant market in the Union for the instrument,</w:t>
      </w:r>
      <w:r w:rsidR="00C63D9E" w:rsidRPr="00A8300E">
        <w:rPr>
          <w:b/>
        </w:rPr>
        <w:t xml:space="preserve"> is responsible for collecting data and determining the adjusted liquidity band. This allows for a simplified and more efficient process compared with the cumbersome and lengthy exercise of identification of all relevant CAs combined with the whole coordination process.</w:t>
      </w:r>
      <w:r w:rsidR="00C63D9E" w:rsidRPr="00870D62">
        <w:t xml:space="preserve"> Acknowledging ESMA’s intent to design the regime for non-EU shares by close references to the existing regime as of Art</w:t>
      </w:r>
      <w:r w:rsidR="001B21C7" w:rsidRPr="004A0164">
        <w:t>icle</w:t>
      </w:r>
      <w:r w:rsidR="00C63D9E" w:rsidRPr="004A0164">
        <w:t xml:space="preserve"> 49 MiFID II, we also point out that </w:t>
      </w:r>
      <w:r w:rsidR="0005785C">
        <w:t xml:space="preserve">the current </w:t>
      </w:r>
      <w:r w:rsidR="00C63D9E" w:rsidRPr="004A0164">
        <w:t xml:space="preserve">regime </w:t>
      </w:r>
      <w:r w:rsidR="0005785C">
        <w:t>does not entail any</w:t>
      </w:r>
      <w:r w:rsidR="00A22F70">
        <w:t xml:space="preserve"> </w:t>
      </w:r>
      <w:r w:rsidR="00C63D9E" w:rsidRPr="004A0164">
        <w:t xml:space="preserve">form of ex ante coordination. Therefore, we do not see any particular evidence or necessity to deviate from that logic but argue for an approach that is less invasive as it would require interaction among CAs not in any case but only where the determination of </w:t>
      </w:r>
      <w:r w:rsidR="0005785C">
        <w:t xml:space="preserve">the </w:t>
      </w:r>
      <w:r w:rsidR="00C63D9E" w:rsidRPr="004A0164">
        <w:t xml:space="preserve">ADNT and/or the assignment into liquidity bands is obviously incorrect. In any case, the proposed mechanism allows for corrections of wrongly retrieved liquidity measures and thus ensures the harmonised application of the regime and the orderly functioning of </w:t>
      </w:r>
      <w:r w:rsidR="008A3838" w:rsidRPr="004A0164">
        <w:t>markets, which</w:t>
      </w:r>
      <w:r w:rsidR="00C63D9E" w:rsidRPr="004A0164">
        <w:t xml:space="preserve"> is the overall aim of the tick size regime. This procedure proves particularly efficient if combined with the following point </w:t>
      </w:r>
      <w:r w:rsidR="006A47B7" w:rsidRPr="004A0164">
        <w:t>6</w:t>
      </w:r>
      <w:r w:rsidR="00C63D9E" w:rsidRPr="004A0164">
        <w:t xml:space="preserve">). </w:t>
      </w:r>
    </w:p>
    <w:p w14:paraId="5026606F" w14:textId="5E247AA1" w:rsidR="00C63D9E" w:rsidRPr="004A0164" w:rsidRDefault="00E052EA" w:rsidP="00C63D9E">
      <w:pPr>
        <w:jc w:val="both"/>
        <w:rPr>
          <w:lang w:val="en-US"/>
        </w:rPr>
      </w:pPr>
      <w:r w:rsidRPr="004A0164">
        <w:rPr>
          <w:lang w:val="en-US"/>
        </w:rPr>
        <w:t>6</w:t>
      </w:r>
      <w:r w:rsidR="00C63D9E" w:rsidRPr="004A0164">
        <w:rPr>
          <w:lang w:val="en-US"/>
        </w:rPr>
        <w:t xml:space="preserve"> – </w:t>
      </w:r>
      <w:r w:rsidR="00C63D9E" w:rsidRPr="00A8300E">
        <w:rPr>
          <w:b/>
          <w:lang w:val="en-US"/>
        </w:rPr>
        <w:t>ESMA will consolidate and publish adjusted ADNTs centrally.</w:t>
      </w:r>
      <w:r w:rsidR="00C63D9E" w:rsidRPr="00870D62">
        <w:rPr>
          <w:lang w:val="en-US"/>
        </w:rPr>
        <w:t xml:space="preserve"> It appears crucial that the delegation agreement between CAs and ESMA also covers this </w:t>
      </w:r>
      <w:r w:rsidR="008A3838" w:rsidRPr="00870D62">
        <w:rPr>
          <w:lang w:val="en-US"/>
        </w:rPr>
        <w:t>aspect,</w:t>
      </w:r>
      <w:r w:rsidR="00C63D9E" w:rsidRPr="004A0164">
        <w:rPr>
          <w:lang w:val="en-US"/>
        </w:rPr>
        <w:t xml:space="preserve"> as it would be the only way to ensure a consistent application of the tick size regime in the Union. We </w:t>
      </w:r>
      <w:r w:rsidR="003A0726">
        <w:rPr>
          <w:lang w:val="en-US"/>
        </w:rPr>
        <w:t>acknowledge</w:t>
      </w:r>
      <w:r w:rsidR="00C63D9E" w:rsidRPr="004A0164">
        <w:rPr>
          <w:lang w:val="en-US"/>
        </w:rPr>
        <w:t xml:space="preserve"> that ESMA is investigating the arrangements making this possible but we would urge ESMA to officially centralize and publish the information, in particular via its FITRS database.</w:t>
      </w:r>
    </w:p>
    <w:p w14:paraId="173E4675" w14:textId="77777777" w:rsidR="00E909D3" w:rsidRPr="00110E7C" w:rsidRDefault="00E909D3" w:rsidP="00E909D3">
      <w:pPr>
        <w:jc w:val="both"/>
        <w:rPr>
          <w:b/>
          <w:color w:val="000000"/>
        </w:rPr>
      </w:pPr>
      <w:r>
        <w:rPr>
          <w:b/>
          <w:color w:val="000000"/>
        </w:rPr>
        <w:lastRenderedPageBreak/>
        <w:t xml:space="preserve">Description of workflow of DBAG proposal </w:t>
      </w:r>
    </w:p>
    <w:p w14:paraId="699EE485" w14:textId="7D66A11B" w:rsidR="00E909D3" w:rsidRPr="004A0164" w:rsidRDefault="00E909D3" w:rsidP="00FD7619">
      <w:pPr>
        <w:jc w:val="both"/>
        <w:rPr>
          <w:lang w:val="en-US"/>
        </w:rPr>
      </w:pPr>
      <w:r w:rsidRPr="00110E7C">
        <w:rPr>
          <w:color w:val="000000"/>
        </w:rPr>
        <w:t xml:space="preserve">Each CA will identify a list of third country instruments; </w:t>
      </w:r>
      <w:r w:rsidR="003A0726">
        <w:rPr>
          <w:color w:val="000000"/>
        </w:rPr>
        <w:t>T</w:t>
      </w:r>
      <w:r w:rsidRPr="003F616B">
        <w:rPr>
          <w:lang w:val="en-US"/>
        </w:rPr>
        <w:t>hird country instruments can be identified either on the basis on the trading activity outside of the EU or by the fact that the legal headquarter of the issuer is located outside the Union</w:t>
      </w:r>
      <w:r w:rsidRPr="00F536E1">
        <w:rPr>
          <w:lang w:val="en-US"/>
        </w:rPr>
        <w:t>.</w:t>
      </w:r>
      <w:r w:rsidRPr="004A0164">
        <w:rPr>
          <w:lang w:val="en-US"/>
        </w:rPr>
        <w:t xml:space="preserve"> The lists </w:t>
      </w:r>
      <w:r>
        <w:rPr>
          <w:lang w:val="en-US"/>
        </w:rPr>
        <w:t xml:space="preserve">of non EU shares </w:t>
      </w:r>
      <w:r w:rsidRPr="004A0164">
        <w:rPr>
          <w:lang w:val="en-US"/>
        </w:rPr>
        <w:t>shall be communicated to ESMA, merged and published centrally.</w:t>
      </w:r>
    </w:p>
    <w:p w14:paraId="2F9D4FB7" w14:textId="7FF83847" w:rsidR="00E909D3" w:rsidRPr="004A0164" w:rsidRDefault="00E909D3" w:rsidP="00FD7619">
      <w:pPr>
        <w:jc w:val="both"/>
      </w:pPr>
      <w:r w:rsidRPr="004A0164">
        <w:rPr>
          <w:lang w:val="en-US"/>
        </w:rPr>
        <w:t xml:space="preserve">Based on information available in FITRS, CAs will be able to identify the third country instruments where they are the most relevant market in the Union. For all those instruments, CAs will determine the adjusted ADNTs based on trading activity outside the Union. In case CAs cannot retrieve the relevant data directly from third country venues, they can </w:t>
      </w:r>
      <w:r w:rsidRPr="004A0164">
        <w:t xml:space="preserve">use data which is publicly available. The only limitation is the case of third country instruments where either the legal headquarter of the issuer or the main pool of liquidity is a third country venue applying the EU tick size regime: for those instruments, EU adjusted ADNT is bound </w:t>
      </w:r>
      <w:r>
        <w:t xml:space="preserve">to the ADNT </w:t>
      </w:r>
      <w:r w:rsidRPr="004A0164">
        <w:t>used in the third country.</w:t>
      </w:r>
    </w:p>
    <w:p w14:paraId="6A284E21" w14:textId="635378A7" w:rsidR="00E909D3" w:rsidRPr="004A0164" w:rsidRDefault="00E909D3" w:rsidP="00FD7619">
      <w:pPr>
        <w:jc w:val="both"/>
      </w:pPr>
      <w:r w:rsidRPr="004A0164">
        <w:t>The respective CA is then required to provide ESMA with the adjusted ADNTs that ESMA will publish in the FITRS database. All trading venues will then be able to retrieve the information for non-EU instruments from a unique source. In case a CA discovers that, for an instrument where it is not in charge of the determination of the ADNT, the ADNT has been wrongly adjusted</w:t>
      </w:r>
      <w:r w:rsidR="00A15135">
        <w:t>,</w:t>
      </w:r>
      <w:r w:rsidRPr="004A0164">
        <w:t xml:space="preserve"> they may follow the same process as for EU instruments where the CA of the most relevant market is contacted directly.</w:t>
      </w:r>
    </w:p>
    <w:p w14:paraId="6A9DF9C1" w14:textId="274A4A4A" w:rsidR="00E909D3" w:rsidRDefault="00E909D3" w:rsidP="00E909D3">
      <w:pPr>
        <w:jc w:val="both"/>
      </w:pPr>
      <w:r>
        <w:t>We understand t</w:t>
      </w:r>
      <w:r w:rsidRPr="004A0164">
        <w:t xml:space="preserve">his process will work without making </w:t>
      </w:r>
      <w:r>
        <w:t xml:space="preserve">many wide-reaching </w:t>
      </w:r>
      <w:r w:rsidRPr="004A0164">
        <w:t xml:space="preserve">technological changes to FITRS. ESMA will not be required to do research as it receives the list of third country instruments </w:t>
      </w:r>
      <w:r>
        <w:t>from</w:t>
      </w:r>
      <w:r w:rsidRPr="004A0164">
        <w:t xml:space="preserve"> all CAs in the Union. In the case of third countries applying the EU tick size regime and although there is no requirement for them to deliver information to ESMA, it could be envisaged that ADNTs are modified in FITRS via a direct feed from the relevant third countries – which would allow for automatic updates of the database if required. Alternatively, CAs in the Union would need to be informed/get the information the day after changes in ADNTs to allow trading venues in the Union to adjust the relevant ADNTs two days later.</w:t>
      </w:r>
    </w:p>
    <w:p w14:paraId="03306C9C" w14:textId="7ABC38B5" w:rsidR="001B21C7" w:rsidRPr="004A0164" w:rsidRDefault="001B21C7" w:rsidP="00C63D9E">
      <w:pPr>
        <w:jc w:val="both"/>
      </w:pPr>
      <w:r w:rsidRPr="004A0164">
        <w:t xml:space="preserve">Please find below a wording change in the regulatory text with regard to </w:t>
      </w:r>
      <w:r w:rsidR="00A15135">
        <w:t>Deutsche Börse</w:t>
      </w:r>
      <w:r w:rsidR="00A15135" w:rsidRPr="004A0164">
        <w:t xml:space="preserve"> </w:t>
      </w:r>
      <w:r w:rsidRPr="004A0164">
        <w:t>proposed modifications.</w:t>
      </w:r>
    </w:p>
    <w:p w14:paraId="38663895" w14:textId="4AC83F88" w:rsidR="00C63D9E" w:rsidRPr="00870D62" w:rsidRDefault="00C63D9E" w:rsidP="00C63D9E">
      <w:pPr>
        <w:jc w:val="both"/>
        <w:rPr>
          <w:b/>
          <w:color w:val="000000"/>
        </w:rPr>
      </w:pPr>
      <w:r w:rsidRPr="00870D62">
        <w:rPr>
          <w:b/>
          <w:color w:val="000000"/>
        </w:rPr>
        <w:t xml:space="preserve">DBAG Proposal (changes in </w:t>
      </w:r>
      <w:r w:rsidR="00A65DA9">
        <w:rPr>
          <w:b/>
          <w:color w:val="000000"/>
        </w:rPr>
        <w:t>bold</w:t>
      </w:r>
      <w:r w:rsidR="00A65DA9" w:rsidRPr="00870D62">
        <w:rPr>
          <w:b/>
          <w:color w:val="000000"/>
        </w:rPr>
        <w:t xml:space="preserve"> </w:t>
      </w:r>
      <w:r w:rsidRPr="00870D62">
        <w:rPr>
          <w:b/>
          <w:color w:val="000000"/>
        </w:rPr>
        <w:t>compared to the ESMA proposal pages 11 to 13 in the Consultation Paper)</w:t>
      </w:r>
    </w:p>
    <w:p w14:paraId="44957269" w14:textId="77777777" w:rsidR="00C63D9E" w:rsidRPr="00A22F70" w:rsidRDefault="00C63D9E" w:rsidP="00C63D9E">
      <w:pPr>
        <w:jc w:val="both"/>
      </w:pPr>
      <w:r w:rsidRPr="00A22F70">
        <w:lastRenderedPageBreak/>
        <w:t xml:space="preserve">8. The competent authority for a specific share which </w:t>
      </w:r>
      <w:r w:rsidRPr="00A22F70">
        <w:rPr>
          <w:b/>
          <w:color w:val="FF0000"/>
        </w:rPr>
        <w:t xml:space="preserve">either has its legal headquarter established outside the Union or </w:t>
      </w:r>
      <w:r w:rsidRPr="00A22F70">
        <w:t>its main pool of liquidity located outside the Union may, for that share, adjust the average daily number of transactions calculated as per the procedure prescribed under paragraphs 2 to 7 so as to take into account more comprehensive trading data and ensure that trading in the concerned share is not unduly constrained and does not create disorderly trading conditions.</w:t>
      </w:r>
    </w:p>
    <w:p w14:paraId="34530E85" w14:textId="77777777" w:rsidR="00C63D9E" w:rsidRPr="00A22F70" w:rsidRDefault="00C63D9E" w:rsidP="00C63D9E">
      <w:pPr>
        <w:jc w:val="both"/>
      </w:pPr>
      <w:r w:rsidRPr="00A22F70">
        <w:t xml:space="preserve">Prior to this adjustment, the competent authority for </w:t>
      </w:r>
      <w:r w:rsidRPr="00A22F70">
        <w:rPr>
          <w:strike/>
          <w:color w:val="FF0000"/>
        </w:rPr>
        <w:t>the</w:t>
      </w:r>
      <w:r w:rsidRPr="00A22F70">
        <w:rPr>
          <w:color w:val="FF0000"/>
        </w:rPr>
        <w:t xml:space="preserve"> </w:t>
      </w:r>
      <w:r w:rsidRPr="00A22F70">
        <w:rPr>
          <w:b/>
          <w:color w:val="FF0000"/>
        </w:rPr>
        <w:t>that</w:t>
      </w:r>
      <w:r w:rsidRPr="00A22F70">
        <w:rPr>
          <w:color w:val="FF0000"/>
        </w:rPr>
        <w:t xml:space="preserve"> </w:t>
      </w:r>
      <w:r w:rsidRPr="00A22F70">
        <w:t xml:space="preserve">share </w:t>
      </w:r>
      <w:r w:rsidRPr="00A22F70">
        <w:rPr>
          <w:b/>
          <w:color w:val="FF0000"/>
        </w:rPr>
        <w:t xml:space="preserve">shall estimate the proposed adjusted average daily number of transactions and </w:t>
      </w:r>
      <w:r w:rsidRPr="00A22F70">
        <w:rPr>
          <w:b/>
          <w:strike/>
          <w:color w:val="FF0000"/>
        </w:rPr>
        <w:t>coordinate with</w:t>
      </w:r>
      <w:r w:rsidRPr="00A22F70">
        <w:rPr>
          <w:b/>
          <w:color w:val="FF0000"/>
        </w:rPr>
        <w:t xml:space="preserve"> communicate this to ESMA.</w:t>
      </w:r>
      <w:r w:rsidRPr="00A22F70">
        <w:rPr>
          <w:b/>
          <w:bCs/>
          <w:color w:val="FF0000"/>
        </w:rPr>
        <w:t xml:space="preserve"> </w:t>
      </w:r>
      <w:r w:rsidRPr="00A22F70">
        <w:rPr>
          <w:b/>
          <w:strike/>
          <w:color w:val="FF0000"/>
        </w:rPr>
        <w:t>the competent authorities of the other trading venues operating in the Union where this share is also traded</w:t>
      </w:r>
      <w:r w:rsidRPr="00A22F70">
        <w:rPr>
          <w:b/>
          <w:color w:val="FF0000"/>
        </w:rPr>
        <w:t xml:space="preserve"> </w:t>
      </w:r>
      <w:r w:rsidRPr="00A22F70">
        <w:rPr>
          <w:b/>
          <w:strike/>
          <w:color w:val="FF0000"/>
        </w:rPr>
        <w:t>to ensure that they agree with the proposed adjusted average daily number of transactions</w:t>
      </w:r>
      <w:r w:rsidRPr="00A22F70">
        <w:rPr>
          <w:b/>
          <w:bCs/>
          <w:strike/>
          <w:color w:val="FF0000"/>
        </w:rPr>
        <w:t xml:space="preserve">. </w:t>
      </w:r>
      <w:r w:rsidRPr="00A22F70">
        <w:rPr>
          <w:b/>
          <w:strike/>
          <w:color w:val="FF0000"/>
        </w:rPr>
        <w:t>Pending such an agreement between those competent authorities,</w:t>
      </w:r>
      <w:r w:rsidRPr="00A22F70">
        <w:rPr>
          <w:b/>
          <w:color w:val="FF0000"/>
        </w:rPr>
        <w:t xml:space="preserve"> T</w:t>
      </w:r>
      <w:r w:rsidRPr="00A22F70">
        <w:t>he average daily number of transactions calculated in accordance with the procedure set out in paragraphs 2 to 7 shall continue to apply</w:t>
      </w:r>
      <w:r w:rsidRPr="00A22F70">
        <w:rPr>
          <w:b/>
        </w:rPr>
        <w:t xml:space="preserve"> </w:t>
      </w:r>
      <w:r w:rsidRPr="00A22F70">
        <w:rPr>
          <w:b/>
          <w:color w:val="FF0000"/>
        </w:rPr>
        <w:t>up until two days after ESMA has published the adjusted ADNT.</w:t>
      </w:r>
    </w:p>
    <w:p w14:paraId="266986B4" w14:textId="77777777" w:rsidR="00CA69FC" w:rsidRPr="00A22F70" w:rsidRDefault="00CA69FC" w:rsidP="00CA69FC">
      <w:pPr>
        <w:jc w:val="both"/>
        <w:rPr>
          <w:b/>
          <w:bCs/>
          <w:color w:val="FF0000"/>
        </w:rPr>
      </w:pPr>
      <w:r w:rsidRPr="00A22F70">
        <w:t xml:space="preserve">9. </w:t>
      </w:r>
      <w:r w:rsidRPr="00A22F70">
        <w:rPr>
          <w:b/>
          <w:color w:val="FF0000"/>
        </w:rPr>
        <w:t>For all third country instruments where the legal headquarter of the issuer is established outside of the Union or where the main pool of liquidity is located outside of the Union, and where the tick size regime applied in the third country follows Annex 1 RTS 11, the adjusted ADNT cannot be higher than the ADNT determined in the third country.</w:t>
      </w:r>
    </w:p>
    <w:p w14:paraId="3961819B" w14:textId="27115AC0" w:rsidR="00CA69FC" w:rsidRPr="00A22F70" w:rsidRDefault="00CA69FC" w:rsidP="00CA69FC">
      <w:pPr>
        <w:jc w:val="both"/>
        <w:rPr>
          <w:color w:val="FF0000"/>
        </w:rPr>
      </w:pPr>
      <w:r w:rsidRPr="00A22F70">
        <w:rPr>
          <w:b/>
          <w:color w:val="FF0000"/>
        </w:rPr>
        <w:t>For all instruments that are dual listed and where the legal headquarter of the issuer is located in the Union but the main pool of liquidity is located outside of the EU, t</w:t>
      </w:r>
      <w:r w:rsidR="00D765CE" w:rsidRPr="00A22F70">
        <w:rPr>
          <w:b/>
          <w:strike/>
          <w:color w:val="FF0000"/>
        </w:rPr>
        <w:t>T</w:t>
      </w:r>
      <w:r w:rsidRPr="00A22F70">
        <w:t xml:space="preserve">he possibility to make adjustments to the average daily number of transactions as set out in paragraph 8 shall be limited to shares for which </w:t>
      </w:r>
      <w:r w:rsidRPr="00A22F70">
        <w:rPr>
          <w:strike/>
          <w:color w:val="FF0000"/>
        </w:rPr>
        <w:t>the two following conditions are fulfilled: (a)</w:t>
      </w:r>
      <w:r w:rsidRPr="00A22F70">
        <w:rPr>
          <w:color w:val="FF0000"/>
        </w:rPr>
        <w:t xml:space="preserve"> </w:t>
      </w:r>
      <w:r w:rsidRPr="00A22F70">
        <w:t>the competent authority for the relevant share proposing the adjustment shall be able to reasonably demonstrate, based on numerical evidence,</w:t>
      </w:r>
      <w:r w:rsidRPr="00A22F70">
        <w:rPr>
          <w:b/>
          <w:color w:val="FF0000"/>
        </w:rPr>
        <w:t xml:space="preserve"> to ESMA </w:t>
      </w:r>
      <w:r w:rsidRPr="00A22F70">
        <w:t>that the most liquid trading venue for that share is located outside the Union;</w:t>
      </w:r>
    </w:p>
    <w:p w14:paraId="6CB5E575" w14:textId="78263543" w:rsidR="00CA69FC" w:rsidRDefault="00CA69FC" w:rsidP="00CA69FC">
      <w:pPr>
        <w:jc w:val="both"/>
      </w:pPr>
      <w:r w:rsidRPr="00A22F70">
        <w:rPr>
          <w:b/>
          <w:color w:val="FF0000"/>
        </w:rPr>
        <w:t xml:space="preserve">In any case, the possibility to make adjustments to the average daily number of transactions as set out in paragraph 8 shall be limited to shares for which </w:t>
      </w:r>
      <w:r w:rsidRPr="00A22F70">
        <w:t>the average daily number of transactions calculated in accordance with the procedure set out in paragraphs 2 to 7 is equal to or greater than one.</w:t>
      </w:r>
    </w:p>
    <w:p w14:paraId="6FD1ED69" w14:textId="77777777" w:rsidR="00A22F70" w:rsidRDefault="00D765CE" w:rsidP="00CA69FC">
      <w:pPr>
        <w:jc w:val="both"/>
        <w:rPr>
          <w:rFonts w:ascii="Calibri" w:hAnsi="Calibri" w:cs="Calibri"/>
          <w:b/>
          <w:color w:val="FF0000"/>
          <w:lang w:val="en-US"/>
        </w:rPr>
      </w:pPr>
      <w:r w:rsidRPr="00A22F70">
        <w:rPr>
          <w:rFonts w:ascii="Calibri" w:hAnsi="Calibri" w:cs="Calibri"/>
          <w:b/>
          <w:color w:val="FF0000"/>
          <w:lang w:val="en-US"/>
        </w:rPr>
        <w:t>Dual listed instruments are instruments for which the issuer has explicitly requested an admission to trading on a trading venue in the EU and on a trading venue in a third country, and for which a prospectus or equivalent information document was produced by the issuer and approved by the relevant competent authority or market operator, where appropriate, prior to admission to trading on the EU and third country venues.</w:t>
      </w:r>
    </w:p>
    <w:p w14:paraId="1930A4A7" w14:textId="4CE7B32F" w:rsidR="00CA69FC" w:rsidRPr="00A22F70" w:rsidRDefault="00CA69FC" w:rsidP="00CA69FC">
      <w:pPr>
        <w:jc w:val="both"/>
        <w:rPr>
          <w:strike/>
          <w:color w:val="FF0000"/>
        </w:rPr>
      </w:pPr>
      <w:r w:rsidRPr="00A22F70">
        <w:lastRenderedPageBreak/>
        <w:t>10.</w:t>
      </w:r>
      <w:r w:rsidRPr="00A22F70">
        <w:rPr>
          <w:b/>
          <w:bCs/>
          <w:strike/>
        </w:rPr>
        <w:t xml:space="preserve"> </w:t>
      </w:r>
      <w:r w:rsidRPr="00A22F70">
        <w:rPr>
          <w:strike/>
          <w:color w:val="FF0000"/>
        </w:rPr>
        <w:t>Competent authorities, the day after they agreed on an adjusted average daily number of transactions as set out in paragraph 8, shall communicate this adjusted average daily number of transactions to the trading venues in their respective jurisdiction where the relevant share is admitted to trading or traded.</w:t>
      </w:r>
    </w:p>
    <w:p w14:paraId="7A296AEA" w14:textId="09D2AD6D" w:rsidR="00CA69FC" w:rsidRPr="00A22F70" w:rsidRDefault="00CA69FC" w:rsidP="00CA69FC">
      <w:pPr>
        <w:jc w:val="both"/>
        <w:rPr>
          <w:b/>
          <w:bCs/>
          <w:color w:val="FF0000"/>
        </w:rPr>
      </w:pPr>
      <w:r w:rsidRPr="00A22F70">
        <w:t xml:space="preserve">The trading venues shall apply the adjusted average daily number of transactions </w:t>
      </w:r>
      <w:r w:rsidRPr="00A22F70">
        <w:rPr>
          <w:strike/>
          <w:color w:val="FF0000"/>
        </w:rPr>
        <w:t>the day</w:t>
      </w:r>
      <w:r w:rsidRPr="00A22F70">
        <w:rPr>
          <w:color w:val="FF0000"/>
        </w:rPr>
        <w:t xml:space="preserve"> </w:t>
      </w:r>
      <w:r w:rsidRPr="00A22F70">
        <w:rPr>
          <w:b/>
          <w:color w:val="FF0000"/>
        </w:rPr>
        <w:t>two days</w:t>
      </w:r>
      <w:r w:rsidRPr="00A22F70">
        <w:rPr>
          <w:color w:val="FF0000"/>
        </w:rPr>
        <w:t xml:space="preserve"> </w:t>
      </w:r>
      <w:r w:rsidRPr="00A22F70">
        <w:t xml:space="preserve">after it has been communicated to them. </w:t>
      </w:r>
      <w:r w:rsidRPr="003F616B">
        <w:rPr>
          <w:b/>
          <w:color w:val="FF0000"/>
        </w:rPr>
        <w:t xml:space="preserve">ESMA shall communicate </w:t>
      </w:r>
      <w:r w:rsidR="00AF5C3D" w:rsidRPr="003F616B">
        <w:rPr>
          <w:b/>
          <w:color w:val="FF0000"/>
        </w:rPr>
        <w:t>the changes immediately</w:t>
      </w:r>
      <w:r w:rsidRPr="003F616B">
        <w:rPr>
          <w:b/>
          <w:color w:val="FF0000"/>
        </w:rPr>
        <w:t>.</w:t>
      </w:r>
    </w:p>
    <w:p w14:paraId="661867A0" w14:textId="77777777" w:rsidR="0035550B" w:rsidRPr="004A0164" w:rsidRDefault="0035550B" w:rsidP="0035550B">
      <w:pPr>
        <w:rPr>
          <w:rFonts w:cs="Arial"/>
        </w:rPr>
      </w:pPr>
      <w:r w:rsidRPr="004A0164">
        <w:rPr>
          <w:rFonts w:cs="Arial"/>
        </w:rPr>
        <w:t>&lt;ESMA_QUESTION_ACDR_1&gt;</w:t>
      </w:r>
    </w:p>
    <w:p w14:paraId="7734C316" w14:textId="77777777" w:rsidR="0035550B" w:rsidRPr="00A8300E" w:rsidRDefault="0035550B" w:rsidP="0035550B">
      <w:pPr>
        <w:rPr>
          <w:rFonts w:cs="Arial"/>
        </w:rPr>
      </w:pPr>
    </w:p>
    <w:p w14:paraId="3E2D1B41" w14:textId="77777777" w:rsidR="0035550B" w:rsidRPr="004A0164" w:rsidRDefault="0035550B" w:rsidP="00E26CBF">
      <w:pPr>
        <w:pStyle w:val="Questionstyle"/>
        <w:rPr>
          <w:szCs w:val="22"/>
        </w:rPr>
      </w:pPr>
      <w:r w:rsidRPr="004A0164">
        <w:rPr>
          <w:szCs w:val="22"/>
        </w:rPr>
        <w:t>: Do you agree not to include depositary receipts in the scope of instruments for which the ADNT could be adjusted? If not, please provide evidence supporting their inclusion.</w:t>
      </w:r>
    </w:p>
    <w:p w14:paraId="637B549E" w14:textId="77777777" w:rsidR="0035550B" w:rsidRPr="004A0164" w:rsidRDefault="0035550B" w:rsidP="0035550B">
      <w:pPr>
        <w:rPr>
          <w:rFonts w:cs="Arial"/>
        </w:rPr>
      </w:pPr>
      <w:r w:rsidRPr="004A0164">
        <w:rPr>
          <w:rFonts w:cs="Arial"/>
        </w:rPr>
        <w:t>&lt;ESMA_QUESTION_ACDR_2&gt;</w:t>
      </w:r>
    </w:p>
    <w:p w14:paraId="3849B453" w14:textId="21D87184" w:rsidR="005B3CD5" w:rsidRPr="00870D62" w:rsidRDefault="005B3CD5" w:rsidP="00AF54A4">
      <w:pPr>
        <w:jc w:val="both"/>
        <w:rPr>
          <w:rFonts w:cs="Arial"/>
        </w:rPr>
      </w:pPr>
      <w:r w:rsidRPr="00110E7C">
        <w:rPr>
          <w:rFonts w:cs="Arial"/>
        </w:rPr>
        <w:t xml:space="preserve">ESMA argues that depositary receipts are less likely to be traded in several jurisdictions, including a non-EU jurisdiction, and would not include those instruments in the scope of instruments for which the ADNT could be adjusted. Deutsche </w:t>
      </w:r>
      <w:r w:rsidR="006B7B44">
        <w:rPr>
          <w:rFonts w:cs="Arial"/>
        </w:rPr>
        <w:t>Börse</w:t>
      </w:r>
      <w:r w:rsidRPr="00110E7C">
        <w:rPr>
          <w:rFonts w:cs="Arial"/>
        </w:rPr>
        <w:t xml:space="preserve"> </w:t>
      </w:r>
      <w:r w:rsidR="00AF54A4" w:rsidRPr="00A27806">
        <w:rPr>
          <w:rFonts w:cs="Arial"/>
        </w:rPr>
        <w:t xml:space="preserve">Group </w:t>
      </w:r>
      <w:r w:rsidRPr="00870D62">
        <w:rPr>
          <w:rFonts w:cs="Arial"/>
        </w:rPr>
        <w:t>disagree with this proposal and would ask for depositary receipts which qualify as third country instrument to have the possibility to have their ADNT adjusted.</w:t>
      </w:r>
    </w:p>
    <w:p w14:paraId="7E97A7B2" w14:textId="21A0A74C" w:rsidR="005B3CD5" w:rsidRPr="004A0164" w:rsidRDefault="005B3CD5" w:rsidP="00AF54A4">
      <w:pPr>
        <w:jc w:val="both"/>
        <w:rPr>
          <w:rFonts w:cs="Arial"/>
        </w:rPr>
      </w:pPr>
      <w:r w:rsidRPr="00870D62">
        <w:rPr>
          <w:rFonts w:cs="Arial"/>
        </w:rPr>
        <w:t xml:space="preserve">Deutsche </w:t>
      </w:r>
      <w:r w:rsidR="006B7B44">
        <w:rPr>
          <w:rFonts w:cs="Arial"/>
        </w:rPr>
        <w:t>Börse</w:t>
      </w:r>
      <w:r w:rsidRPr="00870D62">
        <w:rPr>
          <w:rFonts w:cs="Arial"/>
        </w:rPr>
        <w:t xml:space="preserve"> </w:t>
      </w:r>
      <w:r w:rsidR="00AF54A4" w:rsidRPr="004A0164">
        <w:rPr>
          <w:rFonts w:cs="Arial"/>
        </w:rPr>
        <w:t xml:space="preserve">Group </w:t>
      </w:r>
      <w:r w:rsidRPr="004A0164">
        <w:rPr>
          <w:rFonts w:cs="Arial"/>
        </w:rPr>
        <w:t xml:space="preserve">did test this assumption on </w:t>
      </w:r>
      <w:r w:rsidR="00A15135">
        <w:rPr>
          <w:rFonts w:cs="Arial"/>
        </w:rPr>
        <w:t>our</w:t>
      </w:r>
      <w:r w:rsidR="00A15135" w:rsidRPr="004A0164">
        <w:rPr>
          <w:rFonts w:cs="Arial"/>
        </w:rPr>
        <w:t xml:space="preserve"> </w:t>
      </w:r>
      <w:r w:rsidRPr="004A0164">
        <w:rPr>
          <w:rFonts w:cs="Arial"/>
        </w:rPr>
        <w:t xml:space="preserve">trading venues. Currently 600 depositary receipts are listed on Xetra and </w:t>
      </w:r>
      <w:r w:rsidR="006B7B44">
        <w:rPr>
          <w:rFonts w:cs="Arial"/>
        </w:rPr>
        <w:t>Börse</w:t>
      </w:r>
      <w:r w:rsidRPr="004A0164">
        <w:rPr>
          <w:rFonts w:cs="Arial"/>
        </w:rPr>
        <w:t xml:space="preserve"> Frankfurt. Out of those, about 43 instruments concentrate 60% of the turnover on the two platforms and have </w:t>
      </w:r>
      <w:r w:rsidR="00A15135">
        <w:rPr>
          <w:rFonts w:cs="Arial"/>
        </w:rPr>
        <w:t xml:space="preserve">either </w:t>
      </w:r>
      <w:r w:rsidRPr="004A0164">
        <w:rPr>
          <w:rFonts w:cs="Arial"/>
        </w:rPr>
        <w:t xml:space="preserve">Xetra, </w:t>
      </w:r>
      <w:r w:rsidR="006B7B44">
        <w:rPr>
          <w:rFonts w:cs="Arial"/>
        </w:rPr>
        <w:t>Börse</w:t>
      </w:r>
      <w:r w:rsidRPr="004A0164">
        <w:rPr>
          <w:rFonts w:cs="Arial"/>
        </w:rPr>
        <w:t xml:space="preserve"> Frankfurt or Tradegate as </w:t>
      </w:r>
      <w:r w:rsidR="00A15135" w:rsidRPr="004A0164">
        <w:rPr>
          <w:rFonts w:cs="Arial"/>
        </w:rPr>
        <w:t>th</w:t>
      </w:r>
      <w:r w:rsidR="00A15135">
        <w:rPr>
          <w:rFonts w:cs="Arial"/>
        </w:rPr>
        <w:t>eir</w:t>
      </w:r>
      <w:r w:rsidR="00A15135" w:rsidRPr="004A0164">
        <w:rPr>
          <w:rFonts w:cs="Arial"/>
        </w:rPr>
        <w:t xml:space="preserve"> </w:t>
      </w:r>
      <w:r w:rsidRPr="004A0164">
        <w:rPr>
          <w:rFonts w:cs="Arial"/>
        </w:rPr>
        <w:t xml:space="preserve">most relevant market in Europe. However, the majority of these </w:t>
      </w:r>
      <w:r w:rsidR="00A15135">
        <w:rPr>
          <w:rFonts w:cs="Arial"/>
        </w:rPr>
        <w:t>40+</w:t>
      </w:r>
      <w:r w:rsidR="00A15135" w:rsidRPr="004A0164">
        <w:rPr>
          <w:rFonts w:cs="Arial"/>
        </w:rPr>
        <w:t xml:space="preserve"> </w:t>
      </w:r>
      <w:r w:rsidRPr="004A0164">
        <w:rPr>
          <w:rFonts w:cs="Arial"/>
        </w:rPr>
        <w:t xml:space="preserve">instruments (75%) has the most liquid trading venue outside the </w:t>
      </w:r>
      <w:r w:rsidR="00A15135">
        <w:rPr>
          <w:rFonts w:cs="Arial"/>
        </w:rPr>
        <w:t>Union</w:t>
      </w:r>
      <w:r w:rsidR="00A15135" w:rsidRPr="004A0164">
        <w:rPr>
          <w:rFonts w:cs="Arial"/>
        </w:rPr>
        <w:t xml:space="preserve"> </w:t>
      </w:r>
      <w:r w:rsidRPr="004A0164">
        <w:rPr>
          <w:rFonts w:cs="Arial"/>
        </w:rPr>
        <w:t xml:space="preserve">and hence would </w:t>
      </w:r>
      <w:r w:rsidR="00A15135">
        <w:rPr>
          <w:rFonts w:cs="Arial"/>
        </w:rPr>
        <w:t xml:space="preserve">qualify as </w:t>
      </w:r>
      <w:r w:rsidRPr="004A0164">
        <w:rPr>
          <w:rFonts w:cs="Arial"/>
        </w:rPr>
        <w:t>a third country instrument. In fact, for most of these depository receipts, the most liquid trading venue is either NASDAQ or NYSE, representing market shares ranging from 30 to 65% for each instrument.</w:t>
      </w:r>
    </w:p>
    <w:p w14:paraId="6F3BA1B5" w14:textId="2B3EDC89" w:rsidR="007162D0" w:rsidRPr="004A0164" w:rsidRDefault="005B3CD5" w:rsidP="00A8300E">
      <w:pPr>
        <w:jc w:val="both"/>
        <w:rPr>
          <w:rFonts w:cs="Arial"/>
        </w:rPr>
      </w:pPr>
      <w:r w:rsidRPr="004A0164">
        <w:rPr>
          <w:rFonts w:cs="Arial"/>
        </w:rPr>
        <w:t xml:space="preserve">Considering these results, Deutsche </w:t>
      </w:r>
      <w:r w:rsidR="006B7B44">
        <w:rPr>
          <w:rFonts w:cs="Arial"/>
        </w:rPr>
        <w:t>Börse</w:t>
      </w:r>
      <w:r w:rsidRPr="004A0164">
        <w:rPr>
          <w:rFonts w:cs="Arial"/>
        </w:rPr>
        <w:t xml:space="preserve"> </w:t>
      </w:r>
      <w:r w:rsidR="00AF54A4" w:rsidRPr="004A0164">
        <w:rPr>
          <w:rFonts w:cs="Arial"/>
        </w:rPr>
        <w:t xml:space="preserve">Group </w:t>
      </w:r>
      <w:r w:rsidRPr="004A0164">
        <w:rPr>
          <w:rFonts w:cs="Arial"/>
        </w:rPr>
        <w:t>strongly asks EMSA to include depositary receipts in the scope of instruments for which the ADNT could be adjusted to prevent a substantial disadvantage of European trading venues in comparison to third country trading venues.</w:t>
      </w:r>
    </w:p>
    <w:p w14:paraId="3B712FFA" w14:textId="77777777" w:rsidR="0035550B" w:rsidRPr="004A0164" w:rsidRDefault="0035550B" w:rsidP="0035550B">
      <w:pPr>
        <w:rPr>
          <w:rFonts w:cs="Arial"/>
        </w:rPr>
      </w:pPr>
      <w:r w:rsidRPr="004A0164">
        <w:rPr>
          <w:rFonts w:cs="Arial"/>
        </w:rPr>
        <w:t>&lt;ESMA_QUESTION_ACDR_2&gt;</w:t>
      </w:r>
    </w:p>
    <w:p w14:paraId="004A4B9D" w14:textId="77777777" w:rsidR="0035550B" w:rsidRPr="004A0164" w:rsidRDefault="0035550B" w:rsidP="0035550B">
      <w:pPr>
        <w:rPr>
          <w:rFonts w:cs="Arial"/>
        </w:rPr>
      </w:pPr>
    </w:p>
    <w:p w14:paraId="3D436595" w14:textId="77777777" w:rsidR="0035550B" w:rsidRPr="00B034F3" w:rsidRDefault="0035550B" w:rsidP="00E26CBF">
      <w:pPr>
        <w:pStyle w:val="Questionstyle"/>
        <w:rPr>
          <w:szCs w:val="22"/>
        </w:rPr>
      </w:pPr>
      <w:r w:rsidRPr="002362FC">
        <w:rPr>
          <w:szCs w:val="22"/>
        </w:rPr>
        <w:t>: Do you agree with ESMA’s assessment that the first months of application of the new tick size regime have not fundamentally called into question the calibration of this regime? If not, please provide evidence of any detrimental effects that you consider the current regime is causing.</w:t>
      </w:r>
    </w:p>
    <w:p w14:paraId="5D9CCAAA" w14:textId="77777777" w:rsidR="0035550B" w:rsidRPr="004A0164" w:rsidRDefault="0035550B" w:rsidP="0035550B">
      <w:pPr>
        <w:rPr>
          <w:rFonts w:cs="Arial"/>
        </w:rPr>
      </w:pPr>
      <w:r w:rsidRPr="004A0164">
        <w:rPr>
          <w:rFonts w:cs="Arial"/>
        </w:rPr>
        <w:t>&lt;ESMA_QUESTION_ACDR_3&gt;</w:t>
      </w:r>
    </w:p>
    <w:p w14:paraId="3459BE44" w14:textId="4BF23316" w:rsidR="002802B8" w:rsidRPr="00870D62" w:rsidRDefault="00BD2AD5" w:rsidP="00FD7619">
      <w:pPr>
        <w:jc w:val="both"/>
      </w:pPr>
      <w:r w:rsidRPr="004A0164">
        <w:t xml:space="preserve">Deutsche </w:t>
      </w:r>
      <w:r w:rsidR="006B7B44">
        <w:t>Börse</w:t>
      </w:r>
      <w:r w:rsidRPr="004A0164">
        <w:t xml:space="preserve"> Group does not consider it is able to answer on the recalibration of the new tick size regime given that the new regime is still in the process of being implemented.</w:t>
      </w:r>
    </w:p>
    <w:p w14:paraId="039BCE5F" w14:textId="6AE7318D" w:rsidR="00BD2AD5" w:rsidRPr="004A0164" w:rsidRDefault="002802B8" w:rsidP="00FD7619">
      <w:pPr>
        <w:jc w:val="both"/>
      </w:pPr>
      <w:r w:rsidRPr="003F616B">
        <w:rPr>
          <w:b/>
        </w:rPr>
        <w:t>Firstly, a</w:t>
      </w:r>
      <w:r w:rsidR="00AF0054" w:rsidRPr="003F616B">
        <w:rPr>
          <w:b/>
        </w:rPr>
        <w:t xml:space="preserve"> number of </w:t>
      </w:r>
      <w:r w:rsidR="00BD2AD5" w:rsidRPr="003F616B">
        <w:rPr>
          <w:b/>
        </w:rPr>
        <w:t>topics are still open</w:t>
      </w:r>
      <w:r w:rsidR="00BD2AD5" w:rsidRPr="004A0164">
        <w:t xml:space="preserve"> like the procedure for new listings (selection of the most relevant market) and the calculation of ADNTs, </w:t>
      </w:r>
      <w:r w:rsidR="00AF0054" w:rsidRPr="004A0164">
        <w:t xml:space="preserve">the </w:t>
      </w:r>
      <w:r w:rsidR="00BD2AD5" w:rsidRPr="004A0164">
        <w:t xml:space="preserve">availability of the ADNTs for the </w:t>
      </w:r>
      <w:r w:rsidR="00AF0054" w:rsidRPr="004A0164">
        <w:t xml:space="preserve">existing </w:t>
      </w:r>
      <w:r w:rsidR="00BD2AD5" w:rsidRPr="004A0164">
        <w:t>listings before 3</w:t>
      </w:r>
      <w:r w:rsidR="00BD2AD5" w:rsidRPr="004A0164">
        <w:rPr>
          <w:vertAlign w:val="superscript"/>
        </w:rPr>
        <w:t>rd</w:t>
      </w:r>
      <w:r w:rsidR="00A81FA4">
        <w:t> </w:t>
      </w:r>
      <w:r w:rsidR="00BD2AD5" w:rsidRPr="004A0164">
        <w:t xml:space="preserve">January 2018 in the ESMA database, </w:t>
      </w:r>
      <w:r w:rsidR="00AF0054" w:rsidRPr="004A0164">
        <w:t xml:space="preserve">the </w:t>
      </w:r>
      <w:r w:rsidR="00BD2AD5" w:rsidRPr="004A0164">
        <w:t>procedure in case of corporate actions</w:t>
      </w:r>
      <w:r w:rsidR="00AF0054" w:rsidRPr="004A0164">
        <w:t xml:space="preserve"> or the</w:t>
      </w:r>
      <w:r w:rsidR="00BD2AD5" w:rsidRPr="004A0164">
        <w:t xml:space="preserve"> adjustments on ADNTs both on an ad hoc basis and in the context of the yearly review</w:t>
      </w:r>
      <w:r w:rsidR="00AF0054" w:rsidRPr="004A0164">
        <w:t>. We would therefore urge ESMA to address those points as soon as possible in order not</w:t>
      </w:r>
      <w:r w:rsidR="00511FC4" w:rsidRPr="004A0164">
        <w:t xml:space="preserve"> </w:t>
      </w:r>
      <w:r w:rsidR="00BB7136" w:rsidRPr="004A0164">
        <w:t>to allow inadequate liquidity bands to become semi-permanent</w:t>
      </w:r>
      <w:r w:rsidR="00AF0054" w:rsidRPr="004A0164">
        <w:t>. Please note for instance that instruments newly listed after 3</w:t>
      </w:r>
      <w:r w:rsidR="00AF0054" w:rsidRPr="004A0164">
        <w:rPr>
          <w:vertAlign w:val="superscript"/>
        </w:rPr>
        <w:t>rd</w:t>
      </w:r>
      <w:r w:rsidR="00AF0054" w:rsidRPr="004A0164">
        <w:t xml:space="preserve"> January 2018 are traded under the highest liquidity band for the lack of information availability.</w:t>
      </w:r>
    </w:p>
    <w:p w14:paraId="3080C751" w14:textId="6C6B0F9F" w:rsidR="00E13355" w:rsidRPr="004A0164" w:rsidRDefault="002802B8" w:rsidP="00FD7619">
      <w:pPr>
        <w:jc w:val="both"/>
      </w:pPr>
      <w:r w:rsidRPr="003F616B">
        <w:rPr>
          <w:b/>
        </w:rPr>
        <w:t xml:space="preserve">Secondly, </w:t>
      </w:r>
      <w:r w:rsidR="00786343" w:rsidRPr="003F616B">
        <w:rPr>
          <w:b/>
        </w:rPr>
        <w:t xml:space="preserve">we would like to </w:t>
      </w:r>
      <w:r w:rsidR="00BB7136" w:rsidRPr="003F616B">
        <w:rPr>
          <w:b/>
        </w:rPr>
        <w:t>provide ESMA with some preliminary results</w:t>
      </w:r>
      <w:r w:rsidR="00BB7136" w:rsidRPr="004A0164">
        <w:t xml:space="preserve"> on the implementation of the tick size regime on our venues and </w:t>
      </w:r>
      <w:r w:rsidR="007267CD" w:rsidRPr="004A0164">
        <w:t>address our concerns to</w:t>
      </w:r>
      <w:r w:rsidR="00786343" w:rsidRPr="004A0164">
        <w:t xml:space="preserve"> ESMA on considering the analysis conducted by the Autorit</w:t>
      </w:r>
      <w:r w:rsidR="00AF54A4" w:rsidRPr="004A0164">
        <w:t>é</w:t>
      </w:r>
      <w:r w:rsidR="00786343" w:rsidRPr="004A0164">
        <w:t xml:space="preserve"> des </w:t>
      </w:r>
      <w:r w:rsidR="001554A9" w:rsidRPr="004A0164">
        <w:t>Marchés</w:t>
      </w:r>
      <w:r w:rsidR="00786343" w:rsidRPr="004A0164">
        <w:t xml:space="preserve"> Financiers</w:t>
      </w:r>
      <w:r w:rsidR="007F0B2A">
        <w:t xml:space="preserve"> (AMF)</w:t>
      </w:r>
      <w:r w:rsidR="00786343" w:rsidRPr="004A0164">
        <w:t xml:space="preserve"> as the reference on the European Union tick size regime. </w:t>
      </w:r>
      <w:r w:rsidR="007267CD" w:rsidRPr="004A0164">
        <w:t>The study is not ex</w:t>
      </w:r>
      <w:r w:rsidR="00786343" w:rsidRPr="004A0164">
        <w:t>e</w:t>
      </w:r>
      <w:r w:rsidR="007267CD" w:rsidRPr="004A0164">
        <w:t>mpt of limitations</w:t>
      </w:r>
      <w:r w:rsidR="00786343" w:rsidRPr="004A0164">
        <w:t xml:space="preserve"> we would like to highlight to market participants and regulators.</w:t>
      </w:r>
      <w:r w:rsidR="00A81FA4">
        <w:t xml:space="preserve"> We are calling ESMA to conduct an analysis an a pan European level.</w:t>
      </w:r>
    </w:p>
    <w:p w14:paraId="06CC2546" w14:textId="62B93E42" w:rsidR="00786343" w:rsidRPr="004A0164" w:rsidRDefault="00786343" w:rsidP="00FD7619">
      <w:r w:rsidRPr="004A0164">
        <w:rPr>
          <w:b/>
        </w:rPr>
        <w:t>Open issues in the application of the EU tick size regime</w:t>
      </w:r>
    </w:p>
    <w:p w14:paraId="3141A8A1" w14:textId="77777777" w:rsidR="00E13355" w:rsidRPr="004A0164" w:rsidRDefault="00E13355" w:rsidP="00E13355">
      <w:pPr>
        <w:autoSpaceDE w:val="0"/>
        <w:autoSpaceDN w:val="0"/>
        <w:adjustRightInd w:val="0"/>
        <w:spacing w:after="0"/>
        <w:jc w:val="both"/>
        <w:rPr>
          <w:rFonts w:eastAsia="SimSun" w:cstheme="minorHAnsi"/>
          <w:bCs/>
          <w:color w:val="000000"/>
          <w:lang w:val="en-US"/>
        </w:rPr>
      </w:pPr>
      <w:r w:rsidRPr="004A0164">
        <w:rPr>
          <w:rFonts w:eastAsia="SimSun" w:cstheme="minorHAnsi"/>
          <w:b/>
          <w:color w:val="000000"/>
          <w:lang w:val="en-US"/>
        </w:rPr>
        <w:t xml:space="preserve">1. Determination of Most Relevant Market </w:t>
      </w:r>
    </w:p>
    <w:p w14:paraId="3EEEEEB2" w14:textId="303095FE" w:rsidR="00E13355" w:rsidRPr="004A0164" w:rsidRDefault="00E13355" w:rsidP="00E13355">
      <w:pPr>
        <w:autoSpaceDE w:val="0"/>
        <w:autoSpaceDN w:val="0"/>
        <w:adjustRightInd w:val="0"/>
        <w:spacing w:after="0"/>
        <w:jc w:val="both"/>
        <w:rPr>
          <w:rFonts w:eastAsia="Arial" w:cstheme="minorHAnsi"/>
        </w:rPr>
      </w:pPr>
      <w:r w:rsidRPr="004A0164">
        <w:rPr>
          <w:rFonts w:eastAsia="Arial" w:cstheme="minorHAnsi"/>
        </w:rPr>
        <w:t xml:space="preserve">For new securities, Deutsche </w:t>
      </w:r>
      <w:r w:rsidR="006B7B44">
        <w:rPr>
          <w:rFonts w:eastAsia="Arial" w:cstheme="minorHAnsi"/>
        </w:rPr>
        <w:t>Börse</w:t>
      </w:r>
      <w:r w:rsidRPr="004A0164">
        <w:rPr>
          <w:rFonts w:eastAsia="Arial" w:cstheme="minorHAnsi"/>
        </w:rPr>
        <w:t xml:space="preserve"> Group is of the understanding that until the most relevant market in terms of liquidity is determined, the most relevant market should be the trading venue where the financial instrument is first admitted to trading or first traded. However, it is not clear how ESMA is determining which venue is the relevant one in this instance. Deutsche </w:t>
      </w:r>
      <w:r w:rsidR="006B7B44">
        <w:rPr>
          <w:rFonts w:eastAsia="Arial" w:cstheme="minorHAnsi"/>
        </w:rPr>
        <w:t>Börse</w:t>
      </w:r>
      <w:r w:rsidRPr="004A0164">
        <w:rPr>
          <w:rFonts w:eastAsia="Arial" w:cstheme="minorHAnsi"/>
        </w:rPr>
        <w:t xml:space="preserve"> Group via FESE has repeatedly raised concerns with ESMA regarding cases where a security is admitted to more than one market on the same day and would ask ESMA to address this matter urgently. </w:t>
      </w:r>
    </w:p>
    <w:p w14:paraId="01B07668" w14:textId="2E5D1B89" w:rsidR="00E13355" w:rsidRPr="004A0164" w:rsidRDefault="00E13355" w:rsidP="00FD7619">
      <w:pPr>
        <w:autoSpaceDE w:val="0"/>
        <w:autoSpaceDN w:val="0"/>
        <w:adjustRightInd w:val="0"/>
        <w:jc w:val="both"/>
        <w:rPr>
          <w:rFonts w:eastAsia="Arial" w:cstheme="minorHAnsi"/>
        </w:rPr>
      </w:pPr>
      <w:r w:rsidRPr="004A0164">
        <w:rPr>
          <w:rFonts w:eastAsia="Arial" w:cstheme="minorHAnsi"/>
        </w:rPr>
        <w:lastRenderedPageBreak/>
        <w:t xml:space="preserve">Deutsche </w:t>
      </w:r>
      <w:r w:rsidR="006B7B44">
        <w:rPr>
          <w:rFonts w:eastAsia="Arial" w:cstheme="minorHAnsi"/>
        </w:rPr>
        <w:t>Börse</w:t>
      </w:r>
      <w:r w:rsidRPr="004A0164">
        <w:rPr>
          <w:rFonts w:eastAsia="Arial" w:cstheme="minorHAnsi"/>
        </w:rPr>
        <w:t xml:space="preserve"> Group via FESE considers that where new securities are admitted to more than one market on the same day, the most relevant market should be determined based on the country of incorporation of the issuer. This would be in line with the solution adopted for bonds.</w:t>
      </w:r>
    </w:p>
    <w:p w14:paraId="374B7678" w14:textId="77777777" w:rsidR="00E13355" w:rsidRPr="004A0164" w:rsidRDefault="00E13355" w:rsidP="00E13355">
      <w:pPr>
        <w:autoSpaceDE w:val="0"/>
        <w:autoSpaceDN w:val="0"/>
        <w:adjustRightInd w:val="0"/>
        <w:spacing w:after="0"/>
        <w:jc w:val="both"/>
        <w:rPr>
          <w:rFonts w:eastAsia="SimSun" w:cstheme="minorHAnsi"/>
          <w:bCs/>
          <w:color w:val="000000"/>
          <w:lang w:val="en-US"/>
        </w:rPr>
      </w:pPr>
      <w:r w:rsidRPr="004A0164">
        <w:rPr>
          <w:rFonts w:eastAsia="SimSun" w:cstheme="minorHAnsi"/>
          <w:b/>
          <w:color w:val="000000"/>
          <w:lang w:val="en-US"/>
        </w:rPr>
        <w:t xml:space="preserve">2. Lack of transparency and timing of publication </w:t>
      </w:r>
    </w:p>
    <w:p w14:paraId="650CBD2C" w14:textId="58E4A544" w:rsidR="00E13355" w:rsidRPr="004A0164" w:rsidRDefault="00E13355" w:rsidP="00E13355">
      <w:pPr>
        <w:autoSpaceDE w:val="0"/>
        <w:autoSpaceDN w:val="0"/>
        <w:adjustRightInd w:val="0"/>
        <w:spacing w:after="0"/>
        <w:jc w:val="both"/>
        <w:rPr>
          <w:rFonts w:eastAsia="SimSun" w:cstheme="minorHAnsi"/>
          <w:bCs/>
          <w:color w:val="000000"/>
          <w:lang w:val="en-US"/>
        </w:rPr>
      </w:pPr>
      <w:r w:rsidRPr="004A0164">
        <w:rPr>
          <w:rFonts w:eastAsia="SimSun" w:cstheme="minorHAnsi"/>
          <w:color w:val="000000"/>
          <w:lang w:val="en-US"/>
        </w:rPr>
        <w:t>There is still a lack of clarity regarding the publication of the tick size data. While the timing of the annual publication is clearly set out in the RTS</w:t>
      </w:r>
      <w:r w:rsidR="00AF0054" w:rsidRPr="004A0164">
        <w:rPr>
          <w:rFonts w:eastAsia="SimSun" w:cstheme="minorHAnsi"/>
          <w:color w:val="000000"/>
          <w:lang w:val="en-US"/>
        </w:rPr>
        <w:t xml:space="preserve"> 11</w:t>
      </w:r>
      <w:r w:rsidRPr="004A0164">
        <w:rPr>
          <w:rFonts w:eastAsia="SimSun" w:cstheme="minorHAnsi"/>
          <w:color w:val="000000"/>
          <w:lang w:val="en-US"/>
        </w:rPr>
        <w:t xml:space="preserve">, there is no clarity on the timing of potential ad-hoc updates. Deutsche </w:t>
      </w:r>
      <w:r w:rsidR="006B7B44">
        <w:rPr>
          <w:rFonts w:eastAsia="SimSun" w:cstheme="minorHAnsi"/>
          <w:color w:val="000000"/>
          <w:lang w:val="en-US"/>
        </w:rPr>
        <w:t>Börse</w:t>
      </w:r>
      <w:r w:rsidRPr="004A0164">
        <w:rPr>
          <w:rFonts w:eastAsia="SimSun" w:cstheme="minorHAnsi"/>
          <w:color w:val="000000"/>
          <w:lang w:val="en-US"/>
        </w:rPr>
        <w:t xml:space="preserve"> Group does not consider this process satisfactory as it prevents trading venues from planning ahead and securing the required resources for the review and implementation of such changes to ensure consistent application of updates. In the recent months Deutsche </w:t>
      </w:r>
      <w:r w:rsidR="006B7B44">
        <w:rPr>
          <w:rFonts w:eastAsia="SimSun" w:cstheme="minorHAnsi"/>
          <w:color w:val="000000"/>
          <w:lang w:val="en-US"/>
        </w:rPr>
        <w:t>Börse</w:t>
      </w:r>
      <w:r w:rsidRPr="004A0164">
        <w:rPr>
          <w:rFonts w:eastAsia="SimSun" w:cstheme="minorHAnsi"/>
          <w:color w:val="000000"/>
          <w:lang w:val="en-US"/>
        </w:rPr>
        <w:t xml:space="preserve"> Group was informed of potential updates of the tick size files, albeit not </w:t>
      </w:r>
      <w:r w:rsidR="00AF0054" w:rsidRPr="004A0164">
        <w:rPr>
          <w:rFonts w:eastAsia="SimSun" w:cstheme="minorHAnsi"/>
          <w:color w:val="000000"/>
          <w:lang w:val="en-US"/>
        </w:rPr>
        <w:t xml:space="preserve">systematically </w:t>
      </w:r>
      <w:r w:rsidRPr="004A0164">
        <w:rPr>
          <w:rFonts w:eastAsia="SimSun" w:cstheme="minorHAnsi"/>
          <w:color w:val="000000"/>
          <w:lang w:val="en-US"/>
        </w:rPr>
        <w:t>being followed by publication of new tick size files.</w:t>
      </w:r>
    </w:p>
    <w:p w14:paraId="17D927D1" w14:textId="56A51A43" w:rsidR="00E13355" w:rsidRPr="004A0164" w:rsidRDefault="00E13355" w:rsidP="00E13355">
      <w:pPr>
        <w:autoSpaceDE w:val="0"/>
        <w:autoSpaceDN w:val="0"/>
        <w:adjustRightInd w:val="0"/>
        <w:spacing w:after="0"/>
        <w:jc w:val="both"/>
        <w:rPr>
          <w:rFonts w:eastAsia="SimSun" w:cstheme="minorHAnsi"/>
          <w:bCs/>
          <w:color w:val="000000"/>
          <w:lang w:val="en-US"/>
        </w:rPr>
      </w:pPr>
      <w:r w:rsidRPr="004A0164">
        <w:rPr>
          <w:rFonts w:eastAsia="SimSun" w:cstheme="minorHAnsi"/>
          <w:color w:val="000000"/>
          <w:lang w:val="en-US"/>
        </w:rPr>
        <w:t xml:space="preserve">Therefore, Deutsche </w:t>
      </w:r>
      <w:r w:rsidR="006B7B44">
        <w:rPr>
          <w:rFonts w:eastAsia="SimSun" w:cstheme="minorHAnsi"/>
          <w:color w:val="000000"/>
          <w:lang w:val="en-US"/>
        </w:rPr>
        <w:t>Börse</w:t>
      </w:r>
      <w:r w:rsidRPr="004A0164">
        <w:rPr>
          <w:rFonts w:eastAsia="SimSun" w:cstheme="minorHAnsi"/>
          <w:color w:val="000000"/>
          <w:lang w:val="en-US"/>
        </w:rPr>
        <w:t xml:space="preserve"> Group urges ESMA to establish clear timelines to ensure that: </w:t>
      </w:r>
    </w:p>
    <w:p w14:paraId="00D92F22" w14:textId="77777777" w:rsidR="00E13355" w:rsidRPr="004A0164" w:rsidRDefault="00E13355" w:rsidP="00112412">
      <w:pPr>
        <w:numPr>
          <w:ilvl w:val="1"/>
          <w:numId w:val="8"/>
        </w:numPr>
        <w:autoSpaceDE w:val="0"/>
        <w:autoSpaceDN w:val="0"/>
        <w:adjustRightInd w:val="0"/>
        <w:spacing w:after="0"/>
        <w:jc w:val="both"/>
        <w:rPr>
          <w:rFonts w:eastAsia="SimSun" w:cstheme="minorHAnsi"/>
          <w:bCs/>
          <w:color w:val="000000"/>
          <w:lang w:val="en-US"/>
        </w:rPr>
      </w:pPr>
      <w:r w:rsidRPr="004A0164">
        <w:rPr>
          <w:rFonts w:eastAsia="SimSun" w:cstheme="minorHAnsi"/>
          <w:color w:val="000000"/>
          <w:lang w:val="en-US"/>
        </w:rPr>
        <w:t xml:space="preserve">The market is advised at least one day in advance that the file will be updated. </w:t>
      </w:r>
    </w:p>
    <w:p w14:paraId="26F1D34A" w14:textId="77777777" w:rsidR="00E13355" w:rsidRPr="004A0164" w:rsidRDefault="00E13355" w:rsidP="00112412">
      <w:pPr>
        <w:numPr>
          <w:ilvl w:val="1"/>
          <w:numId w:val="8"/>
        </w:numPr>
        <w:autoSpaceDE w:val="0"/>
        <w:autoSpaceDN w:val="0"/>
        <w:adjustRightInd w:val="0"/>
        <w:spacing w:after="0"/>
        <w:jc w:val="both"/>
        <w:rPr>
          <w:rFonts w:eastAsia="SimSun" w:cstheme="minorHAnsi"/>
          <w:bCs/>
          <w:color w:val="000000"/>
          <w:lang w:val="en-US"/>
        </w:rPr>
      </w:pPr>
      <w:r w:rsidRPr="004A0164">
        <w:rPr>
          <w:rFonts w:eastAsia="SimSun" w:cstheme="minorHAnsi"/>
          <w:color w:val="000000"/>
          <w:lang w:val="en-US"/>
        </w:rPr>
        <w:t xml:space="preserve">Updates are always published by a stated time of the day. We suggest 13.00 CET. </w:t>
      </w:r>
    </w:p>
    <w:p w14:paraId="090F5DAC" w14:textId="759BFEF8" w:rsidR="00E13355" w:rsidRPr="004A0164" w:rsidRDefault="00E13355" w:rsidP="00FD7619">
      <w:pPr>
        <w:numPr>
          <w:ilvl w:val="1"/>
          <w:numId w:val="8"/>
        </w:numPr>
        <w:autoSpaceDE w:val="0"/>
        <w:autoSpaceDN w:val="0"/>
        <w:adjustRightInd w:val="0"/>
        <w:ind w:left="1797" w:hanging="357"/>
        <w:jc w:val="both"/>
        <w:rPr>
          <w:rFonts w:eastAsia="SimSun" w:cstheme="minorHAnsi"/>
          <w:bCs/>
          <w:color w:val="000000"/>
          <w:lang w:val="en-US"/>
        </w:rPr>
      </w:pPr>
      <w:r w:rsidRPr="004A0164">
        <w:rPr>
          <w:rFonts w:eastAsia="SimSun" w:cstheme="minorHAnsi"/>
          <w:color w:val="000000"/>
          <w:lang w:val="en-US"/>
        </w:rPr>
        <w:t>Trading venues should have 2 days to implement the changes e.g. if ESMA publishes an updated file on Monday 14 May, trading venues should implement the changes effective for trading on Wednesday 16 May.</w:t>
      </w:r>
    </w:p>
    <w:p w14:paraId="2C7B1B14" w14:textId="5F67E833" w:rsidR="00E13355" w:rsidRPr="00110E7C" w:rsidRDefault="00E13355" w:rsidP="00E13355">
      <w:pPr>
        <w:spacing w:after="0"/>
        <w:jc w:val="both"/>
        <w:rPr>
          <w:rFonts w:eastAsia="SimSun" w:cstheme="minorHAnsi"/>
          <w:b/>
          <w:lang w:val="en-US"/>
        </w:rPr>
      </w:pPr>
      <w:r w:rsidRPr="004A0164">
        <w:rPr>
          <w:rFonts w:eastAsia="SimSun" w:cstheme="minorHAnsi"/>
          <w:b/>
          <w:lang w:val="en-US"/>
        </w:rPr>
        <w:t>3. Procedures to update the ESMA database</w:t>
      </w:r>
    </w:p>
    <w:p w14:paraId="7FC0C6CD" w14:textId="4F7D2162" w:rsidR="00E13355" w:rsidRPr="004A0164" w:rsidRDefault="00E13355" w:rsidP="00FD7619">
      <w:pPr>
        <w:jc w:val="both"/>
        <w:rPr>
          <w:rFonts w:eastAsia="SimSun" w:cstheme="minorHAnsi"/>
          <w:bCs/>
          <w:lang w:val="en-US"/>
        </w:rPr>
      </w:pPr>
      <w:r w:rsidRPr="00110E7C">
        <w:rPr>
          <w:rFonts w:eastAsia="SimSun" w:cstheme="minorHAnsi"/>
          <w:lang w:val="en-US"/>
        </w:rPr>
        <w:t xml:space="preserve">Deutsche </w:t>
      </w:r>
      <w:r w:rsidR="006B7B44">
        <w:rPr>
          <w:rFonts w:eastAsia="SimSun" w:cstheme="minorHAnsi"/>
          <w:lang w:val="en-US"/>
        </w:rPr>
        <w:t>Börse</w:t>
      </w:r>
      <w:r w:rsidRPr="00110E7C">
        <w:rPr>
          <w:rFonts w:eastAsia="SimSun" w:cstheme="minorHAnsi"/>
          <w:lang w:val="en-US"/>
        </w:rPr>
        <w:t xml:space="preserve"> Group would like to recall that trading venues have not yet received any official instructions as to how and where they shall provide updates on ADNT</w:t>
      </w:r>
      <w:r w:rsidR="00511FC4" w:rsidRPr="00870D62">
        <w:rPr>
          <w:rFonts w:eastAsia="SimSun" w:cstheme="minorHAnsi"/>
          <w:lang w:val="en-US"/>
        </w:rPr>
        <w:t>s</w:t>
      </w:r>
      <w:r w:rsidRPr="00870D62">
        <w:rPr>
          <w:rFonts w:eastAsia="SimSun" w:cstheme="minorHAnsi"/>
          <w:lang w:val="en-US"/>
        </w:rPr>
        <w:t>. This issue concerns several circ</w:t>
      </w:r>
      <w:r w:rsidRPr="004A0164">
        <w:rPr>
          <w:rFonts w:eastAsia="SimSun" w:cstheme="minorHAnsi"/>
          <w:lang w:val="en-US"/>
        </w:rPr>
        <w:t>umstances that repeatedly occur:</w:t>
      </w:r>
    </w:p>
    <w:p w14:paraId="2197964E" w14:textId="0915E0AC" w:rsidR="00E13355" w:rsidRPr="004A0164" w:rsidRDefault="002802B8" w:rsidP="003F616B">
      <w:pPr>
        <w:spacing w:after="0"/>
        <w:ind w:firstLine="720"/>
        <w:contextualSpacing/>
        <w:jc w:val="both"/>
        <w:rPr>
          <w:rFonts w:eastAsia="SimSun" w:cstheme="minorHAnsi"/>
          <w:bCs/>
          <w:lang w:val="en-US"/>
        </w:rPr>
      </w:pPr>
      <w:r w:rsidRPr="004A0164">
        <w:rPr>
          <w:rFonts w:eastAsia="SimSun" w:cstheme="minorHAnsi"/>
          <w:b/>
          <w:lang w:val="en-US"/>
        </w:rPr>
        <w:t xml:space="preserve">a. </w:t>
      </w:r>
      <w:r w:rsidR="00E13355" w:rsidRPr="004A0164">
        <w:rPr>
          <w:rFonts w:eastAsia="SimSun" w:cstheme="minorHAnsi"/>
          <w:b/>
          <w:lang w:val="en-US"/>
        </w:rPr>
        <w:t xml:space="preserve">New listings - Estimated ADNT </w:t>
      </w:r>
    </w:p>
    <w:p w14:paraId="349F4264" w14:textId="2B8E432F" w:rsidR="002802B8" w:rsidRPr="004A0164" w:rsidRDefault="00E13355" w:rsidP="00E13355">
      <w:pPr>
        <w:spacing w:after="0"/>
        <w:contextualSpacing/>
        <w:jc w:val="both"/>
        <w:rPr>
          <w:rFonts w:eastAsia="SimSun" w:cstheme="minorHAnsi"/>
          <w:lang w:val="en-US"/>
        </w:rPr>
      </w:pPr>
      <w:r w:rsidRPr="004A0164">
        <w:rPr>
          <w:rFonts w:eastAsia="SimSun" w:cstheme="minorHAnsi"/>
        </w:rPr>
        <w:t xml:space="preserve">RTS 11 Article 3(5) states that </w:t>
      </w:r>
      <w:r w:rsidR="0063365C">
        <w:rPr>
          <w:rFonts w:eastAsia="SimSun" w:cstheme="minorHAnsi"/>
        </w:rPr>
        <w:t>CAs</w:t>
      </w:r>
      <w:r w:rsidRPr="004A0164">
        <w:rPr>
          <w:rFonts w:eastAsia="SimSun" w:cstheme="minorHAnsi"/>
        </w:rPr>
        <w:t xml:space="preserve"> shall estimate the ADNT before the first admission to trading or first day of trading of a financial instrument. </w:t>
      </w:r>
      <w:r w:rsidRPr="004A0164">
        <w:rPr>
          <w:rFonts w:eastAsia="SimSun" w:cstheme="minorHAnsi"/>
          <w:lang w:val="en-US"/>
        </w:rPr>
        <w:t xml:space="preserve">However, trading venues currently do not have the possibility to inform relevant authorities of the estimated ADNT for a new listing and currently all new listed instruments are automatically assigned to the highest liquidity band (LB6). Moreover, </w:t>
      </w:r>
      <w:r w:rsidRPr="004A0164">
        <w:rPr>
          <w:rFonts w:eastAsia="SimSun" w:cstheme="minorHAnsi"/>
        </w:rPr>
        <w:t xml:space="preserve">trading venues understand that when assigning the tick size for a new listing they should aim to apply the appropriate liquidity band. However, </w:t>
      </w:r>
      <w:r w:rsidRPr="004A0164">
        <w:rPr>
          <w:rFonts w:eastAsia="SimSun" w:cstheme="minorHAnsi"/>
          <w:lang w:val="en-US"/>
        </w:rPr>
        <w:t>there are no channels to inform other European trading venues of the appropriate liquidity band in case it differs from LB6.</w:t>
      </w:r>
    </w:p>
    <w:p w14:paraId="48F21267" w14:textId="49BBE300" w:rsidR="00E13355" w:rsidRPr="004A0164" w:rsidRDefault="002802B8" w:rsidP="00FD7619">
      <w:pPr>
        <w:jc w:val="both"/>
        <w:rPr>
          <w:rFonts w:eastAsia="SimSun" w:cstheme="minorHAnsi"/>
          <w:b/>
          <w:bCs/>
        </w:rPr>
      </w:pPr>
      <w:r w:rsidRPr="004A0164">
        <w:rPr>
          <w:rFonts w:eastAsia="SimSun" w:cstheme="minorHAnsi"/>
          <w:lang w:val="en-US"/>
        </w:rPr>
        <w:lastRenderedPageBreak/>
        <w:t xml:space="preserve">In the event where ESMA were to provide estimated ADNTs for new listings, Deutsche </w:t>
      </w:r>
      <w:r w:rsidR="006B7B44">
        <w:rPr>
          <w:rFonts w:eastAsia="SimSun" w:cstheme="minorHAnsi"/>
          <w:lang w:val="en-US"/>
        </w:rPr>
        <w:t>Börse</w:t>
      </w:r>
      <w:r w:rsidRPr="004A0164">
        <w:rPr>
          <w:rFonts w:eastAsia="SimSun" w:cstheme="minorHAnsi"/>
          <w:lang w:val="en-US"/>
        </w:rPr>
        <w:t xml:space="preserve"> Group would urge ESMA to provide confirmation and the detailed process envisaged by the regulators.</w:t>
      </w:r>
    </w:p>
    <w:p w14:paraId="09B8CF84" w14:textId="33917D8B" w:rsidR="00E13355" w:rsidRPr="004A0164" w:rsidRDefault="002802B8" w:rsidP="003F616B">
      <w:pPr>
        <w:spacing w:after="0"/>
        <w:ind w:firstLine="720"/>
        <w:jc w:val="both"/>
        <w:rPr>
          <w:rFonts w:eastAsia="SimSun" w:cstheme="minorHAnsi"/>
          <w:bCs/>
        </w:rPr>
      </w:pPr>
      <w:r w:rsidRPr="004A0164">
        <w:rPr>
          <w:rFonts w:eastAsia="SimSun" w:cstheme="minorHAnsi"/>
          <w:b/>
          <w:lang w:val="en-US"/>
        </w:rPr>
        <w:t xml:space="preserve">b. </w:t>
      </w:r>
      <w:r w:rsidR="00E13355" w:rsidRPr="004A0164">
        <w:rPr>
          <w:rFonts w:eastAsia="SimSun" w:cstheme="minorHAnsi"/>
          <w:b/>
          <w:lang w:val="en-US"/>
        </w:rPr>
        <w:t>Actual ADNT after four weeks of trading</w:t>
      </w:r>
    </w:p>
    <w:p w14:paraId="11FDA31E" w14:textId="795C811B" w:rsidR="00E13355" w:rsidRPr="004A0164" w:rsidRDefault="00E13355" w:rsidP="00E13355">
      <w:pPr>
        <w:spacing w:after="0"/>
        <w:contextualSpacing/>
        <w:jc w:val="both"/>
        <w:rPr>
          <w:rFonts w:eastAsia="SimSun" w:cstheme="minorHAnsi"/>
          <w:bCs/>
        </w:rPr>
      </w:pPr>
      <w:r w:rsidRPr="004A0164">
        <w:rPr>
          <w:rFonts w:eastAsia="SimSun" w:cstheme="minorHAnsi"/>
          <w:lang w:val="en-US"/>
        </w:rPr>
        <w:t xml:space="preserve">RTS 11 Article 3 (6) states that the actual ADNT shall be published four weeks after the first day of trading in order to assign a tick size liquidity band. </w:t>
      </w:r>
      <w:r w:rsidRPr="004A0164">
        <w:rPr>
          <w:rFonts w:eastAsia="SimSun" w:cstheme="minorHAnsi"/>
        </w:rPr>
        <w:t>However,</w:t>
      </w:r>
      <w:r w:rsidRPr="004A0164">
        <w:rPr>
          <w:rFonts w:eastAsia="SimSun" w:cstheme="minorHAnsi"/>
          <w:lang w:val="en-US"/>
        </w:rPr>
        <w:t xml:space="preserve"> trading venues currently cannot update the ADNT based on actual data </w:t>
      </w:r>
      <w:r w:rsidR="002802B8" w:rsidRPr="004A0164">
        <w:rPr>
          <w:rFonts w:eastAsia="SimSun" w:cstheme="minorHAnsi"/>
          <w:lang w:val="en-US"/>
        </w:rPr>
        <w:t>four</w:t>
      </w:r>
      <w:r w:rsidRPr="004A0164">
        <w:rPr>
          <w:rFonts w:eastAsia="SimSun" w:cstheme="minorHAnsi"/>
          <w:lang w:val="en-US"/>
        </w:rPr>
        <w:t xml:space="preserve"> weeks after the first trading day. Therefore, there has been no update on tick sizes communicated for new listed instruments since 3 January 2018.</w:t>
      </w:r>
      <w:r w:rsidRPr="004A0164">
        <w:rPr>
          <w:rFonts w:eastAsia="SimSun" w:cstheme="minorHAnsi"/>
        </w:rPr>
        <w:t xml:space="preserve"> This is due to the fact that </w:t>
      </w:r>
      <w:r w:rsidRPr="004A0164">
        <w:rPr>
          <w:rFonts w:eastAsia="SimSun" w:cstheme="minorHAnsi"/>
          <w:lang w:val="en-US"/>
        </w:rPr>
        <w:t>the tick sizes cannot be adjusted as the communication channel between venues remains the tick size file/ESMA database and trading venues have not been informed on how to submit data. The current situation is harmful to the liquidity of some instruments which continue to trade under too granular tick sizes.</w:t>
      </w:r>
    </w:p>
    <w:p w14:paraId="5B0E4521" w14:textId="68C01796" w:rsidR="00E13355" w:rsidRPr="004A0164" w:rsidRDefault="00E13355" w:rsidP="00FD7619">
      <w:pPr>
        <w:jc w:val="both"/>
        <w:rPr>
          <w:rFonts w:eastAsia="SimSun" w:cstheme="minorHAnsi"/>
          <w:b/>
          <w:bCs/>
        </w:rPr>
      </w:pPr>
      <w:r w:rsidRPr="004A0164">
        <w:rPr>
          <w:rFonts w:eastAsia="SimSun" w:cstheme="minorHAnsi"/>
          <w:lang w:val="en-US"/>
        </w:rPr>
        <w:t xml:space="preserve">Deutsche </w:t>
      </w:r>
      <w:r w:rsidR="006B7B44">
        <w:rPr>
          <w:rFonts w:eastAsia="SimSun" w:cstheme="minorHAnsi"/>
          <w:lang w:val="en-US"/>
        </w:rPr>
        <w:t>Börse</w:t>
      </w:r>
      <w:r w:rsidRPr="004A0164">
        <w:rPr>
          <w:rFonts w:eastAsia="SimSun" w:cstheme="minorHAnsi"/>
          <w:lang w:val="en-US"/>
        </w:rPr>
        <w:t xml:space="preserve"> Group would strongly suggest that calculations for the first </w:t>
      </w:r>
      <w:r w:rsidR="002802B8" w:rsidRPr="004A0164">
        <w:rPr>
          <w:rFonts w:eastAsia="SimSun" w:cstheme="minorHAnsi"/>
          <w:lang w:val="en-US"/>
        </w:rPr>
        <w:t>four</w:t>
      </w:r>
      <w:r w:rsidRPr="004A0164">
        <w:rPr>
          <w:rFonts w:eastAsia="SimSun" w:cstheme="minorHAnsi"/>
          <w:lang w:val="en-US"/>
        </w:rPr>
        <w:t xml:space="preserve"> weeks of trading are conducted by ESMA based on data provided on a daily basis by all trading venues. This would allow: 1) automatically determining the most relevant market based on the highest turnover and 2) selecting the ADNT to apply to all venues based on the previous calculation.</w:t>
      </w:r>
      <w:r w:rsidR="002802B8" w:rsidRPr="004A0164">
        <w:rPr>
          <w:rFonts w:eastAsia="SimSun" w:cstheme="minorHAnsi"/>
          <w:lang w:val="en-US"/>
        </w:rPr>
        <w:t xml:space="preserve"> In the event ESMA were to do the calculations, Deutsche </w:t>
      </w:r>
      <w:r w:rsidR="006B7B44">
        <w:rPr>
          <w:rFonts w:eastAsia="SimSun" w:cstheme="minorHAnsi"/>
          <w:lang w:val="en-US"/>
        </w:rPr>
        <w:t>Börse</w:t>
      </w:r>
      <w:r w:rsidR="002802B8" w:rsidRPr="004A0164">
        <w:rPr>
          <w:rFonts w:eastAsia="SimSun" w:cstheme="minorHAnsi"/>
          <w:lang w:val="en-US"/>
        </w:rPr>
        <w:t xml:space="preserve"> Group would urge ESMA to provide confirmation </w:t>
      </w:r>
      <w:r w:rsidR="007267CD" w:rsidRPr="004A0164">
        <w:rPr>
          <w:rFonts w:eastAsia="SimSun" w:cstheme="minorHAnsi"/>
          <w:lang w:val="en-US"/>
        </w:rPr>
        <w:t>as soon as possible and to initiate</w:t>
      </w:r>
      <w:r w:rsidR="002802B8" w:rsidRPr="004A0164">
        <w:rPr>
          <w:rFonts w:eastAsia="SimSun" w:cstheme="minorHAnsi"/>
          <w:lang w:val="en-US"/>
        </w:rPr>
        <w:t xml:space="preserve"> the process.</w:t>
      </w:r>
    </w:p>
    <w:p w14:paraId="4D7EEFDC" w14:textId="67F7648C" w:rsidR="00E13355" w:rsidRPr="004A0164" w:rsidRDefault="002802B8" w:rsidP="003F616B">
      <w:pPr>
        <w:spacing w:after="0"/>
        <w:ind w:firstLine="720"/>
        <w:contextualSpacing/>
        <w:jc w:val="both"/>
        <w:rPr>
          <w:rFonts w:eastAsia="SimSun" w:cstheme="minorHAnsi"/>
          <w:bCs/>
          <w:lang w:val="en-US"/>
        </w:rPr>
      </w:pPr>
      <w:r w:rsidRPr="004A0164">
        <w:rPr>
          <w:rFonts w:eastAsia="SimSun" w:cstheme="minorHAnsi"/>
          <w:b/>
          <w:lang w:val="en-US"/>
        </w:rPr>
        <w:t xml:space="preserve">c. </w:t>
      </w:r>
      <w:r w:rsidR="00E13355" w:rsidRPr="004A0164">
        <w:rPr>
          <w:rFonts w:eastAsia="SimSun" w:cstheme="minorHAnsi"/>
          <w:b/>
          <w:lang w:val="en-US"/>
        </w:rPr>
        <w:t xml:space="preserve">Corporate actions - Estimated and actual ADNT for selected corporate actions </w:t>
      </w:r>
    </w:p>
    <w:p w14:paraId="19C4A1D7" w14:textId="40C34826" w:rsidR="00E13355" w:rsidRPr="004A0164" w:rsidRDefault="00E13355" w:rsidP="00E13355">
      <w:pPr>
        <w:spacing w:after="0"/>
        <w:contextualSpacing/>
        <w:jc w:val="both"/>
        <w:rPr>
          <w:rFonts w:eastAsia="SimSun" w:cstheme="minorHAnsi"/>
          <w:bCs/>
          <w:lang w:val="en-US"/>
        </w:rPr>
      </w:pPr>
      <w:r w:rsidRPr="004A0164">
        <w:rPr>
          <w:rFonts w:eastAsia="SimSun" w:cstheme="minorHAnsi"/>
          <w:lang w:val="en-US"/>
        </w:rPr>
        <w:t xml:space="preserve">RTS 11 states that </w:t>
      </w:r>
      <w:r w:rsidR="0063365C">
        <w:rPr>
          <w:rFonts w:eastAsia="SimSun" w:cstheme="minorHAnsi"/>
          <w:lang w:val="en-US"/>
        </w:rPr>
        <w:t>CAs</w:t>
      </w:r>
      <w:r w:rsidRPr="004A0164">
        <w:rPr>
          <w:rFonts w:eastAsia="SimSun" w:cstheme="minorHAnsi"/>
          <w:lang w:val="en-US"/>
        </w:rPr>
        <w:t xml:space="preserve"> have the possibility to request a change in the ADNT if they anticipate a corporate action to have a significant impact on the liquidity of the relevant instrument. However, as </w:t>
      </w:r>
      <w:r w:rsidR="002802B8" w:rsidRPr="004A0164">
        <w:rPr>
          <w:rFonts w:eastAsia="SimSun" w:cstheme="minorHAnsi"/>
          <w:lang w:val="en-US"/>
        </w:rPr>
        <w:t>aforementioned</w:t>
      </w:r>
      <w:r w:rsidRPr="004A0164">
        <w:rPr>
          <w:rFonts w:eastAsia="SimSun" w:cstheme="minorHAnsi"/>
          <w:lang w:val="en-US"/>
        </w:rPr>
        <w:t>, there is no technical solution to make such an update to the tick size file/ESMA database. Please also note that some N</w:t>
      </w:r>
      <w:r w:rsidR="005F4212">
        <w:rPr>
          <w:rFonts w:eastAsia="SimSun" w:cstheme="minorHAnsi"/>
          <w:lang w:val="en-US"/>
        </w:rPr>
        <w:t xml:space="preserve">ational </w:t>
      </w:r>
      <w:r w:rsidRPr="004A0164">
        <w:rPr>
          <w:rFonts w:eastAsia="SimSun" w:cstheme="minorHAnsi"/>
          <w:lang w:val="en-US"/>
        </w:rPr>
        <w:t>CAs have not provided any approval nor any guidance on the procedures to apply in case of corporate actions.</w:t>
      </w:r>
    </w:p>
    <w:p w14:paraId="67D59380" w14:textId="31F7D5F7" w:rsidR="00E13355" w:rsidRPr="004A0164" w:rsidRDefault="00E13355" w:rsidP="00FD7619">
      <w:pPr>
        <w:jc w:val="both"/>
        <w:rPr>
          <w:rFonts w:eastAsia="SimSun" w:cstheme="minorHAnsi"/>
          <w:bCs/>
          <w:lang w:val="en-US"/>
        </w:rPr>
      </w:pPr>
      <w:r w:rsidRPr="004A0164">
        <w:rPr>
          <w:rFonts w:eastAsia="SimSun" w:cstheme="minorHAnsi"/>
          <w:lang w:val="en-US"/>
        </w:rPr>
        <w:t xml:space="preserve">Deutsche </w:t>
      </w:r>
      <w:r w:rsidR="006B7B44">
        <w:rPr>
          <w:rFonts w:eastAsia="SimSun" w:cstheme="minorHAnsi"/>
          <w:lang w:val="en-US"/>
        </w:rPr>
        <w:t>Börse</w:t>
      </w:r>
      <w:r w:rsidRPr="004A0164">
        <w:rPr>
          <w:rFonts w:eastAsia="SimSun" w:cstheme="minorHAnsi"/>
          <w:lang w:val="en-US"/>
        </w:rPr>
        <w:t xml:space="preserve"> Group urges ESMA to develop a standard EU procedure for trading venues to submit the data to either N</w:t>
      </w:r>
      <w:r w:rsidR="005F4212">
        <w:rPr>
          <w:rFonts w:eastAsia="SimSun" w:cstheme="minorHAnsi"/>
          <w:lang w:val="en-US"/>
        </w:rPr>
        <w:t xml:space="preserve">ational </w:t>
      </w:r>
      <w:r w:rsidRPr="004A0164">
        <w:rPr>
          <w:rFonts w:eastAsia="SimSun" w:cstheme="minorHAnsi"/>
          <w:lang w:val="en-US"/>
        </w:rPr>
        <w:t>CAs or ESMA, which allows for automatic calculations.</w:t>
      </w:r>
    </w:p>
    <w:p w14:paraId="07887783" w14:textId="52CB1D01" w:rsidR="00E13355" w:rsidRPr="004A0164" w:rsidRDefault="002802B8" w:rsidP="003F616B">
      <w:pPr>
        <w:spacing w:after="0"/>
        <w:ind w:firstLine="720"/>
        <w:contextualSpacing/>
        <w:jc w:val="both"/>
        <w:rPr>
          <w:rFonts w:eastAsia="SimSun" w:cstheme="minorHAnsi"/>
          <w:bCs/>
          <w:lang w:val="en-US"/>
        </w:rPr>
      </w:pPr>
      <w:r w:rsidRPr="004A0164">
        <w:rPr>
          <w:rFonts w:eastAsia="SimSun" w:cstheme="minorHAnsi"/>
          <w:b/>
          <w:lang w:val="en-US"/>
        </w:rPr>
        <w:t xml:space="preserve">d. </w:t>
      </w:r>
      <w:r w:rsidR="00E13355" w:rsidRPr="004A0164">
        <w:rPr>
          <w:rFonts w:eastAsia="SimSun" w:cstheme="minorHAnsi"/>
          <w:b/>
          <w:lang w:val="en-US"/>
        </w:rPr>
        <w:t>Yearly tick size review</w:t>
      </w:r>
    </w:p>
    <w:p w14:paraId="195D802F" w14:textId="6D2827D2" w:rsidR="00E13355" w:rsidRPr="004A0164" w:rsidRDefault="00E13355" w:rsidP="00E13355">
      <w:pPr>
        <w:tabs>
          <w:tab w:val="left" w:pos="709"/>
        </w:tabs>
        <w:spacing w:after="0"/>
        <w:contextualSpacing/>
        <w:jc w:val="both"/>
        <w:rPr>
          <w:rFonts w:eastAsia="SimSun" w:cstheme="minorHAnsi"/>
          <w:bCs/>
          <w:lang w:val="en-US"/>
        </w:rPr>
      </w:pPr>
      <w:r w:rsidRPr="004A0164">
        <w:rPr>
          <w:rFonts w:eastAsia="SimSun" w:cstheme="minorHAnsi"/>
          <w:lang w:val="en-US"/>
        </w:rPr>
        <w:t>ESMA has been collecting the relevant information for the calculation of the ADNT since January 2018. However, RTS 11 Article 3</w:t>
      </w:r>
      <w:r w:rsidR="00EA5741">
        <w:rPr>
          <w:rFonts w:eastAsia="SimSun" w:cstheme="minorHAnsi"/>
          <w:lang w:val="en-US"/>
        </w:rPr>
        <w:t>(</w:t>
      </w:r>
      <w:r w:rsidRPr="004A0164">
        <w:rPr>
          <w:rFonts w:eastAsia="SimSun" w:cstheme="minorHAnsi"/>
          <w:lang w:val="en-US"/>
        </w:rPr>
        <w:t>1</w:t>
      </w:r>
      <w:r w:rsidR="00EA5741">
        <w:rPr>
          <w:rFonts w:eastAsia="SimSun" w:cstheme="minorHAnsi"/>
          <w:lang w:val="en-US"/>
        </w:rPr>
        <w:t>)</w:t>
      </w:r>
      <w:r w:rsidRPr="004A0164">
        <w:rPr>
          <w:rFonts w:eastAsia="SimSun" w:cstheme="minorHAnsi"/>
          <w:lang w:val="en-US"/>
        </w:rPr>
        <w:t xml:space="preserve"> only refers to the competent authorities calculating the ADNT and “ensuring the publication” but do</w:t>
      </w:r>
      <w:r w:rsidR="00EA5741">
        <w:rPr>
          <w:rFonts w:eastAsia="SimSun" w:cstheme="minorHAnsi"/>
          <w:lang w:val="en-US"/>
        </w:rPr>
        <w:t>es</w:t>
      </w:r>
      <w:r w:rsidRPr="004A0164">
        <w:rPr>
          <w:rFonts w:eastAsia="SimSun" w:cstheme="minorHAnsi"/>
          <w:lang w:val="en-US"/>
        </w:rPr>
        <w:t xml:space="preserve"> not specify the division of tasks between ESMA and CAs nor the means of publication.</w:t>
      </w:r>
    </w:p>
    <w:p w14:paraId="53068666" w14:textId="388C945B" w:rsidR="00E13355" w:rsidRPr="004A0164" w:rsidRDefault="00E13355" w:rsidP="00E13355">
      <w:pPr>
        <w:tabs>
          <w:tab w:val="left" w:pos="709"/>
        </w:tabs>
        <w:spacing w:after="0"/>
        <w:contextualSpacing/>
        <w:jc w:val="both"/>
        <w:rPr>
          <w:rFonts w:eastAsia="SimSun" w:cstheme="minorHAnsi"/>
          <w:bCs/>
          <w:lang w:val="en-US"/>
        </w:rPr>
      </w:pPr>
      <w:r w:rsidRPr="004A0164">
        <w:rPr>
          <w:rFonts w:eastAsia="SimSun" w:cstheme="minorHAnsi"/>
          <w:lang w:val="en-US"/>
        </w:rPr>
        <w:t xml:space="preserve">Deutsche </w:t>
      </w:r>
      <w:r w:rsidR="006B7B44">
        <w:rPr>
          <w:rFonts w:eastAsia="SimSun" w:cstheme="minorHAnsi"/>
          <w:lang w:val="en-US"/>
        </w:rPr>
        <w:t>Börse</w:t>
      </w:r>
      <w:r w:rsidRPr="004A0164">
        <w:rPr>
          <w:rFonts w:eastAsia="SimSun" w:cstheme="minorHAnsi"/>
          <w:lang w:val="en-US"/>
        </w:rPr>
        <w:t xml:space="preserve"> Group suggests that ESMA proceeds with the calculations for the yearly ADNT to apply on each 1 April for the following year to ensure consistency between the data received on a daily basis by ESMA and the ADNT to apply to all EU venues. We suggest that:</w:t>
      </w:r>
    </w:p>
    <w:p w14:paraId="3C5EE8F2" w14:textId="77777777" w:rsidR="00E13355" w:rsidRPr="004A0164" w:rsidRDefault="00E13355" w:rsidP="00E13355">
      <w:pPr>
        <w:numPr>
          <w:ilvl w:val="1"/>
          <w:numId w:val="7"/>
        </w:numPr>
        <w:tabs>
          <w:tab w:val="left" w:pos="709"/>
        </w:tabs>
        <w:spacing w:after="0"/>
        <w:contextualSpacing/>
        <w:jc w:val="both"/>
        <w:rPr>
          <w:rFonts w:eastAsia="SimSun" w:cstheme="minorHAnsi"/>
          <w:bCs/>
          <w:lang w:val="en-US"/>
        </w:rPr>
      </w:pPr>
      <w:r w:rsidRPr="004A0164">
        <w:rPr>
          <w:rFonts w:eastAsia="SimSun" w:cstheme="minorHAnsi"/>
          <w:lang w:val="en-US"/>
        </w:rPr>
        <w:t>Calculations are made by ESMA by 1 March and communicated to all NCAs.</w:t>
      </w:r>
    </w:p>
    <w:p w14:paraId="201B695A" w14:textId="77777777" w:rsidR="00E13355" w:rsidRPr="004A0164" w:rsidRDefault="00E13355" w:rsidP="00E13355">
      <w:pPr>
        <w:numPr>
          <w:ilvl w:val="1"/>
          <w:numId w:val="7"/>
        </w:numPr>
        <w:tabs>
          <w:tab w:val="left" w:pos="709"/>
        </w:tabs>
        <w:spacing w:after="0"/>
        <w:contextualSpacing/>
        <w:jc w:val="both"/>
        <w:rPr>
          <w:rFonts w:eastAsia="SimSun" w:cstheme="minorHAnsi"/>
          <w:bCs/>
          <w:lang w:val="en-US"/>
        </w:rPr>
      </w:pPr>
      <w:r w:rsidRPr="004A0164">
        <w:rPr>
          <w:rFonts w:eastAsia="SimSun" w:cstheme="minorHAnsi"/>
          <w:lang w:val="en-US"/>
        </w:rPr>
        <w:lastRenderedPageBreak/>
        <w:t>NCAs verify the calculations before final acceptance.</w:t>
      </w:r>
    </w:p>
    <w:p w14:paraId="56A56894" w14:textId="77777777" w:rsidR="00E13355" w:rsidRPr="004A0164" w:rsidRDefault="00E13355" w:rsidP="00E13355">
      <w:pPr>
        <w:numPr>
          <w:ilvl w:val="1"/>
          <w:numId w:val="7"/>
        </w:numPr>
        <w:tabs>
          <w:tab w:val="left" w:pos="709"/>
        </w:tabs>
        <w:spacing w:after="0"/>
        <w:contextualSpacing/>
        <w:jc w:val="both"/>
        <w:rPr>
          <w:rFonts w:eastAsia="SimSun" w:cstheme="minorHAnsi"/>
          <w:bCs/>
          <w:lang w:val="en-US"/>
        </w:rPr>
      </w:pPr>
      <w:r w:rsidRPr="004A0164">
        <w:rPr>
          <w:rFonts w:eastAsia="SimSun" w:cstheme="minorHAnsi"/>
          <w:lang w:val="en-US"/>
        </w:rPr>
        <w:t>ESMA database is updated on 1 April.</w:t>
      </w:r>
    </w:p>
    <w:p w14:paraId="55707D18" w14:textId="593EB973" w:rsidR="00BD2AD5" w:rsidRPr="004A0164" w:rsidRDefault="00BD2AD5" w:rsidP="0035550B">
      <w:pPr>
        <w:rPr>
          <w:lang w:val="en-US"/>
        </w:rPr>
      </w:pPr>
    </w:p>
    <w:p w14:paraId="565D624B" w14:textId="6FD18F53" w:rsidR="00786343" w:rsidRPr="004A0164" w:rsidRDefault="00786343" w:rsidP="0035550B">
      <w:pPr>
        <w:rPr>
          <w:b/>
          <w:lang w:val="en-US"/>
        </w:rPr>
      </w:pPr>
      <w:r w:rsidRPr="004A0164">
        <w:rPr>
          <w:b/>
          <w:lang w:val="en-US"/>
        </w:rPr>
        <w:t>The Impact of the new tick size regime analysis</w:t>
      </w:r>
    </w:p>
    <w:p w14:paraId="6BDF7145" w14:textId="67286D25" w:rsidR="00D3334F" w:rsidRPr="004A0164" w:rsidRDefault="002802B8" w:rsidP="00A8300E">
      <w:pPr>
        <w:jc w:val="both"/>
        <w:rPr>
          <w:rFonts w:cs="Arial"/>
        </w:rPr>
      </w:pPr>
      <w:r w:rsidRPr="004A0164">
        <w:rPr>
          <w:rFonts w:cs="Arial"/>
        </w:rPr>
        <w:t xml:space="preserve">In its </w:t>
      </w:r>
      <w:r w:rsidR="00EA5741">
        <w:rPr>
          <w:rFonts w:cs="Arial"/>
        </w:rPr>
        <w:t>c</w:t>
      </w:r>
      <w:r w:rsidRPr="004A0164">
        <w:rPr>
          <w:rFonts w:cs="Arial"/>
        </w:rPr>
        <w:t xml:space="preserve">onsultation </w:t>
      </w:r>
      <w:r w:rsidR="00EA5741">
        <w:rPr>
          <w:rFonts w:cs="Arial"/>
        </w:rPr>
        <w:t>p</w:t>
      </w:r>
      <w:r w:rsidRPr="004A0164">
        <w:rPr>
          <w:rFonts w:cs="Arial"/>
        </w:rPr>
        <w:t xml:space="preserve">aper, </w:t>
      </w:r>
      <w:r w:rsidR="00786343" w:rsidRPr="004A0164">
        <w:rPr>
          <w:rFonts w:cs="Arial"/>
        </w:rPr>
        <w:t xml:space="preserve">ESMA refers to the </w:t>
      </w:r>
      <w:r w:rsidR="008B5DD5" w:rsidRPr="004A0164">
        <w:rPr>
          <w:rFonts w:cs="Arial"/>
        </w:rPr>
        <w:t xml:space="preserve">analysis conducted by the AMF on the impact of the new tick size regime. </w:t>
      </w:r>
      <w:r w:rsidR="00BE608E" w:rsidRPr="004A0164">
        <w:rPr>
          <w:rFonts w:cs="Arial"/>
        </w:rPr>
        <w:t xml:space="preserve">Deutsche </w:t>
      </w:r>
      <w:r w:rsidR="006B7B44">
        <w:rPr>
          <w:rFonts w:cs="Arial"/>
        </w:rPr>
        <w:t>Börse</w:t>
      </w:r>
      <w:r w:rsidR="00BE608E" w:rsidRPr="004A0164">
        <w:rPr>
          <w:rFonts w:cs="Arial"/>
        </w:rPr>
        <w:t xml:space="preserve"> </w:t>
      </w:r>
      <w:r w:rsidR="007B3C52">
        <w:rPr>
          <w:rFonts w:cs="Arial"/>
        </w:rPr>
        <w:t>Group</w:t>
      </w:r>
      <w:r w:rsidR="007B3C52" w:rsidRPr="004A0164">
        <w:rPr>
          <w:rFonts w:cs="Arial"/>
        </w:rPr>
        <w:t xml:space="preserve"> </w:t>
      </w:r>
      <w:r w:rsidR="00BD2AD5" w:rsidRPr="004A0164">
        <w:rPr>
          <w:rFonts w:cs="Arial"/>
        </w:rPr>
        <w:t>would like to highlight that the results of the analysis shall be considered carefully</w:t>
      </w:r>
      <w:r w:rsidR="00343422" w:rsidRPr="004A0164">
        <w:rPr>
          <w:rFonts w:cs="Arial"/>
        </w:rPr>
        <w:t>.</w:t>
      </w:r>
      <w:r w:rsidR="00281ED7" w:rsidRPr="004A0164">
        <w:rPr>
          <w:rFonts w:cs="Arial"/>
        </w:rPr>
        <w:t xml:space="preserve"> As a general remark, and although the AMF are cautions about the fact that the analysis period is short and close to the implementation, it shall be noted that the study is about observing the different statistics but times series do not seem </w:t>
      </w:r>
      <w:r w:rsidR="00A22F70">
        <w:rPr>
          <w:rFonts w:cs="Arial"/>
        </w:rPr>
        <w:t>to be</w:t>
      </w:r>
      <w:r w:rsidR="00281ED7" w:rsidRPr="004A0164">
        <w:rPr>
          <w:rFonts w:cs="Arial"/>
        </w:rPr>
        <w:t xml:space="preserve"> corrected for any bias, nor seasonality. This means that the fact that low volumes, lower activity usually observed in December and the opposite in January is not accounted for. It would be interesting to have the same analysis conducted on a longer period in 2018, compared to the similar period in 2017.</w:t>
      </w:r>
      <w:r w:rsidR="00A22F70">
        <w:rPr>
          <w:rFonts w:cs="Arial"/>
        </w:rPr>
        <w:t>to draw any representative conclusions on the impact of MiFID II.</w:t>
      </w:r>
    </w:p>
    <w:p w14:paraId="2520E397" w14:textId="4CF544A2" w:rsidR="00343422" w:rsidRPr="004A0164" w:rsidRDefault="00D1757B" w:rsidP="00A8300E">
      <w:pPr>
        <w:jc w:val="both"/>
        <w:rPr>
          <w:rFonts w:cs="Arial"/>
        </w:rPr>
      </w:pPr>
      <w:r w:rsidRPr="004A0164">
        <w:rPr>
          <w:rFonts w:cs="Arial"/>
        </w:rPr>
        <w:t>Following the same methodology, o</w:t>
      </w:r>
      <w:r w:rsidR="00343422" w:rsidRPr="004A0164">
        <w:rPr>
          <w:rFonts w:cs="Arial"/>
        </w:rPr>
        <w:t>n Xetra, the new tick size regime had a significant impact with most of our instruments seeing their tick size increasing (90% on our main market)</w:t>
      </w:r>
      <w:r w:rsidR="008B5DD5" w:rsidRPr="004A0164">
        <w:rPr>
          <w:rFonts w:cs="Arial"/>
        </w:rPr>
        <w:t xml:space="preserve"> in January 2018</w:t>
      </w:r>
      <w:r w:rsidR="00343422" w:rsidRPr="004A0164">
        <w:rPr>
          <w:rFonts w:cs="Arial"/>
        </w:rPr>
        <w:t>. For DAX,</w:t>
      </w:r>
      <w:r w:rsidR="00BE608E" w:rsidRPr="004A0164">
        <w:rPr>
          <w:rFonts w:cs="Arial"/>
        </w:rPr>
        <w:t xml:space="preserve"> this</w:t>
      </w:r>
      <w:r w:rsidR="00343422" w:rsidRPr="004A0164">
        <w:rPr>
          <w:rFonts w:cs="Arial"/>
        </w:rPr>
        <w:t xml:space="preserve"> translated into an increase in tick size for 13 instruments, no change for 10 instruments, and a decrease for 7 instruments. For MDAX, it </w:t>
      </w:r>
      <w:r w:rsidR="008B5DD5" w:rsidRPr="004A0164">
        <w:rPr>
          <w:rFonts w:cs="Arial"/>
        </w:rPr>
        <w:t>meant</w:t>
      </w:r>
      <w:r w:rsidR="00343422" w:rsidRPr="004A0164">
        <w:rPr>
          <w:rFonts w:cs="Arial"/>
        </w:rPr>
        <w:t xml:space="preserve"> an increase in tick size for 41 instruments, no change for 8 instruments and a decrease for 1 instrument only. Compared to the analysis done by the AMF, none of the 37 CAC40 instruments considered in the study has a more granular tick size under the new regime; tick sizes are unchanged for 24 instruments and less granular for 13 instruments.</w:t>
      </w:r>
      <w:r w:rsidR="00D3334F" w:rsidRPr="004A0164">
        <w:rPr>
          <w:rFonts w:cs="Arial"/>
        </w:rPr>
        <w:t xml:space="preserve"> The latter means that the AMF analysis cannot </w:t>
      </w:r>
      <w:r w:rsidR="009C2EFE" w:rsidRPr="004A0164">
        <w:rPr>
          <w:rFonts w:cs="Arial"/>
        </w:rPr>
        <w:t>account for</w:t>
      </w:r>
      <w:r w:rsidR="00D3334F" w:rsidRPr="004A0164">
        <w:rPr>
          <w:rFonts w:cs="Arial"/>
        </w:rPr>
        <w:t xml:space="preserve"> any potential improvement of liquidity for instruments seeing their tick size reduced.</w:t>
      </w:r>
    </w:p>
    <w:p w14:paraId="79C7E567" w14:textId="14F016A3" w:rsidR="00343422" w:rsidRPr="004A0164" w:rsidRDefault="008B5DD5" w:rsidP="00B3002C">
      <w:pPr>
        <w:jc w:val="both"/>
        <w:rPr>
          <w:rFonts w:cs="Arial"/>
        </w:rPr>
      </w:pPr>
      <w:r w:rsidRPr="004A0164">
        <w:rPr>
          <w:rFonts w:cs="Arial"/>
        </w:rPr>
        <w:t>For instruments listed on Xetra, we</w:t>
      </w:r>
      <w:r w:rsidR="00343422" w:rsidRPr="004A0164">
        <w:rPr>
          <w:rFonts w:cs="Arial"/>
        </w:rPr>
        <w:t xml:space="preserve"> observed that less granular tick sizes lead to increasing spreads, which results in higher execution costs for all market participants. Where the tick size increased, we saw an increase of the spreads at </w:t>
      </w:r>
      <w:r w:rsidR="00DC61A6" w:rsidRPr="004A0164">
        <w:rPr>
          <w:rFonts w:cs="Arial"/>
        </w:rPr>
        <w:t xml:space="preserve">touch </w:t>
      </w:r>
      <w:r w:rsidR="00343422" w:rsidRPr="004A0164">
        <w:rPr>
          <w:rFonts w:cs="Arial"/>
        </w:rPr>
        <w:t>of 1.</w:t>
      </w:r>
      <w:r w:rsidR="00B3002C" w:rsidRPr="004A0164">
        <w:rPr>
          <w:rFonts w:cs="Arial"/>
        </w:rPr>
        <w:t xml:space="preserve">20bps </w:t>
      </w:r>
      <w:r w:rsidR="00343422" w:rsidRPr="004A0164">
        <w:rPr>
          <w:rFonts w:cs="Arial"/>
        </w:rPr>
        <w:t xml:space="preserve">for DAX instruments and an increase of the spreads </w:t>
      </w:r>
      <w:r w:rsidR="00281ED7" w:rsidRPr="004A0164">
        <w:rPr>
          <w:rFonts w:cs="Arial"/>
        </w:rPr>
        <w:t xml:space="preserve">at touch </w:t>
      </w:r>
      <w:r w:rsidR="00343422" w:rsidRPr="004A0164">
        <w:rPr>
          <w:rFonts w:cs="Arial"/>
        </w:rPr>
        <w:t>of 1.</w:t>
      </w:r>
      <w:r w:rsidR="00B3002C" w:rsidRPr="004A0164">
        <w:rPr>
          <w:rFonts w:cs="Arial"/>
        </w:rPr>
        <w:t xml:space="preserve">80bp </w:t>
      </w:r>
      <w:r w:rsidR="00343422" w:rsidRPr="004A0164">
        <w:rPr>
          <w:rFonts w:cs="Arial"/>
        </w:rPr>
        <w:t>for MDAX instruments</w:t>
      </w:r>
      <w:r w:rsidR="0010783E" w:rsidRPr="004A0164">
        <w:rPr>
          <w:rFonts w:cs="Arial"/>
        </w:rPr>
        <w:t xml:space="preserve"> in January 2018</w:t>
      </w:r>
      <w:r w:rsidR="00343422" w:rsidRPr="004A0164">
        <w:rPr>
          <w:rFonts w:cs="Arial"/>
        </w:rPr>
        <w:t xml:space="preserve">. The increase represents a surge in implicit costs for market participants of 40% on DAX instruments from </w:t>
      </w:r>
      <w:r w:rsidR="00343422" w:rsidRPr="00110E7C">
        <w:rPr>
          <w:rFonts w:cs="Arial"/>
        </w:rPr>
        <w:t>3.</w:t>
      </w:r>
      <w:r w:rsidR="00B3002C" w:rsidRPr="00110E7C">
        <w:rPr>
          <w:rFonts w:cs="Arial"/>
        </w:rPr>
        <w:t>24bp</w:t>
      </w:r>
      <w:r w:rsidR="00CC6572">
        <w:rPr>
          <w:rFonts w:cs="Arial"/>
        </w:rPr>
        <w:t>s</w:t>
      </w:r>
      <w:r w:rsidR="00B3002C" w:rsidRPr="00110E7C">
        <w:rPr>
          <w:rFonts w:cs="Arial"/>
        </w:rPr>
        <w:t xml:space="preserve"> </w:t>
      </w:r>
      <w:r w:rsidR="00343422" w:rsidRPr="00870D62">
        <w:rPr>
          <w:rFonts w:cs="Arial"/>
        </w:rPr>
        <w:t xml:space="preserve">in Dec17 to </w:t>
      </w:r>
      <w:r w:rsidR="00B3002C" w:rsidRPr="00870D62">
        <w:rPr>
          <w:rFonts w:cs="Arial"/>
        </w:rPr>
        <w:t>4.44bp</w:t>
      </w:r>
      <w:r w:rsidR="00CC6572">
        <w:rPr>
          <w:rFonts w:cs="Arial"/>
        </w:rPr>
        <w:t>s</w:t>
      </w:r>
      <w:r w:rsidR="00B3002C" w:rsidRPr="00870D62">
        <w:rPr>
          <w:rFonts w:cs="Arial"/>
        </w:rPr>
        <w:t xml:space="preserve"> </w:t>
      </w:r>
      <w:r w:rsidR="00343422" w:rsidRPr="004A0164">
        <w:rPr>
          <w:rFonts w:cs="Arial"/>
        </w:rPr>
        <w:t>in Jan18 and 25% on MDAX instruments from 7.</w:t>
      </w:r>
      <w:r w:rsidR="00B3002C" w:rsidRPr="004A0164">
        <w:rPr>
          <w:rFonts w:cs="Arial"/>
        </w:rPr>
        <w:t>35bp</w:t>
      </w:r>
      <w:r w:rsidR="00CC6572">
        <w:rPr>
          <w:rFonts w:cs="Arial"/>
        </w:rPr>
        <w:t>s</w:t>
      </w:r>
      <w:r w:rsidR="00B3002C" w:rsidRPr="004A0164">
        <w:rPr>
          <w:rFonts w:cs="Arial"/>
        </w:rPr>
        <w:t xml:space="preserve"> </w:t>
      </w:r>
      <w:r w:rsidR="00343422" w:rsidRPr="004A0164">
        <w:rPr>
          <w:rFonts w:cs="Arial"/>
        </w:rPr>
        <w:t>in Dec17 to 9.</w:t>
      </w:r>
      <w:r w:rsidR="00B3002C" w:rsidRPr="004A0164">
        <w:rPr>
          <w:rFonts w:cs="Arial"/>
        </w:rPr>
        <w:t>15bp</w:t>
      </w:r>
      <w:r w:rsidR="00CC6572">
        <w:rPr>
          <w:rFonts w:cs="Arial"/>
        </w:rPr>
        <w:t>s</w:t>
      </w:r>
      <w:r w:rsidR="00B3002C" w:rsidRPr="004A0164">
        <w:rPr>
          <w:rFonts w:cs="Arial"/>
        </w:rPr>
        <w:t xml:space="preserve"> </w:t>
      </w:r>
      <w:r w:rsidR="00343422" w:rsidRPr="004A0164">
        <w:rPr>
          <w:rFonts w:cs="Arial"/>
        </w:rPr>
        <w:t>in Jan18.</w:t>
      </w:r>
    </w:p>
    <w:p w14:paraId="2E616EDB" w14:textId="10D48AB6" w:rsidR="00D3334F" w:rsidRDefault="003405A9" w:rsidP="001554A9">
      <w:pPr>
        <w:jc w:val="both"/>
        <w:rPr>
          <w:rFonts w:cs="Arial"/>
        </w:rPr>
      </w:pPr>
      <w:r w:rsidRPr="004A0164">
        <w:rPr>
          <w:rFonts w:cs="Arial"/>
        </w:rPr>
        <w:lastRenderedPageBreak/>
        <w:t xml:space="preserve">Comparing spreads at touch and spreads </w:t>
      </w:r>
      <w:r w:rsidR="008F0D5A" w:rsidRPr="004A0164">
        <w:rPr>
          <w:rFonts w:cs="Arial"/>
        </w:rPr>
        <w:t>at different depths (25</w:t>
      </w:r>
      <w:r w:rsidRPr="004A0164">
        <w:rPr>
          <w:rFonts w:cs="Arial"/>
        </w:rPr>
        <w:t>K, 100K),</w:t>
      </w:r>
      <w:r w:rsidR="00CC6572" w:rsidRPr="004A0164">
        <w:rPr>
          <w:rStyle w:val="Funotenzeichen"/>
          <w:rFonts w:cs="Arial"/>
        </w:rPr>
        <w:footnoteReference w:id="2"/>
      </w:r>
      <w:r w:rsidRPr="004A0164">
        <w:rPr>
          <w:rFonts w:cs="Arial"/>
        </w:rPr>
        <w:t xml:space="preserve"> for DAX and MDAX instruments </w:t>
      </w:r>
      <w:r w:rsidR="008F0D5A" w:rsidRPr="004A0164">
        <w:rPr>
          <w:rFonts w:cs="Arial"/>
        </w:rPr>
        <w:t xml:space="preserve">between the </w:t>
      </w:r>
      <w:r w:rsidR="00281ED7" w:rsidRPr="004A0164">
        <w:rPr>
          <w:rFonts w:cs="Arial"/>
        </w:rPr>
        <w:t xml:space="preserve">last </w:t>
      </w:r>
      <w:r w:rsidR="008F0D5A" w:rsidRPr="004A0164">
        <w:rPr>
          <w:rFonts w:cs="Arial"/>
        </w:rPr>
        <w:t xml:space="preserve">quarter of </w:t>
      </w:r>
      <w:r w:rsidR="00281ED7" w:rsidRPr="004A0164">
        <w:rPr>
          <w:rFonts w:cs="Arial"/>
        </w:rPr>
        <w:t>201</w:t>
      </w:r>
      <w:r w:rsidR="00D1757B" w:rsidRPr="004A0164">
        <w:rPr>
          <w:rFonts w:cs="Arial"/>
        </w:rPr>
        <w:t>7</w:t>
      </w:r>
      <w:r w:rsidR="00281ED7" w:rsidRPr="004A0164">
        <w:rPr>
          <w:rFonts w:cs="Arial"/>
        </w:rPr>
        <w:t xml:space="preserve"> </w:t>
      </w:r>
      <w:r w:rsidR="008F0D5A" w:rsidRPr="004A0164">
        <w:rPr>
          <w:rFonts w:cs="Arial"/>
        </w:rPr>
        <w:t xml:space="preserve">and the </w:t>
      </w:r>
      <w:r w:rsidR="00281ED7" w:rsidRPr="004A0164">
        <w:rPr>
          <w:rFonts w:cs="Arial"/>
        </w:rPr>
        <w:t xml:space="preserve">first </w:t>
      </w:r>
      <w:r w:rsidR="008F0D5A" w:rsidRPr="004A0164">
        <w:rPr>
          <w:rFonts w:cs="Arial"/>
        </w:rPr>
        <w:t xml:space="preserve">quarter of 2018, </w:t>
      </w:r>
      <w:r w:rsidRPr="004A0164">
        <w:rPr>
          <w:rFonts w:cs="Arial"/>
        </w:rPr>
        <w:t xml:space="preserve">we observed that </w:t>
      </w:r>
      <w:r w:rsidR="00565D08" w:rsidRPr="004A0164">
        <w:rPr>
          <w:rFonts w:cs="Arial"/>
        </w:rPr>
        <w:t xml:space="preserve">implicit </w:t>
      </w:r>
      <w:r w:rsidRPr="004A0164">
        <w:rPr>
          <w:rFonts w:cs="Arial"/>
        </w:rPr>
        <w:t xml:space="preserve">costs have </w:t>
      </w:r>
      <w:r w:rsidR="00565D08" w:rsidRPr="004A0164">
        <w:rPr>
          <w:rFonts w:cs="Arial"/>
        </w:rPr>
        <w:t xml:space="preserve">moved mechanically </w:t>
      </w:r>
      <w:r w:rsidR="004207B8" w:rsidRPr="004A0164">
        <w:rPr>
          <w:rFonts w:cs="Arial"/>
        </w:rPr>
        <w:t xml:space="preserve">with </w:t>
      </w:r>
      <w:r w:rsidRPr="004A0164">
        <w:rPr>
          <w:rFonts w:cs="Arial"/>
        </w:rPr>
        <w:t>the tick size changes</w:t>
      </w:r>
      <w:r w:rsidR="00CD4261">
        <w:rPr>
          <w:rFonts w:cs="Arial"/>
        </w:rPr>
        <w:t xml:space="preserve"> (see Table 1)</w:t>
      </w:r>
      <w:r w:rsidRPr="004A0164">
        <w:rPr>
          <w:rFonts w:cs="Arial"/>
        </w:rPr>
        <w:t xml:space="preserve">. </w:t>
      </w:r>
      <w:r w:rsidR="004207B8" w:rsidRPr="004A0164">
        <w:rPr>
          <w:rFonts w:cs="Arial"/>
        </w:rPr>
        <w:t>The increase</w:t>
      </w:r>
      <w:r w:rsidR="005E58C4" w:rsidRPr="004A0164">
        <w:rPr>
          <w:rFonts w:cs="Arial"/>
        </w:rPr>
        <w:t xml:space="preserve"> in costs following larger tick sizes affect</w:t>
      </w:r>
      <w:r w:rsidR="009C2EFE" w:rsidRPr="004A0164">
        <w:rPr>
          <w:rFonts w:cs="Arial"/>
        </w:rPr>
        <w:t>s</w:t>
      </w:r>
      <w:r w:rsidR="005E58C4" w:rsidRPr="004A0164">
        <w:rPr>
          <w:rFonts w:cs="Arial"/>
        </w:rPr>
        <w:t xml:space="preserve"> order books at touch but </w:t>
      </w:r>
      <w:r w:rsidR="004207B8" w:rsidRPr="004A0164">
        <w:rPr>
          <w:rFonts w:cs="Arial"/>
        </w:rPr>
        <w:t xml:space="preserve">as well </w:t>
      </w:r>
      <w:r w:rsidR="005E58C4" w:rsidRPr="004A0164">
        <w:rPr>
          <w:rFonts w:cs="Arial"/>
        </w:rPr>
        <w:t xml:space="preserve">price limits deeper in the order book the same way that the reduction in implicit costs </w:t>
      </w:r>
      <w:r w:rsidR="00F55F8E" w:rsidRPr="004A0164">
        <w:rPr>
          <w:rFonts w:cs="Arial"/>
        </w:rPr>
        <w:t>permitted by smaller tick sizes also benefit</w:t>
      </w:r>
      <w:r w:rsidR="009C2EFE" w:rsidRPr="004A0164">
        <w:rPr>
          <w:rFonts w:cs="Arial"/>
        </w:rPr>
        <w:t>s</w:t>
      </w:r>
      <w:r w:rsidR="00F55F8E" w:rsidRPr="004A0164">
        <w:rPr>
          <w:rFonts w:cs="Arial"/>
        </w:rPr>
        <w:t xml:space="preserve"> large orders and reduces market impact.</w:t>
      </w:r>
    </w:p>
    <w:p w14:paraId="2ED3EB98" w14:textId="6F20752D" w:rsidR="00CD4261" w:rsidRPr="004A0164" w:rsidRDefault="00CD4261" w:rsidP="003F616B">
      <w:pPr>
        <w:spacing w:after="0"/>
        <w:jc w:val="both"/>
        <w:rPr>
          <w:rFonts w:cs="Arial"/>
        </w:rPr>
      </w:pPr>
      <w:r w:rsidRPr="003F616B">
        <w:rPr>
          <w:rFonts w:cs="Arial"/>
          <w:u w:val="single"/>
        </w:rPr>
        <w:t>Table 1</w:t>
      </w:r>
      <w:r>
        <w:rPr>
          <w:rFonts w:cs="Arial"/>
        </w:rPr>
        <w:t>: Variations of spreads in percentage at €25,000 and €10,000 for DAX and MDAX instruments on Xetra between Q4 2017 and Q1 2018.</w:t>
      </w:r>
    </w:p>
    <w:tbl>
      <w:tblPr>
        <w:tblStyle w:val="Gitternetztabelle1hell"/>
        <w:tblW w:w="7184" w:type="dxa"/>
        <w:tblInd w:w="788" w:type="dxa"/>
        <w:tblLook w:val="04A0" w:firstRow="1" w:lastRow="0" w:firstColumn="1" w:lastColumn="0" w:noHBand="0" w:noVBand="1"/>
      </w:tblPr>
      <w:tblGrid>
        <w:gridCol w:w="802"/>
        <w:gridCol w:w="963"/>
        <w:gridCol w:w="1206"/>
        <w:gridCol w:w="1022"/>
        <w:gridCol w:w="963"/>
        <w:gridCol w:w="1206"/>
        <w:gridCol w:w="1022"/>
      </w:tblGrid>
      <w:tr w:rsidR="00EB62BC" w:rsidRPr="004A0164" w14:paraId="4A1C3BB0" w14:textId="77777777" w:rsidTr="001554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 w:type="dxa"/>
            <w:vAlign w:val="center"/>
          </w:tcPr>
          <w:p w14:paraId="66FDDB26" w14:textId="534778A7" w:rsidR="00EB62BC" w:rsidRPr="004A0164" w:rsidRDefault="00EB62BC" w:rsidP="001554A9">
            <w:pPr>
              <w:jc w:val="both"/>
              <w:rPr>
                <w:rFonts w:cs="Arial"/>
              </w:rPr>
            </w:pPr>
          </w:p>
        </w:tc>
        <w:tc>
          <w:tcPr>
            <w:tcW w:w="3191" w:type="dxa"/>
            <w:gridSpan w:val="3"/>
            <w:vAlign w:val="center"/>
          </w:tcPr>
          <w:p w14:paraId="1A7DE5A1" w14:textId="6BE88881" w:rsidR="00EB62BC" w:rsidRPr="004A0164" w:rsidRDefault="00EB62BC" w:rsidP="00095658">
            <w:pPr>
              <w:jc w:val="center"/>
              <w:cnfStyle w:val="100000000000" w:firstRow="1" w:lastRow="0" w:firstColumn="0" w:lastColumn="0" w:oddVBand="0" w:evenVBand="0" w:oddHBand="0" w:evenHBand="0" w:firstRowFirstColumn="0" w:firstRowLastColumn="0" w:lastRowFirstColumn="0" w:lastRowLastColumn="0"/>
              <w:rPr>
                <w:rFonts w:cs="Arial"/>
              </w:rPr>
            </w:pPr>
            <w:r w:rsidRPr="004A0164">
              <w:rPr>
                <w:rFonts w:cs="Arial"/>
              </w:rPr>
              <w:t>Spread at 25K</w:t>
            </w:r>
          </w:p>
        </w:tc>
        <w:tc>
          <w:tcPr>
            <w:tcW w:w="3191" w:type="dxa"/>
            <w:gridSpan w:val="3"/>
            <w:vAlign w:val="center"/>
          </w:tcPr>
          <w:p w14:paraId="220F9036" w14:textId="7EE0B1A4" w:rsidR="00EB62BC" w:rsidRPr="004A0164" w:rsidRDefault="00EB62BC" w:rsidP="00095658">
            <w:pPr>
              <w:jc w:val="center"/>
              <w:cnfStyle w:val="100000000000" w:firstRow="1" w:lastRow="0" w:firstColumn="0" w:lastColumn="0" w:oddVBand="0" w:evenVBand="0" w:oddHBand="0" w:evenHBand="0" w:firstRowFirstColumn="0" w:firstRowLastColumn="0" w:lastRowFirstColumn="0" w:lastRowLastColumn="0"/>
              <w:rPr>
                <w:rFonts w:cs="Arial"/>
              </w:rPr>
            </w:pPr>
            <w:r w:rsidRPr="004A0164">
              <w:rPr>
                <w:rFonts w:cs="Arial"/>
              </w:rPr>
              <w:t>Spread at 100K</w:t>
            </w:r>
          </w:p>
        </w:tc>
      </w:tr>
      <w:tr w:rsidR="00EB62BC" w:rsidRPr="004A0164" w14:paraId="23C9DA55" w14:textId="77777777" w:rsidTr="001554A9">
        <w:tc>
          <w:tcPr>
            <w:cnfStyle w:val="001000000000" w:firstRow="0" w:lastRow="0" w:firstColumn="1" w:lastColumn="0" w:oddVBand="0" w:evenVBand="0" w:oddHBand="0" w:evenHBand="0" w:firstRowFirstColumn="0" w:firstRowLastColumn="0" w:lastRowFirstColumn="0" w:lastRowLastColumn="0"/>
            <w:tcW w:w="802" w:type="dxa"/>
            <w:vAlign w:val="center"/>
          </w:tcPr>
          <w:p w14:paraId="3EA379B5" w14:textId="77777777" w:rsidR="00EB62BC" w:rsidRPr="004A0164" w:rsidRDefault="00EB62BC" w:rsidP="00FB1109">
            <w:pPr>
              <w:jc w:val="both"/>
              <w:rPr>
                <w:rFonts w:cs="Arial"/>
              </w:rPr>
            </w:pPr>
          </w:p>
        </w:tc>
        <w:tc>
          <w:tcPr>
            <w:tcW w:w="963" w:type="dxa"/>
            <w:vAlign w:val="center"/>
          </w:tcPr>
          <w:p w14:paraId="725C5BAE" w14:textId="529BC73C" w:rsidR="00EB62BC" w:rsidRPr="004A0164" w:rsidRDefault="00EB62BC" w:rsidP="00FB1109">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Tick size increase</w:t>
            </w:r>
          </w:p>
        </w:tc>
        <w:tc>
          <w:tcPr>
            <w:tcW w:w="1206" w:type="dxa"/>
            <w:vAlign w:val="center"/>
          </w:tcPr>
          <w:p w14:paraId="5C3628DB" w14:textId="3D372F26" w:rsidR="00EB62BC" w:rsidRPr="004A0164" w:rsidRDefault="00EB62BC" w:rsidP="00FB1109">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Tick size unchanged</w:t>
            </w:r>
          </w:p>
        </w:tc>
        <w:tc>
          <w:tcPr>
            <w:tcW w:w="1022" w:type="dxa"/>
            <w:vAlign w:val="center"/>
          </w:tcPr>
          <w:p w14:paraId="24CA4322" w14:textId="0918A34B" w:rsidR="00EB62BC" w:rsidRPr="004A0164" w:rsidRDefault="00EB62BC" w:rsidP="00FB1109">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Tick size decrease</w:t>
            </w:r>
          </w:p>
        </w:tc>
        <w:tc>
          <w:tcPr>
            <w:tcW w:w="963" w:type="dxa"/>
            <w:vAlign w:val="center"/>
          </w:tcPr>
          <w:p w14:paraId="7E7E4691" w14:textId="469EB0A3" w:rsidR="00EB62BC" w:rsidRPr="004A0164" w:rsidRDefault="00EB62BC" w:rsidP="00FB1109">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Tick size increase</w:t>
            </w:r>
          </w:p>
        </w:tc>
        <w:tc>
          <w:tcPr>
            <w:tcW w:w="1206" w:type="dxa"/>
            <w:vAlign w:val="center"/>
          </w:tcPr>
          <w:p w14:paraId="4D661300" w14:textId="50EB3C4C" w:rsidR="00EB62BC" w:rsidRPr="004A0164" w:rsidRDefault="00EB62BC" w:rsidP="00FB1109">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Tick size unchanged</w:t>
            </w:r>
          </w:p>
        </w:tc>
        <w:tc>
          <w:tcPr>
            <w:tcW w:w="1022" w:type="dxa"/>
            <w:vAlign w:val="center"/>
          </w:tcPr>
          <w:p w14:paraId="5FF3B73F" w14:textId="6B751CB4" w:rsidR="00EB62BC" w:rsidRPr="004A0164" w:rsidRDefault="00EB62BC" w:rsidP="00FB1109">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Tick size decrease</w:t>
            </w:r>
          </w:p>
        </w:tc>
      </w:tr>
      <w:tr w:rsidR="00EB62BC" w:rsidRPr="004A0164" w14:paraId="3D0CD2B4" w14:textId="77777777" w:rsidTr="001554A9">
        <w:tc>
          <w:tcPr>
            <w:cnfStyle w:val="001000000000" w:firstRow="0" w:lastRow="0" w:firstColumn="1" w:lastColumn="0" w:oddVBand="0" w:evenVBand="0" w:oddHBand="0" w:evenHBand="0" w:firstRowFirstColumn="0" w:firstRowLastColumn="0" w:lastRowFirstColumn="0" w:lastRowLastColumn="0"/>
            <w:tcW w:w="802" w:type="dxa"/>
            <w:vAlign w:val="center"/>
          </w:tcPr>
          <w:p w14:paraId="382AA122" w14:textId="768C2966" w:rsidR="00EB62BC" w:rsidRPr="004A0164" w:rsidRDefault="00EB62BC" w:rsidP="00FB1109">
            <w:pPr>
              <w:jc w:val="both"/>
              <w:rPr>
                <w:rFonts w:cs="Arial"/>
              </w:rPr>
            </w:pPr>
            <w:r w:rsidRPr="004A0164">
              <w:rPr>
                <w:rFonts w:cs="Arial"/>
              </w:rPr>
              <w:t>DAX</w:t>
            </w:r>
          </w:p>
        </w:tc>
        <w:tc>
          <w:tcPr>
            <w:tcW w:w="963" w:type="dxa"/>
            <w:vAlign w:val="center"/>
          </w:tcPr>
          <w:p w14:paraId="255A5A87" w14:textId="0512FB97" w:rsidR="00EB62BC" w:rsidRPr="004A0164" w:rsidRDefault="00EB62BC" w:rsidP="00281ED7">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w:t>
            </w:r>
            <w:r w:rsidR="00281ED7" w:rsidRPr="004A0164">
              <w:rPr>
                <w:rFonts w:cs="Arial"/>
              </w:rPr>
              <w:t>40.8</w:t>
            </w:r>
            <w:r w:rsidR="00D1757B" w:rsidRPr="004A0164">
              <w:rPr>
                <w:rFonts w:cs="Arial"/>
              </w:rPr>
              <w:t>%</w:t>
            </w:r>
          </w:p>
        </w:tc>
        <w:tc>
          <w:tcPr>
            <w:tcW w:w="1206" w:type="dxa"/>
            <w:vAlign w:val="center"/>
          </w:tcPr>
          <w:p w14:paraId="164FB0C8" w14:textId="52AB79C0" w:rsidR="00EB62BC" w:rsidRPr="004A0164" w:rsidRDefault="00281ED7" w:rsidP="00FB1109">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+3.7</w:t>
            </w:r>
            <w:r w:rsidR="00D1757B" w:rsidRPr="004A0164">
              <w:rPr>
                <w:rFonts w:cs="Arial"/>
              </w:rPr>
              <w:t>%</w:t>
            </w:r>
          </w:p>
        </w:tc>
        <w:tc>
          <w:tcPr>
            <w:tcW w:w="1022" w:type="dxa"/>
            <w:vAlign w:val="center"/>
          </w:tcPr>
          <w:p w14:paraId="0A3DA3EE" w14:textId="6E34DA1E" w:rsidR="00EB62BC" w:rsidRPr="004A0164" w:rsidRDefault="00EB62BC" w:rsidP="00281ED7">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w:t>
            </w:r>
            <w:r w:rsidR="00281ED7" w:rsidRPr="004A0164">
              <w:rPr>
                <w:rFonts w:cs="Arial"/>
              </w:rPr>
              <w:t>25.9</w:t>
            </w:r>
            <w:r w:rsidR="00D1757B" w:rsidRPr="004A0164">
              <w:rPr>
                <w:rFonts w:cs="Arial"/>
              </w:rPr>
              <w:t>%</w:t>
            </w:r>
          </w:p>
        </w:tc>
        <w:tc>
          <w:tcPr>
            <w:tcW w:w="963" w:type="dxa"/>
            <w:vAlign w:val="center"/>
          </w:tcPr>
          <w:p w14:paraId="79C68892" w14:textId="4C530F66" w:rsidR="00EB62BC" w:rsidRPr="004A0164" w:rsidRDefault="00D1757B" w:rsidP="00FB1109">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+30.8%</w:t>
            </w:r>
          </w:p>
        </w:tc>
        <w:tc>
          <w:tcPr>
            <w:tcW w:w="1206" w:type="dxa"/>
            <w:vAlign w:val="center"/>
          </w:tcPr>
          <w:p w14:paraId="50724233" w14:textId="2EFFA9AB" w:rsidR="00EB62BC" w:rsidRPr="004A0164" w:rsidRDefault="00D1757B" w:rsidP="00FB1109">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-3.5%</w:t>
            </w:r>
          </w:p>
        </w:tc>
        <w:tc>
          <w:tcPr>
            <w:tcW w:w="1022" w:type="dxa"/>
            <w:vAlign w:val="center"/>
          </w:tcPr>
          <w:p w14:paraId="4A626D6D" w14:textId="16CB5249" w:rsidR="00EB62BC" w:rsidRPr="004A0164" w:rsidRDefault="00D1757B" w:rsidP="00FB1109">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-14.3%</w:t>
            </w:r>
          </w:p>
        </w:tc>
      </w:tr>
      <w:tr w:rsidR="00EB62BC" w:rsidRPr="004A0164" w14:paraId="742F8D00" w14:textId="77777777" w:rsidTr="001554A9">
        <w:tc>
          <w:tcPr>
            <w:cnfStyle w:val="001000000000" w:firstRow="0" w:lastRow="0" w:firstColumn="1" w:lastColumn="0" w:oddVBand="0" w:evenVBand="0" w:oddHBand="0" w:evenHBand="0" w:firstRowFirstColumn="0" w:firstRowLastColumn="0" w:lastRowFirstColumn="0" w:lastRowLastColumn="0"/>
            <w:tcW w:w="802" w:type="dxa"/>
            <w:vAlign w:val="center"/>
          </w:tcPr>
          <w:p w14:paraId="2FFC10A5" w14:textId="5D494325" w:rsidR="00EB62BC" w:rsidRPr="004A0164" w:rsidRDefault="00EB62BC" w:rsidP="00FB1109">
            <w:pPr>
              <w:jc w:val="both"/>
              <w:rPr>
                <w:rFonts w:cs="Arial"/>
              </w:rPr>
            </w:pPr>
            <w:r w:rsidRPr="004A0164">
              <w:rPr>
                <w:rFonts w:cs="Arial"/>
              </w:rPr>
              <w:t>MDAX</w:t>
            </w:r>
          </w:p>
        </w:tc>
        <w:tc>
          <w:tcPr>
            <w:tcW w:w="963" w:type="dxa"/>
            <w:vAlign w:val="center"/>
          </w:tcPr>
          <w:p w14:paraId="304072BF" w14:textId="79AB2DEA" w:rsidR="00EB62BC" w:rsidRPr="004A0164" w:rsidRDefault="00EB62BC" w:rsidP="00281ED7">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w:t>
            </w:r>
            <w:r w:rsidR="00281ED7" w:rsidRPr="004A0164">
              <w:rPr>
                <w:rFonts w:cs="Arial"/>
              </w:rPr>
              <w:t>27.6</w:t>
            </w:r>
            <w:r w:rsidR="00D1757B" w:rsidRPr="004A0164">
              <w:rPr>
                <w:rFonts w:cs="Arial"/>
              </w:rPr>
              <w:t>%</w:t>
            </w:r>
          </w:p>
        </w:tc>
        <w:tc>
          <w:tcPr>
            <w:tcW w:w="1206" w:type="dxa"/>
            <w:vAlign w:val="center"/>
          </w:tcPr>
          <w:p w14:paraId="337EDA3C" w14:textId="6434E695" w:rsidR="00EB62BC" w:rsidRPr="004A0164" w:rsidRDefault="00D1757B" w:rsidP="00D1757B">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+1.7%</w:t>
            </w:r>
          </w:p>
        </w:tc>
        <w:tc>
          <w:tcPr>
            <w:tcW w:w="1022" w:type="dxa"/>
            <w:vAlign w:val="center"/>
          </w:tcPr>
          <w:p w14:paraId="24870943" w14:textId="5EFC903C" w:rsidR="00EB62BC" w:rsidRPr="004A0164" w:rsidRDefault="00D1757B" w:rsidP="00D1757B">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w:t>
            </w:r>
          </w:p>
        </w:tc>
        <w:tc>
          <w:tcPr>
            <w:tcW w:w="963" w:type="dxa"/>
            <w:vAlign w:val="center"/>
          </w:tcPr>
          <w:p w14:paraId="6B7B2488" w14:textId="7DAB0279" w:rsidR="00EB62BC" w:rsidRPr="004A0164" w:rsidRDefault="00EB62BC" w:rsidP="00D1757B">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w:t>
            </w:r>
            <w:r w:rsidR="00D1757B" w:rsidRPr="004A0164">
              <w:rPr>
                <w:rFonts w:cs="Arial"/>
              </w:rPr>
              <w:t>26.2%</w:t>
            </w:r>
          </w:p>
        </w:tc>
        <w:tc>
          <w:tcPr>
            <w:tcW w:w="1206" w:type="dxa"/>
            <w:vAlign w:val="center"/>
          </w:tcPr>
          <w:p w14:paraId="6E356366" w14:textId="5C7EDC56" w:rsidR="00EB62BC" w:rsidRPr="004A0164" w:rsidRDefault="00D1757B" w:rsidP="00FB1109">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+2.0%</w:t>
            </w:r>
          </w:p>
        </w:tc>
        <w:tc>
          <w:tcPr>
            <w:tcW w:w="1022" w:type="dxa"/>
            <w:vAlign w:val="center"/>
          </w:tcPr>
          <w:p w14:paraId="113332C6" w14:textId="7F7AB648" w:rsidR="00EB62BC" w:rsidRPr="004A0164" w:rsidRDefault="00EB62BC" w:rsidP="00D1757B">
            <w:pPr>
              <w:jc w:val="both"/>
              <w:cnfStyle w:val="000000000000" w:firstRow="0" w:lastRow="0" w:firstColumn="0" w:lastColumn="0" w:oddVBand="0" w:evenVBand="0" w:oddHBand="0" w:evenHBand="0" w:firstRowFirstColumn="0" w:firstRowLastColumn="0" w:lastRowFirstColumn="0" w:lastRowLastColumn="0"/>
              <w:rPr>
                <w:rFonts w:cs="Arial"/>
              </w:rPr>
            </w:pPr>
            <w:r w:rsidRPr="004A0164">
              <w:rPr>
                <w:rFonts w:cs="Arial"/>
              </w:rPr>
              <w:t>-</w:t>
            </w:r>
          </w:p>
        </w:tc>
      </w:tr>
    </w:tbl>
    <w:p w14:paraId="70E73072" w14:textId="7C437384" w:rsidR="00D1757B" w:rsidRPr="003F616B" w:rsidRDefault="00D1757B" w:rsidP="001554A9">
      <w:pPr>
        <w:spacing w:line="240" w:lineRule="auto"/>
        <w:ind w:left="720"/>
        <w:jc w:val="both"/>
        <w:rPr>
          <w:rFonts w:cs="Arial"/>
          <w:sz w:val="18"/>
          <w:szCs w:val="18"/>
        </w:rPr>
      </w:pPr>
      <w:r w:rsidRPr="003F616B">
        <w:rPr>
          <w:rFonts w:cs="Arial"/>
          <w:sz w:val="18"/>
          <w:szCs w:val="18"/>
          <w:u w:val="single"/>
        </w:rPr>
        <w:t>Source</w:t>
      </w:r>
      <w:r w:rsidRPr="003F616B">
        <w:rPr>
          <w:rFonts w:cs="Arial"/>
          <w:sz w:val="18"/>
          <w:szCs w:val="18"/>
        </w:rPr>
        <w:t xml:space="preserve">: </w:t>
      </w:r>
      <w:r w:rsidRPr="003F616B">
        <w:rPr>
          <w:rFonts w:cs="Arial"/>
          <w:sz w:val="18"/>
          <w:szCs w:val="18"/>
          <w:u w:val="single"/>
        </w:rPr>
        <w:t xml:space="preserve">Deutsche </w:t>
      </w:r>
      <w:r w:rsidR="006B7B44" w:rsidRPr="003F616B">
        <w:rPr>
          <w:rFonts w:cs="Arial"/>
          <w:sz w:val="18"/>
          <w:szCs w:val="18"/>
          <w:u w:val="single"/>
        </w:rPr>
        <w:t>Börse</w:t>
      </w:r>
      <w:r w:rsidRPr="003F616B">
        <w:rPr>
          <w:rFonts w:cs="Arial"/>
          <w:sz w:val="18"/>
          <w:szCs w:val="18"/>
          <w:u w:val="single"/>
        </w:rPr>
        <w:t xml:space="preserve"> Cash Market. The </w:t>
      </w:r>
      <w:r w:rsidR="00D07826" w:rsidRPr="003F616B">
        <w:rPr>
          <w:rFonts w:cs="Arial"/>
          <w:sz w:val="18"/>
          <w:szCs w:val="18"/>
          <w:u w:val="single"/>
        </w:rPr>
        <w:t>table</w:t>
      </w:r>
      <w:r w:rsidRPr="003F616B">
        <w:rPr>
          <w:rFonts w:cs="Arial"/>
          <w:sz w:val="18"/>
          <w:szCs w:val="18"/>
          <w:u w:val="single"/>
        </w:rPr>
        <w:t xml:space="preserve"> shall </w:t>
      </w:r>
      <w:r w:rsidR="00D07826" w:rsidRPr="003F616B">
        <w:rPr>
          <w:rFonts w:cs="Arial"/>
          <w:sz w:val="18"/>
          <w:szCs w:val="18"/>
          <w:u w:val="single"/>
        </w:rPr>
        <w:t>read</w:t>
      </w:r>
      <w:r w:rsidRPr="003F616B">
        <w:rPr>
          <w:rFonts w:cs="Arial"/>
          <w:sz w:val="18"/>
          <w:szCs w:val="18"/>
          <w:u w:val="single"/>
        </w:rPr>
        <w:t xml:space="preserve">: for DAX instruments with </w:t>
      </w:r>
      <w:r w:rsidR="00D07826" w:rsidRPr="003F616B">
        <w:rPr>
          <w:rFonts w:cs="Arial"/>
          <w:sz w:val="18"/>
          <w:szCs w:val="18"/>
          <w:u w:val="single"/>
        </w:rPr>
        <w:t xml:space="preserve">a </w:t>
      </w:r>
      <w:r w:rsidRPr="003F616B">
        <w:rPr>
          <w:rFonts w:cs="Arial"/>
          <w:sz w:val="18"/>
          <w:szCs w:val="18"/>
          <w:u w:val="single"/>
        </w:rPr>
        <w:t xml:space="preserve">tick size increase in January 2018 </w:t>
      </w:r>
      <w:r w:rsidR="00D07826" w:rsidRPr="003F616B">
        <w:rPr>
          <w:rFonts w:cs="Arial"/>
          <w:sz w:val="18"/>
          <w:szCs w:val="18"/>
          <w:u w:val="single"/>
        </w:rPr>
        <w:t>the costs of a roundtrip for €25,000 increased on average by 40.8% between Q4 2017 and Q1 2018.</w:t>
      </w:r>
      <w:r w:rsidR="007B3C52">
        <w:rPr>
          <w:rFonts w:cs="Arial"/>
          <w:sz w:val="18"/>
          <w:szCs w:val="18"/>
          <w:u w:val="single"/>
        </w:rPr>
        <w:t xml:space="preserve"> Results are not provided for the one MDAX instrument with a tick size decrease.</w:t>
      </w:r>
    </w:p>
    <w:p w14:paraId="0655C576" w14:textId="7AADA420" w:rsidR="00F55F8E" w:rsidRPr="004A0164" w:rsidRDefault="00D07826" w:rsidP="00D07826">
      <w:pPr>
        <w:jc w:val="both"/>
        <w:rPr>
          <w:rFonts w:cs="Arial"/>
        </w:rPr>
      </w:pPr>
      <w:r w:rsidRPr="004A0164">
        <w:rPr>
          <w:rFonts w:cs="Arial"/>
        </w:rPr>
        <w:t>In the first quarter of 2018, implicit costs for buying or selling €25,000</w:t>
      </w:r>
      <w:r w:rsidRPr="00110E7C">
        <w:rPr>
          <w:rFonts w:cs="Arial"/>
        </w:rPr>
        <w:t xml:space="preserve"> on DAX instruments increase</w:t>
      </w:r>
      <w:r w:rsidRPr="00A27806">
        <w:rPr>
          <w:rFonts w:cs="Arial"/>
        </w:rPr>
        <w:t>d</w:t>
      </w:r>
      <w:r w:rsidRPr="00870D62">
        <w:rPr>
          <w:rFonts w:cs="Arial"/>
        </w:rPr>
        <w:t xml:space="preserve"> by 41% on Xetra</w:t>
      </w:r>
      <w:r w:rsidRPr="004A0164">
        <w:rPr>
          <w:rFonts w:cs="Arial"/>
        </w:rPr>
        <w:t xml:space="preserve"> for those instruments seeing their tick size widening. The sharp increase in costs is still observed for larger trades (€100,000). In comparison, DAX instruments with a reduction </w:t>
      </w:r>
      <w:r w:rsidR="00CC6572">
        <w:rPr>
          <w:rFonts w:cs="Arial"/>
        </w:rPr>
        <w:t>of</w:t>
      </w:r>
      <w:r w:rsidR="00CC6572" w:rsidRPr="004A0164">
        <w:rPr>
          <w:rFonts w:cs="Arial"/>
        </w:rPr>
        <w:t xml:space="preserve"> </w:t>
      </w:r>
      <w:r w:rsidRPr="004A0164">
        <w:rPr>
          <w:rFonts w:cs="Arial"/>
        </w:rPr>
        <w:t>their</w:t>
      </w:r>
      <w:r w:rsidR="00CC6572">
        <w:rPr>
          <w:rFonts w:cs="Arial"/>
        </w:rPr>
        <w:t xml:space="preserve"> tick</w:t>
      </w:r>
      <w:r w:rsidRPr="004A0164">
        <w:rPr>
          <w:rFonts w:cs="Arial"/>
        </w:rPr>
        <w:t xml:space="preserve"> size saw implicit costs reduced by 26%. For less liquid stocks like MDAX instruments, we could </w:t>
      </w:r>
      <w:r w:rsidR="00C76ED9" w:rsidRPr="004A0164">
        <w:rPr>
          <w:rFonts w:cs="Arial"/>
        </w:rPr>
        <w:t>only</w:t>
      </w:r>
      <w:r w:rsidRPr="004A0164">
        <w:rPr>
          <w:rFonts w:cs="Arial"/>
        </w:rPr>
        <w:t xml:space="preserve"> observe the increase in implicit costs </w:t>
      </w:r>
      <w:r w:rsidR="00C76ED9" w:rsidRPr="004A0164">
        <w:rPr>
          <w:rFonts w:cs="Arial"/>
        </w:rPr>
        <w:t>(of 28% for a €25,000 transaction and of 26% for a €100,000 transaction).</w:t>
      </w:r>
      <w:r w:rsidR="008D76B4" w:rsidRPr="004A0164">
        <w:rPr>
          <w:rFonts w:cs="Arial"/>
        </w:rPr>
        <w:t xml:space="preserve"> Other things being equal, the new tick size regime appears to have triggered an overall increase in implicit costs for shares, which is a negative result for market participants and the allocation of resources in the economy in general.</w:t>
      </w:r>
    </w:p>
    <w:p w14:paraId="7EFCEFFC" w14:textId="4E72D409" w:rsidR="00343422" w:rsidRPr="004A0164" w:rsidRDefault="00B77F51" w:rsidP="00FB1109">
      <w:pPr>
        <w:jc w:val="both"/>
        <w:rPr>
          <w:rFonts w:cs="Arial"/>
        </w:rPr>
      </w:pPr>
      <w:r w:rsidRPr="004A0164">
        <w:rPr>
          <w:rFonts w:cs="Arial"/>
        </w:rPr>
        <w:t>We would also like to mention that</w:t>
      </w:r>
      <w:r w:rsidR="00C9711A" w:rsidRPr="004A0164">
        <w:rPr>
          <w:rFonts w:cs="Arial"/>
        </w:rPr>
        <w:t xml:space="preserve"> </w:t>
      </w:r>
      <w:r w:rsidR="00F23FD2" w:rsidRPr="004A0164">
        <w:rPr>
          <w:rFonts w:cs="Arial"/>
        </w:rPr>
        <w:t>t</w:t>
      </w:r>
      <w:r w:rsidR="00343422" w:rsidRPr="004A0164">
        <w:rPr>
          <w:rFonts w:cs="Arial"/>
        </w:rPr>
        <w:t xml:space="preserve">he AMF argues that the higher executions costs occurring for orders between 10k and 100k EUR are </w:t>
      </w:r>
      <w:r w:rsidR="00A22F70">
        <w:rPr>
          <w:rFonts w:cs="Arial"/>
        </w:rPr>
        <w:t>borne</w:t>
      </w:r>
      <w:r w:rsidR="00A22F70" w:rsidRPr="004A0164">
        <w:rPr>
          <w:rFonts w:cs="Arial"/>
        </w:rPr>
        <w:t xml:space="preserve"> </w:t>
      </w:r>
      <w:r w:rsidR="00343422" w:rsidRPr="004A0164">
        <w:rPr>
          <w:rFonts w:cs="Arial"/>
        </w:rPr>
        <w:t xml:space="preserve">by </w:t>
      </w:r>
      <w:r w:rsidR="00A22F70">
        <w:rPr>
          <w:rFonts w:cs="Arial"/>
        </w:rPr>
        <w:t>high frequency trader</w:t>
      </w:r>
      <w:r w:rsidR="00A22F70" w:rsidRPr="004A0164">
        <w:rPr>
          <w:rFonts w:cs="Arial"/>
        </w:rPr>
        <w:t xml:space="preserve">s </w:t>
      </w:r>
      <w:r w:rsidR="00343422" w:rsidRPr="004A0164">
        <w:rPr>
          <w:rFonts w:cs="Arial"/>
        </w:rPr>
        <w:t>that execute small orders, while large institutional investors benefit from the less granular tick size. This is only true when comparing relative execution costs between small and large orders – execution costs increase relatively more for small orders than for large orders. The absolute costs, however, increase for both, small and large order executions</w:t>
      </w:r>
      <w:r w:rsidR="002B0476" w:rsidRPr="004A0164">
        <w:rPr>
          <w:rFonts w:cs="Arial"/>
        </w:rPr>
        <w:t>.</w:t>
      </w:r>
      <w:r w:rsidR="00343422" w:rsidRPr="004A0164">
        <w:rPr>
          <w:rFonts w:cs="Arial"/>
        </w:rPr>
        <w:t xml:space="preserve"> </w:t>
      </w:r>
      <w:r w:rsidR="009C2EFE" w:rsidRPr="004A0164">
        <w:rPr>
          <w:rFonts w:cs="Arial"/>
        </w:rPr>
        <w:t>Additionally</w:t>
      </w:r>
      <w:r w:rsidR="00343422" w:rsidRPr="004A0164">
        <w:rPr>
          <w:rFonts w:cs="Arial"/>
        </w:rPr>
        <w:t>, as small orders are affected in particular, we can argue that the less granular tick sizes under the new regime lead to higher execution costs for retail investors.</w:t>
      </w:r>
    </w:p>
    <w:p w14:paraId="124F997F" w14:textId="24C4B724" w:rsidR="009C2EFE" w:rsidRPr="004A0164" w:rsidRDefault="009C2EFE" w:rsidP="00392BC7">
      <w:pPr>
        <w:rPr>
          <w:rFonts w:cs="Arial"/>
          <w:b/>
        </w:rPr>
      </w:pPr>
      <w:r w:rsidRPr="004A0164">
        <w:rPr>
          <w:rFonts w:cs="Arial"/>
          <w:b/>
        </w:rPr>
        <w:lastRenderedPageBreak/>
        <w:t>The new tick size regime applied to ETFs</w:t>
      </w:r>
    </w:p>
    <w:p w14:paraId="25E65544" w14:textId="7C3BE6E7" w:rsidR="00392BC7" w:rsidRPr="004A0164" w:rsidRDefault="00392BC7" w:rsidP="00FB1109">
      <w:pPr>
        <w:jc w:val="both"/>
        <w:rPr>
          <w:rFonts w:cs="Arial"/>
        </w:rPr>
      </w:pPr>
      <w:r w:rsidRPr="004A0164">
        <w:rPr>
          <w:rFonts w:cs="Arial"/>
        </w:rPr>
        <w:t xml:space="preserve">Similar to our findings for shares, we also observed a significant </w:t>
      </w:r>
      <w:r w:rsidR="00F55F8E" w:rsidRPr="004A0164">
        <w:rPr>
          <w:rFonts w:cs="Arial"/>
        </w:rPr>
        <w:t>increase in the average spread</w:t>
      </w:r>
      <w:r w:rsidRPr="004A0164">
        <w:rPr>
          <w:rFonts w:cs="Arial"/>
        </w:rPr>
        <w:t xml:space="preserve"> for some of the most</w:t>
      </w:r>
      <w:r w:rsidR="00F55F8E" w:rsidRPr="004A0164">
        <w:rPr>
          <w:rFonts w:cs="Arial"/>
        </w:rPr>
        <w:t xml:space="preserve"> liquid ETFs traded on Xetra</w:t>
      </w:r>
      <w:r w:rsidRPr="004A0164">
        <w:rPr>
          <w:rFonts w:cs="Arial"/>
        </w:rPr>
        <w:t xml:space="preserve">. Specifically, </w:t>
      </w:r>
      <w:r w:rsidRPr="004A0164">
        <w:rPr>
          <w:rFonts w:cs="Arial"/>
          <w:b/>
        </w:rPr>
        <w:t>for the 10 most actively traded E</w:t>
      </w:r>
      <w:r w:rsidR="00F55F8E" w:rsidRPr="004A0164">
        <w:rPr>
          <w:rFonts w:cs="Arial"/>
          <w:b/>
        </w:rPr>
        <w:t>TFs where the</w:t>
      </w:r>
      <w:r w:rsidRPr="004A0164">
        <w:rPr>
          <w:rFonts w:cs="Arial"/>
          <w:b/>
        </w:rPr>
        <w:t xml:space="preserve"> tick size </w:t>
      </w:r>
      <w:r w:rsidR="00F55F8E" w:rsidRPr="004A0164">
        <w:rPr>
          <w:rFonts w:cs="Arial"/>
          <w:b/>
        </w:rPr>
        <w:t xml:space="preserve">increased </w:t>
      </w:r>
      <w:r w:rsidRPr="004A0164">
        <w:rPr>
          <w:rFonts w:cs="Arial"/>
          <w:b/>
        </w:rPr>
        <w:t>as a consequence of the introduction of the tick size regime, the ave</w:t>
      </w:r>
      <w:r w:rsidR="00F55F8E" w:rsidRPr="004A0164">
        <w:rPr>
          <w:rFonts w:cs="Arial"/>
          <w:b/>
        </w:rPr>
        <w:t xml:space="preserve">rage spread for an order of </w:t>
      </w:r>
      <w:r w:rsidR="005116A6">
        <w:rPr>
          <w:rFonts w:cs="Arial"/>
          <w:b/>
        </w:rPr>
        <w:t>€</w:t>
      </w:r>
      <w:r w:rsidR="00F55F8E" w:rsidRPr="004A0164">
        <w:rPr>
          <w:rFonts w:cs="Arial"/>
          <w:b/>
        </w:rPr>
        <w:t>100K</w:t>
      </w:r>
      <w:r w:rsidRPr="004A0164">
        <w:rPr>
          <w:rFonts w:cs="Arial"/>
          <w:b/>
        </w:rPr>
        <w:t xml:space="preserve"> </w:t>
      </w:r>
      <w:r w:rsidR="00F55F8E" w:rsidRPr="004A0164">
        <w:rPr>
          <w:rFonts w:cs="Arial"/>
          <w:b/>
        </w:rPr>
        <w:t>rose</w:t>
      </w:r>
      <w:r w:rsidRPr="004A0164">
        <w:rPr>
          <w:rFonts w:cs="Arial"/>
          <w:b/>
        </w:rPr>
        <w:t xml:space="preserve"> by 41.0% from Q4</w:t>
      </w:r>
      <w:r w:rsidR="005116A6">
        <w:rPr>
          <w:rFonts w:cs="Arial"/>
          <w:b/>
        </w:rPr>
        <w:t xml:space="preserve"> </w:t>
      </w:r>
      <w:r w:rsidRPr="004A0164">
        <w:rPr>
          <w:rFonts w:cs="Arial"/>
          <w:b/>
        </w:rPr>
        <w:t>2017 to Q1</w:t>
      </w:r>
      <w:r w:rsidR="005116A6">
        <w:rPr>
          <w:rFonts w:cs="Arial"/>
          <w:b/>
        </w:rPr>
        <w:t xml:space="preserve"> </w:t>
      </w:r>
      <w:r w:rsidRPr="004A0164">
        <w:rPr>
          <w:rFonts w:cs="Arial"/>
          <w:b/>
        </w:rPr>
        <w:t>2018</w:t>
      </w:r>
      <w:r w:rsidRPr="004A0164">
        <w:rPr>
          <w:rFonts w:cs="Arial"/>
        </w:rPr>
        <w:t xml:space="preserve">, with a minimum spread increase of 13.4% and a maximum spread </w:t>
      </w:r>
      <w:r w:rsidR="00F55F8E" w:rsidRPr="004A0164">
        <w:rPr>
          <w:rFonts w:cs="Arial"/>
        </w:rPr>
        <w:t>rise</w:t>
      </w:r>
      <w:r w:rsidRPr="004A0164">
        <w:rPr>
          <w:rFonts w:cs="Arial"/>
        </w:rPr>
        <w:t xml:space="preserve"> of 66.6%. The instrument range affected by this increase is primarily composed of ETFs tracking the DAX index, including Europe’s most actively traded ETF.</w:t>
      </w:r>
    </w:p>
    <w:p w14:paraId="1061EB2C" w14:textId="2AF50B57" w:rsidR="00392BC7" w:rsidRPr="004A0164" w:rsidRDefault="00392BC7" w:rsidP="00FB1109">
      <w:pPr>
        <w:jc w:val="both"/>
        <w:rPr>
          <w:rFonts w:cs="Arial"/>
        </w:rPr>
      </w:pPr>
      <w:r w:rsidRPr="004A0164">
        <w:rPr>
          <w:rFonts w:cs="Arial"/>
        </w:rPr>
        <w:t>On the contrary, for the 10 most actively traded ETFs where we did not have to increase the tick size as a consequence of the introduction of the tick size regime, the ave</w:t>
      </w:r>
      <w:r w:rsidR="00F55F8E" w:rsidRPr="004A0164">
        <w:rPr>
          <w:rFonts w:cs="Arial"/>
        </w:rPr>
        <w:t xml:space="preserve">rage spread for an order of </w:t>
      </w:r>
      <w:r w:rsidR="005116A6">
        <w:rPr>
          <w:rFonts w:cs="Arial"/>
        </w:rPr>
        <w:t>€</w:t>
      </w:r>
      <w:r w:rsidR="00F55F8E" w:rsidRPr="004A0164">
        <w:rPr>
          <w:rFonts w:cs="Arial"/>
        </w:rPr>
        <w:t>100K</w:t>
      </w:r>
      <w:r w:rsidRPr="004A0164">
        <w:rPr>
          <w:rFonts w:cs="Arial"/>
        </w:rPr>
        <w:t xml:space="preserve"> decreased by 12.9% from Q4</w:t>
      </w:r>
      <w:r w:rsidR="005116A6">
        <w:rPr>
          <w:rFonts w:cs="Arial"/>
        </w:rPr>
        <w:t xml:space="preserve"> </w:t>
      </w:r>
      <w:r w:rsidRPr="004A0164">
        <w:rPr>
          <w:rFonts w:cs="Arial"/>
        </w:rPr>
        <w:t>2017 to Q1</w:t>
      </w:r>
      <w:r w:rsidR="005116A6">
        <w:rPr>
          <w:rFonts w:cs="Arial"/>
        </w:rPr>
        <w:t xml:space="preserve"> </w:t>
      </w:r>
      <w:r w:rsidRPr="004A0164">
        <w:rPr>
          <w:rFonts w:cs="Arial"/>
        </w:rPr>
        <w:t xml:space="preserve">2018 on our venue. For 9 out of those 10 ETFs, average spreads </w:t>
      </w:r>
      <w:r w:rsidR="00F55F8E" w:rsidRPr="004A0164">
        <w:rPr>
          <w:rFonts w:cs="Arial"/>
        </w:rPr>
        <w:t>reduced</w:t>
      </w:r>
      <w:r w:rsidRPr="004A0164">
        <w:rPr>
          <w:rFonts w:cs="Arial"/>
        </w:rPr>
        <w:t xml:space="preserve"> with a maximum spread decrease of 25.4% and a minimum </w:t>
      </w:r>
      <w:r w:rsidR="00F55F8E" w:rsidRPr="004A0164">
        <w:rPr>
          <w:rFonts w:cs="Arial"/>
        </w:rPr>
        <w:t>spread decrease of 5.4%. In</w:t>
      </w:r>
      <w:r w:rsidRPr="004A0164">
        <w:rPr>
          <w:rFonts w:cs="Arial"/>
        </w:rPr>
        <w:t xml:space="preserve"> one case</w:t>
      </w:r>
      <w:r w:rsidR="00F55F8E" w:rsidRPr="004A0164">
        <w:rPr>
          <w:rFonts w:cs="Arial"/>
        </w:rPr>
        <w:t xml:space="preserve"> only</w:t>
      </w:r>
      <w:r w:rsidRPr="004A0164">
        <w:rPr>
          <w:rFonts w:cs="Arial"/>
        </w:rPr>
        <w:t xml:space="preserve"> the average spread actually increased by 2.9%. This instrument group is primarily composed of ETFs tracking European indices, such as EURO STOXX 50 and STOXX Europe 600.</w:t>
      </w:r>
    </w:p>
    <w:p w14:paraId="1787A5D1" w14:textId="4AF94194" w:rsidR="00392BC7" w:rsidRPr="004A0164" w:rsidRDefault="00392BC7" w:rsidP="00FB1109">
      <w:pPr>
        <w:jc w:val="both"/>
        <w:rPr>
          <w:rFonts w:cs="Arial"/>
        </w:rPr>
      </w:pPr>
      <w:r w:rsidRPr="004A0164">
        <w:rPr>
          <w:rFonts w:cs="Arial"/>
        </w:rPr>
        <w:t xml:space="preserve">From our perspective, </w:t>
      </w:r>
      <w:r w:rsidRPr="004A0164">
        <w:rPr>
          <w:rFonts w:cs="Arial"/>
          <w:b/>
        </w:rPr>
        <w:t xml:space="preserve">these findings clearly demonstrate the negative impact of </w:t>
      </w:r>
      <w:r w:rsidR="00F55F8E" w:rsidRPr="004A0164">
        <w:rPr>
          <w:rFonts w:cs="Arial"/>
          <w:b/>
        </w:rPr>
        <w:t xml:space="preserve">artificial </w:t>
      </w:r>
      <w:r w:rsidRPr="004A0164">
        <w:rPr>
          <w:rFonts w:cs="Arial"/>
          <w:b/>
        </w:rPr>
        <w:t>tick size increases in highly liquid ETFs where spread formation is constrained as a result of the tick size increase</w:t>
      </w:r>
      <w:r w:rsidRPr="004A0164">
        <w:rPr>
          <w:rFonts w:cs="Arial"/>
        </w:rPr>
        <w:t xml:space="preserve">. Consequently, investors have to bear a significant increase in average implicit transaction costs of up to 66.6%, limiting the attractiveness of ETFs compared to alternative financial instruments providing exposure to the same underlying, including </w:t>
      </w:r>
      <w:r w:rsidR="00FB1109" w:rsidRPr="004A0164">
        <w:rPr>
          <w:rFonts w:cs="Arial"/>
        </w:rPr>
        <w:t>derivatives, which</w:t>
      </w:r>
      <w:r w:rsidRPr="004A0164">
        <w:rPr>
          <w:rFonts w:cs="Arial"/>
        </w:rPr>
        <w:t xml:space="preserve"> are not regulated by a mandatory tick size regime.</w:t>
      </w:r>
    </w:p>
    <w:p w14:paraId="49F10A8F" w14:textId="49B186BC" w:rsidR="00392BC7" w:rsidRPr="004A0164" w:rsidRDefault="00392BC7" w:rsidP="00FB1109">
      <w:pPr>
        <w:jc w:val="both"/>
        <w:rPr>
          <w:rFonts w:cs="Arial"/>
        </w:rPr>
      </w:pPr>
      <w:r w:rsidRPr="004A0164">
        <w:rPr>
          <w:rFonts w:cs="Arial"/>
        </w:rPr>
        <w:t>Based on these findings, we would like to reiterate the need to apply the tick size regime consistently and as soon as possible to all possible execution venues. As demonstrated by the severity of the spread increase observed, Systematic Internalisers are currently in a position to easily provide a significant price improvement over average ETF spreads on regulated markets, putting regulated markets at a competitive disadvantage and creating an unlevel playing field between execution venues. We therefore urge ESMA to ensure that Systematic Internalisers are</w:t>
      </w:r>
      <w:r w:rsidR="005116A6" w:rsidRPr="004A0164">
        <w:rPr>
          <w:rFonts w:cs="Arial"/>
        </w:rPr>
        <w:t xml:space="preserve"> fully captured by the tick size regime irrespective of the order size</w:t>
      </w:r>
      <w:r w:rsidR="005116A6">
        <w:rPr>
          <w:rFonts w:cs="Arial"/>
        </w:rPr>
        <w:t xml:space="preserve">, and </w:t>
      </w:r>
      <w:r w:rsidRPr="004A0164">
        <w:rPr>
          <w:rFonts w:cs="Arial"/>
        </w:rPr>
        <w:t>not only required to comply with the tick size regime for orders up to standard market size.</w:t>
      </w:r>
    </w:p>
    <w:p w14:paraId="3F2EDC4D" w14:textId="77777777" w:rsidR="00392BC7" w:rsidRPr="004A0164" w:rsidRDefault="00392BC7" w:rsidP="00FB1109">
      <w:pPr>
        <w:jc w:val="both"/>
        <w:rPr>
          <w:rFonts w:cs="Arial"/>
        </w:rPr>
      </w:pPr>
      <w:r w:rsidRPr="004A0164">
        <w:rPr>
          <w:rFonts w:cs="Arial"/>
        </w:rPr>
        <w:t xml:space="preserve">As a possible solution to better reflect the liquidity profile of highly liquid ETFs, </w:t>
      </w:r>
      <w:r w:rsidRPr="004A0164">
        <w:rPr>
          <w:rFonts w:cs="Arial"/>
          <w:b/>
        </w:rPr>
        <w:t>we would like to propose the introduction of an additional Liquidity Band (e.g. Liquidity Band 7) which follows the same structural logic of Liquidity Bands 1 to 6</w:t>
      </w:r>
      <w:r w:rsidRPr="004A0164">
        <w:rPr>
          <w:rFonts w:cs="Arial"/>
        </w:rPr>
        <w:t xml:space="preserve">, i.e. the tick size of each price level in Liquidity Band 7 is reduced by one price step compared to the respective price </w:t>
      </w:r>
      <w:r w:rsidRPr="004A0164">
        <w:rPr>
          <w:rFonts w:cs="Arial"/>
        </w:rPr>
        <w:lastRenderedPageBreak/>
        <w:t>level of Liquidity Band 6. We understand that defining an allocation process and criteria to identify ETFs eligible for allocation to Liquidity Band 7 will require further consideration. To that end, we would be happy to contribute to a working group developing a more detailed proposal for further consultation on this issue.</w:t>
      </w:r>
    </w:p>
    <w:p w14:paraId="1F428465" w14:textId="77777777" w:rsidR="0035550B" w:rsidRPr="00110E7C" w:rsidRDefault="0035550B" w:rsidP="0035550B">
      <w:pPr>
        <w:rPr>
          <w:rFonts w:cs="Arial"/>
        </w:rPr>
      </w:pPr>
      <w:r w:rsidRPr="004A0164">
        <w:rPr>
          <w:rFonts w:cs="Arial"/>
        </w:rPr>
        <w:t>&lt;ESMA_QUESTION_ACDR_3&gt;</w:t>
      </w:r>
    </w:p>
    <w:p w14:paraId="55DDDA80" w14:textId="77777777" w:rsidR="0035550B" w:rsidRPr="00110E7C" w:rsidRDefault="0035550B" w:rsidP="0035550B">
      <w:pPr>
        <w:rPr>
          <w:rFonts w:cs="Arial"/>
        </w:rPr>
      </w:pPr>
    </w:p>
    <w:p w14:paraId="3B14491A" w14:textId="77777777" w:rsidR="0035550B" w:rsidRPr="00110E7C" w:rsidRDefault="0035550B" w:rsidP="00E26CBF">
      <w:pPr>
        <w:pStyle w:val="Questionstyle"/>
        <w:rPr>
          <w:szCs w:val="22"/>
        </w:rPr>
      </w:pPr>
      <w:r w:rsidRPr="00110E7C">
        <w:rPr>
          <w:szCs w:val="22"/>
        </w:rPr>
        <w:t>: Do you consider that ESMA should introduce some clarifications regarding ETFs within the scope of the mandatory tick size regime? If yes, please explain which ones.</w:t>
      </w:r>
    </w:p>
    <w:p w14:paraId="144533CE" w14:textId="77777777" w:rsidR="0035550B" w:rsidRPr="00870D62" w:rsidRDefault="0035550B" w:rsidP="0035550B">
      <w:pPr>
        <w:rPr>
          <w:rFonts w:cs="Arial"/>
        </w:rPr>
      </w:pPr>
      <w:r w:rsidRPr="00870D62">
        <w:rPr>
          <w:rFonts w:cs="Arial"/>
        </w:rPr>
        <w:t>&lt;ESMA_QUESTION_ACDR_4&gt;</w:t>
      </w:r>
    </w:p>
    <w:p w14:paraId="3DE112A5" w14:textId="15C0CA78" w:rsidR="0075213C" w:rsidRPr="00A8300E" w:rsidRDefault="0075213C" w:rsidP="00240F54">
      <w:pPr>
        <w:pStyle w:val="Default"/>
        <w:spacing w:line="276" w:lineRule="auto"/>
        <w:jc w:val="both"/>
        <w:rPr>
          <w:rFonts w:asciiTheme="minorHAnsi" w:hAnsiTheme="minorHAnsi"/>
          <w:sz w:val="22"/>
          <w:szCs w:val="22"/>
        </w:rPr>
      </w:pPr>
      <w:r w:rsidRPr="00A8300E">
        <w:rPr>
          <w:rFonts w:asciiTheme="minorHAnsi" w:hAnsiTheme="minorHAnsi"/>
          <w:sz w:val="22"/>
          <w:szCs w:val="22"/>
        </w:rPr>
        <w:t xml:space="preserve">Deutsche </w:t>
      </w:r>
      <w:r w:rsidR="006B7B44">
        <w:rPr>
          <w:rFonts w:asciiTheme="minorHAnsi" w:hAnsiTheme="minorHAnsi"/>
          <w:sz w:val="22"/>
          <w:szCs w:val="22"/>
        </w:rPr>
        <w:t>Börse</w:t>
      </w:r>
      <w:r w:rsidRPr="00A8300E">
        <w:rPr>
          <w:rFonts w:asciiTheme="minorHAnsi" w:hAnsiTheme="minorHAnsi"/>
          <w:sz w:val="22"/>
          <w:szCs w:val="22"/>
        </w:rPr>
        <w:t xml:space="preserve"> </w:t>
      </w:r>
      <w:r w:rsidR="009C2EFE" w:rsidRPr="00A8300E">
        <w:rPr>
          <w:rFonts w:asciiTheme="minorHAnsi" w:hAnsiTheme="minorHAnsi"/>
          <w:sz w:val="22"/>
          <w:szCs w:val="22"/>
        </w:rPr>
        <w:t>Group</w:t>
      </w:r>
      <w:r w:rsidRPr="00A8300E">
        <w:rPr>
          <w:rFonts w:asciiTheme="minorHAnsi" w:hAnsiTheme="minorHAnsi"/>
          <w:sz w:val="22"/>
          <w:szCs w:val="22"/>
        </w:rPr>
        <w:t xml:space="preserve"> considers that a procedure to harmonise the identification process of ETFs falling under the tick size regime across all European trading venues is necessary</w:t>
      </w:r>
      <w:r w:rsidR="00105C82" w:rsidRPr="00A8300E">
        <w:rPr>
          <w:rFonts w:asciiTheme="minorHAnsi" w:hAnsiTheme="minorHAnsi"/>
          <w:sz w:val="22"/>
          <w:szCs w:val="22"/>
        </w:rPr>
        <w:t xml:space="preserve"> and does welcome the opportunity to comment by ESMA. In this context, we would like to recall that previous </w:t>
      </w:r>
      <w:r w:rsidRPr="00A8300E">
        <w:rPr>
          <w:rFonts w:asciiTheme="minorHAnsi" w:hAnsiTheme="minorHAnsi"/>
          <w:sz w:val="22"/>
          <w:szCs w:val="22"/>
        </w:rPr>
        <w:t>communication by ESMA indicate</w:t>
      </w:r>
      <w:r w:rsidR="00105C82" w:rsidRPr="00A8300E">
        <w:rPr>
          <w:rFonts w:asciiTheme="minorHAnsi" w:hAnsiTheme="minorHAnsi"/>
          <w:sz w:val="22"/>
          <w:szCs w:val="22"/>
        </w:rPr>
        <w:t>d</w:t>
      </w:r>
      <w:r w:rsidRPr="00A8300E">
        <w:rPr>
          <w:rFonts w:asciiTheme="minorHAnsi" w:hAnsiTheme="minorHAnsi"/>
          <w:sz w:val="22"/>
          <w:szCs w:val="22"/>
        </w:rPr>
        <w:t xml:space="preserve"> that </w:t>
      </w:r>
      <w:r w:rsidR="00105C82" w:rsidRPr="00A8300E">
        <w:rPr>
          <w:rFonts w:asciiTheme="minorHAnsi" w:hAnsiTheme="minorHAnsi"/>
          <w:sz w:val="22"/>
          <w:szCs w:val="22"/>
        </w:rPr>
        <w:t xml:space="preserve">it </w:t>
      </w:r>
      <w:r w:rsidRPr="00A8300E">
        <w:rPr>
          <w:rFonts w:asciiTheme="minorHAnsi" w:hAnsiTheme="minorHAnsi"/>
          <w:sz w:val="22"/>
          <w:szCs w:val="22"/>
        </w:rPr>
        <w:t>w</w:t>
      </w:r>
      <w:r w:rsidR="00105C82" w:rsidRPr="00A8300E">
        <w:rPr>
          <w:rFonts w:asciiTheme="minorHAnsi" w:hAnsiTheme="minorHAnsi"/>
          <w:sz w:val="22"/>
          <w:szCs w:val="22"/>
        </w:rPr>
        <w:t>ould</w:t>
      </w:r>
      <w:r w:rsidRPr="00A8300E">
        <w:rPr>
          <w:rFonts w:asciiTheme="minorHAnsi" w:hAnsiTheme="minorHAnsi"/>
          <w:sz w:val="22"/>
          <w:szCs w:val="22"/>
        </w:rPr>
        <w:t xml:space="preserve"> not be in a position to publish additional information since ESMA does not have the capacity to identify ETFs that would fall under the scope of the mandatory tick size regime. </w:t>
      </w:r>
    </w:p>
    <w:p w14:paraId="7E950F3E" w14:textId="7FD12D24" w:rsidR="0075213C" w:rsidRPr="00A8300E" w:rsidRDefault="0075213C" w:rsidP="003F616B">
      <w:pPr>
        <w:pStyle w:val="Default"/>
        <w:spacing w:after="200" w:line="276" w:lineRule="auto"/>
        <w:jc w:val="both"/>
        <w:rPr>
          <w:rFonts w:asciiTheme="minorHAnsi" w:hAnsiTheme="minorHAnsi"/>
          <w:sz w:val="22"/>
          <w:szCs w:val="22"/>
        </w:rPr>
      </w:pPr>
      <w:r w:rsidRPr="00A8300E">
        <w:rPr>
          <w:rFonts w:asciiTheme="minorHAnsi" w:hAnsiTheme="minorHAnsi"/>
          <w:sz w:val="22"/>
          <w:szCs w:val="22"/>
        </w:rPr>
        <w:t xml:space="preserve">Therefore, </w:t>
      </w:r>
      <w:r w:rsidR="00105C82" w:rsidRPr="00A8300E">
        <w:rPr>
          <w:rFonts w:asciiTheme="minorHAnsi" w:hAnsiTheme="minorHAnsi"/>
          <w:sz w:val="22"/>
          <w:szCs w:val="22"/>
        </w:rPr>
        <w:t xml:space="preserve">Deutsche </w:t>
      </w:r>
      <w:r w:rsidR="006B7B44">
        <w:rPr>
          <w:rFonts w:asciiTheme="minorHAnsi" w:hAnsiTheme="minorHAnsi"/>
          <w:sz w:val="22"/>
          <w:szCs w:val="22"/>
        </w:rPr>
        <w:t>Börse</w:t>
      </w:r>
      <w:r w:rsidR="00105C82" w:rsidRPr="00A8300E">
        <w:rPr>
          <w:rFonts w:asciiTheme="minorHAnsi" w:hAnsiTheme="minorHAnsi"/>
          <w:sz w:val="22"/>
          <w:szCs w:val="22"/>
        </w:rPr>
        <w:t xml:space="preserve"> </w:t>
      </w:r>
      <w:r w:rsidR="009C2EFE" w:rsidRPr="00A8300E">
        <w:rPr>
          <w:rFonts w:asciiTheme="minorHAnsi" w:hAnsiTheme="minorHAnsi"/>
          <w:sz w:val="22"/>
          <w:szCs w:val="22"/>
        </w:rPr>
        <w:t>Group</w:t>
      </w:r>
      <w:r w:rsidR="00105C82" w:rsidRPr="00A8300E">
        <w:rPr>
          <w:rFonts w:asciiTheme="minorHAnsi" w:hAnsiTheme="minorHAnsi"/>
          <w:sz w:val="22"/>
          <w:szCs w:val="22"/>
        </w:rPr>
        <w:t xml:space="preserve"> </w:t>
      </w:r>
      <w:r w:rsidRPr="00A8300E">
        <w:rPr>
          <w:rFonts w:asciiTheme="minorHAnsi" w:hAnsiTheme="minorHAnsi"/>
          <w:sz w:val="22"/>
          <w:szCs w:val="22"/>
        </w:rPr>
        <w:t>underst</w:t>
      </w:r>
      <w:r w:rsidR="00105C82" w:rsidRPr="00A8300E">
        <w:rPr>
          <w:rFonts w:asciiTheme="minorHAnsi" w:hAnsiTheme="minorHAnsi"/>
          <w:sz w:val="22"/>
          <w:szCs w:val="22"/>
        </w:rPr>
        <w:t xml:space="preserve">ood </w:t>
      </w:r>
      <w:r w:rsidRPr="00A8300E">
        <w:rPr>
          <w:rFonts w:asciiTheme="minorHAnsi" w:hAnsiTheme="minorHAnsi"/>
          <w:sz w:val="22"/>
          <w:szCs w:val="22"/>
        </w:rPr>
        <w:t xml:space="preserve">that an initiative coming from the industry and approved by individual NCAs would be desirable. </w:t>
      </w:r>
      <w:r w:rsidR="00105C82" w:rsidRPr="00A8300E">
        <w:rPr>
          <w:rFonts w:asciiTheme="minorHAnsi" w:hAnsiTheme="minorHAnsi"/>
          <w:sz w:val="22"/>
          <w:szCs w:val="22"/>
        </w:rPr>
        <w:t xml:space="preserve">Together with FESE, we developed </w:t>
      </w:r>
      <w:r w:rsidRPr="00A8300E">
        <w:rPr>
          <w:rFonts w:asciiTheme="minorHAnsi" w:hAnsiTheme="minorHAnsi"/>
          <w:sz w:val="22"/>
          <w:szCs w:val="22"/>
        </w:rPr>
        <w:t>recommendations account</w:t>
      </w:r>
      <w:r w:rsidR="00105C82" w:rsidRPr="00A8300E">
        <w:rPr>
          <w:rFonts w:asciiTheme="minorHAnsi" w:hAnsiTheme="minorHAnsi"/>
          <w:sz w:val="22"/>
          <w:szCs w:val="22"/>
        </w:rPr>
        <w:t>ing</w:t>
      </w:r>
      <w:r w:rsidRPr="00A8300E">
        <w:rPr>
          <w:rFonts w:asciiTheme="minorHAnsi" w:hAnsiTheme="minorHAnsi"/>
          <w:sz w:val="22"/>
          <w:szCs w:val="22"/>
        </w:rPr>
        <w:t xml:space="preserve"> for the complexity of determining whether an ETF has exclusively invested equities that fall under the scope of the mandatory tick size regime for equities, as well as the unpredictability of the changes in ETF compositions and changes in the scope of equities that fall under the tick size regime. FESE</w:t>
      </w:r>
      <w:r w:rsidR="00BE608E" w:rsidRPr="00A8300E">
        <w:rPr>
          <w:rFonts w:asciiTheme="minorHAnsi" w:hAnsiTheme="minorHAnsi"/>
          <w:sz w:val="22"/>
          <w:szCs w:val="22"/>
        </w:rPr>
        <w:t xml:space="preserve"> and Deu</w:t>
      </w:r>
      <w:r w:rsidR="00B2207C">
        <w:rPr>
          <w:rFonts w:asciiTheme="minorHAnsi" w:hAnsiTheme="minorHAnsi"/>
          <w:sz w:val="22"/>
          <w:szCs w:val="22"/>
        </w:rPr>
        <w:t>t</w:t>
      </w:r>
      <w:r w:rsidR="00BE608E" w:rsidRPr="00A8300E">
        <w:rPr>
          <w:rFonts w:asciiTheme="minorHAnsi" w:hAnsiTheme="minorHAnsi"/>
          <w:sz w:val="22"/>
          <w:szCs w:val="22"/>
        </w:rPr>
        <w:t xml:space="preserve">sche </w:t>
      </w:r>
      <w:r w:rsidR="006B7B44">
        <w:rPr>
          <w:rFonts w:asciiTheme="minorHAnsi" w:hAnsiTheme="minorHAnsi"/>
          <w:sz w:val="22"/>
          <w:szCs w:val="22"/>
        </w:rPr>
        <w:t>Börse</w:t>
      </w:r>
      <w:r w:rsidR="00BE608E" w:rsidRPr="00A8300E">
        <w:rPr>
          <w:rFonts w:asciiTheme="minorHAnsi" w:hAnsiTheme="minorHAnsi"/>
          <w:sz w:val="22"/>
          <w:szCs w:val="22"/>
        </w:rPr>
        <w:t xml:space="preserve"> </w:t>
      </w:r>
      <w:r w:rsidR="009C2EFE" w:rsidRPr="00A8300E">
        <w:rPr>
          <w:rFonts w:asciiTheme="minorHAnsi" w:hAnsiTheme="minorHAnsi"/>
          <w:sz w:val="22"/>
          <w:szCs w:val="22"/>
        </w:rPr>
        <w:t>Group</w:t>
      </w:r>
      <w:r w:rsidRPr="00A8300E">
        <w:rPr>
          <w:rFonts w:asciiTheme="minorHAnsi" w:hAnsiTheme="minorHAnsi"/>
          <w:sz w:val="22"/>
          <w:szCs w:val="22"/>
        </w:rPr>
        <w:t xml:space="preserve"> consider that the applicability of the tick size regime should be evaluated on a yearly basis and the evaluation sh</w:t>
      </w:r>
      <w:r w:rsidR="00E26CBF" w:rsidRPr="00A8300E">
        <w:rPr>
          <w:rFonts w:asciiTheme="minorHAnsi" w:hAnsiTheme="minorHAnsi"/>
          <w:sz w:val="22"/>
          <w:szCs w:val="22"/>
        </w:rPr>
        <w:t>ould remain valid for one year.</w:t>
      </w:r>
    </w:p>
    <w:p w14:paraId="3A5E492C" w14:textId="506C76F1" w:rsidR="00E26CBF" w:rsidRPr="00A8300E" w:rsidRDefault="0075213C" w:rsidP="003F616B">
      <w:pPr>
        <w:pStyle w:val="Default"/>
        <w:spacing w:after="200" w:line="276" w:lineRule="auto"/>
        <w:jc w:val="both"/>
        <w:rPr>
          <w:rFonts w:asciiTheme="minorHAnsi" w:hAnsiTheme="minorHAnsi"/>
          <w:sz w:val="22"/>
          <w:szCs w:val="22"/>
        </w:rPr>
      </w:pPr>
      <w:r w:rsidRPr="00A8300E">
        <w:rPr>
          <w:rFonts w:asciiTheme="minorHAnsi" w:hAnsiTheme="minorHAnsi"/>
          <w:sz w:val="22"/>
          <w:szCs w:val="22"/>
        </w:rPr>
        <w:t xml:space="preserve">The proposal reflects that trading venues may only have limited insight into the composition of ETF portfolios at any given point of time. Therefore, it </w:t>
      </w:r>
      <w:r w:rsidR="009249F6">
        <w:rPr>
          <w:rFonts w:asciiTheme="minorHAnsi" w:hAnsiTheme="minorHAnsi"/>
          <w:sz w:val="22"/>
          <w:szCs w:val="22"/>
        </w:rPr>
        <w:t>is</w:t>
      </w:r>
      <w:r w:rsidRPr="00A8300E">
        <w:rPr>
          <w:rFonts w:asciiTheme="minorHAnsi" w:hAnsiTheme="minorHAnsi"/>
          <w:sz w:val="22"/>
          <w:szCs w:val="22"/>
        </w:rPr>
        <w:t xml:space="preserve"> nearly impossible for trading venues to continuously monitor the portfolio composition of thousands of ETFs listed on European trading venues for portfolio changes that may trigger changes in the application of the tick size </w:t>
      </w:r>
      <w:r w:rsidR="00E26CBF" w:rsidRPr="00A8300E">
        <w:rPr>
          <w:rFonts w:asciiTheme="minorHAnsi" w:hAnsiTheme="minorHAnsi"/>
          <w:sz w:val="22"/>
          <w:szCs w:val="22"/>
        </w:rPr>
        <w:t>regime for the respective ETFs.</w:t>
      </w:r>
    </w:p>
    <w:p w14:paraId="0CB8D919" w14:textId="03BDD8F4" w:rsidR="00392BC7" w:rsidRPr="00A8300E" w:rsidRDefault="00392BC7" w:rsidP="00FD7619">
      <w:pPr>
        <w:pStyle w:val="Default"/>
        <w:spacing w:after="200" w:line="276" w:lineRule="auto"/>
        <w:jc w:val="both"/>
        <w:rPr>
          <w:rFonts w:asciiTheme="minorHAnsi" w:hAnsiTheme="minorHAnsi"/>
          <w:sz w:val="22"/>
          <w:szCs w:val="22"/>
        </w:rPr>
      </w:pPr>
      <w:r w:rsidRPr="00A8300E">
        <w:rPr>
          <w:rFonts w:asciiTheme="minorHAnsi" w:hAnsiTheme="minorHAnsi"/>
          <w:sz w:val="22"/>
          <w:szCs w:val="22"/>
        </w:rPr>
        <w:t xml:space="preserve">Furthermore, in order to ensure a consistent and </w:t>
      </w:r>
      <w:r w:rsidRPr="00A8300E">
        <w:rPr>
          <w:rFonts w:asciiTheme="minorHAnsi" w:hAnsiTheme="minorHAnsi"/>
          <w:sz w:val="22"/>
          <w:szCs w:val="22"/>
          <w:lang w:val="en-GB"/>
        </w:rPr>
        <w:t>harmonised</w:t>
      </w:r>
      <w:r w:rsidRPr="00A8300E">
        <w:rPr>
          <w:rFonts w:asciiTheme="minorHAnsi" w:hAnsiTheme="minorHAnsi"/>
          <w:sz w:val="22"/>
          <w:szCs w:val="22"/>
        </w:rPr>
        <w:t xml:space="preserve"> application of the tick size regime across all trading venues in the EU, ESMA may consider publishing a list of all ETFs subject to the tick size regime on its website. We understand that defining a process for </w:t>
      </w:r>
      <w:r w:rsidRPr="00A8300E">
        <w:rPr>
          <w:rFonts w:asciiTheme="minorHAnsi" w:hAnsiTheme="minorHAnsi"/>
          <w:sz w:val="22"/>
          <w:szCs w:val="22"/>
        </w:rPr>
        <w:lastRenderedPageBreak/>
        <w:t>gathering and publishing such data will create an additional effort, but believe these resources are well spent to remove uncertainty from trading venues when determining whether an ETF is subject to the tick size regime or not.</w:t>
      </w:r>
    </w:p>
    <w:p w14:paraId="6342A6BA" w14:textId="0233B523" w:rsidR="000949A9" w:rsidRPr="00A8300E" w:rsidRDefault="0075213C" w:rsidP="00FD7619">
      <w:pPr>
        <w:pStyle w:val="Default"/>
        <w:spacing w:after="200" w:line="276" w:lineRule="auto"/>
        <w:jc w:val="both"/>
        <w:rPr>
          <w:rFonts w:asciiTheme="minorHAnsi" w:hAnsiTheme="minorHAnsi"/>
          <w:sz w:val="22"/>
          <w:szCs w:val="22"/>
        </w:rPr>
      </w:pPr>
      <w:r w:rsidRPr="00A8300E">
        <w:rPr>
          <w:rFonts w:asciiTheme="minorHAnsi" w:hAnsiTheme="minorHAnsi"/>
          <w:b/>
          <w:bCs/>
          <w:sz w:val="22"/>
          <w:szCs w:val="22"/>
        </w:rPr>
        <w:t xml:space="preserve">Relevant legislative provisions </w:t>
      </w:r>
    </w:p>
    <w:p w14:paraId="37B8B350" w14:textId="7A3BCD5F" w:rsidR="0075213C" w:rsidRPr="00A8300E" w:rsidRDefault="0075213C" w:rsidP="00240F54">
      <w:pPr>
        <w:pStyle w:val="Default"/>
        <w:spacing w:line="276" w:lineRule="auto"/>
        <w:jc w:val="both"/>
        <w:rPr>
          <w:rFonts w:asciiTheme="minorHAnsi" w:hAnsiTheme="minorHAnsi"/>
          <w:sz w:val="22"/>
          <w:szCs w:val="22"/>
        </w:rPr>
      </w:pPr>
      <w:r w:rsidRPr="00A8300E">
        <w:rPr>
          <w:rFonts w:asciiTheme="minorHAnsi" w:hAnsiTheme="minorHAnsi"/>
          <w:sz w:val="22"/>
          <w:szCs w:val="22"/>
        </w:rPr>
        <w:t xml:space="preserve">According to MiFID II/MiFIR Level 2: </w:t>
      </w:r>
    </w:p>
    <w:p w14:paraId="43C3D2D0" w14:textId="123F9938" w:rsidR="0075213C" w:rsidRPr="00A8300E" w:rsidRDefault="0075213C" w:rsidP="00240F54">
      <w:pPr>
        <w:pStyle w:val="Default"/>
        <w:numPr>
          <w:ilvl w:val="0"/>
          <w:numId w:val="9"/>
        </w:numPr>
        <w:spacing w:after="30" w:line="276" w:lineRule="auto"/>
        <w:jc w:val="both"/>
        <w:rPr>
          <w:rFonts w:asciiTheme="minorHAnsi" w:hAnsiTheme="minorHAnsi"/>
          <w:sz w:val="22"/>
          <w:szCs w:val="22"/>
        </w:rPr>
      </w:pPr>
      <w:r w:rsidRPr="00A8300E">
        <w:rPr>
          <w:rFonts w:asciiTheme="minorHAnsi" w:hAnsiTheme="minorHAnsi"/>
          <w:sz w:val="22"/>
          <w:szCs w:val="22"/>
        </w:rPr>
        <w:t xml:space="preserve">The tick size regime applies to all EU and non-EU shares and depository receipts as soon as they are traded in the EU; </w:t>
      </w:r>
    </w:p>
    <w:p w14:paraId="4A7B4BBB" w14:textId="02E1AE7D" w:rsidR="0075213C" w:rsidRPr="00A8300E" w:rsidRDefault="0075213C" w:rsidP="00240F54">
      <w:pPr>
        <w:pStyle w:val="Default"/>
        <w:numPr>
          <w:ilvl w:val="0"/>
          <w:numId w:val="9"/>
        </w:numPr>
        <w:spacing w:after="30" w:line="276" w:lineRule="auto"/>
        <w:jc w:val="both"/>
        <w:rPr>
          <w:rFonts w:asciiTheme="minorHAnsi" w:hAnsiTheme="minorHAnsi"/>
          <w:sz w:val="22"/>
          <w:szCs w:val="22"/>
        </w:rPr>
      </w:pPr>
      <w:r w:rsidRPr="00A8300E">
        <w:rPr>
          <w:rFonts w:asciiTheme="minorHAnsi" w:hAnsiTheme="minorHAnsi"/>
          <w:sz w:val="22"/>
          <w:szCs w:val="22"/>
        </w:rPr>
        <w:t>The tick size regime applies to ETFs which are constituted solely of equities or a basket of equities</w:t>
      </w:r>
      <w:r w:rsidR="009249F6">
        <w:rPr>
          <w:rFonts w:asciiTheme="minorHAnsi" w:hAnsiTheme="minorHAnsi"/>
          <w:sz w:val="22"/>
          <w:szCs w:val="22"/>
        </w:rPr>
        <w:t>;</w:t>
      </w:r>
    </w:p>
    <w:p w14:paraId="77151A6C" w14:textId="5011871B" w:rsidR="0075213C" w:rsidRPr="00A8300E" w:rsidRDefault="0075213C" w:rsidP="00240F54">
      <w:pPr>
        <w:pStyle w:val="Default"/>
        <w:numPr>
          <w:ilvl w:val="0"/>
          <w:numId w:val="9"/>
        </w:numPr>
        <w:spacing w:after="30" w:line="276" w:lineRule="auto"/>
        <w:jc w:val="both"/>
        <w:rPr>
          <w:rFonts w:asciiTheme="minorHAnsi" w:hAnsiTheme="minorHAnsi"/>
          <w:sz w:val="22"/>
          <w:szCs w:val="22"/>
        </w:rPr>
      </w:pPr>
      <w:r w:rsidRPr="00A8300E">
        <w:rPr>
          <w:rFonts w:asciiTheme="minorHAnsi" w:hAnsiTheme="minorHAnsi"/>
          <w:sz w:val="22"/>
          <w:szCs w:val="22"/>
        </w:rPr>
        <w:t>The relevant underlying financial instruments of an ETF tracking an index are the index components included in the index rather than the actual physical portfolio of financial instruments held by the ETF</w:t>
      </w:r>
      <w:r w:rsidR="009249F6">
        <w:rPr>
          <w:rFonts w:asciiTheme="minorHAnsi" w:hAnsiTheme="minorHAnsi"/>
          <w:sz w:val="22"/>
          <w:szCs w:val="22"/>
        </w:rPr>
        <w:t>;</w:t>
      </w:r>
    </w:p>
    <w:p w14:paraId="7FA3AB19" w14:textId="34B3E5D5" w:rsidR="0075213C" w:rsidRPr="00A8300E" w:rsidRDefault="0075213C" w:rsidP="003F616B">
      <w:pPr>
        <w:pStyle w:val="Default"/>
        <w:numPr>
          <w:ilvl w:val="0"/>
          <w:numId w:val="9"/>
        </w:numPr>
        <w:spacing w:after="200" w:line="276" w:lineRule="auto"/>
        <w:ind w:left="714" w:hanging="357"/>
        <w:jc w:val="both"/>
        <w:rPr>
          <w:rFonts w:asciiTheme="minorHAnsi" w:hAnsiTheme="minorHAnsi"/>
          <w:sz w:val="22"/>
          <w:szCs w:val="22"/>
        </w:rPr>
      </w:pPr>
      <w:r w:rsidRPr="00A8300E">
        <w:rPr>
          <w:rFonts w:asciiTheme="minorHAnsi" w:hAnsiTheme="minorHAnsi"/>
          <w:sz w:val="22"/>
          <w:szCs w:val="22"/>
        </w:rPr>
        <w:t xml:space="preserve">If one index component is not subject to the tick size regime, the ETF is consequently out of scope. </w:t>
      </w:r>
    </w:p>
    <w:p w14:paraId="0F8959C9" w14:textId="4B790999" w:rsidR="0075213C" w:rsidRPr="00A8300E" w:rsidRDefault="0075213C" w:rsidP="003F616B">
      <w:pPr>
        <w:pStyle w:val="Default"/>
        <w:spacing w:after="200" w:line="276" w:lineRule="auto"/>
        <w:jc w:val="both"/>
        <w:rPr>
          <w:rFonts w:asciiTheme="minorHAnsi" w:hAnsiTheme="minorHAnsi"/>
          <w:sz w:val="22"/>
          <w:szCs w:val="22"/>
        </w:rPr>
      </w:pPr>
      <w:r w:rsidRPr="00A8300E">
        <w:rPr>
          <w:rFonts w:asciiTheme="minorHAnsi" w:hAnsiTheme="minorHAnsi"/>
          <w:sz w:val="22"/>
          <w:szCs w:val="22"/>
        </w:rPr>
        <w:t xml:space="preserve">This understanding is based on Commission Delegated Regulation 2016/588 (RTS 11) </w:t>
      </w:r>
      <w:r w:rsidR="00BE608E" w:rsidRPr="00A8300E">
        <w:rPr>
          <w:rFonts w:asciiTheme="minorHAnsi" w:hAnsiTheme="minorHAnsi"/>
          <w:sz w:val="22"/>
          <w:szCs w:val="22"/>
        </w:rPr>
        <w:t xml:space="preserve">stating </w:t>
      </w:r>
      <w:r w:rsidRPr="00A8300E">
        <w:rPr>
          <w:rFonts w:asciiTheme="minorHAnsi" w:hAnsiTheme="minorHAnsi"/>
          <w:sz w:val="22"/>
          <w:szCs w:val="22"/>
        </w:rPr>
        <w:t>“The correlation between exchange-traded funds (ETFs) and the underlying equity instruments renders it necessary to determine a minimum tick size for ETFs having as underlying shares and depositary receipts.” (Recital (5)).</w:t>
      </w:r>
    </w:p>
    <w:p w14:paraId="49001325" w14:textId="7A559506" w:rsidR="009249F6" w:rsidRDefault="0075213C" w:rsidP="003F616B">
      <w:pPr>
        <w:pStyle w:val="Default"/>
        <w:spacing w:after="200" w:line="276" w:lineRule="auto"/>
        <w:jc w:val="both"/>
        <w:rPr>
          <w:rFonts w:asciiTheme="minorHAnsi" w:hAnsiTheme="minorHAnsi"/>
          <w:sz w:val="22"/>
          <w:szCs w:val="22"/>
        </w:rPr>
      </w:pPr>
      <w:r w:rsidRPr="00A8300E">
        <w:rPr>
          <w:rFonts w:asciiTheme="minorHAnsi" w:hAnsiTheme="minorHAnsi"/>
          <w:sz w:val="22"/>
          <w:szCs w:val="22"/>
        </w:rPr>
        <w:t xml:space="preserve">According to </w:t>
      </w:r>
      <w:r w:rsidR="009249F6">
        <w:rPr>
          <w:rFonts w:asciiTheme="minorHAnsi" w:hAnsiTheme="minorHAnsi"/>
          <w:sz w:val="22"/>
          <w:szCs w:val="22"/>
        </w:rPr>
        <w:t xml:space="preserve">RTS 11 </w:t>
      </w:r>
      <w:r w:rsidRPr="00A8300E">
        <w:rPr>
          <w:rFonts w:asciiTheme="minorHAnsi" w:hAnsiTheme="minorHAnsi"/>
          <w:sz w:val="22"/>
          <w:szCs w:val="22"/>
        </w:rPr>
        <w:t>Article 2(4), the requirements for minimum price increments shall only apply to ETFs with underlying financial instruments which are solely equities subject to the tick size regime or a basket of such equities.</w:t>
      </w:r>
      <w:r w:rsidR="00E26CBF" w:rsidRPr="00A8300E">
        <w:rPr>
          <w:rStyle w:val="Funotenzeichen"/>
          <w:rFonts w:asciiTheme="minorHAnsi" w:hAnsiTheme="minorHAnsi"/>
          <w:sz w:val="22"/>
          <w:szCs w:val="22"/>
        </w:rPr>
        <w:footnoteReference w:id="3"/>
      </w:r>
      <w:r w:rsidRPr="00A8300E">
        <w:rPr>
          <w:rFonts w:asciiTheme="minorHAnsi" w:hAnsiTheme="minorHAnsi"/>
          <w:sz w:val="22"/>
          <w:szCs w:val="22"/>
        </w:rPr>
        <w:t xml:space="preserve"> However, ETFs having financial instruments which are not shares or depositary receipts as their underlying should not be subject to a mandatory tick size regime. </w:t>
      </w:r>
    </w:p>
    <w:p w14:paraId="404300CA" w14:textId="610A07BA" w:rsidR="009249F6" w:rsidRPr="003F616B" w:rsidRDefault="009249F6" w:rsidP="003F616B">
      <w:pPr>
        <w:pStyle w:val="Default"/>
        <w:spacing w:after="200" w:line="276" w:lineRule="auto"/>
        <w:jc w:val="both"/>
        <w:rPr>
          <w:rFonts w:asciiTheme="minorHAnsi" w:hAnsiTheme="minorHAnsi"/>
          <w:b/>
          <w:sz w:val="22"/>
          <w:szCs w:val="22"/>
        </w:rPr>
      </w:pPr>
      <w:r w:rsidRPr="003F616B">
        <w:rPr>
          <w:rFonts w:asciiTheme="minorHAnsi" w:hAnsiTheme="minorHAnsi"/>
          <w:b/>
          <w:sz w:val="22"/>
          <w:szCs w:val="22"/>
        </w:rPr>
        <w:t>FESE recommendations</w:t>
      </w:r>
    </w:p>
    <w:p w14:paraId="147A6195" w14:textId="1CE5CACE" w:rsidR="0075213C" w:rsidRPr="00A8300E" w:rsidRDefault="0075213C" w:rsidP="003F616B">
      <w:pPr>
        <w:pStyle w:val="Default"/>
        <w:spacing w:after="200" w:line="276" w:lineRule="auto"/>
        <w:jc w:val="both"/>
        <w:rPr>
          <w:rFonts w:asciiTheme="minorHAnsi" w:hAnsiTheme="minorHAnsi"/>
          <w:color w:val="auto"/>
          <w:sz w:val="22"/>
          <w:szCs w:val="22"/>
        </w:rPr>
      </w:pPr>
      <w:r w:rsidRPr="00A8300E">
        <w:rPr>
          <w:rFonts w:asciiTheme="minorHAnsi" w:hAnsiTheme="minorHAnsi"/>
          <w:color w:val="auto"/>
          <w:sz w:val="22"/>
          <w:szCs w:val="22"/>
        </w:rPr>
        <w:t xml:space="preserve">Following the applicable provisions and considering the practical concerns outlined above, FESE </w:t>
      </w:r>
      <w:r w:rsidR="00BE608E" w:rsidRPr="00A8300E">
        <w:rPr>
          <w:rFonts w:asciiTheme="minorHAnsi" w:hAnsiTheme="minorHAnsi"/>
          <w:color w:val="auto"/>
          <w:sz w:val="22"/>
          <w:szCs w:val="22"/>
        </w:rPr>
        <w:t xml:space="preserve">and Deutsche </w:t>
      </w:r>
      <w:r w:rsidR="006B7B44">
        <w:rPr>
          <w:rFonts w:asciiTheme="minorHAnsi" w:hAnsiTheme="minorHAnsi"/>
          <w:color w:val="auto"/>
          <w:sz w:val="22"/>
          <w:szCs w:val="22"/>
        </w:rPr>
        <w:t>Börse</w:t>
      </w:r>
      <w:r w:rsidR="00BE608E" w:rsidRPr="00A8300E">
        <w:rPr>
          <w:rFonts w:asciiTheme="minorHAnsi" w:hAnsiTheme="minorHAnsi"/>
          <w:color w:val="auto"/>
          <w:sz w:val="22"/>
          <w:szCs w:val="22"/>
        </w:rPr>
        <w:t xml:space="preserve"> </w:t>
      </w:r>
      <w:r w:rsidR="009C2EFE" w:rsidRPr="00A8300E">
        <w:rPr>
          <w:rFonts w:asciiTheme="minorHAnsi" w:hAnsiTheme="minorHAnsi"/>
          <w:color w:val="auto"/>
          <w:sz w:val="22"/>
          <w:szCs w:val="22"/>
        </w:rPr>
        <w:t>Group</w:t>
      </w:r>
      <w:r w:rsidR="00BE608E" w:rsidRPr="00A8300E">
        <w:rPr>
          <w:rFonts w:asciiTheme="minorHAnsi" w:hAnsiTheme="minorHAnsi"/>
          <w:color w:val="auto"/>
          <w:sz w:val="22"/>
          <w:szCs w:val="22"/>
        </w:rPr>
        <w:t xml:space="preserve"> </w:t>
      </w:r>
      <w:r w:rsidRPr="00A8300E">
        <w:rPr>
          <w:rFonts w:asciiTheme="minorHAnsi" w:hAnsiTheme="minorHAnsi"/>
          <w:color w:val="auto"/>
          <w:sz w:val="22"/>
          <w:szCs w:val="22"/>
        </w:rPr>
        <w:t>would like to propose the following recommendations for the application of the tick size regime to ETFs:</w:t>
      </w:r>
    </w:p>
    <w:p w14:paraId="35FE57F0" w14:textId="67C3044E" w:rsidR="0075213C" w:rsidRPr="00A8300E" w:rsidRDefault="0075213C" w:rsidP="00240F54">
      <w:pPr>
        <w:pStyle w:val="Default"/>
        <w:numPr>
          <w:ilvl w:val="0"/>
          <w:numId w:val="10"/>
        </w:numPr>
        <w:spacing w:after="30" w:line="276" w:lineRule="auto"/>
        <w:jc w:val="both"/>
        <w:rPr>
          <w:rFonts w:asciiTheme="minorHAnsi" w:hAnsiTheme="minorHAnsi"/>
          <w:color w:val="auto"/>
          <w:sz w:val="22"/>
          <w:szCs w:val="22"/>
        </w:rPr>
      </w:pPr>
      <w:r w:rsidRPr="00A8300E">
        <w:rPr>
          <w:rFonts w:asciiTheme="minorHAnsi" w:hAnsiTheme="minorHAnsi"/>
          <w:color w:val="auto"/>
          <w:sz w:val="22"/>
          <w:szCs w:val="22"/>
        </w:rPr>
        <w:lastRenderedPageBreak/>
        <w:t xml:space="preserve">The applicability of the tick size regime should be evaluated once a year, on 1 March, for application on 1 April. The evaluation would remain valid for one year, until the next evaluation is done. This process would, in terms of timeline, match the process already in place for shares and depositary receipts. </w:t>
      </w:r>
    </w:p>
    <w:p w14:paraId="79805E9C" w14:textId="3F891B79" w:rsidR="0075213C" w:rsidRPr="00A8300E" w:rsidRDefault="0075213C" w:rsidP="00240F54">
      <w:pPr>
        <w:pStyle w:val="Default"/>
        <w:numPr>
          <w:ilvl w:val="0"/>
          <w:numId w:val="10"/>
        </w:numPr>
        <w:spacing w:after="30" w:line="276" w:lineRule="auto"/>
        <w:jc w:val="both"/>
        <w:rPr>
          <w:rFonts w:asciiTheme="minorHAnsi" w:hAnsiTheme="minorHAnsi"/>
          <w:color w:val="auto"/>
          <w:sz w:val="22"/>
          <w:szCs w:val="22"/>
        </w:rPr>
      </w:pPr>
      <w:r w:rsidRPr="00A8300E">
        <w:rPr>
          <w:rFonts w:asciiTheme="minorHAnsi" w:hAnsiTheme="minorHAnsi"/>
          <w:color w:val="auto"/>
          <w:sz w:val="22"/>
          <w:szCs w:val="22"/>
        </w:rPr>
        <w:t xml:space="preserve">The applicability of the tick size regime was initially evaluated based on information provided by ESMA on 6 December 2017. Following the timeline proposed above, the next evaluation of the application of the tick size regime shall take place on 1 March 2019. </w:t>
      </w:r>
    </w:p>
    <w:p w14:paraId="4CBA915D" w14:textId="09EFC375" w:rsidR="0075213C" w:rsidRPr="00A8300E" w:rsidRDefault="0075213C" w:rsidP="00240F54">
      <w:pPr>
        <w:pStyle w:val="Default"/>
        <w:numPr>
          <w:ilvl w:val="0"/>
          <w:numId w:val="10"/>
        </w:numPr>
        <w:spacing w:after="30" w:line="276" w:lineRule="auto"/>
        <w:jc w:val="both"/>
        <w:rPr>
          <w:rFonts w:asciiTheme="minorHAnsi" w:hAnsiTheme="minorHAnsi"/>
          <w:color w:val="auto"/>
          <w:sz w:val="22"/>
          <w:szCs w:val="22"/>
        </w:rPr>
      </w:pPr>
      <w:r w:rsidRPr="00A8300E">
        <w:rPr>
          <w:rFonts w:asciiTheme="minorHAnsi" w:hAnsiTheme="minorHAnsi"/>
          <w:color w:val="auto"/>
          <w:sz w:val="22"/>
          <w:szCs w:val="22"/>
        </w:rPr>
        <w:t xml:space="preserve">The applicability of the tick size regime would be evaluated on the basis of the list of shares and depositary receipts published by ESMA in the FIRDS database. </w:t>
      </w:r>
    </w:p>
    <w:p w14:paraId="2C677F05" w14:textId="4E2A1274" w:rsidR="0075213C" w:rsidRPr="00A8300E" w:rsidRDefault="0075213C" w:rsidP="00240F54">
      <w:pPr>
        <w:pStyle w:val="Default"/>
        <w:numPr>
          <w:ilvl w:val="0"/>
          <w:numId w:val="10"/>
        </w:numPr>
        <w:spacing w:after="30" w:line="276" w:lineRule="auto"/>
        <w:jc w:val="both"/>
        <w:rPr>
          <w:rFonts w:asciiTheme="minorHAnsi" w:hAnsiTheme="minorHAnsi"/>
          <w:color w:val="auto"/>
          <w:sz w:val="22"/>
          <w:szCs w:val="22"/>
        </w:rPr>
      </w:pPr>
      <w:r w:rsidRPr="00A8300E">
        <w:rPr>
          <w:rFonts w:asciiTheme="minorHAnsi" w:hAnsiTheme="minorHAnsi"/>
          <w:color w:val="auto"/>
          <w:sz w:val="22"/>
          <w:szCs w:val="22"/>
        </w:rPr>
        <w:t xml:space="preserve">Where an ETF’s underlying instruments are all in the scope of RTS 11, orders and quotes of that ETF should follow a tick size which is equal to or greater than the one corresponding to: </w:t>
      </w:r>
    </w:p>
    <w:p w14:paraId="19809B51" w14:textId="3F12D9C3" w:rsidR="0075213C" w:rsidRPr="00A8300E" w:rsidRDefault="0075213C" w:rsidP="00240F54">
      <w:pPr>
        <w:pStyle w:val="Default"/>
        <w:numPr>
          <w:ilvl w:val="0"/>
          <w:numId w:val="11"/>
        </w:numPr>
        <w:spacing w:after="30" w:line="276" w:lineRule="auto"/>
        <w:ind w:left="1440" w:hanging="720"/>
        <w:jc w:val="both"/>
        <w:rPr>
          <w:rFonts w:asciiTheme="minorHAnsi" w:hAnsiTheme="minorHAnsi"/>
          <w:color w:val="auto"/>
          <w:sz w:val="22"/>
          <w:szCs w:val="22"/>
        </w:rPr>
      </w:pPr>
      <w:r w:rsidRPr="00A8300E">
        <w:rPr>
          <w:rFonts w:asciiTheme="minorHAnsi" w:hAnsiTheme="minorHAnsi"/>
          <w:color w:val="auto"/>
          <w:sz w:val="22"/>
          <w:szCs w:val="22"/>
        </w:rPr>
        <w:t xml:space="preserve">the liquidity band in the table in the Annex corresponding to the highest average daily number of transactions; and </w:t>
      </w:r>
    </w:p>
    <w:p w14:paraId="75D32440" w14:textId="5138DDB6" w:rsidR="0075213C" w:rsidRPr="00A8300E" w:rsidRDefault="0075213C" w:rsidP="00240F54">
      <w:pPr>
        <w:pStyle w:val="Default"/>
        <w:numPr>
          <w:ilvl w:val="0"/>
          <w:numId w:val="11"/>
        </w:numPr>
        <w:tabs>
          <w:tab w:val="left" w:pos="1440"/>
        </w:tabs>
        <w:spacing w:after="30" w:line="276" w:lineRule="auto"/>
        <w:ind w:left="1440" w:hanging="720"/>
        <w:jc w:val="both"/>
        <w:rPr>
          <w:rFonts w:asciiTheme="minorHAnsi" w:hAnsiTheme="minorHAnsi"/>
          <w:color w:val="auto"/>
          <w:sz w:val="22"/>
          <w:szCs w:val="22"/>
        </w:rPr>
      </w:pPr>
      <w:r w:rsidRPr="00A8300E">
        <w:rPr>
          <w:rFonts w:asciiTheme="minorHAnsi" w:hAnsiTheme="minorHAnsi"/>
          <w:color w:val="auto"/>
          <w:sz w:val="22"/>
          <w:szCs w:val="22"/>
        </w:rPr>
        <w:t xml:space="preserve">the price range in that liquidity band corresponding to the price of the order, as per RTS 11 Article 2(3). </w:t>
      </w:r>
    </w:p>
    <w:p w14:paraId="4022A36F" w14:textId="0D9E8116" w:rsidR="0075213C" w:rsidRPr="00A8300E" w:rsidRDefault="0075213C" w:rsidP="003F616B">
      <w:pPr>
        <w:pStyle w:val="Default"/>
        <w:numPr>
          <w:ilvl w:val="0"/>
          <w:numId w:val="10"/>
        </w:numPr>
        <w:spacing w:after="200" w:line="276" w:lineRule="auto"/>
        <w:ind w:left="714" w:hanging="357"/>
        <w:jc w:val="both"/>
        <w:rPr>
          <w:rFonts w:asciiTheme="minorHAnsi" w:hAnsiTheme="minorHAnsi"/>
          <w:color w:val="auto"/>
          <w:sz w:val="22"/>
          <w:szCs w:val="22"/>
        </w:rPr>
      </w:pPr>
      <w:r w:rsidRPr="00A8300E">
        <w:rPr>
          <w:rFonts w:asciiTheme="minorHAnsi" w:hAnsiTheme="minorHAnsi"/>
          <w:color w:val="auto"/>
          <w:sz w:val="22"/>
          <w:szCs w:val="22"/>
        </w:rPr>
        <w:t xml:space="preserve">Where one or more ETF’s underlying instruments are not in the scope of RTS11 individual trading venues are free to apply their own defined tick sizes. </w:t>
      </w:r>
    </w:p>
    <w:p w14:paraId="7BAFDD7A" w14:textId="4D72824F" w:rsidR="00BE608E" w:rsidRPr="00A8300E" w:rsidRDefault="00BE608E" w:rsidP="00240F54">
      <w:pPr>
        <w:pStyle w:val="Default"/>
        <w:spacing w:line="276" w:lineRule="auto"/>
        <w:jc w:val="both"/>
        <w:rPr>
          <w:rFonts w:asciiTheme="minorHAnsi" w:hAnsiTheme="minorHAnsi"/>
          <w:color w:val="auto"/>
          <w:sz w:val="22"/>
          <w:szCs w:val="22"/>
        </w:rPr>
      </w:pPr>
      <w:r w:rsidRPr="00A8300E">
        <w:rPr>
          <w:rFonts w:asciiTheme="minorHAnsi" w:hAnsiTheme="minorHAnsi"/>
          <w:color w:val="auto"/>
          <w:sz w:val="22"/>
          <w:szCs w:val="22"/>
        </w:rPr>
        <w:t xml:space="preserve">Deutsche </w:t>
      </w:r>
      <w:r w:rsidR="006B7B44">
        <w:rPr>
          <w:rFonts w:asciiTheme="minorHAnsi" w:hAnsiTheme="minorHAnsi"/>
          <w:color w:val="auto"/>
          <w:sz w:val="22"/>
          <w:szCs w:val="22"/>
        </w:rPr>
        <w:t>Börse</w:t>
      </w:r>
      <w:r w:rsidRPr="00A8300E">
        <w:rPr>
          <w:rFonts w:asciiTheme="minorHAnsi" w:hAnsiTheme="minorHAnsi"/>
          <w:color w:val="auto"/>
          <w:sz w:val="22"/>
          <w:szCs w:val="22"/>
        </w:rPr>
        <w:t xml:space="preserve"> </w:t>
      </w:r>
      <w:r w:rsidR="009C2EFE" w:rsidRPr="00A8300E">
        <w:rPr>
          <w:rFonts w:asciiTheme="minorHAnsi" w:hAnsiTheme="minorHAnsi"/>
          <w:color w:val="auto"/>
          <w:sz w:val="22"/>
          <w:szCs w:val="22"/>
        </w:rPr>
        <w:t>Group</w:t>
      </w:r>
      <w:r w:rsidRPr="00A8300E">
        <w:rPr>
          <w:rFonts w:asciiTheme="minorHAnsi" w:hAnsiTheme="minorHAnsi"/>
          <w:color w:val="auto"/>
          <w:sz w:val="22"/>
          <w:szCs w:val="22"/>
        </w:rPr>
        <w:t xml:space="preserve"> has been applying those </w:t>
      </w:r>
      <w:r w:rsidR="009C2EFE" w:rsidRPr="00A8300E">
        <w:rPr>
          <w:rFonts w:asciiTheme="minorHAnsi" w:hAnsiTheme="minorHAnsi"/>
          <w:color w:val="auto"/>
          <w:sz w:val="22"/>
          <w:szCs w:val="22"/>
        </w:rPr>
        <w:t>recommendations</w:t>
      </w:r>
      <w:r w:rsidRPr="00A8300E">
        <w:rPr>
          <w:rFonts w:asciiTheme="minorHAnsi" w:hAnsiTheme="minorHAnsi"/>
          <w:color w:val="auto"/>
          <w:sz w:val="22"/>
          <w:szCs w:val="22"/>
        </w:rPr>
        <w:t xml:space="preserve"> since January 2018 on all ETFs traded on </w:t>
      </w:r>
      <w:r w:rsidR="005B4C68">
        <w:rPr>
          <w:rFonts w:asciiTheme="minorHAnsi" w:hAnsiTheme="minorHAnsi"/>
          <w:color w:val="auto"/>
          <w:sz w:val="22"/>
          <w:szCs w:val="22"/>
        </w:rPr>
        <w:t>our</w:t>
      </w:r>
      <w:r w:rsidR="005B4C68" w:rsidRPr="00A8300E">
        <w:rPr>
          <w:rFonts w:asciiTheme="minorHAnsi" w:hAnsiTheme="minorHAnsi"/>
          <w:color w:val="auto"/>
          <w:sz w:val="22"/>
          <w:szCs w:val="22"/>
        </w:rPr>
        <w:t xml:space="preserve"> </w:t>
      </w:r>
      <w:r w:rsidRPr="00A8300E">
        <w:rPr>
          <w:rFonts w:asciiTheme="minorHAnsi" w:hAnsiTheme="minorHAnsi"/>
          <w:color w:val="auto"/>
          <w:sz w:val="22"/>
          <w:szCs w:val="22"/>
        </w:rPr>
        <w:t xml:space="preserve">platforms, Xetra and </w:t>
      </w:r>
      <w:r w:rsidR="006B7B44">
        <w:rPr>
          <w:rFonts w:asciiTheme="minorHAnsi" w:hAnsiTheme="minorHAnsi"/>
          <w:color w:val="auto"/>
          <w:sz w:val="22"/>
          <w:szCs w:val="22"/>
        </w:rPr>
        <w:t>Börse</w:t>
      </w:r>
      <w:r w:rsidRPr="00A8300E">
        <w:rPr>
          <w:rFonts w:asciiTheme="minorHAnsi" w:hAnsiTheme="minorHAnsi"/>
          <w:color w:val="auto"/>
          <w:sz w:val="22"/>
          <w:szCs w:val="22"/>
        </w:rPr>
        <w:t xml:space="preserve"> Frankfurt.</w:t>
      </w:r>
    </w:p>
    <w:p w14:paraId="61BF8CA6" w14:textId="77777777" w:rsidR="0035550B" w:rsidRPr="004A0164" w:rsidRDefault="0035550B" w:rsidP="00240F54">
      <w:pPr>
        <w:jc w:val="both"/>
        <w:rPr>
          <w:rFonts w:cs="Arial"/>
        </w:rPr>
      </w:pPr>
      <w:r w:rsidRPr="004A0164">
        <w:rPr>
          <w:rFonts w:cs="Arial"/>
        </w:rPr>
        <w:t>&lt;ESMA_QUESTION_ACDR_4&gt;</w:t>
      </w:r>
    </w:p>
    <w:p w14:paraId="0C83AF2C" w14:textId="77777777" w:rsidR="0035550B" w:rsidRPr="004A0164" w:rsidRDefault="0035550B" w:rsidP="00240F54">
      <w:pPr>
        <w:jc w:val="both"/>
        <w:rPr>
          <w:rFonts w:cs="Arial"/>
        </w:rPr>
      </w:pPr>
    </w:p>
    <w:p w14:paraId="32E3EFEB" w14:textId="77777777" w:rsidR="0035550B" w:rsidRPr="00110E7C" w:rsidRDefault="0035550B" w:rsidP="00E26CBF">
      <w:pPr>
        <w:pStyle w:val="Questionstyle"/>
        <w:rPr>
          <w:szCs w:val="22"/>
        </w:rPr>
      </w:pPr>
      <w:r w:rsidRPr="004A0164">
        <w:rPr>
          <w:szCs w:val="22"/>
        </w:rPr>
        <w:t>CBA: This first question aims at identifying the categor</w:t>
      </w:r>
      <w:r w:rsidRPr="00110E7C">
        <w:rPr>
          <w:szCs w:val="22"/>
        </w:rPr>
        <w:t>y of firm/entity you belong to:</w:t>
      </w:r>
    </w:p>
    <w:p w14:paraId="6D77E867" w14:textId="77777777" w:rsidR="0035550B" w:rsidRPr="00110E7C" w:rsidRDefault="0035550B" w:rsidP="0035550B">
      <w:pPr>
        <w:rPr>
          <w:rFonts w:cs="Arial"/>
        </w:rPr>
      </w:pPr>
      <w:r w:rsidRPr="00110E7C">
        <w:rPr>
          <w:rFonts w:cs="Arial"/>
        </w:rPr>
        <w:t>&lt;ESMA_QUESTION_ACDR_5&gt;</w:t>
      </w:r>
    </w:p>
    <w:tbl>
      <w:tblPr>
        <w:tblStyle w:val="Tabellenraster"/>
        <w:tblW w:w="0" w:type="auto"/>
        <w:tblLook w:val="04A0" w:firstRow="1" w:lastRow="0" w:firstColumn="1" w:lastColumn="0" w:noHBand="0" w:noVBand="1"/>
      </w:tblPr>
      <w:tblGrid>
        <w:gridCol w:w="2254"/>
        <w:gridCol w:w="2254"/>
        <w:gridCol w:w="3000"/>
      </w:tblGrid>
      <w:tr w:rsidR="0035550B" w:rsidRPr="004A0164" w14:paraId="3D83493B" w14:textId="77777777" w:rsidTr="00180C5D">
        <w:tc>
          <w:tcPr>
            <w:tcW w:w="2254" w:type="dxa"/>
          </w:tcPr>
          <w:p w14:paraId="2C1BB60C" w14:textId="77777777" w:rsidR="0035550B" w:rsidRPr="00A8300E" w:rsidRDefault="0035550B" w:rsidP="00180C5D">
            <w:pPr>
              <w:rPr>
                <w:rFonts w:asciiTheme="minorHAnsi" w:hAnsiTheme="minorHAnsi"/>
                <w:b/>
                <w:sz w:val="22"/>
                <w:szCs w:val="22"/>
              </w:rPr>
            </w:pPr>
            <w:r w:rsidRPr="004A0164">
              <w:rPr>
                <w:b/>
              </w:rPr>
              <w:t xml:space="preserve">Category </w:t>
            </w:r>
          </w:p>
        </w:tc>
        <w:tc>
          <w:tcPr>
            <w:tcW w:w="2254" w:type="dxa"/>
          </w:tcPr>
          <w:p w14:paraId="3E23C34D" w14:textId="77777777" w:rsidR="0035550B" w:rsidRPr="00A8300E" w:rsidRDefault="0035550B" w:rsidP="00180C5D">
            <w:pPr>
              <w:rPr>
                <w:rFonts w:asciiTheme="minorHAnsi" w:hAnsiTheme="minorHAnsi"/>
                <w:b/>
                <w:sz w:val="22"/>
                <w:szCs w:val="22"/>
              </w:rPr>
            </w:pPr>
            <w:r w:rsidRPr="004A0164">
              <w:rPr>
                <w:b/>
              </w:rPr>
              <w:t xml:space="preserve">Number of employees </w:t>
            </w:r>
          </w:p>
        </w:tc>
        <w:tc>
          <w:tcPr>
            <w:tcW w:w="3000" w:type="dxa"/>
          </w:tcPr>
          <w:p w14:paraId="7D082BBF" w14:textId="77777777" w:rsidR="0035550B" w:rsidRPr="00A8300E" w:rsidRDefault="0035550B" w:rsidP="00180C5D">
            <w:pPr>
              <w:spacing w:before="240"/>
              <w:rPr>
                <w:rFonts w:asciiTheme="minorHAnsi" w:hAnsiTheme="minorHAnsi"/>
                <w:b/>
                <w:sz w:val="22"/>
                <w:szCs w:val="22"/>
              </w:rPr>
            </w:pPr>
            <w:r w:rsidRPr="004A0164">
              <w:rPr>
                <w:b/>
              </w:rPr>
              <w:t>Total turnover in 2017 (in millions euros</w:t>
            </w:r>
          </w:p>
        </w:tc>
      </w:tr>
      <w:tr w:rsidR="0035550B" w:rsidRPr="004A0164" w14:paraId="42CFBF08" w14:textId="77777777" w:rsidTr="00180C5D">
        <w:tc>
          <w:tcPr>
            <w:tcW w:w="2254" w:type="dxa"/>
            <w:vMerge w:val="restart"/>
          </w:tcPr>
          <w:p w14:paraId="709D263C" w14:textId="77777777" w:rsidR="0035550B" w:rsidRPr="00A8300E" w:rsidRDefault="0035550B" w:rsidP="00180C5D">
            <w:pPr>
              <w:rPr>
                <w:rFonts w:asciiTheme="minorHAnsi" w:hAnsiTheme="minorHAnsi"/>
                <w:b/>
                <w:sz w:val="22"/>
                <w:szCs w:val="22"/>
              </w:rPr>
            </w:pPr>
            <w:r w:rsidRPr="00A8300E">
              <w:rPr>
                <w:b/>
              </w:rPr>
              <w:t>Trading venue</w:t>
            </w:r>
          </w:p>
        </w:tc>
        <w:tc>
          <w:tcPr>
            <w:tcW w:w="2254" w:type="dxa"/>
          </w:tcPr>
          <w:p w14:paraId="57D0C8C7" w14:textId="77777777" w:rsidR="0035550B" w:rsidRPr="00A8300E" w:rsidRDefault="0035550B" w:rsidP="00180C5D">
            <w:pPr>
              <w:rPr>
                <w:rFonts w:asciiTheme="minorHAnsi" w:hAnsiTheme="minorHAnsi"/>
                <w:sz w:val="22"/>
                <w:szCs w:val="22"/>
              </w:rPr>
            </w:pPr>
            <w:r w:rsidRPr="004A0164">
              <w:t>[1-50]</w:t>
            </w:r>
          </w:p>
        </w:tc>
        <w:tc>
          <w:tcPr>
            <w:tcW w:w="3000" w:type="dxa"/>
          </w:tcPr>
          <w:p w14:paraId="7FB3533B" w14:textId="77777777" w:rsidR="0035550B" w:rsidRPr="00A8300E" w:rsidRDefault="0035550B" w:rsidP="00180C5D">
            <w:pPr>
              <w:rPr>
                <w:rFonts w:asciiTheme="minorHAnsi" w:hAnsiTheme="minorHAnsi" w:cs="Arial"/>
                <w:sz w:val="22"/>
                <w:szCs w:val="22"/>
              </w:rPr>
            </w:pPr>
            <w:r w:rsidRPr="004A0164">
              <w:rPr>
                <w:rFonts w:cs="Arial"/>
              </w:rPr>
              <w:t>TYPE YOUR TEXT HERE</w:t>
            </w:r>
          </w:p>
          <w:p w14:paraId="1D8CEF94" w14:textId="77777777" w:rsidR="0035550B" w:rsidRPr="00A8300E" w:rsidRDefault="0035550B" w:rsidP="00180C5D">
            <w:pPr>
              <w:rPr>
                <w:rFonts w:asciiTheme="minorHAnsi" w:hAnsiTheme="minorHAnsi"/>
                <w:b/>
                <w:sz w:val="22"/>
                <w:szCs w:val="22"/>
              </w:rPr>
            </w:pPr>
          </w:p>
        </w:tc>
      </w:tr>
      <w:tr w:rsidR="0035550B" w:rsidRPr="004A0164" w14:paraId="6EA48C73" w14:textId="77777777" w:rsidTr="00180C5D">
        <w:tc>
          <w:tcPr>
            <w:tcW w:w="2254" w:type="dxa"/>
            <w:vMerge/>
          </w:tcPr>
          <w:p w14:paraId="36E06D93" w14:textId="77777777" w:rsidR="0035550B" w:rsidRPr="00A8300E" w:rsidRDefault="0035550B" w:rsidP="00180C5D">
            <w:pPr>
              <w:rPr>
                <w:rFonts w:asciiTheme="minorHAnsi" w:hAnsiTheme="minorHAnsi"/>
                <w:b/>
                <w:sz w:val="22"/>
                <w:szCs w:val="22"/>
              </w:rPr>
            </w:pPr>
          </w:p>
        </w:tc>
        <w:tc>
          <w:tcPr>
            <w:tcW w:w="2254" w:type="dxa"/>
          </w:tcPr>
          <w:p w14:paraId="5AD867CF" w14:textId="77777777" w:rsidR="0035550B" w:rsidRPr="00A8300E" w:rsidRDefault="0035550B" w:rsidP="00180C5D">
            <w:pPr>
              <w:rPr>
                <w:rFonts w:asciiTheme="minorHAnsi" w:hAnsiTheme="minorHAnsi"/>
                <w:sz w:val="22"/>
                <w:szCs w:val="22"/>
              </w:rPr>
            </w:pPr>
            <w:r w:rsidRPr="004A0164">
              <w:t>[51-250]</w:t>
            </w:r>
          </w:p>
        </w:tc>
        <w:tc>
          <w:tcPr>
            <w:tcW w:w="3000" w:type="dxa"/>
          </w:tcPr>
          <w:p w14:paraId="3B134E03" w14:textId="77777777" w:rsidR="0035550B" w:rsidRPr="00A8300E" w:rsidRDefault="0035550B" w:rsidP="00180C5D">
            <w:pPr>
              <w:rPr>
                <w:rFonts w:asciiTheme="minorHAnsi" w:hAnsiTheme="minorHAnsi" w:cs="Arial"/>
                <w:sz w:val="22"/>
                <w:szCs w:val="22"/>
              </w:rPr>
            </w:pPr>
            <w:r w:rsidRPr="004A0164">
              <w:rPr>
                <w:rFonts w:cs="Arial"/>
              </w:rPr>
              <w:t>TYPE YOUR TEXT HERE</w:t>
            </w:r>
          </w:p>
        </w:tc>
      </w:tr>
      <w:tr w:rsidR="0035550B" w:rsidRPr="004A0164" w14:paraId="6F1B8615" w14:textId="77777777" w:rsidTr="00180C5D">
        <w:tc>
          <w:tcPr>
            <w:tcW w:w="2254" w:type="dxa"/>
            <w:vMerge/>
          </w:tcPr>
          <w:p w14:paraId="39ACFCEE" w14:textId="77777777" w:rsidR="0035550B" w:rsidRPr="00A8300E" w:rsidRDefault="0035550B" w:rsidP="00180C5D">
            <w:pPr>
              <w:rPr>
                <w:rFonts w:asciiTheme="minorHAnsi" w:hAnsiTheme="minorHAnsi"/>
                <w:b/>
                <w:sz w:val="22"/>
                <w:szCs w:val="22"/>
              </w:rPr>
            </w:pPr>
          </w:p>
        </w:tc>
        <w:tc>
          <w:tcPr>
            <w:tcW w:w="2254" w:type="dxa"/>
          </w:tcPr>
          <w:p w14:paraId="3C7018B1" w14:textId="77777777" w:rsidR="0035550B" w:rsidRPr="00A8300E" w:rsidRDefault="0035550B" w:rsidP="00180C5D">
            <w:pPr>
              <w:rPr>
                <w:rFonts w:asciiTheme="minorHAnsi" w:hAnsiTheme="minorHAnsi"/>
                <w:sz w:val="22"/>
                <w:szCs w:val="22"/>
              </w:rPr>
            </w:pPr>
            <w:r w:rsidRPr="004A0164">
              <w:t>[251-1000]</w:t>
            </w:r>
          </w:p>
        </w:tc>
        <w:tc>
          <w:tcPr>
            <w:tcW w:w="3000" w:type="dxa"/>
          </w:tcPr>
          <w:p w14:paraId="33701D29" w14:textId="77777777" w:rsidR="0035550B" w:rsidRPr="00A8300E" w:rsidRDefault="0035550B" w:rsidP="00180C5D">
            <w:pPr>
              <w:rPr>
                <w:rFonts w:asciiTheme="minorHAnsi" w:hAnsiTheme="minorHAnsi" w:cs="Arial"/>
                <w:sz w:val="22"/>
                <w:szCs w:val="22"/>
              </w:rPr>
            </w:pPr>
            <w:r w:rsidRPr="004A0164">
              <w:rPr>
                <w:rFonts w:cs="Arial"/>
              </w:rPr>
              <w:t>TYPE YOUR TEXT HERE</w:t>
            </w:r>
          </w:p>
        </w:tc>
      </w:tr>
      <w:tr w:rsidR="0035550B" w:rsidRPr="004A0164" w14:paraId="4D184110" w14:textId="77777777" w:rsidTr="00A8300E">
        <w:tc>
          <w:tcPr>
            <w:tcW w:w="2254" w:type="dxa"/>
            <w:vMerge/>
          </w:tcPr>
          <w:p w14:paraId="0DF3CBD1" w14:textId="77777777" w:rsidR="0035550B" w:rsidRPr="00A8300E" w:rsidRDefault="0035550B" w:rsidP="00180C5D">
            <w:pPr>
              <w:rPr>
                <w:rFonts w:asciiTheme="minorHAnsi" w:hAnsiTheme="minorHAnsi"/>
                <w:b/>
                <w:sz w:val="22"/>
                <w:szCs w:val="22"/>
              </w:rPr>
            </w:pPr>
          </w:p>
        </w:tc>
        <w:tc>
          <w:tcPr>
            <w:tcW w:w="2254" w:type="dxa"/>
            <w:shd w:val="clear" w:color="auto" w:fill="auto"/>
          </w:tcPr>
          <w:p w14:paraId="5CDED1E3" w14:textId="3CFDFC5F" w:rsidR="0035550B" w:rsidRPr="00A8300E" w:rsidRDefault="0035550B" w:rsidP="00180C5D">
            <w:pPr>
              <w:rPr>
                <w:rFonts w:asciiTheme="minorHAnsi" w:hAnsiTheme="minorHAnsi"/>
                <w:sz w:val="22"/>
                <w:szCs w:val="22"/>
                <w:lang w:val="de-DE"/>
              </w:rPr>
            </w:pPr>
            <w:r w:rsidRPr="00A8300E">
              <w:rPr>
                <w:lang w:val="de-DE"/>
              </w:rPr>
              <w:t>&gt;1000</w:t>
            </w:r>
            <w:r w:rsidR="00240F54" w:rsidRPr="00A8300E">
              <w:rPr>
                <w:lang w:val="de-DE"/>
              </w:rPr>
              <w:t xml:space="preserve"> (For Deutsche </w:t>
            </w:r>
            <w:r w:rsidR="006B7B44">
              <w:rPr>
                <w:lang w:val="de-DE"/>
              </w:rPr>
              <w:t>Börse</w:t>
            </w:r>
            <w:r w:rsidR="00240F54" w:rsidRPr="00A8300E">
              <w:rPr>
                <w:lang w:val="de-DE"/>
              </w:rPr>
              <w:t xml:space="preserve"> AG in total)</w:t>
            </w:r>
          </w:p>
        </w:tc>
        <w:tc>
          <w:tcPr>
            <w:tcW w:w="3000" w:type="dxa"/>
          </w:tcPr>
          <w:p w14:paraId="6B26DDCF" w14:textId="76C7A306" w:rsidR="00373334" w:rsidRPr="00A8300E" w:rsidRDefault="00373334" w:rsidP="00180C5D">
            <w:pPr>
              <w:rPr>
                <w:rFonts w:asciiTheme="minorHAnsi" w:hAnsiTheme="minorHAnsi"/>
                <w:b/>
                <w:sz w:val="22"/>
                <w:szCs w:val="22"/>
              </w:rPr>
            </w:pPr>
            <w:r w:rsidRPr="004A0164">
              <w:rPr>
                <w:rFonts w:cs="Arial"/>
              </w:rPr>
              <w:t xml:space="preserve">1,376,405 (Xetra: 1,329,670; </w:t>
            </w:r>
            <w:r w:rsidR="006B7B44">
              <w:rPr>
                <w:rFonts w:cs="Arial"/>
              </w:rPr>
              <w:t>Börse</w:t>
            </w:r>
            <w:r w:rsidRPr="004A0164">
              <w:rPr>
                <w:rFonts w:cs="Arial"/>
              </w:rPr>
              <w:t xml:space="preserve"> Frankfurt: 46,734)</w:t>
            </w:r>
          </w:p>
        </w:tc>
      </w:tr>
      <w:tr w:rsidR="0035550B" w:rsidRPr="004A0164" w14:paraId="688E524F" w14:textId="77777777" w:rsidTr="00180C5D">
        <w:tc>
          <w:tcPr>
            <w:tcW w:w="2254" w:type="dxa"/>
            <w:vMerge w:val="restart"/>
          </w:tcPr>
          <w:p w14:paraId="3684EE30" w14:textId="77777777" w:rsidR="0035550B" w:rsidRPr="00A8300E" w:rsidRDefault="0035550B" w:rsidP="00180C5D">
            <w:pPr>
              <w:rPr>
                <w:rFonts w:asciiTheme="minorHAnsi" w:hAnsiTheme="minorHAnsi"/>
                <w:b/>
                <w:sz w:val="22"/>
                <w:szCs w:val="22"/>
              </w:rPr>
            </w:pPr>
            <w:r w:rsidRPr="004A0164">
              <w:rPr>
                <w:b/>
              </w:rPr>
              <w:t xml:space="preserve">Sell-side firm </w:t>
            </w:r>
          </w:p>
        </w:tc>
        <w:tc>
          <w:tcPr>
            <w:tcW w:w="2254" w:type="dxa"/>
          </w:tcPr>
          <w:p w14:paraId="24B26614" w14:textId="77777777" w:rsidR="0035550B" w:rsidRPr="00A8300E" w:rsidRDefault="0035550B" w:rsidP="00180C5D">
            <w:pPr>
              <w:rPr>
                <w:rFonts w:asciiTheme="minorHAnsi" w:hAnsiTheme="minorHAnsi"/>
                <w:sz w:val="22"/>
                <w:szCs w:val="22"/>
              </w:rPr>
            </w:pPr>
            <w:r w:rsidRPr="004A0164">
              <w:t>[1-50]</w:t>
            </w:r>
          </w:p>
        </w:tc>
        <w:tc>
          <w:tcPr>
            <w:tcW w:w="3000" w:type="dxa"/>
          </w:tcPr>
          <w:p w14:paraId="6B02E168" w14:textId="77777777" w:rsidR="0035550B" w:rsidRPr="00A8300E" w:rsidRDefault="0035550B" w:rsidP="00180C5D">
            <w:pPr>
              <w:rPr>
                <w:rFonts w:asciiTheme="minorHAnsi" w:hAnsiTheme="minorHAnsi"/>
                <w:sz w:val="22"/>
                <w:szCs w:val="22"/>
              </w:rPr>
            </w:pPr>
            <w:r w:rsidRPr="004A0164">
              <w:rPr>
                <w:rFonts w:cs="Arial"/>
              </w:rPr>
              <w:t>TYPE YOUR TEXT HERE</w:t>
            </w:r>
          </w:p>
        </w:tc>
      </w:tr>
      <w:tr w:rsidR="0035550B" w:rsidRPr="004A0164" w14:paraId="085A8098" w14:textId="77777777" w:rsidTr="00180C5D">
        <w:tc>
          <w:tcPr>
            <w:tcW w:w="2254" w:type="dxa"/>
            <w:vMerge/>
          </w:tcPr>
          <w:p w14:paraId="36F88089" w14:textId="77777777" w:rsidR="0035550B" w:rsidRPr="00A8300E" w:rsidRDefault="0035550B" w:rsidP="00180C5D">
            <w:pPr>
              <w:rPr>
                <w:rFonts w:asciiTheme="minorHAnsi" w:hAnsiTheme="minorHAnsi"/>
                <w:b/>
                <w:sz w:val="22"/>
                <w:szCs w:val="22"/>
              </w:rPr>
            </w:pPr>
          </w:p>
        </w:tc>
        <w:tc>
          <w:tcPr>
            <w:tcW w:w="2254" w:type="dxa"/>
          </w:tcPr>
          <w:p w14:paraId="7667C775" w14:textId="77777777" w:rsidR="0035550B" w:rsidRPr="00A8300E" w:rsidRDefault="0035550B" w:rsidP="00180C5D">
            <w:pPr>
              <w:rPr>
                <w:rFonts w:asciiTheme="minorHAnsi" w:hAnsiTheme="minorHAnsi"/>
                <w:sz w:val="22"/>
                <w:szCs w:val="22"/>
              </w:rPr>
            </w:pPr>
            <w:r w:rsidRPr="004A0164">
              <w:t>[51-250]</w:t>
            </w:r>
          </w:p>
        </w:tc>
        <w:tc>
          <w:tcPr>
            <w:tcW w:w="3000" w:type="dxa"/>
          </w:tcPr>
          <w:p w14:paraId="065BBC7B" w14:textId="77777777" w:rsidR="0035550B" w:rsidRPr="00A8300E" w:rsidRDefault="0035550B" w:rsidP="00180C5D">
            <w:pPr>
              <w:rPr>
                <w:rFonts w:asciiTheme="minorHAnsi" w:hAnsiTheme="minorHAnsi"/>
                <w:sz w:val="22"/>
                <w:szCs w:val="22"/>
              </w:rPr>
            </w:pPr>
            <w:r w:rsidRPr="004A0164">
              <w:rPr>
                <w:rFonts w:cs="Arial"/>
              </w:rPr>
              <w:t>TYPE YOUR TEXT HERE</w:t>
            </w:r>
          </w:p>
        </w:tc>
      </w:tr>
      <w:tr w:rsidR="0035550B" w:rsidRPr="004A0164" w14:paraId="64A9B1F1" w14:textId="77777777" w:rsidTr="00180C5D">
        <w:tc>
          <w:tcPr>
            <w:tcW w:w="2254" w:type="dxa"/>
            <w:vMerge/>
          </w:tcPr>
          <w:p w14:paraId="13040CC1" w14:textId="77777777" w:rsidR="0035550B" w:rsidRPr="00A8300E" w:rsidRDefault="0035550B" w:rsidP="00180C5D">
            <w:pPr>
              <w:rPr>
                <w:rFonts w:asciiTheme="minorHAnsi" w:hAnsiTheme="minorHAnsi"/>
                <w:b/>
                <w:sz w:val="22"/>
                <w:szCs w:val="22"/>
              </w:rPr>
            </w:pPr>
          </w:p>
        </w:tc>
        <w:tc>
          <w:tcPr>
            <w:tcW w:w="2254" w:type="dxa"/>
          </w:tcPr>
          <w:p w14:paraId="1D6A112C" w14:textId="77777777" w:rsidR="0035550B" w:rsidRPr="00A8300E" w:rsidRDefault="0035550B" w:rsidP="00180C5D">
            <w:pPr>
              <w:rPr>
                <w:rFonts w:asciiTheme="minorHAnsi" w:hAnsiTheme="minorHAnsi"/>
                <w:sz w:val="22"/>
                <w:szCs w:val="22"/>
              </w:rPr>
            </w:pPr>
            <w:r w:rsidRPr="004A0164">
              <w:t>[251-1000]</w:t>
            </w:r>
          </w:p>
        </w:tc>
        <w:tc>
          <w:tcPr>
            <w:tcW w:w="3000" w:type="dxa"/>
          </w:tcPr>
          <w:p w14:paraId="09217C49" w14:textId="77777777" w:rsidR="0035550B" w:rsidRPr="00A8300E" w:rsidRDefault="0035550B" w:rsidP="00180C5D">
            <w:pPr>
              <w:rPr>
                <w:rFonts w:asciiTheme="minorHAnsi" w:hAnsiTheme="minorHAnsi"/>
                <w:sz w:val="22"/>
                <w:szCs w:val="22"/>
              </w:rPr>
            </w:pPr>
            <w:r w:rsidRPr="004A0164">
              <w:rPr>
                <w:rFonts w:cs="Arial"/>
              </w:rPr>
              <w:t>TYPE YOUR TEXT HERE</w:t>
            </w:r>
          </w:p>
        </w:tc>
      </w:tr>
      <w:tr w:rsidR="0035550B" w:rsidRPr="004A0164" w14:paraId="2862767A" w14:textId="77777777" w:rsidTr="00180C5D">
        <w:tc>
          <w:tcPr>
            <w:tcW w:w="2254" w:type="dxa"/>
            <w:vMerge/>
          </w:tcPr>
          <w:p w14:paraId="5D1C57F2" w14:textId="77777777" w:rsidR="0035550B" w:rsidRPr="00A8300E" w:rsidRDefault="0035550B" w:rsidP="00180C5D">
            <w:pPr>
              <w:rPr>
                <w:rFonts w:asciiTheme="minorHAnsi" w:hAnsiTheme="minorHAnsi"/>
                <w:b/>
                <w:sz w:val="22"/>
                <w:szCs w:val="22"/>
              </w:rPr>
            </w:pPr>
          </w:p>
        </w:tc>
        <w:tc>
          <w:tcPr>
            <w:tcW w:w="2254" w:type="dxa"/>
          </w:tcPr>
          <w:p w14:paraId="2366C03F" w14:textId="77777777" w:rsidR="0035550B" w:rsidRPr="00A8300E" w:rsidRDefault="0035550B" w:rsidP="00180C5D">
            <w:pPr>
              <w:rPr>
                <w:rFonts w:asciiTheme="minorHAnsi" w:hAnsiTheme="minorHAnsi"/>
                <w:sz w:val="22"/>
                <w:szCs w:val="22"/>
              </w:rPr>
            </w:pPr>
            <w:r w:rsidRPr="004A0164">
              <w:t>&gt;1000</w:t>
            </w:r>
          </w:p>
        </w:tc>
        <w:tc>
          <w:tcPr>
            <w:tcW w:w="3000" w:type="dxa"/>
          </w:tcPr>
          <w:p w14:paraId="37EA08DA" w14:textId="77777777" w:rsidR="0035550B" w:rsidRPr="00A8300E" w:rsidRDefault="0035550B" w:rsidP="00180C5D">
            <w:pPr>
              <w:rPr>
                <w:rFonts w:asciiTheme="minorHAnsi" w:hAnsiTheme="minorHAnsi"/>
                <w:sz w:val="22"/>
                <w:szCs w:val="22"/>
              </w:rPr>
            </w:pPr>
            <w:r w:rsidRPr="004A0164">
              <w:rPr>
                <w:rFonts w:cs="Arial"/>
              </w:rPr>
              <w:t>TYPE YOUR TEXT HERE</w:t>
            </w:r>
          </w:p>
        </w:tc>
      </w:tr>
      <w:tr w:rsidR="0035550B" w:rsidRPr="004A0164" w14:paraId="7357F28A" w14:textId="77777777" w:rsidTr="00180C5D">
        <w:tc>
          <w:tcPr>
            <w:tcW w:w="2254" w:type="dxa"/>
          </w:tcPr>
          <w:p w14:paraId="6467F3A5" w14:textId="77777777" w:rsidR="0035550B" w:rsidRPr="00A8300E" w:rsidRDefault="0035550B" w:rsidP="00180C5D">
            <w:pPr>
              <w:rPr>
                <w:rFonts w:asciiTheme="minorHAnsi" w:hAnsiTheme="minorHAnsi"/>
                <w:b/>
                <w:sz w:val="22"/>
                <w:szCs w:val="22"/>
              </w:rPr>
            </w:pPr>
          </w:p>
        </w:tc>
        <w:tc>
          <w:tcPr>
            <w:tcW w:w="2254" w:type="dxa"/>
          </w:tcPr>
          <w:p w14:paraId="02FAEC2B" w14:textId="77777777" w:rsidR="0035550B" w:rsidRPr="00A8300E" w:rsidRDefault="0035550B" w:rsidP="00180C5D">
            <w:pPr>
              <w:rPr>
                <w:rFonts w:asciiTheme="minorHAnsi" w:hAnsiTheme="minorHAnsi"/>
                <w:sz w:val="22"/>
                <w:szCs w:val="22"/>
              </w:rPr>
            </w:pPr>
          </w:p>
        </w:tc>
        <w:tc>
          <w:tcPr>
            <w:tcW w:w="3000" w:type="dxa"/>
          </w:tcPr>
          <w:p w14:paraId="6F42DE52" w14:textId="77777777" w:rsidR="0035550B" w:rsidRPr="00A8300E" w:rsidRDefault="0035550B" w:rsidP="00180C5D">
            <w:pPr>
              <w:spacing w:before="240"/>
              <w:rPr>
                <w:rFonts w:asciiTheme="minorHAnsi" w:hAnsiTheme="minorHAnsi"/>
                <w:b/>
                <w:sz w:val="22"/>
                <w:szCs w:val="22"/>
              </w:rPr>
            </w:pPr>
            <w:r w:rsidRPr="004A0164">
              <w:rPr>
                <w:b/>
              </w:rPr>
              <w:t>Assets under management on 31/12/2017 (in millions euros)</w:t>
            </w:r>
          </w:p>
        </w:tc>
      </w:tr>
      <w:tr w:rsidR="0035550B" w:rsidRPr="004A0164" w14:paraId="3F95A1E7" w14:textId="77777777" w:rsidTr="00180C5D">
        <w:tc>
          <w:tcPr>
            <w:tcW w:w="2254" w:type="dxa"/>
            <w:vMerge w:val="restart"/>
          </w:tcPr>
          <w:p w14:paraId="1000878E" w14:textId="77777777" w:rsidR="0035550B" w:rsidRPr="00A8300E" w:rsidRDefault="0035550B" w:rsidP="00180C5D">
            <w:pPr>
              <w:rPr>
                <w:rFonts w:asciiTheme="minorHAnsi" w:hAnsiTheme="minorHAnsi"/>
                <w:b/>
                <w:sz w:val="22"/>
                <w:szCs w:val="22"/>
              </w:rPr>
            </w:pPr>
            <w:r w:rsidRPr="004A0164">
              <w:rPr>
                <w:b/>
              </w:rPr>
              <w:t>Buy-side firm</w:t>
            </w:r>
          </w:p>
        </w:tc>
        <w:tc>
          <w:tcPr>
            <w:tcW w:w="2254" w:type="dxa"/>
          </w:tcPr>
          <w:p w14:paraId="7F5D09F4" w14:textId="77777777" w:rsidR="0035550B" w:rsidRPr="00A8300E" w:rsidRDefault="0035550B" w:rsidP="00180C5D">
            <w:pPr>
              <w:rPr>
                <w:rFonts w:asciiTheme="minorHAnsi" w:hAnsiTheme="minorHAnsi"/>
                <w:sz w:val="22"/>
                <w:szCs w:val="22"/>
              </w:rPr>
            </w:pPr>
            <w:r w:rsidRPr="004A0164">
              <w:t>[1-50]</w:t>
            </w:r>
          </w:p>
        </w:tc>
        <w:tc>
          <w:tcPr>
            <w:tcW w:w="3000" w:type="dxa"/>
          </w:tcPr>
          <w:p w14:paraId="2F53DEC3" w14:textId="77777777" w:rsidR="0035550B" w:rsidRPr="00A8300E" w:rsidRDefault="0035550B" w:rsidP="00180C5D">
            <w:pPr>
              <w:rPr>
                <w:rFonts w:asciiTheme="minorHAnsi" w:hAnsiTheme="minorHAnsi"/>
                <w:sz w:val="22"/>
                <w:szCs w:val="22"/>
              </w:rPr>
            </w:pPr>
            <w:r w:rsidRPr="004A0164">
              <w:rPr>
                <w:rFonts w:cs="Arial"/>
              </w:rPr>
              <w:t>TYPE YOUR TEXT HERE</w:t>
            </w:r>
          </w:p>
        </w:tc>
      </w:tr>
      <w:tr w:rsidR="0035550B" w:rsidRPr="004A0164" w14:paraId="249E5694" w14:textId="77777777" w:rsidTr="00180C5D">
        <w:tc>
          <w:tcPr>
            <w:tcW w:w="2254" w:type="dxa"/>
            <w:vMerge/>
          </w:tcPr>
          <w:p w14:paraId="6A70E432" w14:textId="77777777" w:rsidR="0035550B" w:rsidRPr="00A8300E" w:rsidRDefault="0035550B" w:rsidP="00180C5D">
            <w:pPr>
              <w:rPr>
                <w:rFonts w:asciiTheme="minorHAnsi" w:hAnsiTheme="minorHAnsi"/>
                <w:b/>
                <w:sz w:val="22"/>
                <w:szCs w:val="22"/>
              </w:rPr>
            </w:pPr>
          </w:p>
        </w:tc>
        <w:tc>
          <w:tcPr>
            <w:tcW w:w="2254" w:type="dxa"/>
          </w:tcPr>
          <w:p w14:paraId="07EF44BC" w14:textId="77777777" w:rsidR="0035550B" w:rsidRPr="00A8300E" w:rsidRDefault="0035550B" w:rsidP="00180C5D">
            <w:pPr>
              <w:rPr>
                <w:rFonts w:asciiTheme="minorHAnsi" w:hAnsiTheme="minorHAnsi"/>
                <w:sz w:val="22"/>
                <w:szCs w:val="22"/>
              </w:rPr>
            </w:pPr>
            <w:r w:rsidRPr="004A0164">
              <w:t>[51-250]</w:t>
            </w:r>
          </w:p>
        </w:tc>
        <w:tc>
          <w:tcPr>
            <w:tcW w:w="3000" w:type="dxa"/>
          </w:tcPr>
          <w:p w14:paraId="012C895D" w14:textId="77777777" w:rsidR="0035550B" w:rsidRPr="00A8300E" w:rsidRDefault="0035550B" w:rsidP="00180C5D">
            <w:pPr>
              <w:rPr>
                <w:rFonts w:asciiTheme="minorHAnsi" w:hAnsiTheme="minorHAnsi"/>
                <w:sz w:val="22"/>
                <w:szCs w:val="22"/>
              </w:rPr>
            </w:pPr>
            <w:r w:rsidRPr="004A0164">
              <w:rPr>
                <w:rFonts w:cs="Arial"/>
              </w:rPr>
              <w:t>TYPE YOUR TEXT HERE</w:t>
            </w:r>
          </w:p>
        </w:tc>
      </w:tr>
      <w:tr w:rsidR="0035550B" w:rsidRPr="004A0164" w14:paraId="366DC578" w14:textId="77777777" w:rsidTr="00180C5D">
        <w:tc>
          <w:tcPr>
            <w:tcW w:w="2254" w:type="dxa"/>
            <w:vMerge/>
          </w:tcPr>
          <w:p w14:paraId="696C4288" w14:textId="77777777" w:rsidR="0035550B" w:rsidRPr="00A8300E" w:rsidRDefault="0035550B" w:rsidP="00180C5D">
            <w:pPr>
              <w:rPr>
                <w:rFonts w:asciiTheme="minorHAnsi" w:hAnsiTheme="minorHAnsi"/>
                <w:b/>
                <w:sz w:val="22"/>
                <w:szCs w:val="22"/>
              </w:rPr>
            </w:pPr>
          </w:p>
        </w:tc>
        <w:tc>
          <w:tcPr>
            <w:tcW w:w="2254" w:type="dxa"/>
          </w:tcPr>
          <w:p w14:paraId="79414DC8" w14:textId="77777777" w:rsidR="0035550B" w:rsidRPr="00A8300E" w:rsidRDefault="0035550B" w:rsidP="00180C5D">
            <w:pPr>
              <w:rPr>
                <w:rFonts w:asciiTheme="minorHAnsi" w:hAnsiTheme="minorHAnsi"/>
                <w:sz w:val="22"/>
                <w:szCs w:val="22"/>
              </w:rPr>
            </w:pPr>
            <w:r w:rsidRPr="004A0164">
              <w:t>[251-1000]</w:t>
            </w:r>
          </w:p>
        </w:tc>
        <w:tc>
          <w:tcPr>
            <w:tcW w:w="3000" w:type="dxa"/>
          </w:tcPr>
          <w:p w14:paraId="5951E93E" w14:textId="77777777" w:rsidR="0035550B" w:rsidRPr="00A8300E" w:rsidRDefault="0035550B" w:rsidP="00180C5D">
            <w:pPr>
              <w:rPr>
                <w:rFonts w:asciiTheme="minorHAnsi" w:hAnsiTheme="minorHAnsi"/>
                <w:sz w:val="22"/>
                <w:szCs w:val="22"/>
              </w:rPr>
            </w:pPr>
            <w:r w:rsidRPr="004A0164">
              <w:rPr>
                <w:rFonts w:cs="Arial"/>
              </w:rPr>
              <w:t>TYPE YOUR TEXT HERE</w:t>
            </w:r>
          </w:p>
        </w:tc>
      </w:tr>
      <w:tr w:rsidR="0035550B" w:rsidRPr="004A0164" w14:paraId="756E5F6F" w14:textId="77777777" w:rsidTr="00180C5D">
        <w:tc>
          <w:tcPr>
            <w:tcW w:w="2254" w:type="dxa"/>
            <w:vMerge/>
          </w:tcPr>
          <w:p w14:paraId="2C3D4D2F" w14:textId="77777777" w:rsidR="0035550B" w:rsidRPr="00A8300E" w:rsidRDefault="0035550B" w:rsidP="00180C5D">
            <w:pPr>
              <w:rPr>
                <w:rFonts w:asciiTheme="minorHAnsi" w:hAnsiTheme="minorHAnsi"/>
                <w:b/>
                <w:sz w:val="22"/>
                <w:szCs w:val="22"/>
              </w:rPr>
            </w:pPr>
          </w:p>
        </w:tc>
        <w:tc>
          <w:tcPr>
            <w:tcW w:w="2254" w:type="dxa"/>
          </w:tcPr>
          <w:p w14:paraId="46C6CD94" w14:textId="77777777" w:rsidR="0035550B" w:rsidRPr="00A8300E" w:rsidRDefault="0035550B" w:rsidP="00180C5D">
            <w:pPr>
              <w:rPr>
                <w:rFonts w:asciiTheme="minorHAnsi" w:hAnsiTheme="minorHAnsi"/>
                <w:sz w:val="22"/>
                <w:szCs w:val="22"/>
              </w:rPr>
            </w:pPr>
            <w:r w:rsidRPr="004A0164">
              <w:t>&gt;1000</w:t>
            </w:r>
          </w:p>
        </w:tc>
        <w:tc>
          <w:tcPr>
            <w:tcW w:w="3000" w:type="dxa"/>
          </w:tcPr>
          <w:p w14:paraId="53C987DF" w14:textId="77777777" w:rsidR="0035550B" w:rsidRPr="00A8300E" w:rsidRDefault="0035550B" w:rsidP="00180C5D">
            <w:pPr>
              <w:rPr>
                <w:rFonts w:asciiTheme="minorHAnsi" w:hAnsiTheme="minorHAnsi"/>
                <w:sz w:val="22"/>
                <w:szCs w:val="22"/>
              </w:rPr>
            </w:pPr>
            <w:r w:rsidRPr="004A0164">
              <w:rPr>
                <w:rFonts w:cs="Arial"/>
              </w:rPr>
              <w:t>TYPE YOUR TEXT HERE</w:t>
            </w:r>
          </w:p>
        </w:tc>
      </w:tr>
      <w:tr w:rsidR="0035550B" w:rsidRPr="004A0164" w14:paraId="79000634" w14:textId="77777777" w:rsidTr="00180C5D">
        <w:tc>
          <w:tcPr>
            <w:tcW w:w="2254" w:type="dxa"/>
            <w:vMerge w:val="restart"/>
          </w:tcPr>
          <w:p w14:paraId="265014F8" w14:textId="77777777" w:rsidR="0035550B" w:rsidRPr="00A8300E" w:rsidRDefault="0035550B" w:rsidP="00180C5D">
            <w:pPr>
              <w:rPr>
                <w:rFonts w:asciiTheme="minorHAnsi" w:hAnsiTheme="minorHAnsi"/>
                <w:b/>
                <w:sz w:val="22"/>
                <w:szCs w:val="22"/>
              </w:rPr>
            </w:pPr>
            <w:r w:rsidRPr="004A0164">
              <w:rPr>
                <w:b/>
              </w:rPr>
              <w:t xml:space="preserve">Other (please specify) </w:t>
            </w:r>
          </w:p>
        </w:tc>
        <w:tc>
          <w:tcPr>
            <w:tcW w:w="2254" w:type="dxa"/>
          </w:tcPr>
          <w:p w14:paraId="69413A72" w14:textId="77777777" w:rsidR="0035550B" w:rsidRPr="00A8300E" w:rsidRDefault="0035550B" w:rsidP="00180C5D">
            <w:pPr>
              <w:rPr>
                <w:rFonts w:asciiTheme="minorHAnsi" w:hAnsiTheme="minorHAnsi"/>
                <w:sz w:val="22"/>
                <w:szCs w:val="22"/>
              </w:rPr>
            </w:pPr>
            <w:r w:rsidRPr="004A0164">
              <w:t>[1-50]</w:t>
            </w:r>
          </w:p>
        </w:tc>
        <w:tc>
          <w:tcPr>
            <w:tcW w:w="3000" w:type="dxa"/>
          </w:tcPr>
          <w:p w14:paraId="066C04C7" w14:textId="77777777" w:rsidR="0035550B" w:rsidRPr="00A8300E" w:rsidRDefault="0035550B" w:rsidP="00180C5D">
            <w:pPr>
              <w:rPr>
                <w:rFonts w:asciiTheme="minorHAnsi" w:hAnsiTheme="minorHAnsi"/>
                <w:sz w:val="22"/>
                <w:szCs w:val="22"/>
              </w:rPr>
            </w:pPr>
            <w:r w:rsidRPr="004A0164">
              <w:rPr>
                <w:rFonts w:cs="Arial"/>
              </w:rPr>
              <w:t>TYPE YOUR TEXT HERE</w:t>
            </w:r>
          </w:p>
        </w:tc>
      </w:tr>
      <w:tr w:rsidR="0035550B" w:rsidRPr="004A0164" w14:paraId="463922C8" w14:textId="77777777" w:rsidTr="00180C5D">
        <w:tc>
          <w:tcPr>
            <w:tcW w:w="2254" w:type="dxa"/>
            <w:vMerge/>
          </w:tcPr>
          <w:p w14:paraId="10FAF6C6" w14:textId="77777777" w:rsidR="0035550B" w:rsidRPr="00A8300E" w:rsidRDefault="0035550B" w:rsidP="00180C5D">
            <w:pPr>
              <w:rPr>
                <w:rFonts w:asciiTheme="minorHAnsi" w:hAnsiTheme="minorHAnsi"/>
                <w:b/>
                <w:sz w:val="22"/>
                <w:szCs w:val="22"/>
              </w:rPr>
            </w:pPr>
          </w:p>
        </w:tc>
        <w:tc>
          <w:tcPr>
            <w:tcW w:w="2254" w:type="dxa"/>
          </w:tcPr>
          <w:p w14:paraId="06D9C367" w14:textId="77777777" w:rsidR="0035550B" w:rsidRPr="00A8300E" w:rsidRDefault="0035550B" w:rsidP="00180C5D">
            <w:pPr>
              <w:rPr>
                <w:rFonts w:asciiTheme="minorHAnsi" w:hAnsiTheme="minorHAnsi"/>
                <w:sz w:val="22"/>
                <w:szCs w:val="22"/>
              </w:rPr>
            </w:pPr>
            <w:r w:rsidRPr="004A0164">
              <w:t>[51-250]</w:t>
            </w:r>
          </w:p>
        </w:tc>
        <w:tc>
          <w:tcPr>
            <w:tcW w:w="3000" w:type="dxa"/>
          </w:tcPr>
          <w:p w14:paraId="6B2A061B" w14:textId="77777777" w:rsidR="0035550B" w:rsidRPr="00A8300E" w:rsidRDefault="0035550B" w:rsidP="00180C5D">
            <w:pPr>
              <w:rPr>
                <w:rFonts w:asciiTheme="minorHAnsi" w:hAnsiTheme="minorHAnsi"/>
                <w:sz w:val="22"/>
                <w:szCs w:val="22"/>
              </w:rPr>
            </w:pPr>
            <w:r w:rsidRPr="004A0164">
              <w:rPr>
                <w:rFonts w:cs="Arial"/>
              </w:rPr>
              <w:t>TYPE YOUR TEXT HERE</w:t>
            </w:r>
          </w:p>
        </w:tc>
      </w:tr>
      <w:tr w:rsidR="0035550B" w:rsidRPr="004A0164" w14:paraId="01CB63F7" w14:textId="77777777" w:rsidTr="00180C5D">
        <w:tc>
          <w:tcPr>
            <w:tcW w:w="2254" w:type="dxa"/>
            <w:vMerge/>
          </w:tcPr>
          <w:p w14:paraId="18F83EEE" w14:textId="77777777" w:rsidR="0035550B" w:rsidRPr="00A8300E" w:rsidRDefault="0035550B" w:rsidP="00180C5D">
            <w:pPr>
              <w:rPr>
                <w:rFonts w:asciiTheme="minorHAnsi" w:hAnsiTheme="minorHAnsi"/>
                <w:b/>
                <w:sz w:val="22"/>
                <w:szCs w:val="22"/>
              </w:rPr>
            </w:pPr>
          </w:p>
        </w:tc>
        <w:tc>
          <w:tcPr>
            <w:tcW w:w="2254" w:type="dxa"/>
          </w:tcPr>
          <w:p w14:paraId="0692F600" w14:textId="77777777" w:rsidR="0035550B" w:rsidRPr="00A8300E" w:rsidRDefault="0035550B" w:rsidP="00180C5D">
            <w:pPr>
              <w:rPr>
                <w:rFonts w:asciiTheme="minorHAnsi" w:hAnsiTheme="minorHAnsi"/>
                <w:sz w:val="22"/>
                <w:szCs w:val="22"/>
              </w:rPr>
            </w:pPr>
            <w:r w:rsidRPr="004A0164">
              <w:t>[251-1000]</w:t>
            </w:r>
          </w:p>
        </w:tc>
        <w:tc>
          <w:tcPr>
            <w:tcW w:w="3000" w:type="dxa"/>
          </w:tcPr>
          <w:p w14:paraId="4EF400B1" w14:textId="77777777" w:rsidR="0035550B" w:rsidRPr="00A8300E" w:rsidRDefault="0035550B" w:rsidP="00180C5D">
            <w:pPr>
              <w:rPr>
                <w:rFonts w:asciiTheme="minorHAnsi" w:hAnsiTheme="minorHAnsi"/>
                <w:sz w:val="22"/>
                <w:szCs w:val="22"/>
              </w:rPr>
            </w:pPr>
            <w:r w:rsidRPr="004A0164">
              <w:rPr>
                <w:rFonts w:cs="Arial"/>
              </w:rPr>
              <w:t>TYPE YOUR TEXT HERE</w:t>
            </w:r>
          </w:p>
        </w:tc>
      </w:tr>
      <w:tr w:rsidR="0035550B" w:rsidRPr="004A0164" w14:paraId="370C8813" w14:textId="77777777" w:rsidTr="00180C5D">
        <w:tc>
          <w:tcPr>
            <w:tcW w:w="2254" w:type="dxa"/>
            <w:vMerge/>
          </w:tcPr>
          <w:p w14:paraId="72C6B027" w14:textId="77777777" w:rsidR="0035550B" w:rsidRPr="00A8300E" w:rsidRDefault="0035550B" w:rsidP="00180C5D">
            <w:pPr>
              <w:rPr>
                <w:rFonts w:asciiTheme="minorHAnsi" w:hAnsiTheme="minorHAnsi"/>
                <w:b/>
                <w:sz w:val="22"/>
                <w:szCs w:val="22"/>
              </w:rPr>
            </w:pPr>
          </w:p>
        </w:tc>
        <w:tc>
          <w:tcPr>
            <w:tcW w:w="2254" w:type="dxa"/>
          </w:tcPr>
          <w:p w14:paraId="4B60B591" w14:textId="77777777" w:rsidR="0035550B" w:rsidRPr="00A8300E" w:rsidRDefault="0035550B" w:rsidP="00180C5D">
            <w:pPr>
              <w:rPr>
                <w:rFonts w:asciiTheme="minorHAnsi" w:hAnsiTheme="minorHAnsi"/>
                <w:sz w:val="22"/>
                <w:szCs w:val="22"/>
              </w:rPr>
            </w:pPr>
            <w:r w:rsidRPr="004A0164">
              <w:t>&gt;1000</w:t>
            </w:r>
          </w:p>
        </w:tc>
        <w:tc>
          <w:tcPr>
            <w:tcW w:w="3000" w:type="dxa"/>
          </w:tcPr>
          <w:p w14:paraId="58224DB9" w14:textId="77777777" w:rsidR="0035550B" w:rsidRPr="00A8300E" w:rsidRDefault="0035550B" w:rsidP="00180C5D">
            <w:pPr>
              <w:rPr>
                <w:rFonts w:asciiTheme="minorHAnsi" w:hAnsiTheme="minorHAnsi"/>
                <w:sz w:val="22"/>
                <w:szCs w:val="22"/>
              </w:rPr>
            </w:pPr>
            <w:r w:rsidRPr="004A0164">
              <w:rPr>
                <w:rFonts w:cs="Arial"/>
              </w:rPr>
              <w:t>TYPE YOUR TEXT HERE</w:t>
            </w:r>
          </w:p>
        </w:tc>
      </w:tr>
    </w:tbl>
    <w:p w14:paraId="76CD20E2" w14:textId="77777777" w:rsidR="0035550B" w:rsidRPr="004A0164" w:rsidRDefault="0035550B" w:rsidP="0035550B">
      <w:pPr>
        <w:rPr>
          <w:rFonts w:cs="Arial"/>
        </w:rPr>
      </w:pPr>
    </w:p>
    <w:p w14:paraId="36737217" w14:textId="77777777" w:rsidR="0035550B" w:rsidRPr="004A0164" w:rsidRDefault="0035550B" w:rsidP="0035550B">
      <w:pPr>
        <w:rPr>
          <w:rFonts w:cs="Arial"/>
        </w:rPr>
      </w:pPr>
      <w:r w:rsidRPr="004A0164">
        <w:rPr>
          <w:rFonts w:cs="Arial"/>
        </w:rPr>
        <w:t>&lt;ESMA_QUESTION_ACDR_5&gt;</w:t>
      </w:r>
    </w:p>
    <w:p w14:paraId="05ECBD17" w14:textId="77777777" w:rsidR="0035550B" w:rsidRPr="004A0164" w:rsidRDefault="0035550B" w:rsidP="0035550B">
      <w:pPr>
        <w:rPr>
          <w:rFonts w:cs="Arial"/>
        </w:rPr>
      </w:pPr>
    </w:p>
    <w:p w14:paraId="661EE1F0" w14:textId="77777777" w:rsidR="0035550B" w:rsidRPr="00B034F3" w:rsidRDefault="0035550B" w:rsidP="00E26CBF">
      <w:pPr>
        <w:pStyle w:val="Questionstyle"/>
        <w:rPr>
          <w:szCs w:val="22"/>
        </w:rPr>
      </w:pPr>
      <w:r w:rsidRPr="002362FC">
        <w:rPr>
          <w:szCs w:val="22"/>
        </w:rPr>
        <w:t>CBA: (Not for trading venues) Based on the definition of third country shares provided in the draft RTS, how often do you trade any of those instruments on an EU trading venues (on average):</w:t>
      </w:r>
    </w:p>
    <w:p w14:paraId="49CE9213" w14:textId="77777777" w:rsidR="0035550B" w:rsidRPr="004A0164" w:rsidRDefault="0035550B" w:rsidP="0035550B">
      <w:pPr>
        <w:rPr>
          <w:rFonts w:cs="Arial"/>
        </w:rPr>
      </w:pPr>
      <w:r w:rsidRPr="004A0164">
        <w:rPr>
          <w:rFonts w:cs="Arial"/>
        </w:rPr>
        <w:t>&lt;ESMA_QUESTION_ACDR_6&gt;</w:t>
      </w:r>
    </w:p>
    <w:p w14:paraId="14C6AD3C" w14:textId="7245571E" w:rsidR="0035550B" w:rsidRPr="004A0164" w:rsidRDefault="005F51F7" w:rsidP="0035550B">
      <w:pPr>
        <w:rPr>
          <w:rFonts w:cs="Arial"/>
          <w:lang w:val="nl-BE"/>
        </w:rPr>
      </w:pPr>
      <w:sdt>
        <w:sdtPr>
          <w:rPr>
            <w:rFonts w:cs="Arial"/>
            <w:lang w:val="nl-BE"/>
          </w:rPr>
          <w:alias w:val="How often"/>
          <w:tag w:val="How often"/>
          <w:id w:val="1935851575"/>
          <w:comboBox>
            <w:listItem w:displayText="Choose an item." w:value="Choose an item."/>
            <w:listItem w:displayText="Never" w:value="Never"/>
            <w:listItem w:displayText="On a daily basis" w:value="On a daily basis"/>
            <w:listItem w:displayText="On a weekly basis" w:value="On a weekly basis"/>
            <w:listItem w:displayText="On a monthly basis" w:value="On a monthly basis"/>
            <w:listItem w:displayText="Less than on a monthly basis" w:value="Less than on a monthly basis"/>
          </w:comboBox>
        </w:sdtPr>
        <w:sdtEndPr/>
        <w:sdtContent>
          <w:r w:rsidR="0035550B" w:rsidRPr="004A0164">
            <w:rPr>
              <w:rFonts w:cs="Arial"/>
              <w:lang w:val="nl-BE"/>
            </w:rPr>
            <w:t>Choose an item.</w:t>
          </w:r>
        </w:sdtContent>
      </w:sdt>
    </w:p>
    <w:p w14:paraId="24F09178" w14:textId="77777777" w:rsidR="0035550B" w:rsidRPr="004A0164" w:rsidRDefault="0035550B" w:rsidP="0035550B">
      <w:pPr>
        <w:rPr>
          <w:rFonts w:cs="Arial"/>
        </w:rPr>
      </w:pPr>
      <w:r w:rsidRPr="004A0164">
        <w:rPr>
          <w:rFonts w:cs="Arial"/>
        </w:rPr>
        <w:t xml:space="preserve"> &lt;ESMA_QUESTION_ACDR_6&gt;</w:t>
      </w:r>
    </w:p>
    <w:p w14:paraId="3C0964B0" w14:textId="77777777" w:rsidR="0035550B" w:rsidRPr="00110E7C" w:rsidRDefault="0035550B" w:rsidP="0035550B">
      <w:pPr>
        <w:rPr>
          <w:rFonts w:cs="Arial"/>
        </w:rPr>
      </w:pPr>
    </w:p>
    <w:p w14:paraId="4F688156" w14:textId="77777777" w:rsidR="0035550B" w:rsidRPr="00A27806" w:rsidRDefault="0035550B" w:rsidP="00E26CBF">
      <w:pPr>
        <w:pStyle w:val="Questionstyle"/>
        <w:rPr>
          <w:szCs w:val="22"/>
        </w:rPr>
      </w:pPr>
      <w:r w:rsidRPr="00110E7C">
        <w:rPr>
          <w:szCs w:val="22"/>
        </w:rPr>
        <w:t>CBA: (For trading venues only) Based on the definition of third country shares provided in the draft RTS, how many shares t</w:t>
      </w:r>
      <w:r w:rsidRPr="00A27806">
        <w:rPr>
          <w:szCs w:val="22"/>
        </w:rPr>
        <w:t>raded on your trading venue would be eligible for a revised tick size regime? Which percentage of the total number of shares traded on your trading venue does this account for? Which percentage of total turnover does this account for?</w:t>
      </w:r>
    </w:p>
    <w:p w14:paraId="7736B26E" w14:textId="77777777" w:rsidR="0035550B" w:rsidRPr="00870D62" w:rsidRDefault="0035550B" w:rsidP="0035550B">
      <w:pPr>
        <w:rPr>
          <w:rFonts w:cs="Arial"/>
        </w:rPr>
      </w:pPr>
      <w:r w:rsidRPr="00870D62">
        <w:rPr>
          <w:rFonts w:cs="Arial"/>
        </w:rPr>
        <w:t>&lt;ESMA_QUESTION_ACDR_7&gt;</w:t>
      </w:r>
    </w:p>
    <w:tbl>
      <w:tblPr>
        <w:tblStyle w:val="Tabellenraster"/>
        <w:tblW w:w="9351" w:type="dxa"/>
        <w:tblLook w:val="04A0" w:firstRow="1" w:lastRow="0" w:firstColumn="1" w:lastColumn="0" w:noHBand="0" w:noVBand="1"/>
      </w:tblPr>
      <w:tblGrid>
        <w:gridCol w:w="6658"/>
        <w:gridCol w:w="2693"/>
      </w:tblGrid>
      <w:tr w:rsidR="0035550B" w:rsidRPr="004A0164" w14:paraId="097E61A9" w14:textId="77777777" w:rsidTr="00180C5D">
        <w:tc>
          <w:tcPr>
            <w:tcW w:w="6658" w:type="dxa"/>
            <w:shd w:val="clear" w:color="auto" w:fill="auto"/>
          </w:tcPr>
          <w:p w14:paraId="08681F46" w14:textId="77777777" w:rsidR="0035550B" w:rsidRPr="00A8300E" w:rsidRDefault="0035550B" w:rsidP="00180C5D">
            <w:pPr>
              <w:rPr>
                <w:rFonts w:asciiTheme="minorHAnsi" w:hAnsiTheme="minorHAnsi"/>
                <w:b/>
                <w:sz w:val="22"/>
                <w:szCs w:val="22"/>
              </w:rPr>
            </w:pPr>
            <w:r w:rsidRPr="004A0164">
              <w:rPr>
                <w:b/>
              </w:rPr>
              <w:t xml:space="preserve">Third country shares (shares for which the most liquid venue is located outside the EU and traded at least once a week on the most liquid EU venue) </w:t>
            </w:r>
          </w:p>
          <w:p w14:paraId="1D8476E8" w14:textId="77777777" w:rsidR="0035550B" w:rsidRPr="00A8300E" w:rsidRDefault="0035550B" w:rsidP="00180C5D">
            <w:pPr>
              <w:rPr>
                <w:rFonts w:asciiTheme="minorHAnsi" w:hAnsiTheme="minorHAnsi"/>
                <w:sz w:val="22"/>
                <w:szCs w:val="22"/>
              </w:rPr>
            </w:pPr>
          </w:p>
        </w:tc>
        <w:tc>
          <w:tcPr>
            <w:tcW w:w="2693" w:type="dxa"/>
            <w:shd w:val="clear" w:color="auto" w:fill="auto"/>
          </w:tcPr>
          <w:p w14:paraId="7DD257C7" w14:textId="77777777" w:rsidR="0035550B" w:rsidRPr="00A8300E" w:rsidRDefault="0035550B" w:rsidP="00180C5D">
            <w:pPr>
              <w:rPr>
                <w:rFonts w:asciiTheme="minorHAnsi" w:hAnsiTheme="minorHAnsi"/>
                <w:b/>
                <w:sz w:val="22"/>
                <w:szCs w:val="22"/>
              </w:rPr>
            </w:pPr>
            <w:r w:rsidRPr="004A0164">
              <w:rPr>
                <w:b/>
              </w:rPr>
              <w:t>As of 30/06/2018</w:t>
            </w:r>
          </w:p>
        </w:tc>
      </w:tr>
      <w:tr w:rsidR="0035550B" w:rsidRPr="004A0164" w14:paraId="02013049" w14:textId="77777777" w:rsidTr="00180C5D">
        <w:tc>
          <w:tcPr>
            <w:tcW w:w="6658" w:type="dxa"/>
            <w:shd w:val="clear" w:color="auto" w:fill="auto"/>
          </w:tcPr>
          <w:p w14:paraId="50754751" w14:textId="77777777" w:rsidR="0035550B" w:rsidRPr="00A8300E" w:rsidRDefault="0035550B" w:rsidP="00180C5D">
            <w:pPr>
              <w:rPr>
                <w:rFonts w:asciiTheme="minorHAnsi" w:hAnsiTheme="minorHAnsi"/>
                <w:sz w:val="22"/>
                <w:szCs w:val="22"/>
              </w:rPr>
            </w:pPr>
            <w:r w:rsidRPr="004A0164">
              <w:t xml:space="preserve">Number of third country shares traded on your trading venue </w:t>
            </w:r>
          </w:p>
          <w:p w14:paraId="3E3DCDBC" w14:textId="77777777" w:rsidR="0035550B" w:rsidRPr="00A8300E" w:rsidRDefault="0035550B" w:rsidP="00180C5D">
            <w:pPr>
              <w:rPr>
                <w:rFonts w:asciiTheme="minorHAnsi" w:hAnsiTheme="minorHAnsi"/>
                <w:sz w:val="22"/>
                <w:szCs w:val="22"/>
              </w:rPr>
            </w:pPr>
          </w:p>
        </w:tc>
        <w:tc>
          <w:tcPr>
            <w:tcW w:w="2693" w:type="dxa"/>
            <w:shd w:val="clear" w:color="auto" w:fill="auto"/>
          </w:tcPr>
          <w:p w14:paraId="640A80EF" w14:textId="77777777" w:rsidR="0035550B" w:rsidRPr="00A8300E" w:rsidRDefault="001B072B" w:rsidP="00180C5D">
            <w:pPr>
              <w:rPr>
                <w:rFonts w:asciiTheme="minorHAnsi" w:hAnsiTheme="minorHAnsi" w:cs="Arial"/>
                <w:sz w:val="22"/>
                <w:szCs w:val="22"/>
              </w:rPr>
            </w:pPr>
            <w:r w:rsidRPr="004A0164">
              <w:t>~</w:t>
            </w:r>
            <w:r w:rsidRPr="004A0164">
              <w:rPr>
                <w:rFonts w:cs="Arial"/>
              </w:rPr>
              <w:t xml:space="preserve"> 7800</w:t>
            </w:r>
          </w:p>
        </w:tc>
      </w:tr>
      <w:tr w:rsidR="0035550B" w:rsidRPr="004A0164" w14:paraId="4A43EC74" w14:textId="77777777" w:rsidTr="00180C5D">
        <w:tc>
          <w:tcPr>
            <w:tcW w:w="6658" w:type="dxa"/>
            <w:shd w:val="clear" w:color="auto" w:fill="auto"/>
          </w:tcPr>
          <w:p w14:paraId="02A623BC" w14:textId="77777777" w:rsidR="0035550B" w:rsidRPr="00A8300E" w:rsidRDefault="0035550B" w:rsidP="00180C5D">
            <w:pPr>
              <w:rPr>
                <w:rFonts w:asciiTheme="minorHAnsi" w:hAnsiTheme="minorHAnsi"/>
                <w:sz w:val="22"/>
                <w:szCs w:val="22"/>
              </w:rPr>
            </w:pPr>
            <w:r w:rsidRPr="004A0164">
              <w:t>% of total number of shares traded on your trading venue meeting the third country share definition</w:t>
            </w:r>
          </w:p>
        </w:tc>
        <w:tc>
          <w:tcPr>
            <w:tcW w:w="2693" w:type="dxa"/>
            <w:shd w:val="clear" w:color="auto" w:fill="auto"/>
          </w:tcPr>
          <w:p w14:paraId="3AB59427" w14:textId="77777777" w:rsidR="0035550B" w:rsidRPr="00A8300E" w:rsidRDefault="001B072B" w:rsidP="00180C5D">
            <w:pPr>
              <w:rPr>
                <w:rFonts w:asciiTheme="minorHAnsi" w:hAnsiTheme="minorHAnsi" w:cs="Arial"/>
                <w:sz w:val="22"/>
                <w:szCs w:val="22"/>
              </w:rPr>
            </w:pPr>
            <w:r w:rsidRPr="004A0164">
              <w:rPr>
                <w:rFonts w:cs="Arial"/>
              </w:rPr>
              <w:t>67.1%</w:t>
            </w:r>
          </w:p>
          <w:p w14:paraId="63017720" w14:textId="77777777" w:rsidR="0035550B" w:rsidRPr="00A8300E" w:rsidRDefault="0035550B" w:rsidP="00180C5D">
            <w:pPr>
              <w:rPr>
                <w:rFonts w:asciiTheme="minorHAnsi" w:hAnsiTheme="minorHAnsi"/>
                <w:sz w:val="22"/>
                <w:szCs w:val="22"/>
              </w:rPr>
            </w:pPr>
          </w:p>
        </w:tc>
      </w:tr>
      <w:tr w:rsidR="0035550B" w:rsidRPr="004A0164" w14:paraId="27F50BE4" w14:textId="77777777" w:rsidTr="00180C5D">
        <w:tc>
          <w:tcPr>
            <w:tcW w:w="6658" w:type="dxa"/>
          </w:tcPr>
          <w:p w14:paraId="2AD2F236" w14:textId="77777777" w:rsidR="0035550B" w:rsidRPr="00A8300E" w:rsidRDefault="0035550B" w:rsidP="00180C5D">
            <w:pPr>
              <w:rPr>
                <w:rFonts w:asciiTheme="minorHAnsi" w:hAnsiTheme="minorHAnsi"/>
                <w:sz w:val="22"/>
                <w:szCs w:val="22"/>
              </w:rPr>
            </w:pPr>
            <w:r w:rsidRPr="004A0164">
              <w:t>% of total share trading attributable to shares meeting the third country share definition during 1H2018</w:t>
            </w:r>
          </w:p>
        </w:tc>
        <w:tc>
          <w:tcPr>
            <w:tcW w:w="2693" w:type="dxa"/>
          </w:tcPr>
          <w:p w14:paraId="79A2D3CF" w14:textId="5A9EE13D" w:rsidR="0035550B" w:rsidRPr="00A8300E" w:rsidRDefault="004322C6" w:rsidP="00180C5D">
            <w:pPr>
              <w:rPr>
                <w:rFonts w:asciiTheme="minorHAnsi" w:hAnsiTheme="minorHAnsi" w:cs="Arial"/>
                <w:sz w:val="22"/>
                <w:szCs w:val="22"/>
              </w:rPr>
            </w:pPr>
            <w:r w:rsidRPr="004A0164">
              <w:rPr>
                <w:rFonts w:cs="Arial"/>
              </w:rPr>
              <w:t>1.6%</w:t>
            </w:r>
          </w:p>
          <w:p w14:paraId="76A4B65D" w14:textId="77777777" w:rsidR="0035550B" w:rsidRPr="00A8300E" w:rsidRDefault="0035550B" w:rsidP="00180C5D">
            <w:pPr>
              <w:rPr>
                <w:rFonts w:asciiTheme="minorHAnsi" w:hAnsiTheme="minorHAnsi"/>
                <w:sz w:val="22"/>
                <w:szCs w:val="22"/>
              </w:rPr>
            </w:pPr>
          </w:p>
        </w:tc>
      </w:tr>
      <w:tr w:rsidR="0035550B" w:rsidRPr="004A0164" w14:paraId="0876EDDF" w14:textId="77777777" w:rsidTr="00180C5D">
        <w:tc>
          <w:tcPr>
            <w:tcW w:w="6658" w:type="dxa"/>
          </w:tcPr>
          <w:p w14:paraId="7ED5F846" w14:textId="77777777" w:rsidR="0035550B" w:rsidRPr="00A8300E" w:rsidRDefault="0035550B" w:rsidP="00180C5D">
            <w:pPr>
              <w:rPr>
                <w:rFonts w:asciiTheme="minorHAnsi" w:hAnsiTheme="minorHAnsi"/>
                <w:sz w:val="22"/>
                <w:szCs w:val="22"/>
              </w:rPr>
            </w:pPr>
            <w:r w:rsidRPr="004A0164">
              <w:t xml:space="preserve">Market share in those third country shares (average) </w:t>
            </w:r>
          </w:p>
          <w:p w14:paraId="71A29C73" w14:textId="77777777" w:rsidR="0035550B" w:rsidRPr="00A8300E" w:rsidRDefault="0035550B" w:rsidP="00180C5D">
            <w:pPr>
              <w:rPr>
                <w:rFonts w:asciiTheme="minorHAnsi" w:hAnsiTheme="minorHAnsi"/>
                <w:sz w:val="22"/>
                <w:szCs w:val="22"/>
              </w:rPr>
            </w:pPr>
            <w:r w:rsidRPr="004A0164">
              <w:t xml:space="preserve">If average is not meaningful, please provide a range of %  </w:t>
            </w:r>
          </w:p>
        </w:tc>
        <w:tc>
          <w:tcPr>
            <w:tcW w:w="2693" w:type="dxa"/>
          </w:tcPr>
          <w:p w14:paraId="0658CDE9" w14:textId="3081AC22" w:rsidR="0035550B" w:rsidRPr="00A8300E" w:rsidRDefault="004322C6" w:rsidP="00180C5D">
            <w:pPr>
              <w:rPr>
                <w:rFonts w:asciiTheme="minorHAnsi" w:hAnsiTheme="minorHAnsi" w:cs="Arial"/>
                <w:sz w:val="22"/>
                <w:szCs w:val="22"/>
              </w:rPr>
            </w:pPr>
            <w:r w:rsidRPr="004A0164">
              <w:rPr>
                <w:rFonts w:cs="Arial"/>
              </w:rPr>
              <w:t>0-100%</w:t>
            </w:r>
          </w:p>
          <w:p w14:paraId="17E006F0" w14:textId="77777777" w:rsidR="0035550B" w:rsidRPr="00A8300E" w:rsidRDefault="0035550B" w:rsidP="00180C5D">
            <w:pPr>
              <w:rPr>
                <w:rFonts w:asciiTheme="minorHAnsi" w:hAnsiTheme="minorHAnsi"/>
                <w:sz w:val="22"/>
                <w:szCs w:val="22"/>
              </w:rPr>
            </w:pPr>
          </w:p>
        </w:tc>
      </w:tr>
    </w:tbl>
    <w:p w14:paraId="55903ED4" w14:textId="77777777" w:rsidR="0035550B" w:rsidRPr="004A0164" w:rsidRDefault="0035550B" w:rsidP="0035550B">
      <w:pPr>
        <w:rPr>
          <w:rFonts w:cs="Arial"/>
        </w:rPr>
      </w:pPr>
    </w:p>
    <w:p w14:paraId="19C73B69" w14:textId="77777777" w:rsidR="0035550B" w:rsidRPr="004A0164" w:rsidRDefault="0035550B" w:rsidP="0035550B">
      <w:pPr>
        <w:rPr>
          <w:rFonts w:cs="Arial"/>
        </w:rPr>
      </w:pPr>
      <w:r w:rsidRPr="004A0164">
        <w:rPr>
          <w:rFonts w:cs="Arial"/>
        </w:rPr>
        <w:t>&lt;ESMA_QUESTION_ACDR_7&gt;</w:t>
      </w:r>
    </w:p>
    <w:p w14:paraId="0B3EF04F" w14:textId="77777777" w:rsidR="0035550B" w:rsidRPr="004A0164" w:rsidRDefault="0035550B" w:rsidP="0035550B">
      <w:pPr>
        <w:rPr>
          <w:rFonts w:cs="Arial"/>
        </w:rPr>
      </w:pPr>
    </w:p>
    <w:p w14:paraId="0895ACEB" w14:textId="77777777" w:rsidR="0035550B" w:rsidRPr="009B18CC" w:rsidRDefault="0035550B" w:rsidP="00E26CBF">
      <w:pPr>
        <w:pStyle w:val="Questionstyle"/>
        <w:rPr>
          <w:szCs w:val="22"/>
        </w:rPr>
      </w:pPr>
      <w:r w:rsidRPr="002362FC">
        <w:rPr>
          <w:szCs w:val="22"/>
        </w:rPr>
        <w:t xml:space="preserve">CBA: Based on the draft RTS, which impacts do you expect from the revised tick size regime </w:t>
      </w:r>
      <w:r w:rsidRPr="00B034F3">
        <w:rPr>
          <w:szCs w:val="22"/>
        </w:rPr>
        <w:t>for third country shares?</w:t>
      </w:r>
    </w:p>
    <w:p w14:paraId="711758E8" w14:textId="77777777" w:rsidR="0035550B" w:rsidRPr="004A0164" w:rsidRDefault="0035550B" w:rsidP="0035550B">
      <w:pPr>
        <w:rPr>
          <w:rFonts w:cs="Arial"/>
        </w:rPr>
      </w:pPr>
      <w:r w:rsidRPr="004A0164">
        <w:rPr>
          <w:rFonts w:cs="Arial"/>
        </w:rPr>
        <w:t>&lt;ESMA_QUESTION_ACDR_8&gt;</w:t>
      </w:r>
    </w:p>
    <w:tbl>
      <w:tblPr>
        <w:tblStyle w:val="Tabellenraster"/>
        <w:tblW w:w="0" w:type="auto"/>
        <w:tblLook w:val="04A0" w:firstRow="1" w:lastRow="0" w:firstColumn="1" w:lastColumn="0" w:noHBand="0" w:noVBand="1"/>
      </w:tblPr>
      <w:tblGrid>
        <w:gridCol w:w="3005"/>
        <w:gridCol w:w="3005"/>
        <w:gridCol w:w="3006"/>
      </w:tblGrid>
      <w:tr w:rsidR="0035550B" w:rsidRPr="004A0164" w14:paraId="2D941A3A" w14:textId="77777777" w:rsidTr="00180C5D">
        <w:tc>
          <w:tcPr>
            <w:tcW w:w="3005" w:type="dxa"/>
          </w:tcPr>
          <w:p w14:paraId="27BABC8F" w14:textId="77777777" w:rsidR="0035550B" w:rsidRPr="00A8300E" w:rsidRDefault="0035550B" w:rsidP="00180C5D">
            <w:pPr>
              <w:rPr>
                <w:rFonts w:asciiTheme="minorHAnsi" w:hAnsiTheme="minorHAnsi"/>
                <w:sz w:val="22"/>
                <w:szCs w:val="22"/>
              </w:rPr>
            </w:pPr>
            <w:r w:rsidRPr="004A0164">
              <w:t>Revised tick size regime</w:t>
            </w:r>
          </w:p>
        </w:tc>
        <w:tc>
          <w:tcPr>
            <w:tcW w:w="3005" w:type="dxa"/>
          </w:tcPr>
          <w:p w14:paraId="41E09297" w14:textId="77777777" w:rsidR="0035550B" w:rsidRPr="00A8300E" w:rsidRDefault="0035550B" w:rsidP="00180C5D">
            <w:pPr>
              <w:rPr>
                <w:rFonts w:asciiTheme="minorHAnsi" w:hAnsiTheme="minorHAnsi"/>
                <w:sz w:val="22"/>
                <w:szCs w:val="22"/>
              </w:rPr>
            </w:pPr>
            <w:r w:rsidRPr="004A0164">
              <w:t xml:space="preserve">Positive Impact </w:t>
            </w:r>
          </w:p>
        </w:tc>
        <w:tc>
          <w:tcPr>
            <w:tcW w:w="3006" w:type="dxa"/>
          </w:tcPr>
          <w:p w14:paraId="5F64801F" w14:textId="77777777" w:rsidR="0035550B" w:rsidRPr="00A8300E" w:rsidRDefault="0035550B" w:rsidP="00180C5D">
            <w:pPr>
              <w:rPr>
                <w:rFonts w:asciiTheme="minorHAnsi" w:hAnsiTheme="minorHAnsi"/>
                <w:sz w:val="22"/>
                <w:szCs w:val="22"/>
              </w:rPr>
            </w:pPr>
            <w:r w:rsidRPr="004A0164">
              <w:t xml:space="preserve">Negative impact </w:t>
            </w:r>
          </w:p>
        </w:tc>
      </w:tr>
      <w:tr w:rsidR="0035550B" w:rsidRPr="004A0164" w14:paraId="0C3E1099" w14:textId="77777777" w:rsidTr="00180C5D">
        <w:tc>
          <w:tcPr>
            <w:tcW w:w="3005" w:type="dxa"/>
          </w:tcPr>
          <w:p w14:paraId="25BEEB4E" w14:textId="77777777" w:rsidR="0035550B" w:rsidRPr="00A8300E" w:rsidRDefault="0035550B" w:rsidP="00180C5D">
            <w:pPr>
              <w:rPr>
                <w:rFonts w:asciiTheme="minorHAnsi" w:hAnsiTheme="minorHAnsi"/>
                <w:sz w:val="22"/>
                <w:szCs w:val="22"/>
              </w:rPr>
            </w:pPr>
            <w:r w:rsidRPr="004A0164">
              <w:t xml:space="preserve">Impact on your business model/ organisation/ client relationship </w:t>
            </w:r>
          </w:p>
          <w:p w14:paraId="2855C6B6" w14:textId="77777777" w:rsidR="0035550B" w:rsidRPr="00A8300E" w:rsidRDefault="0035550B" w:rsidP="00180C5D">
            <w:pPr>
              <w:rPr>
                <w:rFonts w:asciiTheme="minorHAnsi" w:hAnsiTheme="minorHAnsi"/>
                <w:sz w:val="22"/>
                <w:szCs w:val="22"/>
              </w:rPr>
            </w:pPr>
          </w:p>
        </w:tc>
        <w:tc>
          <w:tcPr>
            <w:tcW w:w="3005" w:type="dxa"/>
          </w:tcPr>
          <w:p w14:paraId="7DB4F082" w14:textId="6CA120C2" w:rsidR="0035550B" w:rsidRPr="00A8300E" w:rsidRDefault="005D0380" w:rsidP="00180C5D">
            <w:pPr>
              <w:rPr>
                <w:rFonts w:asciiTheme="minorHAnsi" w:hAnsiTheme="minorHAnsi" w:cs="Arial"/>
                <w:sz w:val="22"/>
                <w:szCs w:val="22"/>
              </w:rPr>
            </w:pPr>
            <w:r w:rsidRPr="004A0164">
              <w:rPr>
                <w:rFonts w:cs="Arial"/>
              </w:rPr>
              <w:t>Null</w:t>
            </w:r>
          </w:p>
          <w:p w14:paraId="217B9481" w14:textId="77777777" w:rsidR="0035550B" w:rsidRPr="00A8300E" w:rsidRDefault="0035550B" w:rsidP="00180C5D">
            <w:pPr>
              <w:rPr>
                <w:rFonts w:asciiTheme="minorHAnsi" w:hAnsiTheme="minorHAnsi"/>
                <w:sz w:val="22"/>
                <w:szCs w:val="22"/>
              </w:rPr>
            </w:pPr>
          </w:p>
        </w:tc>
        <w:tc>
          <w:tcPr>
            <w:tcW w:w="3006" w:type="dxa"/>
          </w:tcPr>
          <w:p w14:paraId="2A68A992" w14:textId="3121873C" w:rsidR="0035550B" w:rsidRPr="00A8300E" w:rsidRDefault="00F15158" w:rsidP="00180C5D">
            <w:pPr>
              <w:rPr>
                <w:rFonts w:asciiTheme="minorHAnsi" w:hAnsiTheme="minorHAnsi"/>
                <w:sz w:val="22"/>
                <w:szCs w:val="22"/>
              </w:rPr>
            </w:pPr>
            <w:r w:rsidRPr="004A0164">
              <w:rPr>
                <w:rFonts w:cs="Arial"/>
              </w:rPr>
              <w:t>Given the coordination process between CAs proposed by ESMA, the process would appear non-transparent to market participants.</w:t>
            </w:r>
            <w:r>
              <w:rPr>
                <w:rFonts w:cs="Arial"/>
              </w:rPr>
              <w:t xml:space="preserve"> The new regime would hence incur </w:t>
            </w:r>
            <w:r>
              <w:rPr>
                <w:rFonts w:cs="Arial"/>
                <w:b/>
              </w:rPr>
              <w:t>s</w:t>
            </w:r>
            <w:r w:rsidR="00A14D46" w:rsidRPr="00A8300E">
              <w:rPr>
                <w:rFonts w:cs="Arial"/>
                <w:b/>
              </w:rPr>
              <w:t>ignificant costs in communicating to clients</w:t>
            </w:r>
            <w:r w:rsidR="00A14D46" w:rsidRPr="004A0164">
              <w:rPr>
                <w:rFonts w:cs="Arial"/>
              </w:rPr>
              <w:t xml:space="preserve"> the new procedure as well as the list of third country instruments and the adjusted ADNT</w:t>
            </w:r>
            <w:r w:rsidR="005D0380" w:rsidRPr="004A0164">
              <w:rPr>
                <w:rFonts w:cs="Arial"/>
              </w:rPr>
              <w:t>s</w:t>
            </w:r>
            <w:r w:rsidR="00A14D46" w:rsidRPr="004A0164">
              <w:rPr>
                <w:rFonts w:cs="Arial"/>
              </w:rPr>
              <w:t xml:space="preserve"> (given that no centralisation of information is planned with ESMA) both on a regular and ad hoc basis.</w:t>
            </w:r>
            <w:r>
              <w:rPr>
                <w:rFonts w:cs="Arial"/>
              </w:rPr>
              <w:t xml:space="preserve"> </w:t>
            </w:r>
          </w:p>
        </w:tc>
      </w:tr>
      <w:tr w:rsidR="0035550B" w:rsidRPr="004A0164" w14:paraId="2FE16DA0" w14:textId="77777777" w:rsidTr="00180C5D">
        <w:tc>
          <w:tcPr>
            <w:tcW w:w="3005" w:type="dxa"/>
          </w:tcPr>
          <w:p w14:paraId="440F66CB" w14:textId="77777777" w:rsidR="0035550B" w:rsidRPr="00A8300E" w:rsidRDefault="0035550B" w:rsidP="00180C5D">
            <w:pPr>
              <w:rPr>
                <w:rFonts w:asciiTheme="minorHAnsi" w:hAnsiTheme="minorHAnsi"/>
                <w:sz w:val="22"/>
                <w:szCs w:val="22"/>
              </w:rPr>
            </w:pPr>
            <w:r w:rsidRPr="004A0164">
              <w:t>Impact on your revenues</w:t>
            </w:r>
          </w:p>
          <w:p w14:paraId="1DE74FD7" w14:textId="77777777" w:rsidR="0035550B" w:rsidRPr="00A8300E" w:rsidRDefault="0035550B" w:rsidP="00180C5D">
            <w:pPr>
              <w:rPr>
                <w:rFonts w:asciiTheme="minorHAnsi" w:hAnsiTheme="minorHAnsi"/>
                <w:sz w:val="22"/>
                <w:szCs w:val="22"/>
              </w:rPr>
            </w:pPr>
          </w:p>
        </w:tc>
        <w:tc>
          <w:tcPr>
            <w:tcW w:w="3005" w:type="dxa"/>
          </w:tcPr>
          <w:p w14:paraId="5A543D1D" w14:textId="2DE14EF5" w:rsidR="0035550B" w:rsidRPr="00A8300E" w:rsidRDefault="00A14D46" w:rsidP="00AB1C14">
            <w:pPr>
              <w:rPr>
                <w:rFonts w:asciiTheme="minorHAnsi" w:hAnsiTheme="minorHAnsi"/>
                <w:sz w:val="22"/>
                <w:szCs w:val="22"/>
              </w:rPr>
            </w:pPr>
            <w:r w:rsidRPr="004A0164">
              <w:t xml:space="preserve">Identified third country instruments where the ADNT is adjusted shall allow </w:t>
            </w:r>
            <w:r w:rsidR="00AB1C14" w:rsidRPr="004A0164">
              <w:t xml:space="preserve">for </w:t>
            </w:r>
            <w:r w:rsidR="00DA1EF9" w:rsidRPr="004A0164">
              <w:t>an increase in liquidity</w:t>
            </w:r>
            <w:r w:rsidR="007C4FD8" w:rsidRPr="004A0164">
              <w:t xml:space="preserve"> </w:t>
            </w:r>
            <w:r w:rsidRPr="004A0164">
              <w:t>thanks to more granular tick sizes and lower implicit costs</w:t>
            </w:r>
            <w:r w:rsidR="005D0380" w:rsidRPr="004A0164">
              <w:t xml:space="preserve"> compared to the tick sizes under the non</w:t>
            </w:r>
            <w:r w:rsidR="00220E35" w:rsidRPr="004A0164">
              <w:t>-</w:t>
            </w:r>
            <w:r w:rsidR="005D0380" w:rsidRPr="004A0164">
              <w:t>adjusted ADNT</w:t>
            </w:r>
            <w:r w:rsidRPr="004A0164">
              <w:t xml:space="preserve">. </w:t>
            </w:r>
            <w:r w:rsidR="007C4FD8" w:rsidRPr="004A0164">
              <w:t>The extent</w:t>
            </w:r>
            <w:r w:rsidRPr="004A0164">
              <w:t xml:space="preserve"> of the </w:t>
            </w:r>
            <w:r w:rsidR="00AB1C14" w:rsidRPr="004A0164">
              <w:t xml:space="preserve">increase </w:t>
            </w:r>
            <w:r w:rsidRPr="004A0164">
              <w:t xml:space="preserve">in traded volumes however cannot be evaluated as instruments could not be identified at this stage </w:t>
            </w:r>
            <w:r w:rsidR="00DA1EF9" w:rsidRPr="004A0164">
              <w:t xml:space="preserve">as </w:t>
            </w:r>
            <w:r w:rsidRPr="004A0164">
              <w:t>no methodology has been established to determine the adjusted ADNTs.</w:t>
            </w:r>
          </w:p>
        </w:tc>
        <w:tc>
          <w:tcPr>
            <w:tcW w:w="3006" w:type="dxa"/>
          </w:tcPr>
          <w:p w14:paraId="6CB96364" w14:textId="5E3400A9" w:rsidR="0035550B" w:rsidRPr="00A8300E" w:rsidRDefault="00CE15BB" w:rsidP="00180C5D">
            <w:pPr>
              <w:rPr>
                <w:rFonts w:asciiTheme="minorHAnsi" w:hAnsiTheme="minorHAnsi" w:cs="Arial"/>
                <w:sz w:val="22"/>
                <w:szCs w:val="22"/>
              </w:rPr>
            </w:pPr>
            <w:r w:rsidRPr="00A8300E">
              <w:rPr>
                <w:rFonts w:cs="Arial"/>
                <w:b/>
              </w:rPr>
              <w:t>The costs of implementation which we expect significant</w:t>
            </w:r>
            <w:r w:rsidRPr="004A0164">
              <w:rPr>
                <w:rFonts w:cs="Arial"/>
              </w:rPr>
              <w:t xml:space="preserve"> (see </w:t>
            </w:r>
            <w:r w:rsidR="007C30B0">
              <w:rPr>
                <w:rFonts w:cs="Arial"/>
              </w:rPr>
              <w:t xml:space="preserve">Q1 and </w:t>
            </w:r>
            <w:r w:rsidRPr="004A0164">
              <w:rPr>
                <w:rFonts w:cs="Arial"/>
              </w:rPr>
              <w:t>Q9) of the revised tick size regime would negatively impact our revenues.</w:t>
            </w:r>
          </w:p>
          <w:p w14:paraId="1F26D5B6" w14:textId="77777777" w:rsidR="0035550B" w:rsidRPr="00A8300E" w:rsidRDefault="0035550B" w:rsidP="00180C5D">
            <w:pPr>
              <w:rPr>
                <w:rFonts w:asciiTheme="minorHAnsi" w:hAnsiTheme="minorHAnsi"/>
                <w:sz w:val="22"/>
                <w:szCs w:val="22"/>
              </w:rPr>
            </w:pPr>
          </w:p>
        </w:tc>
      </w:tr>
      <w:tr w:rsidR="0035550B" w:rsidRPr="004A0164" w14:paraId="768FEDB5" w14:textId="77777777" w:rsidTr="00180C5D">
        <w:tc>
          <w:tcPr>
            <w:tcW w:w="3005" w:type="dxa"/>
          </w:tcPr>
          <w:p w14:paraId="76376A0A" w14:textId="77777777" w:rsidR="0035550B" w:rsidRPr="00A8300E" w:rsidRDefault="0035550B" w:rsidP="00180C5D">
            <w:pPr>
              <w:rPr>
                <w:rFonts w:asciiTheme="minorHAnsi" w:hAnsiTheme="minorHAnsi"/>
                <w:sz w:val="22"/>
                <w:szCs w:val="22"/>
              </w:rPr>
            </w:pPr>
            <w:r w:rsidRPr="004A0164">
              <w:t>Impact on market structure (e.g. principal vs agency trading, etc.)</w:t>
            </w:r>
          </w:p>
          <w:p w14:paraId="46EBF672" w14:textId="77777777" w:rsidR="0035550B" w:rsidRPr="00A8300E" w:rsidRDefault="0035550B" w:rsidP="00180C5D">
            <w:pPr>
              <w:rPr>
                <w:rFonts w:asciiTheme="minorHAnsi" w:hAnsiTheme="minorHAnsi"/>
                <w:sz w:val="22"/>
                <w:szCs w:val="22"/>
              </w:rPr>
            </w:pPr>
          </w:p>
        </w:tc>
        <w:tc>
          <w:tcPr>
            <w:tcW w:w="3005" w:type="dxa"/>
          </w:tcPr>
          <w:p w14:paraId="4E5C3A5E" w14:textId="718557C2" w:rsidR="00D66422" w:rsidRPr="00A8300E" w:rsidRDefault="00D66422" w:rsidP="00180C5D">
            <w:pPr>
              <w:rPr>
                <w:rFonts w:asciiTheme="minorHAnsi" w:hAnsiTheme="minorHAnsi" w:cs="Arial"/>
                <w:sz w:val="22"/>
                <w:szCs w:val="22"/>
              </w:rPr>
            </w:pPr>
            <w:r w:rsidRPr="004A0164">
              <w:rPr>
                <w:rFonts w:cs="Arial"/>
              </w:rPr>
              <w:t>SIs currently benefit from a competitive advantage due to unduly wide tick sizes and spreads on third country instruments</w:t>
            </w:r>
            <w:r w:rsidR="00AB1C14" w:rsidRPr="004A0164">
              <w:rPr>
                <w:rFonts w:cs="Arial"/>
              </w:rPr>
              <w:t xml:space="preserve"> traded in the Union</w:t>
            </w:r>
            <w:r w:rsidRPr="004A0164">
              <w:rPr>
                <w:rFonts w:cs="Arial"/>
              </w:rPr>
              <w:t>. Tighter tick sizes would allow for more level playing field between trading venues and SIs in the Union.</w:t>
            </w:r>
            <w:r w:rsidR="00AB1C14" w:rsidRPr="004A0164">
              <w:rPr>
                <w:rFonts w:cs="Arial"/>
              </w:rPr>
              <w:t xml:space="preserve"> </w:t>
            </w:r>
            <w:r w:rsidR="00CB3231" w:rsidRPr="004A0164">
              <w:rPr>
                <w:rFonts w:cs="Arial"/>
              </w:rPr>
              <w:t xml:space="preserve">But Deutsche </w:t>
            </w:r>
            <w:r w:rsidR="006B7B44">
              <w:rPr>
                <w:rFonts w:cs="Arial"/>
              </w:rPr>
              <w:t>Börse</w:t>
            </w:r>
            <w:r w:rsidR="00CB3231" w:rsidRPr="004A0164">
              <w:rPr>
                <w:rFonts w:cs="Arial"/>
              </w:rPr>
              <w:t xml:space="preserve"> </w:t>
            </w:r>
            <w:r w:rsidR="007C30B0">
              <w:rPr>
                <w:rFonts w:cs="Arial"/>
              </w:rPr>
              <w:t>Group</w:t>
            </w:r>
            <w:r w:rsidR="007C30B0" w:rsidRPr="004A0164">
              <w:rPr>
                <w:rFonts w:cs="Arial"/>
              </w:rPr>
              <w:t xml:space="preserve"> </w:t>
            </w:r>
            <w:r w:rsidR="00CB3231" w:rsidRPr="004A0164">
              <w:rPr>
                <w:rFonts w:cs="Arial"/>
              </w:rPr>
              <w:t>would in general, in order to fix the competitive advantage enjoyed by SIs, urge regulators and policy makers to ensure that SIs are not only required to comply with the tick size regime for orders up to standard market size, but are fully captured by the tick size regime irrespective of the order size.</w:t>
            </w:r>
          </w:p>
          <w:p w14:paraId="555AFC63" w14:textId="2A21B52B" w:rsidR="0035550B" w:rsidRPr="00A8300E" w:rsidRDefault="00D66422" w:rsidP="00DA1EF9">
            <w:pPr>
              <w:rPr>
                <w:rFonts w:asciiTheme="minorHAnsi" w:hAnsiTheme="minorHAnsi"/>
                <w:sz w:val="22"/>
                <w:szCs w:val="22"/>
              </w:rPr>
            </w:pPr>
            <w:r w:rsidRPr="004A0164">
              <w:rPr>
                <w:rFonts w:cs="Arial"/>
              </w:rPr>
              <w:t>Compared to third countries, the tick size in the Union could get more aligned with the third country tick size regime. However, the adjustment remains limited</w:t>
            </w:r>
            <w:r w:rsidR="005C0EAF" w:rsidRPr="004A0164">
              <w:rPr>
                <w:rFonts w:cs="Arial"/>
              </w:rPr>
              <w:t>. For instance, compared to the US where the tick size is 0.01 for instruments with a price equal o</w:t>
            </w:r>
            <w:r w:rsidR="00DA1EF9" w:rsidRPr="004A0164">
              <w:rPr>
                <w:rFonts w:cs="Arial"/>
              </w:rPr>
              <w:t>r</w:t>
            </w:r>
            <w:r w:rsidR="005C0EAF" w:rsidRPr="004A0164">
              <w:rPr>
                <w:rFonts w:cs="Arial"/>
              </w:rPr>
              <w:t xml:space="preserve"> higher than 1</w:t>
            </w:r>
            <w:r w:rsidR="00DA1EF9" w:rsidRPr="004A0164">
              <w:rPr>
                <w:rFonts w:cs="Arial"/>
              </w:rPr>
              <w:t>US</w:t>
            </w:r>
            <w:r w:rsidR="005C0EAF" w:rsidRPr="004A0164">
              <w:rPr>
                <w:rFonts w:cs="Arial"/>
              </w:rPr>
              <w:t xml:space="preserve">$, an adjusted ADNT </w:t>
            </w:r>
            <w:r w:rsidR="00A24F6B" w:rsidRPr="004A0164">
              <w:rPr>
                <w:rFonts w:cs="Arial"/>
              </w:rPr>
              <w:t>above 9</w:t>
            </w:r>
            <w:r w:rsidR="00DA1EF9" w:rsidRPr="004A0164">
              <w:rPr>
                <w:rFonts w:cs="Arial"/>
              </w:rPr>
              <w:t>,</w:t>
            </w:r>
            <w:r w:rsidR="00A24F6B" w:rsidRPr="004A0164">
              <w:rPr>
                <w:rFonts w:cs="Arial"/>
              </w:rPr>
              <w:t>000 would still translate into a wider tick size in the Union if the instrument price is below 50.</w:t>
            </w:r>
          </w:p>
        </w:tc>
        <w:tc>
          <w:tcPr>
            <w:tcW w:w="3006" w:type="dxa"/>
          </w:tcPr>
          <w:p w14:paraId="454B5886" w14:textId="4DD013CB" w:rsidR="0035550B" w:rsidRPr="00A8300E" w:rsidRDefault="00CE15BB" w:rsidP="00180C5D">
            <w:pPr>
              <w:rPr>
                <w:rFonts w:asciiTheme="minorHAnsi" w:hAnsiTheme="minorHAnsi"/>
                <w:sz w:val="22"/>
                <w:szCs w:val="22"/>
              </w:rPr>
            </w:pPr>
            <w:r w:rsidRPr="00A8300E">
              <w:rPr>
                <w:b/>
              </w:rPr>
              <w:t>Depositary receipts excluded from the procedure</w:t>
            </w:r>
            <w:r w:rsidRPr="004A0164">
              <w:t xml:space="preserve"> would translate into competitive disadvantage for trading venues in the Union compared to SIs and trading venues matching orders at midpoint. </w:t>
            </w:r>
          </w:p>
        </w:tc>
      </w:tr>
      <w:tr w:rsidR="0035550B" w:rsidRPr="004A0164" w14:paraId="1F4F58CD" w14:textId="77777777" w:rsidTr="00180C5D">
        <w:tc>
          <w:tcPr>
            <w:tcW w:w="3005" w:type="dxa"/>
          </w:tcPr>
          <w:p w14:paraId="0A9F4194" w14:textId="77777777" w:rsidR="0035550B" w:rsidRPr="00A8300E" w:rsidRDefault="0035550B" w:rsidP="00180C5D">
            <w:pPr>
              <w:rPr>
                <w:rFonts w:asciiTheme="minorHAnsi" w:hAnsiTheme="minorHAnsi"/>
                <w:sz w:val="22"/>
                <w:szCs w:val="22"/>
              </w:rPr>
            </w:pPr>
            <w:r w:rsidRPr="004A0164">
              <w:lastRenderedPageBreak/>
              <w:t>Impact on market liquidity and execution costs</w:t>
            </w:r>
          </w:p>
        </w:tc>
        <w:tc>
          <w:tcPr>
            <w:tcW w:w="3005" w:type="dxa"/>
          </w:tcPr>
          <w:p w14:paraId="4CC47E50" w14:textId="0864F1E3" w:rsidR="005D0380" w:rsidRPr="00A8300E" w:rsidRDefault="00E12517" w:rsidP="00180C5D">
            <w:pPr>
              <w:rPr>
                <w:rFonts w:asciiTheme="minorHAnsi" w:hAnsiTheme="minorHAnsi" w:cs="Arial"/>
                <w:sz w:val="22"/>
                <w:szCs w:val="22"/>
              </w:rPr>
            </w:pPr>
            <w:r w:rsidRPr="004A0164">
              <w:rPr>
                <w:rFonts w:cs="Arial"/>
              </w:rPr>
              <w:t xml:space="preserve">Liquidity </w:t>
            </w:r>
            <w:r w:rsidR="005D0380" w:rsidRPr="004A0164">
              <w:rPr>
                <w:rFonts w:cs="Arial"/>
              </w:rPr>
              <w:t xml:space="preserve">shall </w:t>
            </w:r>
            <w:r w:rsidRPr="004A0164">
              <w:rPr>
                <w:rFonts w:cs="Arial"/>
              </w:rPr>
              <w:t xml:space="preserve">potentially improve </w:t>
            </w:r>
            <w:r w:rsidR="005D0380" w:rsidRPr="004A0164">
              <w:rPr>
                <w:rFonts w:cs="Arial"/>
              </w:rPr>
              <w:t xml:space="preserve">with reduced </w:t>
            </w:r>
            <w:r w:rsidRPr="004A0164">
              <w:rPr>
                <w:rFonts w:cs="Arial"/>
              </w:rPr>
              <w:t>implicit costs where the liquidity band will be set to a higher level tha</w:t>
            </w:r>
            <w:r w:rsidR="00DA1EF9" w:rsidRPr="004A0164">
              <w:rPr>
                <w:rFonts w:cs="Arial"/>
              </w:rPr>
              <w:t>n</w:t>
            </w:r>
            <w:r w:rsidRPr="004A0164">
              <w:rPr>
                <w:rFonts w:cs="Arial"/>
              </w:rPr>
              <w:t xml:space="preserve"> the non</w:t>
            </w:r>
            <w:r w:rsidR="00DA1EF9" w:rsidRPr="004A0164">
              <w:rPr>
                <w:rFonts w:cs="Arial"/>
              </w:rPr>
              <w:t>-</w:t>
            </w:r>
            <w:r w:rsidRPr="004A0164">
              <w:rPr>
                <w:rFonts w:cs="Arial"/>
              </w:rPr>
              <w:t xml:space="preserve">adjusted </w:t>
            </w:r>
            <w:r w:rsidR="005D0380" w:rsidRPr="004A0164">
              <w:rPr>
                <w:rFonts w:cs="Arial"/>
              </w:rPr>
              <w:t>one.</w:t>
            </w:r>
          </w:p>
          <w:p w14:paraId="0B577769" w14:textId="77777777" w:rsidR="0035550B" w:rsidRPr="00A8300E" w:rsidRDefault="0035550B" w:rsidP="009B130D">
            <w:pPr>
              <w:rPr>
                <w:rFonts w:asciiTheme="minorHAnsi" w:hAnsiTheme="minorHAnsi"/>
                <w:sz w:val="22"/>
                <w:szCs w:val="22"/>
              </w:rPr>
            </w:pPr>
          </w:p>
        </w:tc>
        <w:tc>
          <w:tcPr>
            <w:tcW w:w="3006" w:type="dxa"/>
          </w:tcPr>
          <w:p w14:paraId="1C64B930" w14:textId="29746725" w:rsidR="00554C9E" w:rsidRPr="00A8300E" w:rsidRDefault="005D0380" w:rsidP="00180C5D">
            <w:pPr>
              <w:rPr>
                <w:rFonts w:asciiTheme="minorHAnsi" w:hAnsiTheme="minorHAnsi" w:cs="Arial"/>
                <w:sz w:val="22"/>
                <w:szCs w:val="22"/>
              </w:rPr>
            </w:pPr>
            <w:r w:rsidRPr="00A8300E">
              <w:rPr>
                <w:rFonts w:cs="Arial"/>
                <w:b/>
              </w:rPr>
              <w:t>The l</w:t>
            </w:r>
            <w:r w:rsidR="00554C9E" w:rsidRPr="00A8300E">
              <w:rPr>
                <w:rFonts w:cs="Arial"/>
                <w:b/>
              </w:rPr>
              <w:t xml:space="preserve">iquidity </w:t>
            </w:r>
            <w:r w:rsidRPr="00A8300E">
              <w:rPr>
                <w:rFonts w:cs="Arial"/>
                <w:b/>
              </w:rPr>
              <w:t xml:space="preserve">might not </w:t>
            </w:r>
            <w:r w:rsidR="00554C9E" w:rsidRPr="00A8300E">
              <w:rPr>
                <w:rFonts w:cs="Arial"/>
                <w:b/>
              </w:rPr>
              <w:t xml:space="preserve">develop </w:t>
            </w:r>
            <w:r w:rsidRPr="00A8300E">
              <w:rPr>
                <w:rFonts w:cs="Arial"/>
                <w:b/>
              </w:rPr>
              <w:t xml:space="preserve">and be maintained low </w:t>
            </w:r>
            <w:r w:rsidRPr="004A0164">
              <w:rPr>
                <w:rFonts w:cs="Arial"/>
              </w:rPr>
              <w:t xml:space="preserve">by keeping tick sizes on a high level </w:t>
            </w:r>
            <w:r w:rsidR="00554C9E" w:rsidRPr="004A0164">
              <w:rPr>
                <w:rFonts w:cs="Arial"/>
              </w:rPr>
              <w:t xml:space="preserve">for instruments where </w:t>
            </w:r>
            <w:r w:rsidRPr="004A0164">
              <w:rPr>
                <w:rFonts w:cs="Arial"/>
              </w:rPr>
              <w:t xml:space="preserve">the EU </w:t>
            </w:r>
            <w:r w:rsidR="00554C9E" w:rsidRPr="004A0164">
              <w:rPr>
                <w:rFonts w:cs="Arial"/>
              </w:rPr>
              <w:t>ADNT</w:t>
            </w:r>
            <w:r w:rsidRPr="004A0164">
              <w:rPr>
                <w:rFonts w:cs="Arial"/>
              </w:rPr>
              <w:t xml:space="preserve"> is below one.</w:t>
            </w:r>
          </w:p>
          <w:p w14:paraId="6E35C18E" w14:textId="58590E03" w:rsidR="0035550B" w:rsidRPr="00A8300E" w:rsidRDefault="00E12517" w:rsidP="00180C5D">
            <w:pPr>
              <w:rPr>
                <w:rFonts w:asciiTheme="minorHAnsi" w:hAnsiTheme="minorHAnsi"/>
                <w:sz w:val="22"/>
                <w:szCs w:val="22"/>
              </w:rPr>
            </w:pPr>
            <w:r w:rsidRPr="004A0164">
              <w:rPr>
                <w:rFonts w:cs="Arial"/>
              </w:rPr>
              <w:t xml:space="preserve">Liquidity </w:t>
            </w:r>
            <w:r w:rsidR="005D0380" w:rsidRPr="004A0164">
              <w:rPr>
                <w:rFonts w:cs="Arial"/>
              </w:rPr>
              <w:t xml:space="preserve">might </w:t>
            </w:r>
            <w:r w:rsidRPr="004A0164">
              <w:rPr>
                <w:rFonts w:cs="Arial"/>
              </w:rPr>
              <w:t xml:space="preserve">deteriorate </w:t>
            </w:r>
            <w:r w:rsidR="005D0380" w:rsidRPr="004A0164">
              <w:rPr>
                <w:rFonts w:cs="Arial"/>
              </w:rPr>
              <w:t>with higher</w:t>
            </w:r>
            <w:r w:rsidR="00DA1EF9" w:rsidRPr="004A0164">
              <w:rPr>
                <w:rFonts w:cs="Arial"/>
              </w:rPr>
              <w:t xml:space="preserve"> </w:t>
            </w:r>
            <w:r w:rsidRPr="004A0164">
              <w:rPr>
                <w:rFonts w:cs="Arial"/>
              </w:rPr>
              <w:t xml:space="preserve">implicit costs where </w:t>
            </w:r>
            <w:r w:rsidR="00554C9E" w:rsidRPr="004A0164">
              <w:rPr>
                <w:rFonts w:cs="Arial"/>
              </w:rPr>
              <w:t>miscalibration</w:t>
            </w:r>
            <w:r w:rsidR="005D0380" w:rsidRPr="004A0164">
              <w:rPr>
                <w:rFonts w:cs="Arial"/>
              </w:rPr>
              <w:t xml:space="preserve"> of the ADNTs</w:t>
            </w:r>
            <w:r w:rsidR="00554C9E" w:rsidRPr="004A0164">
              <w:rPr>
                <w:rFonts w:cs="Arial"/>
              </w:rPr>
              <w:t xml:space="preserve"> </w:t>
            </w:r>
            <w:r w:rsidR="005D0380" w:rsidRPr="004A0164">
              <w:rPr>
                <w:rFonts w:cs="Arial"/>
              </w:rPr>
              <w:t>would translate into spreads artificially wider than the spreads</w:t>
            </w:r>
            <w:r w:rsidRPr="004A0164">
              <w:rPr>
                <w:rFonts w:cs="Arial"/>
              </w:rPr>
              <w:t xml:space="preserve"> in the </w:t>
            </w:r>
            <w:r w:rsidR="005D0380" w:rsidRPr="004A0164">
              <w:rPr>
                <w:rFonts w:cs="Arial"/>
              </w:rPr>
              <w:t>third country venue.</w:t>
            </w:r>
          </w:p>
        </w:tc>
      </w:tr>
      <w:tr w:rsidR="0035550B" w:rsidRPr="004A0164" w14:paraId="6CD82A3D" w14:textId="77777777" w:rsidTr="00180C5D">
        <w:tc>
          <w:tcPr>
            <w:tcW w:w="3005" w:type="dxa"/>
          </w:tcPr>
          <w:p w14:paraId="420E7FD2" w14:textId="77777777" w:rsidR="0035550B" w:rsidRPr="00A8300E" w:rsidRDefault="0035550B" w:rsidP="00180C5D">
            <w:pPr>
              <w:rPr>
                <w:rFonts w:asciiTheme="minorHAnsi" w:hAnsiTheme="minorHAnsi"/>
                <w:sz w:val="22"/>
                <w:szCs w:val="22"/>
              </w:rPr>
            </w:pPr>
            <w:r w:rsidRPr="004A0164">
              <w:t xml:space="preserve">Other impacts. Please elaborate  </w:t>
            </w:r>
          </w:p>
        </w:tc>
        <w:tc>
          <w:tcPr>
            <w:tcW w:w="3005" w:type="dxa"/>
          </w:tcPr>
          <w:p w14:paraId="414A82D7" w14:textId="77777777" w:rsidR="0035550B" w:rsidRPr="00A8300E" w:rsidRDefault="0035550B" w:rsidP="00180C5D">
            <w:pPr>
              <w:rPr>
                <w:rFonts w:asciiTheme="minorHAnsi" w:hAnsiTheme="minorHAnsi" w:cs="Arial"/>
                <w:sz w:val="22"/>
                <w:szCs w:val="22"/>
              </w:rPr>
            </w:pPr>
            <w:r w:rsidRPr="004A0164">
              <w:rPr>
                <w:rFonts w:cs="Arial"/>
              </w:rPr>
              <w:t>TYPE YOUR TEXT HERE</w:t>
            </w:r>
          </w:p>
          <w:p w14:paraId="628A4CFE" w14:textId="77777777" w:rsidR="0035550B" w:rsidRPr="00A8300E" w:rsidRDefault="0035550B" w:rsidP="00180C5D">
            <w:pPr>
              <w:rPr>
                <w:rFonts w:asciiTheme="minorHAnsi" w:hAnsiTheme="minorHAnsi"/>
                <w:sz w:val="22"/>
                <w:szCs w:val="22"/>
              </w:rPr>
            </w:pPr>
          </w:p>
        </w:tc>
        <w:tc>
          <w:tcPr>
            <w:tcW w:w="3006" w:type="dxa"/>
          </w:tcPr>
          <w:p w14:paraId="6EB892C6" w14:textId="77777777" w:rsidR="0035550B" w:rsidRPr="00A8300E" w:rsidRDefault="0035550B" w:rsidP="00180C5D">
            <w:pPr>
              <w:rPr>
                <w:rFonts w:asciiTheme="minorHAnsi" w:hAnsiTheme="minorHAnsi" w:cs="Arial"/>
                <w:sz w:val="22"/>
                <w:szCs w:val="22"/>
              </w:rPr>
            </w:pPr>
            <w:r w:rsidRPr="004A0164">
              <w:rPr>
                <w:rFonts w:cs="Arial"/>
              </w:rPr>
              <w:t>TYPE YOUR TEXT HERE</w:t>
            </w:r>
          </w:p>
          <w:p w14:paraId="39E3A25A" w14:textId="77777777" w:rsidR="0035550B" w:rsidRPr="00A8300E" w:rsidRDefault="0035550B" w:rsidP="00180C5D">
            <w:pPr>
              <w:rPr>
                <w:rFonts w:asciiTheme="minorHAnsi" w:hAnsiTheme="minorHAnsi"/>
                <w:sz w:val="22"/>
                <w:szCs w:val="22"/>
              </w:rPr>
            </w:pPr>
          </w:p>
        </w:tc>
      </w:tr>
    </w:tbl>
    <w:p w14:paraId="3BD9544E" w14:textId="77777777" w:rsidR="0035550B" w:rsidRPr="004A0164" w:rsidRDefault="0035550B" w:rsidP="0035550B">
      <w:pPr>
        <w:rPr>
          <w:rFonts w:cs="Arial"/>
        </w:rPr>
      </w:pPr>
    </w:p>
    <w:p w14:paraId="1B840EC7" w14:textId="77777777" w:rsidR="0035550B" w:rsidRPr="004A0164" w:rsidRDefault="0035550B" w:rsidP="0035550B">
      <w:pPr>
        <w:rPr>
          <w:rFonts w:cs="Arial"/>
        </w:rPr>
      </w:pPr>
      <w:r w:rsidRPr="004A0164">
        <w:rPr>
          <w:rFonts w:cs="Arial"/>
        </w:rPr>
        <w:t>&lt;ESMA_QUESTION_ACDR_8&gt;</w:t>
      </w:r>
    </w:p>
    <w:p w14:paraId="3437A4FC" w14:textId="77777777" w:rsidR="0035550B" w:rsidRPr="004A0164" w:rsidRDefault="0035550B" w:rsidP="0035550B">
      <w:pPr>
        <w:rPr>
          <w:rFonts w:cs="Arial"/>
        </w:rPr>
      </w:pPr>
    </w:p>
    <w:p w14:paraId="55C13655" w14:textId="77777777" w:rsidR="0035550B" w:rsidRPr="002362FC" w:rsidRDefault="0035550B" w:rsidP="00E26CBF">
      <w:pPr>
        <w:pStyle w:val="Questionstyle"/>
        <w:rPr>
          <w:szCs w:val="22"/>
        </w:rPr>
      </w:pPr>
      <w:r w:rsidRPr="002362FC">
        <w:rPr>
          <w:szCs w:val="22"/>
        </w:rPr>
        <w:t>CBA: Is there any specific provision in the draft RTS that you would expect to be a source of significant concerns or cost? If so, please elaborate</w:t>
      </w:r>
    </w:p>
    <w:p w14:paraId="704E2C19" w14:textId="77777777" w:rsidR="0035550B" w:rsidRPr="004A0164" w:rsidRDefault="0035550B" w:rsidP="0035550B">
      <w:pPr>
        <w:rPr>
          <w:rFonts w:cs="Arial"/>
        </w:rPr>
      </w:pPr>
      <w:r w:rsidRPr="004A0164">
        <w:rPr>
          <w:rFonts w:cs="Arial"/>
        </w:rPr>
        <w:t>&lt;ESMA_QUESTION_ACDR_9&gt;</w:t>
      </w:r>
    </w:p>
    <w:p w14:paraId="01FEB764" w14:textId="296B19EA" w:rsidR="0035550B" w:rsidRPr="004A0164" w:rsidRDefault="00521511" w:rsidP="003F616B">
      <w:pPr>
        <w:spacing w:line="240" w:lineRule="auto"/>
        <w:jc w:val="both"/>
        <w:rPr>
          <w:rFonts w:cs="Arial"/>
        </w:rPr>
      </w:pPr>
      <w:r w:rsidRPr="004A0164">
        <w:rPr>
          <w:rFonts w:cs="Arial"/>
        </w:rPr>
        <w:t xml:space="preserve">Deutsche </w:t>
      </w:r>
      <w:r w:rsidR="006B7B44">
        <w:rPr>
          <w:rFonts w:cs="Arial"/>
        </w:rPr>
        <w:t>Börse</w:t>
      </w:r>
      <w:r w:rsidRPr="004A0164">
        <w:rPr>
          <w:rFonts w:cs="Arial"/>
        </w:rPr>
        <w:t xml:space="preserve"> AG </w:t>
      </w:r>
      <w:r w:rsidR="007C30B0">
        <w:rPr>
          <w:rFonts w:cs="Arial"/>
        </w:rPr>
        <w:t xml:space="preserve">would like to insist on the following costs amongst those mentioned in our response to Q1, </w:t>
      </w:r>
      <w:r w:rsidRPr="004A0164">
        <w:rPr>
          <w:rFonts w:cs="Arial"/>
        </w:rPr>
        <w:t xml:space="preserve">be it </w:t>
      </w:r>
      <w:r w:rsidR="00486FEB" w:rsidRPr="004A0164">
        <w:rPr>
          <w:rFonts w:cs="Arial"/>
        </w:rPr>
        <w:t>the selection</w:t>
      </w:r>
      <w:r w:rsidR="009A70C9" w:rsidRPr="004A0164">
        <w:rPr>
          <w:rFonts w:cs="Arial"/>
        </w:rPr>
        <w:t xml:space="preserve"> and the data collection for third country instruments, the coordination process between CAs and the bilateral communication process between CAs and trading venues</w:t>
      </w:r>
      <w:r w:rsidR="001D779B" w:rsidRPr="004A0164">
        <w:rPr>
          <w:rFonts w:cs="Arial"/>
        </w:rPr>
        <w:t>:</w:t>
      </w:r>
    </w:p>
    <w:p w14:paraId="31EFE2B2" w14:textId="77777777" w:rsidR="00AB1C14" w:rsidRPr="00A8300E" w:rsidRDefault="00486FEB" w:rsidP="00AB1C14">
      <w:pPr>
        <w:pStyle w:val="Listenabsatz"/>
        <w:numPr>
          <w:ilvl w:val="0"/>
          <w:numId w:val="18"/>
        </w:numPr>
        <w:jc w:val="both"/>
        <w:rPr>
          <w:rFonts w:asciiTheme="minorHAnsi" w:hAnsiTheme="minorHAnsi" w:cs="Arial"/>
          <w:sz w:val="22"/>
          <w:szCs w:val="22"/>
        </w:rPr>
      </w:pPr>
      <w:r w:rsidRPr="004A0164">
        <w:rPr>
          <w:rFonts w:asciiTheme="minorHAnsi" w:eastAsiaTheme="minorEastAsia" w:hAnsiTheme="minorHAnsi" w:cs="Arial"/>
          <w:sz w:val="22"/>
          <w:szCs w:val="22"/>
          <w:lang w:eastAsia="zh-CN"/>
        </w:rPr>
        <w:t xml:space="preserve">The selection </w:t>
      </w:r>
      <w:r w:rsidR="00A436CA" w:rsidRPr="004A0164">
        <w:rPr>
          <w:rFonts w:asciiTheme="minorHAnsi" w:eastAsiaTheme="minorEastAsia" w:hAnsiTheme="minorHAnsi" w:cs="Arial"/>
          <w:sz w:val="22"/>
          <w:szCs w:val="22"/>
          <w:lang w:eastAsia="zh-CN"/>
        </w:rPr>
        <w:t xml:space="preserve">of third country instruments </w:t>
      </w:r>
      <w:r w:rsidRPr="004A0164">
        <w:rPr>
          <w:rFonts w:asciiTheme="minorHAnsi" w:eastAsiaTheme="minorEastAsia" w:hAnsiTheme="minorHAnsi" w:cs="Arial"/>
          <w:sz w:val="22"/>
          <w:szCs w:val="22"/>
          <w:lang w:eastAsia="zh-CN"/>
        </w:rPr>
        <w:t>is based on the turnover outside the Union</w:t>
      </w:r>
      <w:r w:rsidR="00BB7EE9" w:rsidRPr="004A0164">
        <w:rPr>
          <w:rFonts w:asciiTheme="minorHAnsi" w:eastAsiaTheme="minorEastAsia" w:hAnsiTheme="minorHAnsi" w:cs="Arial"/>
          <w:sz w:val="22"/>
          <w:szCs w:val="22"/>
          <w:lang w:eastAsia="zh-CN"/>
        </w:rPr>
        <w:t xml:space="preserve"> which will translate into a costly and lengthy process</w:t>
      </w:r>
      <w:r w:rsidRPr="004A0164">
        <w:rPr>
          <w:rFonts w:asciiTheme="minorHAnsi" w:eastAsiaTheme="minorEastAsia" w:hAnsiTheme="minorHAnsi" w:cs="Arial"/>
          <w:sz w:val="22"/>
          <w:szCs w:val="22"/>
          <w:lang w:eastAsia="zh-CN"/>
        </w:rPr>
        <w:t xml:space="preserve">. Practically the </w:t>
      </w:r>
      <w:r w:rsidR="00BB7EE9" w:rsidRPr="004A0164">
        <w:rPr>
          <w:rFonts w:asciiTheme="minorHAnsi" w:eastAsiaTheme="minorEastAsia" w:hAnsiTheme="minorHAnsi" w:cs="Arial"/>
          <w:sz w:val="22"/>
          <w:szCs w:val="22"/>
          <w:lang w:eastAsia="zh-CN"/>
        </w:rPr>
        <w:t>latter</w:t>
      </w:r>
      <w:r w:rsidRPr="004A0164">
        <w:rPr>
          <w:rFonts w:asciiTheme="minorHAnsi" w:eastAsiaTheme="minorEastAsia" w:hAnsiTheme="minorHAnsi" w:cs="Arial"/>
          <w:sz w:val="22"/>
          <w:szCs w:val="22"/>
          <w:lang w:eastAsia="zh-CN"/>
        </w:rPr>
        <w:t xml:space="preserve"> </w:t>
      </w:r>
      <w:r w:rsidR="001D779B" w:rsidRPr="004A0164">
        <w:rPr>
          <w:rFonts w:asciiTheme="minorHAnsi" w:eastAsiaTheme="minorEastAsia" w:hAnsiTheme="minorHAnsi" w:cs="Arial"/>
          <w:sz w:val="22"/>
          <w:szCs w:val="22"/>
          <w:lang w:eastAsia="zh-CN"/>
        </w:rPr>
        <w:t>requires to retrieve the information for all instruments (considering that instruments with their main pool of liquidity cannot be pre</w:t>
      </w:r>
      <w:r w:rsidR="00DA1EF9" w:rsidRPr="004A0164">
        <w:rPr>
          <w:rFonts w:asciiTheme="minorHAnsi" w:eastAsiaTheme="minorEastAsia" w:hAnsiTheme="minorHAnsi" w:cs="Arial"/>
          <w:sz w:val="22"/>
          <w:szCs w:val="22"/>
          <w:lang w:eastAsia="zh-CN"/>
        </w:rPr>
        <w:t>-</w:t>
      </w:r>
      <w:r w:rsidR="001D779B" w:rsidRPr="004A0164">
        <w:rPr>
          <w:rFonts w:asciiTheme="minorHAnsi" w:eastAsiaTheme="minorEastAsia" w:hAnsiTheme="minorHAnsi" w:cs="Arial"/>
          <w:sz w:val="22"/>
          <w:szCs w:val="22"/>
          <w:lang w:eastAsia="zh-CN"/>
        </w:rPr>
        <w:t xml:space="preserve">selected – the procedure proposed by ESMA is an ex post procedure where an instrument is a third country instrument only when the turnover outside the Union could be retrieved). The public availability of data is to be demonstrated but as much as turnovers are usually available on a trading venue level, it is less obvious that data on an instrument level is freely downloadable. Turning towards data providers is a solution that is not adapted to the exercise because too costly. </w:t>
      </w:r>
      <w:r w:rsidR="00BB7EE9" w:rsidRPr="004A0164">
        <w:rPr>
          <w:rFonts w:asciiTheme="minorHAnsi" w:eastAsiaTheme="minorEastAsia" w:hAnsiTheme="minorHAnsi" w:cs="Arial"/>
          <w:sz w:val="22"/>
          <w:szCs w:val="22"/>
          <w:lang w:eastAsia="zh-CN"/>
        </w:rPr>
        <w:t xml:space="preserve">Those systems </w:t>
      </w:r>
      <w:r w:rsidR="001D779B" w:rsidRPr="004A0164">
        <w:rPr>
          <w:rFonts w:asciiTheme="minorHAnsi" w:eastAsiaTheme="minorEastAsia" w:hAnsiTheme="minorHAnsi" w:cs="Arial"/>
          <w:sz w:val="22"/>
          <w:szCs w:val="22"/>
          <w:lang w:eastAsia="zh-CN"/>
        </w:rPr>
        <w:t xml:space="preserve">allow for searches on a tick level, which is the identifier for an instrument and a trading venue. One single instrument can be found under several hundreds of identifiers and each one shall be entered manually in the system. The </w:t>
      </w:r>
      <w:r w:rsidR="00DA1EF9" w:rsidRPr="004A0164">
        <w:rPr>
          <w:rFonts w:asciiTheme="minorHAnsi" w:eastAsiaTheme="minorEastAsia" w:hAnsiTheme="minorHAnsi" w:cs="Arial"/>
          <w:sz w:val="22"/>
          <w:szCs w:val="22"/>
          <w:lang w:eastAsia="zh-CN"/>
        </w:rPr>
        <w:t xml:space="preserve">staff </w:t>
      </w:r>
      <w:r w:rsidR="001D779B" w:rsidRPr="004A0164">
        <w:rPr>
          <w:rFonts w:asciiTheme="minorHAnsi" w:eastAsiaTheme="minorEastAsia" w:hAnsiTheme="minorHAnsi" w:cs="Arial"/>
          <w:sz w:val="22"/>
          <w:szCs w:val="22"/>
          <w:lang w:eastAsia="zh-CN"/>
        </w:rPr>
        <w:t>and data cost</w:t>
      </w:r>
      <w:r w:rsidR="00DA1EF9" w:rsidRPr="004A0164">
        <w:rPr>
          <w:rFonts w:asciiTheme="minorHAnsi" w:eastAsiaTheme="minorEastAsia" w:hAnsiTheme="minorHAnsi" w:cs="Arial"/>
          <w:sz w:val="22"/>
          <w:szCs w:val="22"/>
          <w:lang w:eastAsia="zh-CN"/>
        </w:rPr>
        <w:t>s</w:t>
      </w:r>
      <w:r w:rsidR="001D779B" w:rsidRPr="004A0164">
        <w:rPr>
          <w:rFonts w:asciiTheme="minorHAnsi" w:eastAsiaTheme="minorEastAsia" w:hAnsiTheme="minorHAnsi" w:cs="Arial"/>
          <w:sz w:val="22"/>
          <w:szCs w:val="22"/>
          <w:lang w:eastAsia="zh-CN"/>
        </w:rPr>
        <w:t xml:space="preserve"> </w:t>
      </w:r>
      <w:r w:rsidR="00DA1EF9" w:rsidRPr="004A0164">
        <w:rPr>
          <w:rFonts w:asciiTheme="minorHAnsi" w:eastAsiaTheme="minorEastAsia" w:hAnsiTheme="minorHAnsi" w:cs="Arial"/>
          <w:sz w:val="22"/>
          <w:szCs w:val="22"/>
          <w:lang w:eastAsia="zh-CN"/>
        </w:rPr>
        <w:t>are</w:t>
      </w:r>
      <w:r w:rsidR="001D779B" w:rsidRPr="004A0164">
        <w:rPr>
          <w:rFonts w:asciiTheme="minorHAnsi" w:eastAsiaTheme="minorEastAsia" w:hAnsiTheme="minorHAnsi" w:cs="Arial"/>
          <w:sz w:val="22"/>
          <w:szCs w:val="22"/>
          <w:lang w:eastAsia="zh-CN"/>
        </w:rPr>
        <w:t xml:space="preserve"> </w:t>
      </w:r>
      <w:r w:rsidR="00DA1EF9" w:rsidRPr="004A0164">
        <w:rPr>
          <w:rFonts w:asciiTheme="minorHAnsi" w:eastAsiaTheme="minorEastAsia" w:hAnsiTheme="minorHAnsi" w:cs="Arial"/>
          <w:sz w:val="22"/>
          <w:szCs w:val="22"/>
          <w:lang w:eastAsia="zh-CN"/>
        </w:rPr>
        <w:t xml:space="preserve">substantial </w:t>
      </w:r>
      <w:r w:rsidR="001D779B" w:rsidRPr="004A0164">
        <w:rPr>
          <w:rFonts w:asciiTheme="minorHAnsi" w:eastAsiaTheme="minorEastAsia" w:hAnsiTheme="minorHAnsi" w:cs="Arial"/>
          <w:sz w:val="22"/>
          <w:szCs w:val="22"/>
          <w:lang w:eastAsia="zh-CN"/>
        </w:rPr>
        <w:t>and would require weeks of data treatment.</w:t>
      </w:r>
    </w:p>
    <w:p w14:paraId="4E62C000" w14:textId="29E42F1B" w:rsidR="00A436CA" w:rsidRPr="00A8300E" w:rsidRDefault="002D76B9" w:rsidP="003F616B">
      <w:pPr>
        <w:pStyle w:val="Listenabsatz"/>
        <w:numPr>
          <w:ilvl w:val="0"/>
          <w:numId w:val="18"/>
        </w:numPr>
        <w:spacing w:after="200"/>
        <w:ind w:left="714" w:hanging="357"/>
        <w:jc w:val="both"/>
        <w:rPr>
          <w:rFonts w:asciiTheme="minorHAnsi" w:hAnsiTheme="minorHAnsi" w:cs="Arial"/>
          <w:sz w:val="22"/>
          <w:szCs w:val="22"/>
        </w:rPr>
      </w:pPr>
      <w:r w:rsidRPr="004A0164">
        <w:rPr>
          <w:rFonts w:asciiTheme="minorHAnsi" w:eastAsiaTheme="minorEastAsia" w:hAnsiTheme="minorHAnsi" w:cs="Arial"/>
          <w:sz w:val="22"/>
          <w:szCs w:val="22"/>
          <w:lang w:eastAsia="zh-CN"/>
        </w:rPr>
        <w:t xml:space="preserve">The communication </w:t>
      </w:r>
      <w:r w:rsidR="0078057A" w:rsidRPr="004A0164">
        <w:rPr>
          <w:rFonts w:asciiTheme="minorHAnsi" w:eastAsiaTheme="minorEastAsia" w:hAnsiTheme="minorHAnsi" w:cs="Arial"/>
          <w:sz w:val="22"/>
          <w:szCs w:val="22"/>
          <w:lang w:eastAsia="zh-CN"/>
        </w:rPr>
        <w:t xml:space="preserve">process between CAs, CAs and trading venues and </w:t>
      </w:r>
      <w:r w:rsidRPr="004A0164">
        <w:rPr>
          <w:rFonts w:asciiTheme="minorHAnsi" w:eastAsiaTheme="minorEastAsia" w:hAnsiTheme="minorHAnsi" w:cs="Arial"/>
          <w:sz w:val="22"/>
          <w:szCs w:val="22"/>
          <w:lang w:eastAsia="zh-CN"/>
        </w:rPr>
        <w:t>to market participants a</w:t>
      </w:r>
      <w:r w:rsidR="0078057A" w:rsidRPr="004A0164">
        <w:rPr>
          <w:rFonts w:asciiTheme="minorHAnsi" w:eastAsiaTheme="minorEastAsia" w:hAnsiTheme="minorHAnsi" w:cs="Arial"/>
          <w:sz w:val="22"/>
          <w:szCs w:val="22"/>
          <w:lang w:eastAsia="zh-CN"/>
        </w:rPr>
        <w:t>ll parties</w:t>
      </w:r>
      <w:r w:rsidRPr="00110E7C">
        <w:rPr>
          <w:rFonts w:asciiTheme="minorHAnsi" w:eastAsiaTheme="minorEastAsia" w:hAnsiTheme="minorHAnsi" w:cs="Arial"/>
          <w:sz w:val="22"/>
          <w:szCs w:val="22"/>
          <w:lang w:eastAsia="zh-CN"/>
        </w:rPr>
        <w:t xml:space="preserve"> will have to </w:t>
      </w:r>
      <w:r w:rsidR="0078057A" w:rsidRPr="00110E7C">
        <w:rPr>
          <w:rFonts w:asciiTheme="minorHAnsi" w:eastAsiaTheme="minorEastAsia" w:hAnsiTheme="minorHAnsi" w:cs="Arial"/>
          <w:sz w:val="22"/>
          <w:szCs w:val="22"/>
          <w:lang w:eastAsia="zh-CN"/>
        </w:rPr>
        <w:t xml:space="preserve">inform and be informed </w:t>
      </w:r>
      <w:r w:rsidRPr="00A27806">
        <w:rPr>
          <w:rFonts w:asciiTheme="minorHAnsi" w:eastAsiaTheme="minorEastAsia" w:hAnsiTheme="minorHAnsi" w:cs="Arial"/>
          <w:sz w:val="22"/>
          <w:szCs w:val="22"/>
          <w:lang w:eastAsia="zh-CN"/>
        </w:rPr>
        <w:t xml:space="preserve">of the list of third country instrument with an adjusted ADNT. </w:t>
      </w:r>
      <w:r w:rsidR="0078057A" w:rsidRPr="00870D62">
        <w:rPr>
          <w:rFonts w:asciiTheme="minorHAnsi" w:eastAsiaTheme="minorEastAsia" w:hAnsiTheme="minorHAnsi" w:cs="Arial"/>
          <w:sz w:val="22"/>
          <w:szCs w:val="22"/>
          <w:lang w:eastAsia="zh-CN"/>
        </w:rPr>
        <w:t xml:space="preserve">In particular, the lack of centralised publication will require active communication from trading venues to their market participants both on a yearly basis and ad hoc basis </w:t>
      </w:r>
      <w:r w:rsidRPr="004A0164">
        <w:rPr>
          <w:rFonts w:asciiTheme="minorHAnsi" w:eastAsiaTheme="minorEastAsia" w:hAnsiTheme="minorHAnsi" w:cs="Arial"/>
          <w:sz w:val="22"/>
          <w:szCs w:val="22"/>
          <w:lang w:eastAsia="zh-CN"/>
        </w:rPr>
        <w:t xml:space="preserve">each time a third country instrument is listed </w:t>
      </w:r>
      <w:r w:rsidRPr="004A0164">
        <w:rPr>
          <w:rFonts w:asciiTheme="minorHAnsi" w:eastAsiaTheme="minorEastAsia" w:hAnsiTheme="minorHAnsi" w:cs="Arial"/>
          <w:sz w:val="22"/>
          <w:szCs w:val="22"/>
          <w:lang w:eastAsia="zh-CN"/>
        </w:rPr>
        <w:lastRenderedPageBreak/>
        <w:t xml:space="preserve">in the Union. </w:t>
      </w:r>
      <w:r w:rsidR="0078057A" w:rsidRPr="004A0164">
        <w:rPr>
          <w:rFonts w:asciiTheme="minorHAnsi" w:eastAsiaTheme="minorEastAsia" w:hAnsiTheme="minorHAnsi" w:cs="Arial"/>
          <w:sz w:val="22"/>
          <w:szCs w:val="22"/>
          <w:lang w:eastAsia="zh-CN"/>
        </w:rPr>
        <w:t>Those points also raise the following issues: Will</w:t>
      </w:r>
      <w:r w:rsidRPr="004A0164">
        <w:rPr>
          <w:rFonts w:asciiTheme="minorHAnsi" w:eastAsiaTheme="minorEastAsia" w:hAnsiTheme="minorHAnsi" w:cs="Arial"/>
          <w:sz w:val="22"/>
          <w:szCs w:val="22"/>
          <w:lang w:eastAsia="zh-CN"/>
        </w:rPr>
        <w:t xml:space="preserve"> it be possible </w:t>
      </w:r>
      <w:r w:rsidR="0078057A" w:rsidRPr="004A0164">
        <w:rPr>
          <w:rFonts w:asciiTheme="minorHAnsi" w:eastAsiaTheme="minorEastAsia" w:hAnsiTheme="minorHAnsi" w:cs="Arial"/>
          <w:sz w:val="22"/>
          <w:szCs w:val="22"/>
          <w:lang w:eastAsia="zh-CN"/>
        </w:rPr>
        <w:t xml:space="preserve">for CAs </w:t>
      </w:r>
      <w:r w:rsidRPr="004A0164">
        <w:rPr>
          <w:rFonts w:asciiTheme="minorHAnsi" w:eastAsiaTheme="minorEastAsia" w:hAnsiTheme="minorHAnsi" w:cs="Arial"/>
          <w:sz w:val="22"/>
          <w:szCs w:val="22"/>
          <w:lang w:eastAsia="zh-CN"/>
        </w:rPr>
        <w:t xml:space="preserve">to propose an adjusted ADNT ahead of the new listing day? Would CAs </w:t>
      </w:r>
      <w:r w:rsidR="0078057A" w:rsidRPr="004A0164">
        <w:rPr>
          <w:rFonts w:asciiTheme="minorHAnsi" w:eastAsiaTheme="minorEastAsia" w:hAnsiTheme="minorHAnsi" w:cs="Arial"/>
          <w:sz w:val="22"/>
          <w:szCs w:val="22"/>
          <w:lang w:eastAsia="zh-CN"/>
        </w:rPr>
        <w:t xml:space="preserve">be able to adjust ADNTs </w:t>
      </w:r>
      <w:r w:rsidRPr="004A0164">
        <w:rPr>
          <w:rFonts w:asciiTheme="minorHAnsi" w:eastAsiaTheme="minorEastAsia" w:hAnsiTheme="minorHAnsi" w:cs="Arial"/>
          <w:sz w:val="22"/>
          <w:szCs w:val="22"/>
          <w:lang w:eastAsia="zh-CN"/>
        </w:rPr>
        <w:t xml:space="preserve">before </w:t>
      </w:r>
      <w:r w:rsidR="0078057A" w:rsidRPr="004A0164">
        <w:rPr>
          <w:rFonts w:asciiTheme="minorHAnsi" w:eastAsiaTheme="minorEastAsia" w:hAnsiTheme="minorHAnsi" w:cs="Arial"/>
          <w:sz w:val="22"/>
          <w:szCs w:val="22"/>
          <w:lang w:eastAsia="zh-CN"/>
        </w:rPr>
        <w:t>the four-week estimate of the EU ADNT is published?</w:t>
      </w:r>
    </w:p>
    <w:p w14:paraId="23CE37FE" w14:textId="77777777" w:rsidR="0035550B" w:rsidRPr="004A0164" w:rsidRDefault="0035550B" w:rsidP="0035550B">
      <w:pPr>
        <w:rPr>
          <w:rFonts w:cs="Arial"/>
        </w:rPr>
      </w:pPr>
      <w:r w:rsidRPr="004A0164">
        <w:rPr>
          <w:rFonts w:cs="Arial"/>
        </w:rPr>
        <w:t>&lt;ESMA_QUESTION_ACDR_9&gt;</w:t>
      </w:r>
    </w:p>
    <w:p w14:paraId="3946DBC0" w14:textId="77777777" w:rsidR="0035550B" w:rsidRPr="00110E7C" w:rsidRDefault="0035550B" w:rsidP="0035550B">
      <w:pPr>
        <w:rPr>
          <w:rFonts w:cs="Arial"/>
        </w:rPr>
      </w:pPr>
    </w:p>
    <w:p w14:paraId="6E692260" w14:textId="77777777" w:rsidR="0035550B" w:rsidRPr="00A27806" w:rsidRDefault="0035550B" w:rsidP="00E26CBF">
      <w:pPr>
        <w:pStyle w:val="Questionstyle"/>
        <w:rPr>
          <w:szCs w:val="22"/>
        </w:rPr>
      </w:pPr>
      <w:r w:rsidRPr="00110E7C">
        <w:rPr>
          <w:szCs w:val="22"/>
        </w:rPr>
        <w:t>CBA: Please provide an indication, even a rough one, of complian</w:t>
      </w:r>
      <w:r w:rsidRPr="00A27806">
        <w:rPr>
          <w:szCs w:val="22"/>
        </w:rPr>
        <w:t>ce costs (in thousands of euros)</w:t>
      </w:r>
    </w:p>
    <w:p w14:paraId="52589D9B" w14:textId="6A284A70" w:rsidR="0035550B" w:rsidRPr="00870D62" w:rsidRDefault="0035550B" w:rsidP="0035550B">
      <w:pPr>
        <w:rPr>
          <w:rFonts w:cs="Arial"/>
        </w:rPr>
      </w:pPr>
      <w:r w:rsidRPr="00870D62">
        <w:rPr>
          <w:rFonts w:cs="Arial"/>
        </w:rPr>
        <w:t>&lt;ESMA_QUESTION_ACDR_10&gt;</w:t>
      </w:r>
    </w:p>
    <w:p w14:paraId="26BCAAF7" w14:textId="0CCDEED7" w:rsidR="004676A3" w:rsidRPr="004A0164" w:rsidRDefault="00CC6073" w:rsidP="00AB1C14">
      <w:pPr>
        <w:jc w:val="both"/>
        <w:rPr>
          <w:rFonts w:cs="Arial"/>
        </w:rPr>
      </w:pPr>
      <w:r w:rsidRPr="003F616B">
        <w:t xml:space="preserve">Please note that based on statutory law 90% of the costs incurred by the Exchange Supervisory Authority for supervision of the Frankfurt Stock Exchange have to be borne by Deutsche </w:t>
      </w:r>
      <w:r w:rsidR="006B7B44" w:rsidRPr="003F616B">
        <w:t>Börse</w:t>
      </w:r>
      <w:r w:rsidRPr="003F616B">
        <w:t xml:space="preserve"> AG in its capacity as the operator of the Frankfurt Stock Exchange. Hence the following table reflects costs</w:t>
      </w:r>
      <w:r w:rsidR="004676A3" w:rsidRPr="007C30B0">
        <w:rPr>
          <w:rFonts w:cs="Arial"/>
        </w:rPr>
        <w:t xml:space="preserve"> </w:t>
      </w:r>
      <w:r w:rsidR="004676A3" w:rsidRPr="004A0164">
        <w:rPr>
          <w:rFonts w:cs="Arial"/>
        </w:rPr>
        <w:t>along the whole process of instruments selection up until the determination of the adjusted ADNTs</w:t>
      </w:r>
      <w:r w:rsidR="007C30B0">
        <w:rPr>
          <w:rFonts w:cs="Arial"/>
        </w:rPr>
        <w:t xml:space="preserve"> and the communication to market participants</w:t>
      </w:r>
      <w:r w:rsidR="004676A3" w:rsidRPr="004A0164">
        <w:rPr>
          <w:rFonts w:cs="Arial"/>
        </w:rPr>
        <w:t>.</w:t>
      </w:r>
    </w:p>
    <w:tbl>
      <w:tblPr>
        <w:tblStyle w:val="Tabellenraster"/>
        <w:tblW w:w="8784" w:type="dxa"/>
        <w:tblLook w:val="04A0" w:firstRow="1" w:lastRow="0" w:firstColumn="1" w:lastColumn="0" w:noHBand="0" w:noVBand="1"/>
      </w:tblPr>
      <w:tblGrid>
        <w:gridCol w:w="1209"/>
        <w:gridCol w:w="1516"/>
        <w:gridCol w:w="1381"/>
        <w:gridCol w:w="1276"/>
        <w:gridCol w:w="1843"/>
        <w:gridCol w:w="1559"/>
      </w:tblGrid>
      <w:tr w:rsidR="007C30B0" w:rsidRPr="004A0164" w14:paraId="10EDE880" w14:textId="77777777" w:rsidTr="007C30B0">
        <w:tc>
          <w:tcPr>
            <w:tcW w:w="1209" w:type="dxa"/>
          </w:tcPr>
          <w:p w14:paraId="2CA33055" w14:textId="77777777" w:rsidR="0035550B" w:rsidRPr="00A8300E" w:rsidRDefault="0035550B" w:rsidP="00180C5D">
            <w:pPr>
              <w:rPr>
                <w:rFonts w:asciiTheme="minorHAnsi" w:hAnsiTheme="minorHAnsi"/>
                <w:sz w:val="22"/>
                <w:szCs w:val="22"/>
              </w:rPr>
            </w:pPr>
            <w:r w:rsidRPr="004A0164">
              <w:t>Draft amendment to RTS11</w:t>
            </w:r>
          </w:p>
        </w:tc>
        <w:tc>
          <w:tcPr>
            <w:tcW w:w="1516" w:type="dxa"/>
          </w:tcPr>
          <w:p w14:paraId="0B81EB5F" w14:textId="77777777" w:rsidR="0035550B" w:rsidRPr="00A8300E" w:rsidRDefault="0035550B" w:rsidP="00180C5D">
            <w:pPr>
              <w:rPr>
                <w:rFonts w:asciiTheme="minorHAnsi" w:hAnsiTheme="minorHAnsi"/>
                <w:sz w:val="22"/>
                <w:szCs w:val="22"/>
              </w:rPr>
            </w:pPr>
            <w:r w:rsidRPr="004A0164">
              <w:t xml:space="preserve">a. IT costs </w:t>
            </w:r>
          </w:p>
        </w:tc>
        <w:tc>
          <w:tcPr>
            <w:tcW w:w="1381" w:type="dxa"/>
          </w:tcPr>
          <w:p w14:paraId="122F61B9" w14:textId="77777777" w:rsidR="0035550B" w:rsidRPr="00A8300E" w:rsidRDefault="0035550B" w:rsidP="00180C5D">
            <w:pPr>
              <w:rPr>
                <w:rFonts w:asciiTheme="minorHAnsi" w:hAnsiTheme="minorHAnsi"/>
                <w:sz w:val="22"/>
                <w:szCs w:val="22"/>
              </w:rPr>
            </w:pPr>
            <w:r w:rsidRPr="004A0164">
              <w:t>b. Training costs</w:t>
            </w:r>
          </w:p>
        </w:tc>
        <w:tc>
          <w:tcPr>
            <w:tcW w:w="1276" w:type="dxa"/>
          </w:tcPr>
          <w:p w14:paraId="3EC4B140" w14:textId="77777777" w:rsidR="0035550B" w:rsidRPr="00A8300E" w:rsidRDefault="0035550B" w:rsidP="00180C5D">
            <w:pPr>
              <w:rPr>
                <w:rFonts w:asciiTheme="minorHAnsi" w:hAnsiTheme="minorHAnsi"/>
                <w:sz w:val="22"/>
                <w:szCs w:val="22"/>
              </w:rPr>
            </w:pPr>
            <w:r w:rsidRPr="004A0164">
              <w:t>c. Staff costs</w:t>
            </w:r>
          </w:p>
        </w:tc>
        <w:tc>
          <w:tcPr>
            <w:tcW w:w="1843" w:type="dxa"/>
          </w:tcPr>
          <w:p w14:paraId="1AD0C330" w14:textId="77777777" w:rsidR="0035550B" w:rsidRPr="00A8300E" w:rsidRDefault="0035550B" w:rsidP="00180C5D">
            <w:pPr>
              <w:rPr>
                <w:rFonts w:asciiTheme="minorHAnsi" w:hAnsiTheme="minorHAnsi"/>
                <w:sz w:val="22"/>
                <w:szCs w:val="22"/>
              </w:rPr>
            </w:pPr>
            <w:r w:rsidRPr="004A0164">
              <w:t>d. Other costs (please identify)</w:t>
            </w:r>
          </w:p>
        </w:tc>
        <w:tc>
          <w:tcPr>
            <w:tcW w:w="1559" w:type="dxa"/>
          </w:tcPr>
          <w:p w14:paraId="55DCC13B" w14:textId="279A2ACA" w:rsidR="0035550B" w:rsidRPr="00A8300E" w:rsidRDefault="0035550B" w:rsidP="00180C5D">
            <w:pPr>
              <w:rPr>
                <w:rFonts w:asciiTheme="minorHAnsi" w:hAnsiTheme="minorHAnsi"/>
                <w:sz w:val="22"/>
                <w:szCs w:val="22"/>
              </w:rPr>
            </w:pPr>
            <w:r w:rsidRPr="004A0164">
              <w:t>Total co</w:t>
            </w:r>
            <w:r w:rsidR="00834F70" w:rsidRPr="004A0164">
              <w:t>s</w:t>
            </w:r>
            <w:r w:rsidRPr="004A0164">
              <w:t xml:space="preserve">ts ( if a, b, c or d are not available separately) </w:t>
            </w:r>
          </w:p>
        </w:tc>
      </w:tr>
      <w:tr w:rsidR="007C30B0" w:rsidRPr="004A0164" w14:paraId="28026D58" w14:textId="77777777" w:rsidTr="007C30B0">
        <w:tc>
          <w:tcPr>
            <w:tcW w:w="1209" w:type="dxa"/>
          </w:tcPr>
          <w:p w14:paraId="11FD37D7" w14:textId="77777777" w:rsidR="0035550B" w:rsidRPr="00A8300E" w:rsidRDefault="0035550B" w:rsidP="00180C5D">
            <w:pPr>
              <w:rPr>
                <w:rFonts w:asciiTheme="minorHAnsi" w:hAnsiTheme="minorHAnsi"/>
                <w:sz w:val="22"/>
                <w:szCs w:val="22"/>
              </w:rPr>
            </w:pPr>
            <w:r w:rsidRPr="004A0164">
              <w:t xml:space="preserve">One-off costs </w:t>
            </w:r>
          </w:p>
          <w:p w14:paraId="3A53F591" w14:textId="77777777" w:rsidR="0035550B" w:rsidRPr="00A8300E" w:rsidRDefault="0035550B" w:rsidP="00180C5D">
            <w:pPr>
              <w:rPr>
                <w:rFonts w:asciiTheme="minorHAnsi" w:hAnsiTheme="minorHAnsi"/>
                <w:sz w:val="22"/>
                <w:szCs w:val="22"/>
              </w:rPr>
            </w:pPr>
          </w:p>
        </w:tc>
        <w:tc>
          <w:tcPr>
            <w:tcW w:w="1516" w:type="dxa"/>
          </w:tcPr>
          <w:p w14:paraId="2C1E52FF" w14:textId="50ECBE12" w:rsidR="0035550B" w:rsidRPr="00A8300E" w:rsidRDefault="00CE153D" w:rsidP="00142246">
            <w:pPr>
              <w:rPr>
                <w:rFonts w:asciiTheme="minorHAnsi" w:hAnsiTheme="minorHAnsi"/>
                <w:sz w:val="22"/>
                <w:szCs w:val="22"/>
              </w:rPr>
            </w:pPr>
            <w:r w:rsidRPr="004A0164">
              <w:rPr>
                <w:rFonts w:cs="Arial"/>
                <w:b/>
              </w:rPr>
              <w:t>Trading system to be partly reprogrammed</w:t>
            </w:r>
            <w:r w:rsidRPr="004A0164">
              <w:rPr>
                <w:rFonts w:cs="Arial"/>
              </w:rPr>
              <w:t xml:space="preserve"> outside </w:t>
            </w:r>
            <w:r w:rsidR="00142246">
              <w:rPr>
                <w:rFonts w:cs="Arial"/>
              </w:rPr>
              <w:t xml:space="preserve">our annual trading system </w:t>
            </w:r>
            <w:r w:rsidRPr="004A0164">
              <w:rPr>
                <w:rFonts w:cs="Arial"/>
              </w:rPr>
              <w:t xml:space="preserve">releases. Currently the trading system is directly fed with input from </w:t>
            </w:r>
            <w:r w:rsidR="00514A4A" w:rsidRPr="004A0164">
              <w:rPr>
                <w:rFonts w:cs="Arial"/>
              </w:rPr>
              <w:t>FITRS</w:t>
            </w:r>
            <w:r w:rsidRPr="004A0164">
              <w:rPr>
                <w:rFonts w:cs="Arial"/>
              </w:rPr>
              <w:t>. Information from a third part</w:t>
            </w:r>
            <w:r w:rsidR="00514A4A" w:rsidRPr="004A0164">
              <w:rPr>
                <w:rFonts w:cs="Arial"/>
              </w:rPr>
              <w:t>y</w:t>
            </w:r>
            <w:r w:rsidRPr="004A0164">
              <w:rPr>
                <w:rFonts w:cs="Arial"/>
              </w:rPr>
              <w:t xml:space="preserve"> would require change of logic and reprogramming to allow for overwriting of ESMA</w:t>
            </w:r>
            <w:r w:rsidR="00514A4A" w:rsidRPr="004A0164">
              <w:rPr>
                <w:rFonts w:cs="Arial"/>
              </w:rPr>
              <w:t>’s</w:t>
            </w:r>
            <w:r w:rsidRPr="004A0164">
              <w:rPr>
                <w:rFonts w:cs="Arial"/>
              </w:rPr>
              <w:t xml:space="preserve"> input via manual input</w:t>
            </w:r>
            <w:r w:rsidR="00514A4A" w:rsidRPr="004A0164">
              <w:rPr>
                <w:rFonts w:cs="Arial"/>
              </w:rPr>
              <w:t>.</w:t>
            </w:r>
          </w:p>
        </w:tc>
        <w:tc>
          <w:tcPr>
            <w:tcW w:w="1381" w:type="dxa"/>
          </w:tcPr>
          <w:p w14:paraId="2262CD11" w14:textId="0D3749BB" w:rsidR="0035550B" w:rsidRPr="00A8300E" w:rsidRDefault="00514A4A" w:rsidP="00514A4A">
            <w:pPr>
              <w:rPr>
                <w:rFonts w:asciiTheme="minorHAnsi" w:hAnsiTheme="minorHAnsi" w:cs="Arial"/>
                <w:sz w:val="22"/>
                <w:szCs w:val="22"/>
              </w:rPr>
            </w:pPr>
            <w:r w:rsidRPr="004A0164">
              <w:rPr>
                <w:rFonts w:cs="Arial"/>
              </w:rPr>
              <w:t xml:space="preserve">- </w:t>
            </w:r>
            <w:r w:rsidRPr="004A0164">
              <w:rPr>
                <w:rFonts w:cs="Arial"/>
                <w:b/>
              </w:rPr>
              <w:t xml:space="preserve">Training of one </w:t>
            </w:r>
            <w:r w:rsidR="00142246">
              <w:rPr>
                <w:rFonts w:cs="Arial"/>
                <w:b/>
              </w:rPr>
              <w:t xml:space="preserve">or more </w:t>
            </w:r>
            <w:r w:rsidRPr="004A0164">
              <w:rPr>
                <w:rFonts w:cs="Arial"/>
                <w:b/>
              </w:rPr>
              <w:t>full time employee</w:t>
            </w:r>
            <w:r w:rsidR="00142246">
              <w:rPr>
                <w:rFonts w:cs="Arial"/>
                <w:b/>
              </w:rPr>
              <w:t>s</w:t>
            </w:r>
            <w:r w:rsidRPr="004A0164">
              <w:rPr>
                <w:rFonts w:cs="Arial"/>
                <w:b/>
              </w:rPr>
              <w:t xml:space="preserve"> (FTE</w:t>
            </w:r>
            <w:r w:rsidR="00142246">
              <w:rPr>
                <w:rFonts w:cs="Arial"/>
                <w:b/>
              </w:rPr>
              <w:t>s</w:t>
            </w:r>
            <w:r w:rsidRPr="004A0164">
              <w:rPr>
                <w:rFonts w:cs="Arial"/>
                <w:b/>
              </w:rPr>
              <w:t>) to retrieve data</w:t>
            </w:r>
            <w:r w:rsidRPr="004A0164">
              <w:rPr>
                <w:rFonts w:cs="Arial"/>
              </w:rPr>
              <w:t xml:space="preserve"> on </w:t>
            </w:r>
            <w:r w:rsidR="00CE153D" w:rsidRPr="004A0164">
              <w:rPr>
                <w:rFonts w:cs="Arial"/>
              </w:rPr>
              <w:t>turnover</w:t>
            </w:r>
            <w:r w:rsidRPr="004A0164">
              <w:rPr>
                <w:rFonts w:cs="Arial"/>
              </w:rPr>
              <w:t xml:space="preserve"> and number of transactions</w:t>
            </w:r>
            <w:r w:rsidR="00CE153D" w:rsidRPr="004A0164">
              <w:rPr>
                <w:rFonts w:cs="Arial"/>
              </w:rPr>
              <w:t xml:space="preserve"> for third country instrument</w:t>
            </w:r>
            <w:r w:rsidRPr="004A0164">
              <w:rPr>
                <w:rFonts w:cs="Arial"/>
              </w:rPr>
              <w:t>s – within and outside the Union - from various sources.</w:t>
            </w:r>
          </w:p>
          <w:p w14:paraId="4361C324" w14:textId="2386DCF1" w:rsidR="0035550B" w:rsidRPr="00A8300E" w:rsidRDefault="00514A4A" w:rsidP="00514A4A">
            <w:pPr>
              <w:rPr>
                <w:rFonts w:asciiTheme="minorHAnsi" w:hAnsiTheme="minorHAnsi" w:cs="Arial"/>
                <w:sz w:val="22"/>
                <w:szCs w:val="22"/>
              </w:rPr>
            </w:pPr>
            <w:r w:rsidRPr="004A0164">
              <w:rPr>
                <w:rFonts w:cs="Arial"/>
              </w:rPr>
              <w:t xml:space="preserve">- </w:t>
            </w:r>
            <w:r w:rsidR="00A436CA" w:rsidRPr="004A0164">
              <w:rPr>
                <w:rFonts w:cs="Arial"/>
                <w:b/>
              </w:rPr>
              <w:t>Training of one</w:t>
            </w:r>
            <w:r w:rsidR="00142246">
              <w:rPr>
                <w:rFonts w:cs="Arial"/>
                <w:b/>
              </w:rPr>
              <w:t xml:space="preserve"> or more</w:t>
            </w:r>
            <w:r w:rsidR="00A436CA" w:rsidRPr="004A0164">
              <w:rPr>
                <w:rFonts w:cs="Arial"/>
                <w:b/>
              </w:rPr>
              <w:t xml:space="preserve"> FTE</w:t>
            </w:r>
            <w:r w:rsidR="00142246">
              <w:rPr>
                <w:rFonts w:cs="Arial"/>
                <w:b/>
              </w:rPr>
              <w:t>s</w:t>
            </w:r>
            <w:r w:rsidR="00A436CA" w:rsidRPr="004A0164">
              <w:rPr>
                <w:rFonts w:cs="Arial"/>
                <w:b/>
              </w:rPr>
              <w:t xml:space="preserve"> to run the estimations</w:t>
            </w:r>
            <w:r w:rsidR="00A436CA" w:rsidRPr="004A0164">
              <w:rPr>
                <w:rFonts w:cs="Arial"/>
              </w:rPr>
              <w:t xml:space="preserve"> </w:t>
            </w:r>
            <w:r w:rsidRPr="004A0164">
              <w:rPr>
                <w:rFonts w:cs="Arial"/>
              </w:rPr>
              <w:t xml:space="preserve">for </w:t>
            </w:r>
            <w:r w:rsidR="00A436CA" w:rsidRPr="004A0164">
              <w:rPr>
                <w:rFonts w:cs="Arial"/>
              </w:rPr>
              <w:t>adjusted ADNTs</w:t>
            </w:r>
            <w:r w:rsidR="00CE153D" w:rsidRPr="004A0164">
              <w:rPr>
                <w:rFonts w:cs="Arial"/>
              </w:rPr>
              <w:t xml:space="preserve"> for the identified third country instruments</w:t>
            </w:r>
            <w:r w:rsidR="00A436CA" w:rsidRPr="004A0164">
              <w:rPr>
                <w:rFonts w:cs="Arial"/>
              </w:rPr>
              <w:t>.</w:t>
            </w:r>
          </w:p>
        </w:tc>
        <w:tc>
          <w:tcPr>
            <w:tcW w:w="1276" w:type="dxa"/>
          </w:tcPr>
          <w:p w14:paraId="18881E3D" w14:textId="5EE6E221" w:rsidR="0035550B" w:rsidRPr="00A8300E" w:rsidRDefault="00F433F1" w:rsidP="00F433F1">
            <w:pPr>
              <w:rPr>
                <w:rFonts w:asciiTheme="minorHAnsi" w:hAnsiTheme="minorHAnsi" w:cs="Arial"/>
                <w:sz w:val="22"/>
                <w:szCs w:val="22"/>
              </w:rPr>
            </w:pPr>
            <w:r w:rsidRPr="004A0164">
              <w:rPr>
                <w:rFonts w:cs="Arial"/>
              </w:rPr>
              <w:t xml:space="preserve">- </w:t>
            </w:r>
            <w:r w:rsidR="00834F70" w:rsidRPr="004A0164">
              <w:rPr>
                <w:rFonts w:cs="Arial"/>
                <w:b/>
              </w:rPr>
              <w:t>FTE</w:t>
            </w:r>
            <w:r w:rsidR="00A436CA" w:rsidRPr="004A0164">
              <w:rPr>
                <w:rFonts w:cs="Arial"/>
                <w:b/>
              </w:rPr>
              <w:t>(s)</w:t>
            </w:r>
            <w:r w:rsidR="00834F70" w:rsidRPr="004A0164">
              <w:rPr>
                <w:rFonts w:cs="Arial"/>
                <w:b/>
              </w:rPr>
              <w:t xml:space="preserve"> to retrieve data </w:t>
            </w:r>
            <w:r w:rsidR="00834F70" w:rsidRPr="004A0164">
              <w:rPr>
                <w:rFonts w:cs="Arial"/>
              </w:rPr>
              <w:t>for shares only, select instruments with ADNT above 1 and comparison with EU turnovers.</w:t>
            </w:r>
          </w:p>
          <w:p w14:paraId="578444CE" w14:textId="2544A4D0" w:rsidR="0035550B" w:rsidRPr="00A8300E" w:rsidRDefault="00F433F1" w:rsidP="00180C5D">
            <w:pPr>
              <w:rPr>
                <w:rFonts w:asciiTheme="minorHAnsi" w:hAnsiTheme="minorHAnsi"/>
                <w:sz w:val="22"/>
                <w:szCs w:val="22"/>
              </w:rPr>
            </w:pPr>
            <w:r w:rsidRPr="004A0164">
              <w:t xml:space="preserve">- </w:t>
            </w:r>
            <w:r w:rsidRPr="004A0164">
              <w:rPr>
                <w:b/>
              </w:rPr>
              <w:t>FTE(s) to process the c</w:t>
            </w:r>
            <w:r w:rsidR="00A436CA" w:rsidRPr="004A0164">
              <w:rPr>
                <w:b/>
              </w:rPr>
              <w:t>alculation</w:t>
            </w:r>
            <w:r w:rsidR="00A436CA" w:rsidRPr="004A0164">
              <w:t xml:space="preserve"> of the adjusted ADNTs</w:t>
            </w:r>
            <w:r w:rsidR="003733E7" w:rsidRPr="004A0164">
              <w:t>.</w:t>
            </w:r>
          </w:p>
          <w:p w14:paraId="5E8185DB" w14:textId="7FE90C60" w:rsidR="00A436CA" w:rsidRPr="00A8300E" w:rsidRDefault="00F433F1" w:rsidP="003733E7">
            <w:pPr>
              <w:rPr>
                <w:rFonts w:asciiTheme="minorHAnsi" w:hAnsiTheme="minorHAnsi"/>
                <w:sz w:val="22"/>
                <w:szCs w:val="22"/>
              </w:rPr>
            </w:pPr>
            <w:r w:rsidRPr="004A0164">
              <w:t xml:space="preserve">- </w:t>
            </w:r>
            <w:r w:rsidR="00A436CA" w:rsidRPr="004A0164">
              <w:t>FTE</w:t>
            </w:r>
            <w:r w:rsidR="00605000">
              <w:t>(s)</w:t>
            </w:r>
            <w:r w:rsidR="00A436CA" w:rsidRPr="004A0164">
              <w:t xml:space="preserve"> to</w:t>
            </w:r>
            <w:r w:rsidR="003733E7" w:rsidRPr="004A0164">
              <w:t xml:space="preserve"> check and </w:t>
            </w:r>
            <w:r w:rsidR="00A436CA" w:rsidRPr="004A0164">
              <w:t>enter the new ADNTs in</w:t>
            </w:r>
            <w:r w:rsidR="003733E7" w:rsidRPr="004A0164">
              <w:t xml:space="preserve">to the trading </w:t>
            </w:r>
            <w:r w:rsidR="00A436CA" w:rsidRPr="004A0164">
              <w:t>system</w:t>
            </w:r>
            <w:r w:rsidR="003733E7" w:rsidRPr="004A0164">
              <w:t>.</w:t>
            </w:r>
          </w:p>
          <w:p w14:paraId="38FCBBB0" w14:textId="48E811C8" w:rsidR="009E7714" w:rsidRPr="00A8300E" w:rsidRDefault="009E7714" w:rsidP="00FC7BA6">
            <w:pPr>
              <w:rPr>
                <w:rFonts w:asciiTheme="minorHAnsi" w:hAnsiTheme="minorHAnsi"/>
                <w:sz w:val="22"/>
                <w:szCs w:val="22"/>
              </w:rPr>
            </w:pPr>
            <w:r w:rsidRPr="004A0164">
              <w:t xml:space="preserve">- </w:t>
            </w:r>
            <w:r w:rsidR="00FC7BA6" w:rsidRPr="004A0164">
              <w:rPr>
                <w:b/>
              </w:rPr>
              <w:t>Cash Market sales to ensure visits, emails and phone calls</w:t>
            </w:r>
            <w:r w:rsidR="00FC7BA6" w:rsidRPr="004A0164">
              <w:t xml:space="preserve"> </w:t>
            </w:r>
            <w:r w:rsidRPr="004A0164">
              <w:t>to members to inform on the new tick size regime and informing on the affected instruments.</w:t>
            </w:r>
          </w:p>
        </w:tc>
        <w:tc>
          <w:tcPr>
            <w:tcW w:w="1843" w:type="dxa"/>
          </w:tcPr>
          <w:p w14:paraId="52B92B40" w14:textId="55738518" w:rsidR="0035550B" w:rsidRPr="00A8300E" w:rsidRDefault="00F433F1" w:rsidP="00F433F1">
            <w:pPr>
              <w:rPr>
                <w:rFonts w:asciiTheme="minorHAnsi" w:hAnsiTheme="minorHAnsi" w:cs="Arial"/>
                <w:sz w:val="22"/>
                <w:szCs w:val="22"/>
              </w:rPr>
            </w:pPr>
            <w:r w:rsidRPr="004A0164">
              <w:rPr>
                <w:rFonts w:cs="Arial"/>
                <w:b/>
              </w:rPr>
              <w:t xml:space="preserve">- </w:t>
            </w:r>
            <w:r w:rsidR="00834F70" w:rsidRPr="004A0164">
              <w:rPr>
                <w:rFonts w:cs="Arial"/>
                <w:b/>
              </w:rPr>
              <w:t xml:space="preserve">Data </w:t>
            </w:r>
            <w:r w:rsidR="00DA1EF9" w:rsidRPr="004A0164">
              <w:rPr>
                <w:rFonts w:cs="Arial"/>
                <w:b/>
              </w:rPr>
              <w:t>vendors</w:t>
            </w:r>
            <w:r w:rsidR="00834F70" w:rsidRPr="004A0164">
              <w:rPr>
                <w:rFonts w:cs="Arial"/>
                <w:b/>
              </w:rPr>
              <w:t xml:space="preserve"> costs</w:t>
            </w:r>
            <w:r w:rsidR="00834F70" w:rsidRPr="004A0164">
              <w:rPr>
                <w:rFonts w:cs="Arial"/>
              </w:rPr>
              <w:t xml:space="preserve"> to </w:t>
            </w:r>
            <w:r w:rsidR="009E7714" w:rsidRPr="004A0164">
              <w:rPr>
                <w:rFonts w:cs="Arial"/>
              </w:rPr>
              <w:t xml:space="preserve">retrieve </w:t>
            </w:r>
            <w:r w:rsidR="00834F70" w:rsidRPr="004A0164">
              <w:rPr>
                <w:rFonts w:cs="Arial"/>
              </w:rPr>
              <w:t>turnover</w:t>
            </w:r>
            <w:r w:rsidR="009E7714" w:rsidRPr="004A0164">
              <w:rPr>
                <w:rFonts w:cs="Arial"/>
              </w:rPr>
              <w:t xml:space="preserve"> of shares</w:t>
            </w:r>
            <w:r w:rsidR="00834F70" w:rsidRPr="004A0164">
              <w:rPr>
                <w:rFonts w:cs="Arial"/>
              </w:rPr>
              <w:t xml:space="preserve"> outside </w:t>
            </w:r>
            <w:r w:rsidR="009E7714" w:rsidRPr="004A0164">
              <w:rPr>
                <w:rFonts w:cs="Arial"/>
              </w:rPr>
              <w:t>the Union</w:t>
            </w:r>
            <w:r w:rsidRPr="004A0164">
              <w:rPr>
                <w:rFonts w:cs="Arial"/>
              </w:rPr>
              <w:t>.</w:t>
            </w:r>
          </w:p>
          <w:p w14:paraId="359F39C6" w14:textId="559FBEC7" w:rsidR="0035550B" w:rsidRPr="00A8300E" w:rsidRDefault="009E7714" w:rsidP="00180C5D">
            <w:pPr>
              <w:rPr>
                <w:rFonts w:asciiTheme="minorHAnsi" w:hAnsiTheme="minorHAnsi"/>
                <w:sz w:val="22"/>
                <w:szCs w:val="22"/>
              </w:rPr>
            </w:pPr>
            <w:r w:rsidRPr="004A0164">
              <w:t xml:space="preserve">- </w:t>
            </w:r>
            <w:r w:rsidR="00834F70" w:rsidRPr="004A0164">
              <w:rPr>
                <w:b/>
              </w:rPr>
              <w:t>Costs of establishing a procedure to evaluate</w:t>
            </w:r>
            <w:r w:rsidR="00834F70" w:rsidRPr="004A0164">
              <w:t xml:space="preserve"> appropriate </w:t>
            </w:r>
            <w:r w:rsidR="00DA1EF9" w:rsidRPr="004A0164">
              <w:t>liquidity band</w:t>
            </w:r>
            <w:r w:rsidR="00834F70" w:rsidRPr="004A0164">
              <w:t xml:space="preserve"> for identified </w:t>
            </w:r>
            <w:r w:rsidRPr="004A0164">
              <w:t>third country instruments.</w:t>
            </w:r>
          </w:p>
          <w:p w14:paraId="24BD07B3" w14:textId="44F13631" w:rsidR="00521511" w:rsidRPr="00A8300E" w:rsidRDefault="00F433F1" w:rsidP="00947C25">
            <w:pPr>
              <w:rPr>
                <w:rFonts w:asciiTheme="minorHAnsi" w:hAnsiTheme="minorHAnsi"/>
                <w:sz w:val="22"/>
                <w:szCs w:val="22"/>
              </w:rPr>
            </w:pPr>
            <w:r w:rsidRPr="004A0164">
              <w:t xml:space="preserve">- </w:t>
            </w:r>
            <w:r w:rsidR="00521511" w:rsidRPr="004A0164">
              <w:rPr>
                <w:b/>
              </w:rPr>
              <w:t>Communication costs</w:t>
            </w:r>
            <w:r w:rsidR="009E7714" w:rsidRPr="004A0164">
              <w:t xml:space="preserve"> with the</w:t>
            </w:r>
            <w:r w:rsidR="00521511" w:rsidRPr="004A0164">
              <w:t xml:space="preserve"> </w:t>
            </w:r>
            <w:r w:rsidR="009E7714" w:rsidRPr="004A0164">
              <w:t>n</w:t>
            </w:r>
            <w:r w:rsidRPr="004A0164">
              <w:t>eed to inform market participants of the change in tick size regime for third country instruments</w:t>
            </w:r>
            <w:r w:rsidR="009E7714" w:rsidRPr="004A0164">
              <w:t xml:space="preserve"> incl.</w:t>
            </w:r>
            <w:r w:rsidRPr="004A0164">
              <w:t xml:space="preserve"> </w:t>
            </w:r>
            <w:r w:rsidR="009E7714" w:rsidRPr="004A0164">
              <w:t xml:space="preserve">a new dedicated page on our website </w:t>
            </w:r>
            <w:r w:rsidRPr="004A0164">
              <w:t>with information on third country instruments</w:t>
            </w:r>
            <w:r w:rsidR="009E7714" w:rsidRPr="004A0164">
              <w:t xml:space="preserve"> (tick size regime and list of instruments).</w:t>
            </w:r>
          </w:p>
        </w:tc>
        <w:tc>
          <w:tcPr>
            <w:tcW w:w="1559" w:type="dxa"/>
          </w:tcPr>
          <w:p w14:paraId="02DD2284" w14:textId="0027F161" w:rsidR="0035550B" w:rsidRPr="00A8300E" w:rsidRDefault="00A1505E" w:rsidP="00180C5D">
            <w:pPr>
              <w:rPr>
                <w:rFonts w:asciiTheme="minorHAnsi" w:hAnsiTheme="minorHAnsi" w:cs="Arial"/>
                <w:sz w:val="22"/>
                <w:szCs w:val="22"/>
              </w:rPr>
            </w:pPr>
            <w:r w:rsidRPr="004A0164">
              <w:rPr>
                <w:rFonts w:cs="Arial"/>
              </w:rPr>
              <w:t xml:space="preserve">Because we were not able to identify the adequate and full scope of data sources for turnover </w:t>
            </w:r>
            <w:r w:rsidR="007C30B0">
              <w:rPr>
                <w:rFonts w:cs="Arial"/>
              </w:rPr>
              <w:t>and other comparable figures</w:t>
            </w:r>
            <w:r w:rsidRPr="004A0164">
              <w:rPr>
                <w:rFonts w:cs="Arial"/>
              </w:rPr>
              <w:t>, and because IT costs would require more time to be estimated, we cannot provide an estimate of the costs. We would however consider at this stage that the total costs would amount to a minimum a 5-digit number.</w:t>
            </w:r>
          </w:p>
          <w:p w14:paraId="7881D62D" w14:textId="77777777" w:rsidR="0035550B" w:rsidRPr="00A8300E" w:rsidRDefault="0035550B" w:rsidP="00180C5D">
            <w:pPr>
              <w:rPr>
                <w:rFonts w:asciiTheme="minorHAnsi" w:hAnsiTheme="minorHAnsi"/>
                <w:sz w:val="22"/>
                <w:szCs w:val="22"/>
              </w:rPr>
            </w:pPr>
          </w:p>
        </w:tc>
      </w:tr>
      <w:tr w:rsidR="007C30B0" w:rsidRPr="004A0164" w14:paraId="7F5D5AC4" w14:textId="77777777" w:rsidTr="007C30B0">
        <w:tc>
          <w:tcPr>
            <w:tcW w:w="1209" w:type="dxa"/>
          </w:tcPr>
          <w:p w14:paraId="0029903B" w14:textId="11A057C1" w:rsidR="0035550B" w:rsidRPr="00A8300E" w:rsidRDefault="00F433F1" w:rsidP="0002027E">
            <w:pPr>
              <w:rPr>
                <w:rFonts w:asciiTheme="minorHAnsi" w:hAnsiTheme="minorHAnsi"/>
                <w:sz w:val="22"/>
                <w:szCs w:val="22"/>
              </w:rPr>
            </w:pPr>
            <w:r w:rsidRPr="004A0164">
              <w:t>Re</w:t>
            </w:r>
            <w:r w:rsidR="0035550B" w:rsidRPr="004A0164">
              <w:t>curring costs (on an annual basis}</w:t>
            </w:r>
          </w:p>
        </w:tc>
        <w:tc>
          <w:tcPr>
            <w:tcW w:w="1516" w:type="dxa"/>
          </w:tcPr>
          <w:p w14:paraId="558ED0F1" w14:textId="77777777" w:rsidR="0035550B" w:rsidRPr="00A8300E" w:rsidRDefault="0035550B" w:rsidP="00180C5D">
            <w:pPr>
              <w:rPr>
                <w:rFonts w:asciiTheme="minorHAnsi" w:hAnsiTheme="minorHAnsi" w:cs="Arial"/>
                <w:sz w:val="22"/>
                <w:szCs w:val="22"/>
              </w:rPr>
            </w:pPr>
            <w:r w:rsidRPr="004A0164">
              <w:rPr>
                <w:rFonts w:cs="Arial"/>
              </w:rPr>
              <w:t>TYPE YOUR TEXT HERE</w:t>
            </w:r>
          </w:p>
          <w:p w14:paraId="62F29F84" w14:textId="77777777" w:rsidR="0035550B" w:rsidRPr="00A8300E" w:rsidRDefault="0035550B" w:rsidP="00180C5D">
            <w:pPr>
              <w:rPr>
                <w:rFonts w:asciiTheme="minorHAnsi" w:hAnsiTheme="minorHAnsi"/>
                <w:sz w:val="22"/>
                <w:szCs w:val="22"/>
              </w:rPr>
            </w:pPr>
          </w:p>
        </w:tc>
        <w:tc>
          <w:tcPr>
            <w:tcW w:w="1381" w:type="dxa"/>
          </w:tcPr>
          <w:p w14:paraId="0DCF051B" w14:textId="77777777" w:rsidR="00FC7BA6" w:rsidRPr="00A8300E" w:rsidRDefault="00FC7BA6" w:rsidP="00FC7BA6">
            <w:pPr>
              <w:rPr>
                <w:rFonts w:asciiTheme="minorHAnsi" w:hAnsiTheme="minorHAnsi" w:cs="Arial"/>
                <w:sz w:val="22"/>
                <w:szCs w:val="22"/>
              </w:rPr>
            </w:pPr>
            <w:r w:rsidRPr="004A0164">
              <w:rPr>
                <w:rFonts w:cs="Arial"/>
              </w:rPr>
              <w:t>Potentially on an ad hoc basis:</w:t>
            </w:r>
          </w:p>
          <w:p w14:paraId="7049F751" w14:textId="41F2465B" w:rsidR="00FC7BA6" w:rsidRPr="00A8300E" w:rsidRDefault="00FC7BA6" w:rsidP="00FC7BA6">
            <w:pPr>
              <w:rPr>
                <w:rFonts w:asciiTheme="minorHAnsi" w:hAnsiTheme="minorHAnsi" w:cs="Arial"/>
                <w:sz w:val="22"/>
                <w:szCs w:val="22"/>
              </w:rPr>
            </w:pPr>
            <w:r w:rsidRPr="004A0164">
              <w:rPr>
                <w:rFonts w:cs="Arial"/>
              </w:rPr>
              <w:t xml:space="preserve">- </w:t>
            </w:r>
            <w:r w:rsidRPr="004A0164">
              <w:rPr>
                <w:rFonts w:cs="Arial"/>
                <w:b/>
              </w:rPr>
              <w:t xml:space="preserve">Training of one </w:t>
            </w:r>
            <w:r w:rsidR="00605000">
              <w:rPr>
                <w:rFonts w:cs="Arial"/>
                <w:b/>
              </w:rPr>
              <w:t xml:space="preserve">or more </w:t>
            </w:r>
            <w:r w:rsidRPr="004A0164">
              <w:rPr>
                <w:rFonts w:cs="Arial"/>
                <w:b/>
              </w:rPr>
              <w:t>full time employee (FTE</w:t>
            </w:r>
            <w:r w:rsidR="00605000">
              <w:rPr>
                <w:rFonts w:cs="Arial"/>
                <w:b/>
              </w:rPr>
              <w:t>s</w:t>
            </w:r>
            <w:r w:rsidRPr="004A0164">
              <w:rPr>
                <w:rFonts w:cs="Arial"/>
                <w:b/>
              </w:rPr>
              <w:t>) to retrieve data</w:t>
            </w:r>
            <w:r w:rsidRPr="004A0164">
              <w:rPr>
                <w:rFonts w:cs="Arial"/>
              </w:rPr>
              <w:t xml:space="preserve"> on turnover and number of transactions for third country </w:t>
            </w:r>
            <w:r w:rsidRPr="004A0164">
              <w:rPr>
                <w:rFonts w:cs="Arial"/>
              </w:rPr>
              <w:lastRenderedPageBreak/>
              <w:t>instruments – within and outside the Union - from various sources.</w:t>
            </w:r>
          </w:p>
          <w:p w14:paraId="428AC65A" w14:textId="0238BB3C" w:rsidR="0035550B" w:rsidRPr="00A8300E" w:rsidRDefault="00FC7BA6" w:rsidP="00FC7BA6">
            <w:pPr>
              <w:rPr>
                <w:rFonts w:asciiTheme="minorHAnsi" w:hAnsiTheme="minorHAnsi"/>
                <w:sz w:val="22"/>
                <w:szCs w:val="22"/>
              </w:rPr>
            </w:pPr>
            <w:r w:rsidRPr="004A0164">
              <w:rPr>
                <w:rFonts w:cs="Arial"/>
              </w:rPr>
              <w:t xml:space="preserve">- </w:t>
            </w:r>
            <w:r w:rsidRPr="004A0164">
              <w:rPr>
                <w:rFonts w:cs="Arial"/>
                <w:b/>
              </w:rPr>
              <w:t xml:space="preserve">Training of one </w:t>
            </w:r>
            <w:r w:rsidR="00605000">
              <w:rPr>
                <w:rFonts w:cs="Arial"/>
                <w:b/>
              </w:rPr>
              <w:t xml:space="preserve">or more </w:t>
            </w:r>
            <w:r w:rsidRPr="004A0164">
              <w:rPr>
                <w:rFonts w:cs="Arial"/>
                <w:b/>
              </w:rPr>
              <w:t>FTE</w:t>
            </w:r>
            <w:r w:rsidR="00605000">
              <w:rPr>
                <w:rFonts w:cs="Arial"/>
                <w:b/>
              </w:rPr>
              <w:t>s</w:t>
            </w:r>
            <w:r w:rsidRPr="004A0164">
              <w:rPr>
                <w:rFonts w:cs="Arial"/>
                <w:b/>
              </w:rPr>
              <w:t xml:space="preserve"> to run the estimations</w:t>
            </w:r>
            <w:r w:rsidRPr="004A0164">
              <w:rPr>
                <w:rFonts w:cs="Arial"/>
              </w:rPr>
              <w:t xml:space="preserve"> for adjusted ADNTs for the identified third country instruments.</w:t>
            </w:r>
          </w:p>
        </w:tc>
        <w:tc>
          <w:tcPr>
            <w:tcW w:w="1276" w:type="dxa"/>
          </w:tcPr>
          <w:p w14:paraId="5AABC91E" w14:textId="77777777" w:rsidR="00FC7BA6" w:rsidRPr="00A8300E" w:rsidRDefault="00FC7BA6" w:rsidP="00FC7BA6">
            <w:pPr>
              <w:rPr>
                <w:rFonts w:asciiTheme="minorHAnsi" w:hAnsiTheme="minorHAnsi" w:cs="Arial"/>
                <w:sz w:val="22"/>
                <w:szCs w:val="22"/>
              </w:rPr>
            </w:pPr>
            <w:r w:rsidRPr="004A0164">
              <w:rPr>
                <w:rFonts w:cs="Arial"/>
              </w:rPr>
              <w:lastRenderedPageBreak/>
              <w:t>On an annual and ad hoc basis:</w:t>
            </w:r>
          </w:p>
          <w:p w14:paraId="116CEB46" w14:textId="1AF8ED14" w:rsidR="00FC7BA6" w:rsidRPr="00A8300E" w:rsidRDefault="00FC7BA6" w:rsidP="00FC7BA6">
            <w:pPr>
              <w:rPr>
                <w:rFonts w:asciiTheme="minorHAnsi" w:hAnsiTheme="minorHAnsi" w:cs="Arial"/>
                <w:sz w:val="22"/>
                <w:szCs w:val="22"/>
              </w:rPr>
            </w:pPr>
            <w:r w:rsidRPr="004A0164">
              <w:rPr>
                <w:rFonts w:cs="Arial"/>
              </w:rPr>
              <w:t xml:space="preserve">- </w:t>
            </w:r>
            <w:r w:rsidRPr="004A0164">
              <w:rPr>
                <w:rFonts w:cs="Arial"/>
                <w:b/>
              </w:rPr>
              <w:t xml:space="preserve">FTE(s) to retrieve data </w:t>
            </w:r>
            <w:r w:rsidRPr="004A0164">
              <w:rPr>
                <w:rFonts w:cs="Arial"/>
              </w:rPr>
              <w:t>for shares only, select instruments with ADNT above 1 and comparison with EU turnovers.</w:t>
            </w:r>
          </w:p>
          <w:p w14:paraId="1A8AA6D6" w14:textId="1763CBAA" w:rsidR="00FC7BA6" w:rsidRPr="00A8300E" w:rsidRDefault="00FC7BA6" w:rsidP="00FC7BA6">
            <w:pPr>
              <w:rPr>
                <w:rFonts w:asciiTheme="minorHAnsi" w:hAnsiTheme="minorHAnsi"/>
                <w:sz w:val="22"/>
                <w:szCs w:val="22"/>
              </w:rPr>
            </w:pPr>
            <w:r w:rsidRPr="004A0164">
              <w:lastRenderedPageBreak/>
              <w:t xml:space="preserve">- </w:t>
            </w:r>
            <w:r w:rsidRPr="004A0164">
              <w:rPr>
                <w:b/>
              </w:rPr>
              <w:t>FTE(s) to process the calculation</w:t>
            </w:r>
            <w:r w:rsidRPr="004A0164">
              <w:t xml:space="preserve"> of the adjusted ADNTs.</w:t>
            </w:r>
          </w:p>
          <w:p w14:paraId="542F2161" w14:textId="76D05EA9" w:rsidR="00FC7BA6" w:rsidRPr="00A8300E" w:rsidRDefault="00FC7BA6" w:rsidP="00FC7BA6">
            <w:pPr>
              <w:rPr>
                <w:rFonts w:asciiTheme="minorHAnsi" w:hAnsiTheme="minorHAnsi"/>
                <w:sz w:val="22"/>
                <w:szCs w:val="22"/>
              </w:rPr>
            </w:pPr>
            <w:r w:rsidRPr="004A0164">
              <w:t>- FTE</w:t>
            </w:r>
            <w:r w:rsidR="00605000">
              <w:t>(s)</w:t>
            </w:r>
            <w:r w:rsidRPr="004A0164">
              <w:t xml:space="preserve"> to check and enter the new ADNTs into the trading system.</w:t>
            </w:r>
          </w:p>
          <w:p w14:paraId="4AD91F16" w14:textId="5BE4B916" w:rsidR="00A436CA" w:rsidRPr="00A8300E" w:rsidRDefault="00FC7BA6" w:rsidP="00FC7BA6">
            <w:pPr>
              <w:rPr>
                <w:rFonts w:asciiTheme="minorHAnsi" w:hAnsiTheme="minorHAnsi"/>
                <w:sz w:val="22"/>
                <w:szCs w:val="22"/>
              </w:rPr>
            </w:pPr>
            <w:r w:rsidRPr="004A0164">
              <w:t xml:space="preserve">- </w:t>
            </w:r>
            <w:r w:rsidRPr="004A0164">
              <w:rPr>
                <w:b/>
              </w:rPr>
              <w:t xml:space="preserve">Cash Market sales day to day business to ensure visits, emails and phone calls </w:t>
            </w:r>
            <w:r w:rsidRPr="004A0164">
              <w:t>to members to inform on the tick size regime and informing on the affected instruments.</w:t>
            </w:r>
          </w:p>
        </w:tc>
        <w:tc>
          <w:tcPr>
            <w:tcW w:w="1843" w:type="dxa"/>
          </w:tcPr>
          <w:p w14:paraId="69C23B8C" w14:textId="77777777" w:rsidR="00C07C87" w:rsidRPr="00A8300E" w:rsidRDefault="00C07C87" w:rsidP="00C07C87">
            <w:pPr>
              <w:rPr>
                <w:rFonts w:asciiTheme="minorHAnsi" w:hAnsiTheme="minorHAnsi" w:cs="Arial"/>
                <w:sz w:val="22"/>
                <w:szCs w:val="22"/>
              </w:rPr>
            </w:pPr>
            <w:r w:rsidRPr="004A0164">
              <w:rPr>
                <w:rFonts w:cs="Arial"/>
              </w:rPr>
              <w:lastRenderedPageBreak/>
              <w:t>On an annual and ad hoc basis:</w:t>
            </w:r>
          </w:p>
          <w:p w14:paraId="42B1831C" w14:textId="77777777" w:rsidR="00C07C87" w:rsidRPr="00A8300E" w:rsidRDefault="00C07C87" w:rsidP="00180C5D">
            <w:pPr>
              <w:rPr>
                <w:rFonts w:asciiTheme="minorHAnsi" w:hAnsiTheme="minorHAnsi" w:cs="Arial"/>
                <w:sz w:val="22"/>
                <w:szCs w:val="22"/>
              </w:rPr>
            </w:pPr>
            <w:r w:rsidRPr="004A0164">
              <w:rPr>
                <w:rFonts w:cs="Arial"/>
                <w:b/>
              </w:rPr>
              <w:t>- Data vendors’ costs</w:t>
            </w:r>
            <w:r w:rsidRPr="004A0164">
              <w:rPr>
                <w:rFonts w:cs="Arial"/>
              </w:rPr>
              <w:t xml:space="preserve"> to retrieve turnover of shares outside the Union.</w:t>
            </w:r>
          </w:p>
          <w:p w14:paraId="074360C9" w14:textId="74B8DB40" w:rsidR="0035550B" w:rsidRPr="00A8300E" w:rsidRDefault="00C07C87" w:rsidP="00947C25">
            <w:pPr>
              <w:rPr>
                <w:rFonts w:asciiTheme="minorHAnsi" w:hAnsiTheme="minorHAnsi"/>
                <w:sz w:val="22"/>
                <w:szCs w:val="22"/>
              </w:rPr>
            </w:pPr>
            <w:r w:rsidRPr="004A0164">
              <w:t xml:space="preserve">- </w:t>
            </w:r>
            <w:r w:rsidRPr="004A0164">
              <w:rPr>
                <w:b/>
              </w:rPr>
              <w:t>Communication costs</w:t>
            </w:r>
            <w:r w:rsidRPr="004A0164">
              <w:t xml:space="preserve"> with the need to inform market participants of the changes in the liquidity band for some third country </w:t>
            </w:r>
            <w:r w:rsidRPr="004A0164">
              <w:lastRenderedPageBreak/>
              <w:t>instruments incl. the regular update of the dedicated page on our website with information on third country instruments (tick size regime and list of instruments).</w:t>
            </w:r>
          </w:p>
        </w:tc>
        <w:tc>
          <w:tcPr>
            <w:tcW w:w="1559" w:type="dxa"/>
          </w:tcPr>
          <w:p w14:paraId="692D0673" w14:textId="75C6C19B" w:rsidR="0035550B" w:rsidRPr="00A8300E" w:rsidRDefault="007C30B0" w:rsidP="007C30B0">
            <w:pPr>
              <w:rPr>
                <w:rFonts w:asciiTheme="minorHAnsi" w:hAnsiTheme="minorHAnsi"/>
                <w:sz w:val="22"/>
                <w:szCs w:val="22"/>
              </w:rPr>
            </w:pPr>
            <w:r w:rsidRPr="004A0164">
              <w:rPr>
                <w:rFonts w:cs="Arial"/>
              </w:rPr>
              <w:lastRenderedPageBreak/>
              <w:t xml:space="preserve">Because we were not able to identify the adequate and full scope of data sources for turnover </w:t>
            </w:r>
            <w:r>
              <w:rPr>
                <w:rFonts w:cs="Arial"/>
              </w:rPr>
              <w:t>and other comparable figures</w:t>
            </w:r>
            <w:r w:rsidRPr="004A0164">
              <w:rPr>
                <w:rFonts w:cs="Arial"/>
              </w:rPr>
              <w:t xml:space="preserve">, and because IT costs would require more time to be estimated, we cannot provide an </w:t>
            </w:r>
            <w:r w:rsidRPr="004A0164">
              <w:rPr>
                <w:rFonts w:cs="Arial"/>
              </w:rPr>
              <w:lastRenderedPageBreak/>
              <w:t>estimate of the costs. We would however consider at this stage that t</w:t>
            </w:r>
            <w:r>
              <w:rPr>
                <w:rFonts w:cs="Arial"/>
              </w:rPr>
              <w:t>he total costs would amount to significant costs with repetition of the data retrieval, ADNT adjustment and communication to market participants.</w:t>
            </w:r>
          </w:p>
        </w:tc>
      </w:tr>
    </w:tbl>
    <w:p w14:paraId="3B700E1C" w14:textId="77777777" w:rsidR="0035550B" w:rsidRPr="004A0164" w:rsidRDefault="0035550B" w:rsidP="0035550B">
      <w:pPr>
        <w:rPr>
          <w:rFonts w:cs="Arial"/>
        </w:rPr>
      </w:pPr>
    </w:p>
    <w:p w14:paraId="54DA1A38" w14:textId="77777777" w:rsidR="0035550B" w:rsidRPr="004A0164" w:rsidRDefault="0035550B" w:rsidP="0035550B">
      <w:pPr>
        <w:rPr>
          <w:rFonts w:cs="Arial"/>
        </w:rPr>
      </w:pPr>
      <w:r w:rsidRPr="004A0164">
        <w:rPr>
          <w:rFonts w:cs="Arial"/>
        </w:rPr>
        <w:t>&lt;ESMA_QUESTION_ACDR_10&gt;</w:t>
      </w:r>
    </w:p>
    <w:p w14:paraId="4E2CAC36" w14:textId="77777777" w:rsidR="0035550B" w:rsidRPr="004A0164" w:rsidRDefault="0035550B" w:rsidP="0035550B">
      <w:pPr>
        <w:rPr>
          <w:rFonts w:cs="Arial"/>
        </w:rPr>
      </w:pPr>
    </w:p>
    <w:p w14:paraId="22D7739A" w14:textId="77777777" w:rsidR="0035550B" w:rsidRPr="00A8300E" w:rsidRDefault="0035550B" w:rsidP="00E26CBF">
      <w:pPr>
        <w:pStyle w:val="Questionstyle"/>
        <w:rPr>
          <w:szCs w:val="22"/>
        </w:rPr>
      </w:pPr>
      <w:r w:rsidRPr="002362FC">
        <w:rPr>
          <w:szCs w:val="22"/>
        </w:rPr>
        <w:t>CBA: Taking into account the size of your firm, would you qualify overall compliance costs as “low”, “medium” or “high</w:t>
      </w:r>
      <w:r w:rsidRPr="00A8300E">
        <w:rPr>
          <w:szCs w:val="22"/>
        </w:rPr>
        <w:t>”?</w:t>
      </w:r>
    </w:p>
    <w:p w14:paraId="3E7AA892" w14:textId="4215D79A" w:rsidR="0035550B" w:rsidRPr="004A0164" w:rsidRDefault="0035550B" w:rsidP="0035550B">
      <w:pPr>
        <w:rPr>
          <w:rFonts w:cs="Arial"/>
        </w:rPr>
      </w:pPr>
      <w:r w:rsidRPr="004A0164">
        <w:rPr>
          <w:rFonts w:cs="Arial"/>
        </w:rPr>
        <w:t>&lt;ESMA_QUESTION_ACDR_11&gt;</w:t>
      </w:r>
    </w:p>
    <w:p w14:paraId="5AFD1572" w14:textId="5DA760E0" w:rsidR="00240F54" w:rsidRPr="00110E7C" w:rsidRDefault="00240F54" w:rsidP="0035550B">
      <w:pPr>
        <w:rPr>
          <w:rFonts w:cs="Arial"/>
        </w:rPr>
      </w:pPr>
      <w:r w:rsidRPr="004A0164">
        <w:rPr>
          <w:rFonts w:cs="Arial"/>
        </w:rPr>
        <w:t xml:space="preserve">Considered at Deutsche </w:t>
      </w:r>
      <w:r w:rsidR="006B7B44">
        <w:rPr>
          <w:rFonts w:cs="Arial"/>
        </w:rPr>
        <w:t>Börse</w:t>
      </w:r>
      <w:r w:rsidRPr="004A0164">
        <w:rPr>
          <w:rFonts w:cs="Arial"/>
        </w:rPr>
        <w:t xml:space="preserve"> AG</w:t>
      </w:r>
      <w:r w:rsidR="00CA65A2">
        <w:rPr>
          <w:rFonts w:cs="Arial"/>
        </w:rPr>
        <w:t xml:space="preserve"> level</w:t>
      </w:r>
      <w:r w:rsidRPr="004A0164">
        <w:rPr>
          <w:rFonts w:cs="Arial"/>
        </w:rPr>
        <w:t xml:space="preserve">, overall compliance costs could be set at “medium”. </w:t>
      </w:r>
      <w:r w:rsidR="00474BE9" w:rsidRPr="004A0164">
        <w:rPr>
          <w:rFonts w:cs="Arial"/>
        </w:rPr>
        <w:t>However,</w:t>
      </w:r>
      <w:r w:rsidRPr="004A0164">
        <w:rPr>
          <w:rFonts w:cs="Arial"/>
        </w:rPr>
        <w:t xml:space="preserve"> it shall be </w:t>
      </w:r>
      <w:r w:rsidR="00514A4A" w:rsidRPr="004A0164">
        <w:rPr>
          <w:rFonts w:cs="Arial"/>
        </w:rPr>
        <w:t>noticed that we would expect those costs to increase with the number of listings of third country instruments on our venues</w:t>
      </w:r>
      <w:r w:rsidR="00CA65A2">
        <w:rPr>
          <w:rFonts w:cs="Arial"/>
        </w:rPr>
        <w:t>, given the increase in the number of non EU listings for shares we’ve observed consistently the last 5 years</w:t>
      </w:r>
      <w:r w:rsidR="003F616B">
        <w:rPr>
          <w:rFonts w:cs="Arial"/>
        </w:rPr>
        <w:t xml:space="preserve">. </w:t>
      </w:r>
      <w:r w:rsidR="00CA65A2">
        <w:rPr>
          <w:rFonts w:cs="Arial"/>
        </w:rPr>
        <w:t xml:space="preserve">On a yearly basis, potentially hundreds of new instruments would qualify as third country instruments and have their ADNT </w:t>
      </w:r>
      <w:r w:rsidR="00485019">
        <w:rPr>
          <w:rFonts w:cs="Arial"/>
        </w:rPr>
        <w:t>adjusted.</w:t>
      </w:r>
      <w:bookmarkStart w:id="1" w:name="_GoBack"/>
      <w:bookmarkEnd w:id="1"/>
    </w:p>
    <w:p w14:paraId="02A1C9C7" w14:textId="023AC38A" w:rsidR="0035550B" w:rsidRPr="004A0164" w:rsidRDefault="005F51F7" w:rsidP="0035550B">
      <w:pPr>
        <w:rPr>
          <w:rFonts w:cs="Arial"/>
        </w:rPr>
      </w:pPr>
      <w:sdt>
        <w:sdtPr>
          <w:rPr>
            <w:rFonts w:cs="Arial"/>
          </w:rPr>
          <w:alias w:val="Overall compliance costs"/>
          <w:tag w:val="Overall compliance costs"/>
          <w:id w:val="-1580285920"/>
          <w:comboBox>
            <w:listItem w:displayText="Choose an item." w:value="Choose an item."/>
            <w:listItem w:displayText="Low" w:value="Low"/>
            <w:listItem w:displayText="Medium" w:value="Medium"/>
            <w:listItem w:displayText="High" w:value="High"/>
          </w:comboBox>
        </w:sdtPr>
        <w:sdtEndPr/>
        <w:sdtContent>
          <w:r w:rsidR="00F02E00" w:rsidRPr="004A0164">
            <w:rPr>
              <w:rFonts w:cs="Arial"/>
            </w:rPr>
            <w:t>Medium</w:t>
          </w:r>
        </w:sdtContent>
      </w:sdt>
    </w:p>
    <w:p w14:paraId="13C67784" w14:textId="77777777" w:rsidR="0035550B" w:rsidRPr="004A0164" w:rsidRDefault="0035550B" w:rsidP="0035550B">
      <w:pPr>
        <w:rPr>
          <w:rFonts w:cs="Arial"/>
        </w:rPr>
      </w:pPr>
      <w:r w:rsidRPr="004A0164">
        <w:rPr>
          <w:rFonts w:cs="Arial"/>
        </w:rPr>
        <w:t>&lt;ESMA_QUESTION_ACDR_11&gt;</w:t>
      </w:r>
    </w:p>
    <w:p w14:paraId="3FE3BA7A" w14:textId="77777777" w:rsidR="0035550B" w:rsidRPr="00110E7C" w:rsidRDefault="0035550B" w:rsidP="0035550B">
      <w:pPr>
        <w:rPr>
          <w:rFonts w:cs="Arial"/>
        </w:rPr>
      </w:pPr>
    </w:p>
    <w:p w14:paraId="1E75BBA8" w14:textId="77777777" w:rsidR="0035550B" w:rsidRPr="00110E7C" w:rsidRDefault="0035550B" w:rsidP="0035550B">
      <w:pPr>
        <w:rPr>
          <w:rFonts w:cs="Arial"/>
        </w:rPr>
      </w:pPr>
    </w:p>
    <w:p w14:paraId="25ACCDA3" w14:textId="77777777" w:rsidR="0035550B" w:rsidRPr="00A8300E" w:rsidRDefault="0035550B" w:rsidP="0035550B">
      <w:pPr>
        <w:rPr>
          <w:rFonts w:cs="Arial"/>
        </w:rPr>
      </w:pPr>
    </w:p>
    <w:p w14:paraId="7159A321" w14:textId="77777777" w:rsidR="00180C5D" w:rsidRPr="004A0164" w:rsidRDefault="00180C5D"/>
    <w:sectPr w:rsidR="00180C5D" w:rsidRPr="004A0164" w:rsidSect="00180C5D">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6777F" w14:textId="77777777" w:rsidR="006B7B44" w:rsidRDefault="006B7B44" w:rsidP="0035550B">
      <w:pPr>
        <w:spacing w:after="0" w:line="240" w:lineRule="auto"/>
      </w:pPr>
      <w:r>
        <w:separator/>
      </w:r>
    </w:p>
  </w:endnote>
  <w:endnote w:type="continuationSeparator" w:id="0">
    <w:p w14:paraId="42503113" w14:textId="77777777" w:rsidR="006B7B44" w:rsidRDefault="006B7B44" w:rsidP="0035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B7B44" w:rsidRPr="00616B9B" w14:paraId="545FE6D1" w14:textId="77777777" w:rsidTr="00180C5D">
      <w:trPr>
        <w:trHeight w:val="284"/>
      </w:trPr>
      <w:tc>
        <w:tcPr>
          <w:tcW w:w="8460" w:type="dxa"/>
        </w:tcPr>
        <w:p w14:paraId="4F5D08E0" w14:textId="77777777" w:rsidR="006B7B44" w:rsidRPr="00315E96" w:rsidRDefault="006B7B44" w:rsidP="00180C5D">
          <w:pPr>
            <w:pStyle w:val="00Footer"/>
            <w:rPr>
              <w:lang w:val="fr-FR"/>
            </w:rPr>
          </w:pPr>
        </w:p>
      </w:tc>
      <w:tc>
        <w:tcPr>
          <w:tcW w:w="952" w:type="dxa"/>
        </w:tcPr>
        <w:p w14:paraId="3F2A49D9" w14:textId="53557ACF" w:rsidR="006B7B44" w:rsidRPr="00616B9B" w:rsidRDefault="006B7B44" w:rsidP="00180C5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F51F7">
            <w:rPr>
              <w:rFonts w:cs="Arial"/>
              <w:noProof/>
              <w:sz w:val="22"/>
              <w:szCs w:val="22"/>
            </w:rPr>
            <w:t>25</w:t>
          </w:r>
          <w:r w:rsidRPr="00616B9B">
            <w:rPr>
              <w:rFonts w:cs="Arial"/>
              <w:noProof/>
              <w:sz w:val="22"/>
              <w:szCs w:val="22"/>
            </w:rPr>
            <w:fldChar w:fldCharType="end"/>
          </w:r>
        </w:p>
      </w:tc>
    </w:tr>
  </w:tbl>
  <w:p w14:paraId="7E26C9B9" w14:textId="77777777" w:rsidR="006B7B44" w:rsidRDefault="006B7B4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8E4D" w14:textId="77777777" w:rsidR="006B7B44" w:rsidRDefault="006B7B4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7DD91" w14:textId="77777777" w:rsidR="006B7B44" w:rsidRDefault="006B7B44" w:rsidP="0035550B">
      <w:pPr>
        <w:spacing w:after="0" w:line="240" w:lineRule="auto"/>
      </w:pPr>
      <w:r>
        <w:separator/>
      </w:r>
    </w:p>
  </w:footnote>
  <w:footnote w:type="continuationSeparator" w:id="0">
    <w:p w14:paraId="73BA1ECD" w14:textId="77777777" w:rsidR="006B7B44" w:rsidRDefault="006B7B44" w:rsidP="0035550B">
      <w:pPr>
        <w:spacing w:after="0" w:line="240" w:lineRule="auto"/>
      </w:pPr>
      <w:r>
        <w:continuationSeparator/>
      </w:r>
    </w:p>
  </w:footnote>
  <w:footnote w:id="1">
    <w:p w14:paraId="4EDCC468" w14:textId="77777777" w:rsidR="006B7B44" w:rsidRPr="00A310FB" w:rsidRDefault="006B7B44" w:rsidP="00C63D9E">
      <w:pPr>
        <w:pStyle w:val="Funotentext"/>
        <w:rPr>
          <w:sz w:val="16"/>
          <w:szCs w:val="16"/>
        </w:rPr>
      </w:pPr>
      <w:r>
        <w:rPr>
          <w:rStyle w:val="Funotenzeichen"/>
        </w:rPr>
        <w:footnoteRef/>
      </w:r>
      <w:r>
        <w:t xml:space="preserve"> </w:t>
      </w:r>
      <w:r w:rsidRPr="00A310FB">
        <w:rPr>
          <w:sz w:val="16"/>
          <w:szCs w:val="16"/>
        </w:rPr>
        <w:t xml:space="preserve">Cf. </w:t>
      </w:r>
      <w:r>
        <w:rPr>
          <w:sz w:val="16"/>
          <w:szCs w:val="16"/>
        </w:rPr>
        <w:t xml:space="preserve">Question 3, page 30, </w:t>
      </w:r>
      <w:r w:rsidRPr="00A310FB">
        <w:rPr>
          <w:sz w:val="16"/>
          <w:szCs w:val="16"/>
        </w:rPr>
        <w:t>Questions and Answers regarding market structure issues under the Market in Financial Instruments Directive (MiFID II) and Regulation (MiFIR), ESMA, 29 May 2018</w:t>
      </w:r>
      <w:r>
        <w:rPr>
          <w:sz w:val="16"/>
          <w:szCs w:val="16"/>
        </w:rPr>
        <w:t xml:space="preserve">, </w:t>
      </w:r>
      <w:r w:rsidRPr="00A310FB">
        <w:rPr>
          <w:sz w:val="16"/>
          <w:szCs w:val="16"/>
        </w:rPr>
        <w:t>ESMA70-872942901-38</w:t>
      </w:r>
      <w:r>
        <w:rPr>
          <w:sz w:val="16"/>
          <w:szCs w:val="16"/>
        </w:rPr>
        <w:t>.</w:t>
      </w:r>
    </w:p>
  </w:footnote>
  <w:footnote w:id="2">
    <w:p w14:paraId="31A0C259" w14:textId="77777777" w:rsidR="00CC6572" w:rsidRDefault="00CC6572" w:rsidP="00CC6572">
      <w:pPr>
        <w:pStyle w:val="Funotentext"/>
        <w:jc w:val="both"/>
      </w:pPr>
      <w:r w:rsidRPr="00FB1109">
        <w:rPr>
          <w:rStyle w:val="Funotenzeichen"/>
          <w:sz w:val="18"/>
        </w:rPr>
        <w:footnoteRef/>
      </w:r>
      <w:r w:rsidRPr="00FB1109">
        <w:rPr>
          <w:sz w:val="18"/>
        </w:rPr>
        <w:t xml:space="preserve"> Spread at 10K means the average cost of a round trip (simultaneous purchase and sale of a position) for a given order volume for the instrument. The measure includes not only the spread but the market impact costs for the so-called roundtrip. A spread at 10K of 10 basis points mean that the market impact costs for the purchase and sale of this share totalled €10.</w:t>
      </w:r>
    </w:p>
  </w:footnote>
  <w:footnote w:id="3">
    <w:p w14:paraId="6CE35A38" w14:textId="6A7E4796" w:rsidR="006B7B44" w:rsidRDefault="006B7B44" w:rsidP="00FB1109">
      <w:pPr>
        <w:pStyle w:val="Default"/>
        <w:jc w:val="both"/>
        <w:rPr>
          <w:sz w:val="18"/>
          <w:szCs w:val="18"/>
        </w:rPr>
      </w:pPr>
      <w:r>
        <w:rPr>
          <w:rStyle w:val="Funotenzeichen"/>
        </w:rPr>
        <w:footnoteRef/>
      </w:r>
      <w:r>
        <w:t xml:space="preserve"> </w:t>
      </w:r>
      <w:r>
        <w:rPr>
          <w:sz w:val="18"/>
          <w:szCs w:val="18"/>
        </w:rPr>
        <w:t xml:space="preserve">The Regulation (Art. 2(3)) requires then that trading venues shall apply to orders in exchange-traded funds a tick size which is equal to or greater than the one corresponding to: </w:t>
      </w:r>
    </w:p>
    <w:p w14:paraId="690905FC" w14:textId="77777777" w:rsidR="006B7B44" w:rsidRDefault="006B7B44" w:rsidP="00FB1109">
      <w:pPr>
        <w:pStyle w:val="Default"/>
        <w:jc w:val="both"/>
        <w:rPr>
          <w:sz w:val="18"/>
          <w:szCs w:val="18"/>
        </w:rPr>
      </w:pPr>
      <w:r>
        <w:rPr>
          <w:sz w:val="18"/>
          <w:szCs w:val="18"/>
        </w:rPr>
        <w:t xml:space="preserve">(a) the liquidity band in the table in the Annex corresponding to the highest average daily number of transactions; and </w:t>
      </w:r>
    </w:p>
    <w:p w14:paraId="1A378744" w14:textId="77777777" w:rsidR="006B7B44" w:rsidRDefault="006B7B44" w:rsidP="00FB1109">
      <w:pPr>
        <w:pStyle w:val="Funotentext"/>
        <w:jc w:val="both"/>
      </w:pPr>
      <w:r>
        <w:rPr>
          <w:sz w:val="18"/>
          <w:szCs w:val="18"/>
        </w:rPr>
        <w:t>(b) the price range in that liquidity band corresponding to the price of the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4DFC" w14:textId="77777777" w:rsidR="006B7B44" w:rsidRDefault="006B7B44">
    <w:pPr>
      <w:pStyle w:val="Kopfzeile"/>
    </w:pPr>
    <w:r>
      <w:rPr>
        <w:noProof/>
        <w:lang w:val="de-DE"/>
      </w:rPr>
      <w:drawing>
        <wp:anchor distT="0" distB="0" distL="114300" distR="114300" simplePos="0" relativeHeight="251661312" behindDoc="0" locked="0" layoutInCell="1" allowOverlap="1" wp14:anchorId="2A2A0F23" wp14:editId="2A9376F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7216" behindDoc="0" locked="0" layoutInCell="1" allowOverlap="1" wp14:anchorId="76471BD2" wp14:editId="2103357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3EFB8" id="Line 16" o:spid="_x0000_s1026" style="position:absolute;z-index:251657216;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4368D" w14:textId="77777777" w:rsidR="006B7B44" w:rsidRDefault="006B7B44" w:rsidP="00180C5D">
    <w:pPr>
      <w:pStyle w:val="Kopfzeile"/>
      <w:jc w:val="right"/>
    </w:pPr>
    <w:r>
      <w:rPr>
        <w:noProof/>
        <w:lang w:val="de-DE"/>
      </w:rPr>
      <w:drawing>
        <wp:anchor distT="0" distB="0" distL="114300" distR="114300" simplePos="0" relativeHeight="251660288" behindDoc="0" locked="0" layoutInCell="1" allowOverlap="1" wp14:anchorId="1325BDC4" wp14:editId="29EDC4E6">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4144" behindDoc="1" locked="0" layoutInCell="1" allowOverlap="1" wp14:anchorId="21A763FA" wp14:editId="2DB33F0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6F34" w14:textId="77777777" w:rsidR="006B7B44" w:rsidRDefault="006B7B4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B7B44" w:rsidRPr="002F4496" w14:paraId="02A6EBC9" w14:textId="77777777" w:rsidTr="00180C5D">
      <w:trPr>
        <w:trHeight w:val="284"/>
      </w:trPr>
      <w:tc>
        <w:tcPr>
          <w:tcW w:w="8460" w:type="dxa"/>
        </w:tcPr>
        <w:p w14:paraId="164324A8" w14:textId="77777777" w:rsidR="006B7B44" w:rsidRPr="000C3B6D" w:rsidRDefault="006B7B44" w:rsidP="00180C5D">
          <w:pPr>
            <w:pStyle w:val="00Footer"/>
            <w:rPr>
              <w:lang w:val="fr-FR"/>
            </w:rPr>
          </w:pPr>
        </w:p>
      </w:tc>
      <w:tc>
        <w:tcPr>
          <w:tcW w:w="952" w:type="dxa"/>
        </w:tcPr>
        <w:p w14:paraId="28E20A03" w14:textId="77777777" w:rsidR="006B7B44" w:rsidRPr="00146B34" w:rsidRDefault="006B7B44" w:rsidP="00180C5D">
          <w:pPr>
            <w:pStyle w:val="00aPagenumber"/>
            <w:rPr>
              <w:lang w:val="fr-FR"/>
            </w:rPr>
          </w:pPr>
        </w:p>
      </w:tc>
    </w:tr>
  </w:tbl>
  <w:p w14:paraId="58B03790" w14:textId="77777777" w:rsidR="006B7B44" w:rsidRPr="00DB46C3" w:rsidRDefault="006B7B44">
    <w:pPr>
      <w:rPr>
        <w:lang w:val="fr-FR"/>
      </w:rPr>
    </w:pPr>
  </w:p>
  <w:p w14:paraId="7B507C55" w14:textId="77777777" w:rsidR="006B7B44" w:rsidRPr="002F4496" w:rsidRDefault="006B7B44">
    <w:pPr>
      <w:pStyle w:val="Kopfzeile"/>
      <w:rPr>
        <w:lang w:val="fr-FR"/>
      </w:rPr>
    </w:pPr>
  </w:p>
  <w:p w14:paraId="59BEC4BC" w14:textId="77777777" w:rsidR="006B7B44" w:rsidRPr="002F4496" w:rsidRDefault="006B7B44" w:rsidP="00180C5D">
    <w:pPr>
      <w:pStyle w:val="Kopfzeile"/>
      <w:tabs>
        <w:tab w:val="left" w:pos="8227"/>
      </w:tabs>
      <w:rPr>
        <w:lang w:val="fr-FR"/>
      </w:rPr>
    </w:pPr>
  </w:p>
  <w:p w14:paraId="068E43E1" w14:textId="77777777" w:rsidR="006B7B44" w:rsidRPr="002F4496" w:rsidRDefault="006B7B44" w:rsidP="00180C5D">
    <w:pPr>
      <w:pStyle w:val="Kopfzeile"/>
      <w:tabs>
        <w:tab w:val="left" w:pos="8227"/>
      </w:tabs>
      <w:rPr>
        <w:lang w:val="fr-FR"/>
      </w:rPr>
    </w:pPr>
  </w:p>
  <w:p w14:paraId="1ACED194" w14:textId="77777777" w:rsidR="006B7B44" w:rsidRPr="002F4496" w:rsidRDefault="006B7B44">
    <w:pPr>
      <w:pStyle w:val="Kopfzeile"/>
      <w:rPr>
        <w:lang w:val="fr-FR"/>
      </w:rPr>
    </w:pPr>
  </w:p>
  <w:p w14:paraId="0B4ACF25" w14:textId="77777777" w:rsidR="006B7B44" w:rsidRPr="002F4496" w:rsidRDefault="006B7B44">
    <w:pPr>
      <w:pStyle w:val="Kopfzeile"/>
      <w:rPr>
        <w:lang w:val="fr-FR"/>
      </w:rPr>
    </w:pPr>
  </w:p>
  <w:p w14:paraId="4FF970A5" w14:textId="77777777" w:rsidR="006B7B44" w:rsidRPr="002F4496" w:rsidRDefault="006B7B44">
    <w:pPr>
      <w:pStyle w:val="Kopfzeile"/>
      <w:rPr>
        <w:lang w:val="fr-FR"/>
      </w:rPr>
    </w:pPr>
  </w:p>
  <w:p w14:paraId="2F63383E" w14:textId="77777777" w:rsidR="006B7B44" w:rsidRPr="002F4496" w:rsidRDefault="006B7B44">
    <w:pPr>
      <w:pStyle w:val="Kopfzeile"/>
      <w:rPr>
        <w:lang w:val="fr-FR"/>
      </w:rPr>
    </w:pPr>
  </w:p>
  <w:p w14:paraId="0C71753F" w14:textId="77777777" w:rsidR="006B7B44" w:rsidRPr="002F4496" w:rsidRDefault="006B7B44">
    <w:pPr>
      <w:pStyle w:val="Kopfzeile"/>
      <w:rPr>
        <w:highlight w:val="yellow"/>
        <w:lang w:val="fr-FR"/>
      </w:rPr>
    </w:pPr>
  </w:p>
  <w:p w14:paraId="77ABB9BD" w14:textId="77777777" w:rsidR="006B7B44" w:rsidRDefault="006B7B44">
    <w:pPr>
      <w:pStyle w:val="Kopfzeile"/>
    </w:pPr>
    <w:r>
      <w:rPr>
        <w:noProof/>
        <w:lang w:val="de-DE"/>
      </w:rPr>
      <mc:AlternateContent>
        <mc:Choice Requires="wps">
          <w:drawing>
            <wp:anchor distT="0" distB="0" distL="114299" distR="114299" simplePos="0" relativeHeight="251658240" behindDoc="0" locked="0" layoutInCell="1" allowOverlap="1" wp14:anchorId="50865EF0" wp14:editId="4DF50423">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7A65F" id="Straight Connector 138"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5168" behindDoc="0" locked="0" layoutInCell="1" allowOverlap="1" wp14:anchorId="4BACA295" wp14:editId="38E60F3D">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5C295E"/>
    <w:multiLevelType w:val="hybridMultilevel"/>
    <w:tmpl w:val="6CBFDC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D7525"/>
    <w:multiLevelType w:val="hybridMultilevel"/>
    <w:tmpl w:val="BF8E398C"/>
    <w:lvl w:ilvl="0" w:tplc="08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EEEDA"/>
    <w:multiLevelType w:val="hybridMultilevel"/>
    <w:tmpl w:val="B6506F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7408FF"/>
    <w:multiLevelType w:val="hybridMultilevel"/>
    <w:tmpl w:val="FA2C335C"/>
    <w:lvl w:ilvl="0" w:tplc="0809000B">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55AB1"/>
    <w:multiLevelType w:val="hybridMultilevel"/>
    <w:tmpl w:val="0A8872C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A3E4D"/>
    <w:multiLevelType w:val="hybridMultilevel"/>
    <w:tmpl w:val="2FECFBFA"/>
    <w:lvl w:ilvl="0" w:tplc="B67E7B42">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57E0A660"/>
    <w:lvl w:ilvl="0" w:tplc="4B7E71D4">
      <w:start w:val="1"/>
      <w:numFmt w:val="decimal"/>
      <w:pStyle w:val="Questionstyle"/>
      <w:lvlText w:val="Q%1"/>
      <w:lvlJc w:val="left"/>
      <w:pPr>
        <w:ind w:left="106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594F6D"/>
    <w:multiLevelType w:val="hybridMultilevel"/>
    <w:tmpl w:val="A7B43F4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5A06E7"/>
    <w:multiLevelType w:val="hybridMultilevel"/>
    <w:tmpl w:val="DEAE3A4A"/>
    <w:lvl w:ilvl="0" w:tplc="BD90AC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74379"/>
    <w:multiLevelType w:val="hybridMultilevel"/>
    <w:tmpl w:val="BEA8E358"/>
    <w:lvl w:ilvl="0" w:tplc="08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C70A40"/>
    <w:multiLevelType w:val="hybridMultilevel"/>
    <w:tmpl w:val="EB826FB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FFA4E80"/>
    <w:multiLevelType w:val="hybridMultilevel"/>
    <w:tmpl w:val="E3ACE844"/>
    <w:lvl w:ilvl="0" w:tplc="F1DAD1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47880"/>
    <w:multiLevelType w:val="hybridMultilevel"/>
    <w:tmpl w:val="92289C6A"/>
    <w:lvl w:ilvl="0" w:tplc="67C21D32">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144C7"/>
    <w:multiLevelType w:val="hybridMultilevel"/>
    <w:tmpl w:val="9B708778"/>
    <w:lvl w:ilvl="0" w:tplc="08090005">
      <w:start w:val="1"/>
      <w:numFmt w:val="bullet"/>
      <w:lvlText w:val=""/>
      <w:lvlJc w:val="left"/>
      <w:pPr>
        <w:ind w:left="1080" w:hanging="360"/>
      </w:pPr>
      <w:rPr>
        <w:rFonts w:ascii="Wingdings" w:hAnsi="Wingdings" w:hint="default"/>
      </w:rPr>
    </w:lvl>
    <w:lvl w:ilvl="1" w:tplc="08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F37143"/>
    <w:multiLevelType w:val="hybridMultilevel"/>
    <w:tmpl w:val="E7D2FBB6"/>
    <w:lvl w:ilvl="0" w:tplc="3856A7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A5DF1"/>
    <w:multiLevelType w:val="hybridMultilevel"/>
    <w:tmpl w:val="73ECAAD6"/>
    <w:lvl w:ilvl="0" w:tplc="40320C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86582C"/>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3472C3"/>
    <w:multiLevelType w:val="hybridMultilevel"/>
    <w:tmpl w:val="047098F2"/>
    <w:lvl w:ilvl="0" w:tplc="5D6EBC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18"/>
  </w:num>
  <w:num w:numId="5">
    <w:abstractNumId w:val="2"/>
  </w:num>
  <w:num w:numId="6">
    <w:abstractNumId w:val="0"/>
  </w:num>
  <w:num w:numId="7">
    <w:abstractNumId w:val="3"/>
  </w:num>
  <w:num w:numId="8">
    <w:abstractNumId w:val="15"/>
  </w:num>
  <w:num w:numId="9">
    <w:abstractNumId w:val="4"/>
  </w:num>
  <w:num w:numId="10">
    <w:abstractNumId w:val="11"/>
  </w:num>
  <w:num w:numId="11">
    <w:abstractNumId w:val="1"/>
  </w:num>
  <w:num w:numId="12">
    <w:abstractNumId w:val="5"/>
  </w:num>
  <w:num w:numId="13">
    <w:abstractNumId w:val="14"/>
  </w:num>
  <w:num w:numId="14">
    <w:abstractNumId w:val="13"/>
  </w:num>
  <w:num w:numId="15">
    <w:abstractNumId w:val="9"/>
  </w:num>
  <w:num w:numId="16">
    <w:abstractNumId w:val="19"/>
  </w:num>
  <w:num w:numId="17">
    <w:abstractNumId w:val="17"/>
  </w:num>
  <w:num w:numId="18">
    <w:abstractNumId w:val="8"/>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0B"/>
    <w:rsid w:val="0002027E"/>
    <w:rsid w:val="00024D3B"/>
    <w:rsid w:val="0003340B"/>
    <w:rsid w:val="000364C4"/>
    <w:rsid w:val="000446E6"/>
    <w:rsid w:val="0005785C"/>
    <w:rsid w:val="00083E67"/>
    <w:rsid w:val="0008707C"/>
    <w:rsid w:val="000949A9"/>
    <w:rsid w:val="00095658"/>
    <w:rsid w:val="000D6693"/>
    <w:rsid w:val="000E131C"/>
    <w:rsid w:val="000F4E98"/>
    <w:rsid w:val="001001D2"/>
    <w:rsid w:val="00105C82"/>
    <w:rsid w:val="0010783E"/>
    <w:rsid w:val="00110E7C"/>
    <w:rsid w:val="00111962"/>
    <w:rsid w:val="00112412"/>
    <w:rsid w:val="00115224"/>
    <w:rsid w:val="00121049"/>
    <w:rsid w:val="00122F3F"/>
    <w:rsid w:val="0012403F"/>
    <w:rsid w:val="00127052"/>
    <w:rsid w:val="00142246"/>
    <w:rsid w:val="001554A9"/>
    <w:rsid w:val="0016473F"/>
    <w:rsid w:val="00180C5D"/>
    <w:rsid w:val="00190ACD"/>
    <w:rsid w:val="001A5AF4"/>
    <w:rsid w:val="001B072B"/>
    <w:rsid w:val="001B21C7"/>
    <w:rsid w:val="001C156D"/>
    <w:rsid w:val="001C46A9"/>
    <w:rsid w:val="001D779B"/>
    <w:rsid w:val="001F0717"/>
    <w:rsid w:val="00220E35"/>
    <w:rsid w:val="00225C51"/>
    <w:rsid w:val="002362FC"/>
    <w:rsid w:val="00240F54"/>
    <w:rsid w:val="00242FB8"/>
    <w:rsid w:val="00255182"/>
    <w:rsid w:val="002802B8"/>
    <w:rsid w:val="00281ED7"/>
    <w:rsid w:val="002A1E36"/>
    <w:rsid w:val="002A274D"/>
    <w:rsid w:val="002A63C1"/>
    <w:rsid w:val="002B0476"/>
    <w:rsid w:val="002C1342"/>
    <w:rsid w:val="002C6475"/>
    <w:rsid w:val="002D76B9"/>
    <w:rsid w:val="002D7DAF"/>
    <w:rsid w:val="002F7D99"/>
    <w:rsid w:val="00330405"/>
    <w:rsid w:val="003405A9"/>
    <w:rsid w:val="00343422"/>
    <w:rsid w:val="0035550B"/>
    <w:rsid w:val="00373334"/>
    <w:rsid w:val="003733E7"/>
    <w:rsid w:val="00392BC7"/>
    <w:rsid w:val="0039549A"/>
    <w:rsid w:val="003A0726"/>
    <w:rsid w:val="003B3E70"/>
    <w:rsid w:val="003D790E"/>
    <w:rsid w:val="003F616B"/>
    <w:rsid w:val="00413DFD"/>
    <w:rsid w:val="004207B8"/>
    <w:rsid w:val="00421286"/>
    <w:rsid w:val="00425568"/>
    <w:rsid w:val="00430EB6"/>
    <w:rsid w:val="004322C6"/>
    <w:rsid w:val="00434309"/>
    <w:rsid w:val="0044237C"/>
    <w:rsid w:val="00445082"/>
    <w:rsid w:val="00455862"/>
    <w:rsid w:val="00460CED"/>
    <w:rsid w:val="004665BB"/>
    <w:rsid w:val="004676A3"/>
    <w:rsid w:val="00467A3A"/>
    <w:rsid w:val="00474BE9"/>
    <w:rsid w:val="00485019"/>
    <w:rsid w:val="00486FEB"/>
    <w:rsid w:val="00493985"/>
    <w:rsid w:val="004A0164"/>
    <w:rsid w:val="004C63D5"/>
    <w:rsid w:val="004D3386"/>
    <w:rsid w:val="004F0CDE"/>
    <w:rsid w:val="004F3F48"/>
    <w:rsid w:val="005116A6"/>
    <w:rsid w:val="00511FC4"/>
    <w:rsid w:val="00514A4A"/>
    <w:rsid w:val="00521511"/>
    <w:rsid w:val="005413D3"/>
    <w:rsid w:val="00554C9E"/>
    <w:rsid w:val="00565D08"/>
    <w:rsid w:val="00570325"/>
    <w:rsid w:val="00572942"/>
    <w:rsid w:val="00582366"/>
    <w:rsid w:val="005B3CD5"/>
    <w:rsid w:val="005B4C68"/>
    <w:rsid w:val="005C0EAF"/>
    <w:rsid w:val="005C2725"/>
    <w:rsid w:val="005D0380"/>
    <w:rsid w:val="005D7329"/>
    <w:rsid w:val="005D77E8"/>
    <w:rsid w:val="005E3B3C"/>
    <w:rsid w:val="005E58C4"/>
    <w:rsid w:val="005F4212"/>
    <w:rsid w:val="005F51F7"/>
    <w:rsid w:val="0060320F"/>
    <w:rsid w:val="00605000"/>
    <w:rsid w:val="0061688F"/>
    <w:rsid w:val="0063365C"/>
    <w:rsid w:val="006421E6"/>
    <w:rsid w:val="0064713A"/>
    <w:rsid w:val="00650B6F"/>
    <w:rsid w:val="00680A16"/>
    <w:rsid w:val="006A47B7"/>
    <w:rsid w:val="006B7B44"/>
    <w:rsid w:val="006D28D0"/>
    <w:rsid w:val="006D5FE9"/>
    <w:rsid w:val="006D6E9F"/>
    <w:rsid w:val="007162D0"/>
    <w:rsid w:val="00722ABA"/>
    <w:rsid w:val="00723CDF"/>
    <w:rsid w:val="007267CD"/>
    <w:rsid w:val="00726E16"/>
    <w:rsid w:val="0075213C"/>
    <w:rsid w:val="00754515"/>
    <w:rsid w:val="00775A9B"/>
    <w:rsid w:val="0078057A"/>
    <w:rsid w:val="00786343"/>
    <w:rsid w:val="007A54C0"/>
    <w:rsid w:val="007A5CCF"/>
    <w:rsid w:val="007A6CC3"/>
    <w:rsid w:val="007B3C52"/>
    <w:rsid w:val="007C30B0"/>
    <w:rsid w:val="007C468F"/>
    <w:rsid w:val="007C4FD8"/>
    <w:rsid w:val="007D40E9"/>
    <w:rsid w:val="007D57D1"/>
    <w:rsid w:val="007E69D7"/>
    <w:rsid w:val="007F0B2A"/>
    <w:rsid w:val="008014B0"/>
    <w:rsid w:val="0082131C"/>
    <w:rsid w:val="00834F70"/>
    <w:rsid w:val="00847C4A"/>
    <w:rsid w:val="0085635B"/>
    <w:rsid w:val="0086042D"/>
    <w:rsid w:val="00870D62"/>
    <w:rsid w:val="008A3838"/>
    <w:rsid w:val="008B5DD5"/>
    <w:rsid w:val="008C104B"/>
    <w:rsid w:val="008C40E6"/>
    <w:rsid w:val="008D6E0D"/>
    <w:rsid w:val="008D76B4"/>
    <w:rsid w:val="008F0D5A"/>
    <w:rsid w:val="008F2F1F"/>
    <w:rsid w:val="009003F9"/>
    <w:rsid w:val="00910957"/>
    <w:rsid w:val="009249F6"/>
    <w:rsid w:val="009369E8"/>
    <w:rsid w:val="0093787F"/>
    <w:rsid w:val="009454E7"/>
    <w:rsid w:val="00947C25"/>
    <w:rsid w:val="00983B9E"/>
    <w:rsid w:val="00991449"/>
    <w:rsid w:val="009A70C9"/>
    <w:rsid w:val="009B130D"/>
    <w:rsid w:val="009B18CC"/>
    <w:rsid w:val="009B4A27"/>
    <w:rsid w:val="009C1B46"/>
    <w:rsid w:val="009C2EFE"/>
    <w:rsid w:val="009D23C0"/>
    <w:rsid w:val="009E378A"/>
    <w:rsid w:val="009E5088"/>
    <w:rsid w:val="009E7115"/>
    <w:rsid w:val="009E7714"/>
    <w:rsid w:val="009F3193"/>
    <w:rsid w:val="009F40F2"/>
    <w:rsid w:val="00A040AE"/>
    <w:rsid w:val="00A14943"/>
    <w:rsid w:val="00A14D46"/>
    <w:rsid w:val="00A1505E"/>
    <w:rsid w:val="00A15135"/>
    <w:rsid w:val="00A22F70"/>
    <w:rsid w:val="00A24F6B"/>
    <w:rsid w:val="00A27806"/>
    <w:rsid w:val="00A35548"/>
    <w:rsid w:val="00A436CA"/>
    <w:rsid w:val="00A5351D"/>
    <w:rsid w:val="00A65DA9"/>
    <w:rsid w:val="00A81FA4"/>
    <w:rsid w:val="00A8238A"/>
    <w:rsid w:val="00A8300E"/>
    <w:rsid w:val="00A91782"/>
    <w:rsid w:val="00AB1C14"/>
    <w:rsid w:val="00AB20F9"/>
    <w:rsid w:val="00AC3FC9"/>
    <w:rsid w:val="00AD5BA6"/>
    <w:rsid w:val="00AF0054"/>
    <w:rsid w:val="00AF54A4"/>
    <w:rsid w:val="00AF5C3D"/>
    <w:rsid w:val="00B034F3"/>
    <w:rsid w:val="00B17986"/>
    <w:rsid w:val="00B2207C"/>
    <w:rsid w:val="00B3002C"/>
    <w:rsid w:val="00B30C04"/>
    <w:rsid w:val="00B315DB"/>
    <w:rsid w:val="00B5049B"/>
    <w:rsid w:val="00B52760"/>
    <w:rsid w:val="00B62E6E"/>
    <w:rsid w:val="00B64CF0"/>
    <w:rsid w:val="00B77F51"/>
    <w:rsid w:val="00BA29C1"/>
    <w:rsid w:val="00BA7922"/>
    <w:rsid w:val="00BB53BD"/>
    <w:rsid w:val="00BB7136"/>
    <w:rsid w:val="00BB7EE9"/>
    <w:rsid w:val="00BC520B"/>
    <w:rsid w:val="00BC5CB9"/>
    <w:rsid w:val="00BD2AD5"/>
    <w:rsid w:val="00BE608E"/>
    <w:rsid w:val="00BF00F8"/>
    <w:rsid w:val="00BF7656"/>
    <w:rsid w:val="00C07C87"/>
    <w:rsid w:val="00C11328"/>
    <w:rsid w:val="00C63D9E"/>
    <w:rsid w:val="00C73635"/>
    <w:rsid w:val="00C75A55"/>
    <w:rsid w:val="00C76AC3"/>
    <w:rsid w:val="00C76ED9"/>
    <w:rsid w:val="00C9711A"/>
    <w:rsid w:val="00CA2145"/>
    <w:rsid w:val="00CA53EA"/>
    <w:rsid w:val="00CA65A2"/>
    <w:rsid w:val="00CA69FC"/>
    <w:rsid w:val="00CA78A9"/>
    <w:rsid w:val="00CB3231"/>
    <w:rsid w:val="00CC206F"/>
    <w:rsid w:val="00CC6073"/>
    <w:rsid w:val="00CC6572"/>
    <w:rsid w:val="00CD4261"/>
    <w:rsid w:val="00CE12F6"/>
    <w:rsid w:val="00CE153D"/>
    <w:rsid w:val="00CE15BB"/>
    <w:rsid w:val="00CF5805"/>
    <w:rsid w:val="00D07826"/>
    <w:rsid w:val="00D1757B"/>
    <w:rsid w:val="00D25DBC"/>
    <w:rsid w:val="00D3334F"/>
    <w:rsid w:val="00D51EC3"/>
    <w:rsid w:val="00D603AD"/>
    <w:rsid w:val="00D66422"/>
    <w:rsid w:val="00D765CE"/>
    <w:rsid w:val="00D93F76"/>
    <w:rsid w:val="00DA1EF9"/>
    <w:rsid w:val="00DB2F2B"/>
    <w:rsid w:val="00DB4314"/>
    <w:rsid w:val="00DC61A6"/>
    <w:rsid w:val="00DF0AAA"/>
    <w:rsid w:val="00DF4841"/>
    <w:rsid w:val="00DF565D"/>
    <w:rsid w:val="00DF584F"/>
    <w:rsid w:val="00E052EA"/>
    <w:rsid w:val="00E10D78"/>
    <w:rsid w:val="00E11D48"/>
    <w:rsid w:val="00E12517"/>
    <w:rsid w:val="00E13355"/>
    <w:rsid w:val="00E25685"/>
    <w:rsid w:val="00E26CBF"/>
    <w:rsid w:val="00E34141"/>
    <w:rsid w:val="00E37D34"/>
    <w:rsid w:val="00E5563F"/>
    <w:rsid w:val="00E5622E"/>
    <w:rsid w:val="00E75B70"/>
    <w:rsid w:val="00E909D3"/>
    <w:rsid w:val="00EA48E9"/>
    <w:rsid w:val="00EA5741"/>
    <w:rsid w:val="00EB62BC"/>
    <w:rsid w:val="00EB6DD6"/>
    <w:rsid w:val="00EC00EA"/>
    <w:rsid w:val="00ED66BB"/>
    <w:rsid w:val="00F02E00"/>
    <w:rsid w:val="00F15158"/>
    <w:rsid w:val="00F23FD2"/>
    <w:rsid w:val="00F24F7E"/>
    <w:rsid w:val="00F407F4"/>
    <w:rsid w:val="00F433F1"/>
    <w:rsid w:val="00F536E1"/>
    <w:rsid w:val="00F55F8E"/>
    <w:rsid w:val="00F7281E"/>
    <w:rsid w:val="00F737B4"/>
    <w:rsid w:val="00F777AE"/>
    <w:rsid w:val="00F815AC"/>
    <w:rsid w:val="00F81897"/>
    <w:rsid w:val="00F81A99"/>
    <w:rsid w:val="00F822E9"/>
    <w:rsid w:val="00F85558"/>
    <w:rsid w:val="00F90EB8"/>
    <w:rsid w:val="00FB1109"/>
    <w:rsid w:val="00FC234E"/>
    <w:rsid w:val="00FC7BA6"/>
    <w:rsid w:val="00FD7619"/>
    <w:rsid w:val="00FF1E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EFBD91"/>
  <w15:chartTrackingRefBased/>
  <w15:docId w15:val="{07C6EE43-0D1C-4677-80F3-C04643BA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35550B"/>
    <w:pPr>
      <w:keepNext/>
      <w:numPr>
        <w:numId w:val="1"/>
      </w:numPr>
      <w:spacing w:before="240" w:after="60" w:line="240" w:lineRule="auto"/>
      <w:outlineLvl w:val="0"/>
    </w:pPr>
    <w:rPr>
      <w:rFonts w:ascii="Arial" w:eastAsia="Times New Roman" w:hAnsi="Arial" w:cs="Arial"/>
      <w:b/>
      <w:bCs/>
      <w:kern w:val="32"/>
      <w:sz w:val="24"/>
      <w:szCs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5550B"/>
    <w:pPr>
      <w:tabs>
        <w:tab w:val="center" w:pos="4680"/>
        <w:tab w:val="right" w:pos="9360"/>
      </w:tabs>
      <w:spacing w:after="0" w:line="240" w:lineRule="auto"/>
    </w:pPr>
  </w:style>
  <w:style w:type="character" w:customStyle="1" w:styleId="KopfzeileZchn">
    <w:name w:val="Kopfzeile Zchn"/>
    <w:basedOn w:val="Absatz-Standardschriftart"/>
    <w:link w:val="Kopfzeile"/>
    <w:rsid w:val="0035550B"/>
  </w:style>
  <w:style w:type="paragraph" w:styleId="Fuzeile">
    <w:name w:val="footer"/>
    <w:basedOn w:val="Standard"/>
    <w:link w:val="FuzeileZchn"/>
    <w:unhideWhenUsed/>
    <w:rsid w:val="0035550B"/>
    <w:pPr>
      <w:tabs>
        <w:tab w:val="center" w:pos="4680"/>
        <w:tab w:val="right" w:pos="9360"/>
      </w:tabs>
      <w:spacing w:after="0" w:line="240" w:lineRule="auto"/>
    </w:pPr>
  </w:style>
  <w:style w:type="character" w:customStyle="1" w:styleId="FuzeileZchn">
    <w:name w:val="Fußzeile Zchn"/>
    <w:basedOn w:val="Absatz-Standardschriftart"/>
    <w:link w:val="Fuzeile"/>
    <w:rsid w:val="0035550B"/>
  </w:style>
  <w:style w:type="character" w:customStyle="1" w:styleId="berschrift1Zchn">
    <w:name w:val="Überschrift 1 Zchn"/>
    <w:basedOn w:val="Absatz-Standardschriftart"/>
    <w:link w:val="berschrift1"/>
    <w:rsid w:val="0035550B"/>
    <w:rPr>
      <w:rFonts w:ascii="Arial" w:eastAsia="Times New Roman" w:hAnsi="Arial" w:cs="Arial"/>
      <w:b/>
      <w:bCs/>
      <w:kern w:val="32"/>
      <w:sz w:val="24"/>
      <w:szCs w:val="32"/>
      <w:lang w:eastAsia="de-DE"/>
    </w:rPr>
  </w:style>
  <w:style w:type="table" w:styleId="Tabellenraster">
    <w:name w:val="Table Grid"/>
    <w:basedOn w:val="NormaleTabelle"/>
    <w:uiPriority w:val="39"/>
    <w:rsid w:val="0035550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5550B"/>
    <w:pPr>
      <w:spacing w:after="0" w:line="200" w:lineRule="exact"/>
    </w:pPr>
    <w:rPr>
      <w:rFonts w:ascii="Arial" w:eastAsia="Times New Roman" w:hAnsi="Arial" w:cs="Times New Roman"/>
      <w:color w:val="2D4190"/>
      <w:sz w:val="16"/>
      <w:szCs w:val="24"/>
      <w:lang w:eastAsia="de-DE"/>
    </w:rPr>
  </w:style>
  <w:style w:type="paragraph" w:customStyle="1" w:styleId="02Date">
    <w:name w:val="02_Date"/>
    <w:basedOn w:val="Standard"/>
    <w:rsid w:val="0035550B"/>
    <w:pPr>
      <w:spacing w:after="0" w:line="220" w:lineRule="exact"/>
    </w:pPr>
    <w:rPr>
      <w:rFonts w:ascii="Arial" w:eastAsia="Times New Roman" w:hAnsi="Arial" w:cs="Times New Roman"/>
      <w:sz w:val="17"/>
      <w:szCs w:val="24"/>
      <w:lang w:eastAsia="de-DE"/>
    </w:rPr>
  </w:style>
  <w:style w:type="paragraph" w:customStyle="1" w:styleId="00aPagenumber">
    <w:name w:val="00a_Page number"/>
    <w:basedOn w:val="00Footer"/>
    <w:rsid w:val="0035550B"/>
    <w:pPr>
      <w:spacing w:line="280" w:lineRule="atLeast"/>
      <w:jc w:val="right"/>
    </w:pPr>
    <w:rPr>
      <w:color w:val="000000"/>
      <w:sz w:val="20"/>
    </w:rPr>
  </w:style>
  <w:style w:type="paragraph" w:customStyle="1" w:styleId="05HeadlinenoIndex">
    <w:name w:val="05_Headline no Index"/>
    <w:basedOn w:val="Standard"/>
    <w:rsid w:val="0035550B"/>
    <w:pPr>
      <w:spacing w:after="250" w:line="300" w:lineRule="exact"/>
      <w:jc w:val="both"/>
    </w:pPr>
    <w:rPr>
      <w:rFonts w:ascii="Arial" w:eastAsia="Times New Roman" w:hAnsi="Arial" w:cs="Times New Roman"/>
      <w:b/>
      <w:sz w:val="24"/>
      <w:szCs w:val="24"/>
      <w:lang w:eastAsia="de-DE"/>
    </w:rPr>
  </w:style>
  <w:style w:type="paragraph" w:customStyle="1" w:styleId="00bDBInfo">
    <w:name w:val="00b_DB_Info"/>
    <w:basedOn w:val="00aPagenumber"/>
    <w:rsid w:val="0035550B"/>
    <w:rPr>
      <w:color w:val="FFFFFF"/>
    </w:rPr>
  </w:style>
  <w:style w:type="paragraph" w:customStyle="1" w:styleId="01aDBTitle">
    <w:name w:val="01a_DB_Title"/>
    <w:basedOn w:val="Standard"/>
    <w:rsid w:val="0035550B"/>
    <w:pPr>
      <w:spacing w:after="0" w:line="400" w:lineRule="exact"/>
      <w:jc w:val="right"/>
    </w:pPr>
    <w:rPr>
      <w:rFonts w:ascii="Arial" w:eastAsia="Times New Roman" w:hAnsi="Arial" w:cs="Times New Roman"/>
      <w:b/>
      <w:color w:val="2D4190"/>
      <w:sz w:val="40"/>
      <w:szCs w:val="24"/>
      <w:lang w:eastAsia="de-DE"/>
    </w:rPr>
  </w:style>
  <w:style w:type="paragraph" w:customStyle="1" w:styleId="01bDBSubtitle">
    <w:name w:val="01b_DB_Subtitle"/>
    <w:rsid w:val="0035550B"/>
    <w:pPr>
      <w:spacing w:after="0" w:line="240" w:lineRule="auto"/>
      <w:jc w:val="right"/>
    </w:pPr>
    <w:rPr>
      <w:rFonts w:ascii="Georgia" w:eastAsia="Times New Roman" w:hAnsi="Georgia" w:cs="Times New Roman"/>
      <w:color w:val="000000"/>
      <w:sz w:val="24"/>
      <w:szCs w:val="24"/>
      <w:lang w:eastAsia="de-DE"/>
    </w:rPr>
  </w:style>
  <w:style w:type="character" w:styleId="Hyperlink">
    <w:name w:val="Hyperlink"/>
    <w:uiPriority w:val="99"/>
    <w:rsid w:val="0035550B"/>
    <w:rPr>
      <w:color w:val="0000FF"/>
      <w:u w:val="single"/>
    </w:rPr>
  </w:style>
  <w:style w:type="paragraph" w:styleId="Listenabsatz">
    <w:name w:val="List Paragraph"/>
    <w:aliases w:val="Paragraphe EI,Paragraphe de liste1,EC"/>
    <w:basedOn w:val="Standard"/>
    <w:link w:val="ListenabsatzZchn"/>
    <w:uiPriority w:val="34"/>
    <w:qFormat/>
    <w:rsid w:val="0035550B"/>
    <w:pPr>
      <w:spacing w:after="0" w:line="240" w:lineRule="auto"/>
      <w:ind w:left="720"/>
      <w:contextualSpacing/>
    </w:pPr>
    <w:rPr>
      <w:rFonts w:ascii="Arial" w:eastAsia="Times New Roman" w:hAnsi="Arial" w:cs="Times New Roman"/>
      <w:sz w:val="20"/>
      <w:szCs w:val="24"/>
      <w:lang w:eastAsia="de-DE"/>
    </w:rPr>
  </w:style>
  <w:style w:type="character" w:customStyle="1" w:styleId="ListenabsatzZchn">
    <w:name w:val="Listenabsatz Zchn"/>
    <w:aliases w:val="Paragraphe EI Zchn,Paragraphe de liste1 Zchn,EC Zchn"/>
    <w:link w:val="Listenabsatz"/>
    <w:uiPriority w:val="34"/>
    <w:locked/>
    <w:rsid w:val="0035550B"/>
    <w:rPr>
      <w:rFonts w:ascii="Arial" w:eastAsia="Times New Roman" w:hAnsi="Arial" w:cs="Times New Roman"/>
      <w:sz w:val="20"/>
      <w:szCs w:val="24"/>
      <w:lang w:eastAsia="de-DE"/>
    </w:rPr>
  </w:style>
  <w:style w:type="character" w:styleId="Platzhaltertext">
    <w:name w:val="Placeholder Text"/>
    <w:uiPriority w:val="99"/>
    <w:semiHidden/>
    <w:rsid w:val="0035550B"/>
    <w:rPr>
      <w:color w:val="808080"/>
    </w:rPr>
  </w:style>
  <w:style w:type="character" w:styleId="SchwacheHervorhebung">
    <w:name w:val="Subtle Emphasis"/>
    <w:aliases w:val="Question,Text,Diskret betoning,Emphase pâle"/>
    <w:uiPriority w:val="19"/>
    <w:qFormat/>
    <w:rsid w:val="0035550B"/>
    <w:rPr>
      <w:b/>
      <w:i w:val="0"/>
      <w:iCs/>
      <w:sz w:val="20"/>
    </w:rPr>
  </w:style>
  <w:style w:type="character" w:styleId="IntensiveHervorhebung">
    <w:name w:val="Intense Emphasis"/>
    <w:basedOn w:val="Absatz-Standardschriftart"/>
    <w:uiPriority w:val="21"/>
    <w:qFormat/>
    <w:rsid w:val="0035550B"/>
    <w:rPr>
      <w:b/>
      <w:bCs/>
      <w:i/>
      <w:iCs/>
    </w:rPr>
  </w:style>
  <w:style w:type="paragraph" w:customStyle="1" w:styleId="Questionstyle">
    <w:name w:val="Question style"/>
    <w:basedOn w:val="Standard"/>
    <w:next w:val="Standard"/>
    <w:link w:val="QuestionstyleChar"/>
    <w:autoRedefine/>
    <w:qFormat/>
    <w:rsid w:val="00E26CBF"/>
    <w:pPr>
      <w:numPr>
        <w:numId w:val="3"/>
      </w:numPr>
      <w:spacing w:after="250"/>
      <w:contextualSpacing/>
      <w:jc w:val="both"/>
    </w:pPr>
    <w:rPr>
      <w:b/>
      <w:szCs w:val="20"/>
      <w:lang w:eastAsia="en-US"/>
    </w:rPr>
  </w:style>
  <w:style w:type="character" w:customStyle="1" w:styleId="QuestionstyleChar">
    <w:name w:val="Question style Char"/>
    <w:basedOn w:val="Absatz-Standardschriftart"/>
    <w:link w:val="Questionstyle"/>
    <w:rsid w:val="00E26CBF"/>
    <w:rPr>
      <w:b/>
      <w:szCs w:val="20"/>
      <w:lang w:eastAsia="en-US"/>
    </w:rPr>
  </w:style>
  <w:style w:type="paragraph" w:customStyle="1" w:styleId="Default">
    <w:name w:val="Default"/>
    <w:rsid w:val="0075213C"/>
    <w:pPr>
      <w:autoSpaceDE w:val="0"/>
      <w:autoSpaceDN w:val="0"/>
      <w:adjustRightInd w:val="0"/>
      <w:spacing w:after="0" w:line="240" w:lineRule="auto"/>
    </w:pPr>
    <w:rPr>
      <w:rFonts w:ascii="Calibri" w:hAnsi="Calibri" w:cs="Calibri"/>
      <w:color w:val="000000"/>
      <w:sz w:val="24"/>
      <w:szCs w:val="24"/>
      <w:lang w:val="en-US"/>
    </w:rPr>
  </w:style>
  <w:style w:type="character" w:styleId="Kommentarzeichen">
    <w:name w:val="annotation reference"/>
    <w:basedOn w:val="Absatz-Standardschriftart"/>
    <w:uiPriority w:val="99"/>
    <w:semiHidden/>
    <w:unhideWhenUsed/>
    <w:rsid w:val="00E26CBF"/>
    <w:rPr>
      <w:sz w:val="16"/>
      <w:szCs w:val="16"/>
    </w:rPr>
  </w:style>
  <w:style w:type="paragraph" w:styleId="Kommentartext">
    <w:name w:val="annotation text"/>
    <w:basedOn w:val="Standard"/>
    <w:link w:val="KommentartextZchn"/>
    <w:uiPriority w:val="99"/>
    <w:semiHidden/>
    <w:unhideWhenUsed/>
    <w:rsid w:val="00E26CB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26CBF"/>
    <w:rPr>
      <w:sz w:val="20"/>
      <w:szCs w:val="20"/>
    </w:rPr>
  </w:style>
  <w:style w:type="paragraph" w:styleId="Kommentarthema">
    <w:name w:val="annotation subject"/>
    <w:basedOn w:val="Kommentartext"/>
    <w:next w:val="Kommentartext"/>
    <w:link w:val="KommentarthemaZchn"/>
    <w:uiPriority w:val="99"/>
    <w:semiHidden/>
    <w:unhideWhenUsed/>
    <w:rsid w:val="00E26CBF"/>
    <w:rPr>
      <w:b/>
      <w:bCs/>
    </w:rPr>
  </w:style>
  <w:style w:type="character" w:customStyle="1" w:styleId="KommentarthemaZchn">
    <w:name w:val="Kommentarthema Zchn"/>
    <w:basedOn w:val="KommentartextZchn"/>
    <w:link w:val="Kommentarthema"/>
    <w:uiPriority w:val="99"/>
    <w:semiHidden/>
    <w:rsid w:val="00E26CBF"/>
    <w:rPr>
      <w:b/>
      <w:bCs/>
      <w:sz w:val="20"/>
      <w:szCs w:val="20"/>
    </w:rPr>
  </w:style>
  <w:style w:type="paragraph" w:styleId="Sprechblasentext">
    <w:name w:val="Balloon Text"/>
    <w:basedOn w:val="Standard"/>
    <w:link w:val="SprechblasentextZchn"/>
    <w:uiPriority w:val="99"/>
    <w:semiHidden/>
    <w:unhideWhenUsed/>
    <w:rsid w:val="00E26C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6CBF"/>
    <w:rPr>
      <w:rFonts w:ascii="Segoe UI" w:hAnsi="Segoe UI" w:cs="Segoe UI"/>
      <w:sz w:val="18"/>
      <w:szCs w:val="18"/>
    </w:rPr>
  </w:style>
  <w:style w:type="paragraph" w:styleId="Funotentext">
    <w:name w:val="footnote text"/>
    <w:basedOn w:val="Standard"/>
    <w:link w:val="FunotentextZchn"/>
    <w:uiPriority w:val="99"/>
    <w:semiHidden/>
    <w:unhideWhenUsed/>
    <w:rsid w:val="00E26CB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26CBF"/>
    <w:rPr>
      <w:sz w:val="20"/>
      <w:szCs w:val="20"/>
    </w:rPr>
  </w:style>
  <w:style w:type="character" w:styleId="Funotenzeichen">
    <w:name w:val="footnote reference"/>
    <w:basedOn w:val="Absatz-Standardschriftart"/>
    <w:uiPriority w:val="99"/>
    <w:semiHidden/>
    <w:unhideWhenUsed/>
    <w:rsid w:val="00E26CBF"/>
    <w:rPr>
      <w:vertAlign w:val="superscript"/>
    </w:rPr>
  </w:style>
  <w:style w:type="character" w:customStyle="1" w:styleId="ilfuvd">
    <w:name w:val="ilfuvd"/>
    <w:basedOn w:val="Absatz-Standardschriftart"/>
    <w:rsid w:val="00C63D9E"/>
  </w:style>
  <w:style w:type="table" w:styleId="TabellemithellemGitternetz">
    <w:name w:val="Grid Table Light"/>
    <w:basedOn w:val="NormaleTabelle"/>
    <w:uiPriority w:val="40"/>
    <w:rsid w:val="00C75A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3">
    <w:name w:val="Plain Table 3"/>
    <w:basedOn w:val="NormaleTabelle"/>
    <w:uiPriority w:val="43"/>
    <w:rsid w:val="00C75A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5">
    <w:name w:val="Plain Table 5"/>
    <w:basedOn w:val="NormaleTabelle"/>
    <w:uiPriority w:val="45"/>
    <w:rsid w:val="00C75A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
    <w:name w:val="Grid Table 1 Light"/>
    <w:basedOn w:val="NormaleTabelle"/>
    <w:uiPriority w:val="46"/>
    <w:rsid w:val="00C75A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599411">
      <w:bodyDiv w:val="1"/>
      <w:marLeft w:val="0"/>
      <w:marRight w:val="0"/>
      <w:marTop w:val="0"/>
      <w:marBottom w:val="0"/>
      <w:divBdr>
        <w:top w:val="none" w:sz="0" w:space="0" w:color="auto"/>
        <w:left w:val="none" w:sz="0" w:space="0" w:color="auto"/>
        <w:bottom w:val="none" w:sz="0" w:space="0" w:color="auto"/>
        <w:right w:val="none" w:sz="0" w:space="0" w:color="auto"/>
      </w:divBdr>
    </w:div>
    <w:div w:id="178561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ZGVmYXVsdFZhbHVlIj48ZWxlbWVudCB1aWQ9ImlkX2NsYXNzaWZpY2F0aW9uX2ludGVybmFsb25seSIgdmFsdWU9IiIgeG1sbnM9Imh0dHA6Ly93d3cuYm9sZG9uamFtZXMuY29tLzIwMDgvMDEvc2llL2ludGVybmFsL2xhYmVsIiAvPjwvc2lzbD48VXNlck5hbWU+T0FBRFxuazQ0MzwvVXNlck5hbWU+PERhdGVUaW1lPjE3LzA3LzIwMTggMTA6NDM6MjQ8L0RhdGVUaW1lPjxMYWJlbFN0cmluZz5JbnRlcm5hbDwvTGFiZWxTdHJpbmc+PC9pdGVtPjwvbGFiZWxIaXN0b3J5Pg==</Value>
</WrappedLabelHistory>
</file>

<file path=customXml/item2.xml><?xml version="1.0" encoding="utf-8"?>
<ct:contentTypeSchema xmlns:ct="http://schemas.microsoft.com/office/2006/metadata/contentType" xmlns:ma="http://schemas.microsoft.com/office/2006/metadata/properties/metaAttributes" ct:_="" ma:_="" ma:contentTypeName="Document" ma:contentTypeID="0x0101009742CDA3EBE7494587163B8E118BA823" ma:contentTypeVersion="1" ma:contentTypeDescription="Create a new document." ma:contentTypeScope="" ma:versionID="572906fb181fd679aa1ad5591eac5bcc">
  <xsd:schema xmlns:xsd="http://www.w3.org/2001/XMLSchema" xmlns:xs="http://www.w3.org/2001/XMLSchema" xmlns:p="http://schemas.microsoft.com/office/2006/metadata/properties" xmlns:ns2="df456490-b339-48a6-b6e8-b5a0ccf2834f" targetNamespace="http://schemas.microsoft.com/office/2006/metadata/properties" ma:root="true" ma:fieldsID="bb32fadb0bd12becd5f08432b8afd9c2" ns2:_="">
    <xsd:import namespace="df456490-b339-48a6-b6e8-b5a0ccf2834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56490-b339-48a6-b6e8-b5a0ccf283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isl xmlns:xsi="http://www.w3.org/2001/XMLSchema-instance" xmlns:xsd="http://www.w3.org/2001/XMLSchema" xmlns="http://www.boldonjames.com/2008/01/sie/internal/label" sislVersion="0" policy="5e216652-7cb1-42d3-a22f-fb5c7f348db5" origin="defaultValue">
  <element uid="id_classification_internalonly"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06C54-1DF1-44B6-A54D-CEC83776C30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9C083DCC-7255-4542-B1FD-6FE3EF808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56490-b339-48a6-b6e8-b5a0ccf28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1EC70-54AA-4C27-8A0C-F1AFD71142D3}">
  <ds:schemaRefs>
    <ds:schemaRef ds:uri="http://schemas.microsoft.com/sharepoint/v3/contenttype/forms"/>
  </ds:schemaRefs>
</ds:datastoreItem>
</file>

<file path=customXml/itemProps4.xml><?xml version="1.0" encoding="utf-8"?>
<ds:datastoreItem xmlns:ds="http://schemas.openxmlformats.org/officeDocument/2006/customXml" ds:itemID="{3F7F6FC6-6B8B-4F8C-8B8B-30C7ECDDA71D}">
  <ds:schemaRefs>
    <ds:schemaRef ds:uri="http://purl.org/dc/terms/"/>
    <ds:schemaRef ds:uri="http://schemas.microsoft.com/office/2006/documentManagement/types"/>
    <ds:schemaRef ds:uri="http://schemas.openxmlformats.org/package/2006/metadata/core-properties"/>
    <ds:schemaRef ds:uri="df456490-b339-48a6-b6e8-b5a0ccf2834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28A8F33-0EBE-4FBF-A48C-802CDA0F3469}">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1719D420-4BD5-4F8C-8937-D90AF856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8823</Words>
  <Characters>55585</Characters>
  <Application>Microsoft Office Word</Application>
  <DocSecurity>0</DocSecurity>
  <Lines>463</Lines>
  <Paragraphs>128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Deutsche Börse Group</Company>
  <LinksUpToDate>false</LinksUpToDate>
  <CharactersWithSpaces>64280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Severine Vandelanoite</dc:creator>
  <cp:keywords/>
  <dc:description/>
  <cp:lastModifiedBy>Marco Winteroll</cp:lastModifiedBy>
  <cp:revision>2</cp:revision>
  <cp:lastPrinted>2018-09-07T11:22:00Z</cp:lastPrinted>
  <dcterms:created xsi:type="dcterms:W3CDTF">2018-09-07T11:24:00Z</dcterms:created>
  <dcterms:modified xsi:type="dcterms:W3CDTF">2018-09-07T11:24:00Z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f4bd46f1-b42d-4f0b-92e4-381ddb4f1fc5</vt:lpwstr>
  </property>
  <property fmtid="{D5CDD505-2E9C-101B-9397-08002B2CF9AE}" pid="3" name="bjDocumentLabelXML">
    <vt:lpwstr>&lt;?xml version="1.0" encoding="us-ascii"?&gt;&lt;sisl xmlns:xsi="http://www.w3.org/2001/XMLSchema-instance" xmlns:xsd="http://www.w3.org/2001/XMLSchema" sislVersion="0" policy="5e216652-7cb1-42d3-a22f-fb5c7f348db5" origin="defaultValue" xmlns="http://www.boldonj</vt:lpwstr>
  </property>
  <property fmtid="{D5CDD505-2E9C-101B-9397-08002B2CF9AE}" pid="4" name="bjDocumentLabelXML-0">
    <vt:lpwstr>ames.com/2008/01/sie/internal/label"&gt;&lt;element uid="id_classification_internalonly" value="" /&gt;&lt;/sisl&gt;</vt:lpwstr>
  </property>
  <property fmtid="{D5CDD505-2E9C-101B-9397-08002B2CF9AE}" pid="5" name="bjDocumentSecurityLabel">
    <vt:lpwstr>Internal</vt:lpwstr>
  </property>
  <property fmtid="{D5CDD505-2E9C-101B-9397-08002B2CF9AE}" pid="6" name="DBG_Classification_ID">
    <vt:lpwstr>2</vt:lpwstr>
  </property>
  <property fmtid="{D5CDD505-2E9C-101B-9397-08002B2CF9AE}" pid="7" name="DBG_Classification_Name">
    <vt:lpwstr>Internal</vt:lpwstr>
  </property>
  <property fmtid="{D5CDD505-2E9C-101B-9397-08002B2CF9AE}" pid="8" name="bjSaver">
    <vt:lpwstr>xPzICjLW8Ai8DGHUmRVSeiVNijG83rz2</vt:lpwstr>
  </property>
  <property fmtid="{D5CDD505-2E9C-101B-9397-08002B2CF9AE}" pid="9" name="bjLabelHistoryID">
    <vt:lpwstr>{2AE06C54-1DF1-44B6-A54D-CEC83776C307}</vt:lpwstr>
  </property>
  <property fmtid="{D5CDD505-2E9C-101B-9397-08002B2CF9AE}" pid="10" name="ContentTypeId">
    <vt:lpwstr>0x0101009742CDA3EBE7494587163B8E118BA823</vt:lpwstr>
  </property>
</Properties>
</file>