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rsidTr="00315E96">
        <w:trPr>
          <w:trHeight w:val="284"/>
        </w:trPr>
        <w:tc>
          <w:tcPr>
            <w:tcW w:w="9412" w:type="dxa"/>
          </w:tcPr>
          <w:p w:rsidR="00C2094B" w:rsidRPr="00F10D35" w:rsidRDefault="00460D45" w:rsidP="00AF38AF">
            <w:pPr>
              <w:pStyle w:val="00bDBInfo"/>
              <w:rPr>
                <w:rFonts w:cs="Arial"/>
              </w:rPr>
            </w:pPr>
            <w:bookmarkStart w:id="0" w:name="_GoBack"/>
            <w:bookmarkEnd w:id="0"/>
            <w:r>
              <w:rPr>
                <w:rFonts w:cs="Arial"/>
              </w:rPr>
              <w:t>2</w:t>
            </w:r>
            <w:r w:rsidR="00F10D35" w:rsidRPr="00F10D35">
              <w:rPr>
                <w:rFonts w:cs="Arial"/>
              </w:rPr>
              <w:t>2 August 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AF38AF" w:rsidRPr="00F10D35">
              <w:rPr>
                <w:rFonts w:cs="Arial"/>
                <w:szCs w:val="56"/>
              </w:rPr>
              <w:t xml:space="preserve"> the </w:t>
            </w:r>
            <w:r w:rsidR="00F10D35" w:rsidRPr="00F10D35">
              <w:rPr>
                <w:rFonts w:cs="Arial"/>
                <w:szCs w:val="56"/>
              </w:rPr>
              <w:t>Clearing Obligation</w:t>
            </w:r>
            <w:r w:rsidR="00AF38AF" w:rsidRPr="00F10D35">
              <w:rPr>
                <w:rFonts w:cs="Arial"/>
                <w:szCs w:val="56"/>
              </w:rPr>
              <w:t xml:space="preserve"> </w:t>
            </w:r>
            <w:r w:rsidR="00F10D35" w:rsidRPr="00F10D35">
              <w:rPr>
                <w:rFonts w:cs="Arial"/>
                <w:szCs w:val="56"/>
              </w:rPr>
              <w:t xml:space="preserve">under </w:t>
            </w:r>
            <w:r w:rsidR="00AF38AF" w:rsidRPr="00F10D35">
              <w:rPr>
                <w:rFonts w:cs="Arial"/>
                <w:szCs w:val="56"/>
              </w:rPr>
              <w:t xml:space="preserve">EMIR </w:t>
            </w:r>
            <w:r w:rsidR="00F10D35" w:rsidRPr="00F10D35">
              <w:rPr>
                <w:rFonts w:cs="Arial"/>
                <w:szCs w:val="56"/>
              </w:rPr>
              <w:t>(no. 6)</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F10D35" w:rsidRDefault="006F4535" w:rsidP="006F4535">
            <w:pPr>
              <w:pStyle w:val="01bDBSubtitle"/>
              <w:rPr>
                <w:rFonts w:ascii="Arial" w:hAnsi="Arial" w:cs="Arial"/>
                <w:sz w:val="32"/>
              </w:rPr>
            </w:pPr>
            <w:r w:rsidRPr="009A053D">
              <w:rPr>
                <w:rFonts w:ascii="Arial" w:hAnsi="Arial" w:cs="Arial"/>
                <w:sz w:val="32"/>
              </w:rPr>
              <w:t xml:space="preserve"> </w:t>
            </w:r>
          </w:p>
          <w:p w:rsidR="00F10D35" w:rsidRDefault="00F10D35" w:rsidP="00F10D35"/>
          <w:p w:rsidR="006F4535" w:rsidRPr="00F10D35" w:rsidRDefault="006F4535" w:rsidP="00F10D35">
            <w:pPr>
              <w:jc w:val="center"/>
            </w:pP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460D45">
              <w:rPr>
                <w:rFonts w:cs="Arial"/>
              </w:rPr>
              <w:t>2</w:t>
            </w:r>
            <w:r w:rsidR="00F10D35" w:rsidRPr="00F10D35">
              <w:rPr>
                <w:rFonts w:cs="Arial"/>
              </w:rPr>
              <w:t xml:space="preserve"> August </w:t>
            </w:r>
            <w:r w:rsidR="005738DE" w:rsidRPr="00F10D35">
              <w:rPr>
                <w:rFonts w:cs="Arial"/>
              </w:rPr>
              <w:t>2018</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6301E3"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AF38AF" w:rsidRPr="00AF38AF">
        <w:rPr>
          <w:rStyle w:val="SubtleEmphasis"/>
          <w:b w:val="0"/>
          <w:sz w:val="22"/>
        </w:rPr>
        <w:t xml:space="preserve">on the </w:t>
      </w:r>
      <w:r w:rsidR="006301E3" w:rsidRPr="006301E3">
        <w:rPr>
          <w:rStyle w:val="SubtleEmphasis"/>
          <w:b w:val="0"/>
          <w:sz w:val="22"/>
        </w:rPr>
        <w:t xml:space="preserve">regulatory technical standards (RTS) on the clearing obligation that ESMA is drafting under Article 5(2) of the Regulation (EU) No 648/2012 of the European Parliament and Council on OTC derivatives, central counterparties and trade repositories (EMIR). </w:t>
      </w:r>
    </w:p>
    <w:p w:rsidR="006301E3" w:rsidRDefault="006301E3" w:rsidP="006301E3">
      <w:pPr>
        <w:jc w:val="both"/>
        <w:rPr>
          <w:rStyle w:val="SubtleEmphasis"/>
          <w:b w:val="0"/>
          <w:sz w:val="22"/>
        </w:rPr>
      </w:pPr>
    </w:p>
    <w:p w:rsidR="009A3017" w:rsidRDefault="009A3017" w:rsidP="006301E3">
      <w:pPr>
        <w:jc w:val="both"/>
        <w:rPr>
          <w:rStyle w:val="SubtleEmphasis"/>
          <w:b w:val="0"/>
          <w:sz w:val="22"/>
        </w:rPr>
      </w:pPr>
      <w:r w:rsidRPr="00E40A5C">
        <w:rPr>
          <w:rStyle w:val="SubtleEmphasis"/>
          <w:b w:val="0"/>
          <w:sz w:val="22"/>
        </w:rPr>
        <w:t>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6301E3" w:rsidRPr="006301E3">
        <w:rPr>
          <w:rStyle w:val="SubtleEmphasis"/>
          <w:b w:val="0"/>
          <w:sz w:val="22"/>
        </w:rPr>
        <w:t>30 August 2018</w:t>
      </w:r>
      <w:r w:rsidRPr="006301E3">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CC49EE">
        <w:rPr>
          <w:rStyle w:val="SubtleEmphasis"/>
          <w:b w:val="0"/>
          <w:sz w:val="22"/>
        </w:rPr>
        <w:t>TIE</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CC49EE">
        <w:rPr>
          <w:rStyle w:val="SubtleEmphasis"/>
          <w:b w:val="0"/>
          <w:sz w:val="22"/>
        </w:rPr>
        <w:t>TIE</w:t>
      </w:r>
      <w:r w:rsidRPr="00E40A5C">
        <w:rPr>
          <w:rStyle w:val="SubtleEmphasis"/>
          <w:b w:val="0"/>
          <w:sz w:val="22"/>
        </w:rPr>
        <w:t>_nameofrespondent_RESPONSEFORM. For example, for a respondent named ABCD, the response form would be entitled ESMA_</w:t>
      </w:r>
      <w:r w:rsidR="00CC49EE">
        <w:rPr>
          <w:rStyle w:val="SubtleEmphasis"/>
          <w:b w:val="0"/>
          <w:sz w:val="22"/>
        </w:rPr>
        <w:t>TIE</w:t>
      </w:r>
      <w:r w:rsidRPr="00E40A5C">
        <w:rPr>
          <w:rStyle w:val="SubtleEmphasis"/>
          <w:b w:val="0"/>
          <w:sz w:val="22"/>
        </w:rPr>
        <w:t>_ABCD_RESPONSEFORM.</w:t>
      </w:r>
    </w:p>
    <w:p w:rsidR="009A3017" w:rsidRPr="00E40A5C" w:rsidRDefault="009A3017" w:rsidP="006301E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w:t>
      </w:r>
      <w:r w:rsidR="006301E3" w:rsidRPr="006301E3">
        <w:rPr>
          <w:rStyle w:val="SubtleEmphasis"/>
          <w:b w:val="0"/>
          <w:sz w:val="22"/>
        </w:rPr>
        <w:t>Clearing Obligation under EMIR (no. 6)</w:t>
      </w:r>
      <w:r w:rsidR="006E0A4F" w:rsidRPr="006301E3">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rsidR="00332304" w:rsidRPr="006301E3" w:rsidRDefault="006301E3" w:rsidP="006301E3">
      <w:pPr>
        <w:jc w:val="both"/>
      </w:pPr>
      <w: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381FA5">
        <w:tc>
          <w:tcPr>
            <w:tcW w:w="3929" w:type="dxa"/>
            <w:shd w:val="clear" w:color="auto" w:fill="auto"/>
          </w:tcPr>
          <w:p w:rsidR="00B327E9" w:rsidRPr="00E40A5C" w:rsidRDefault="00B327E9" w:rsidP="00381FA5">
            <w:pPr>
              <w:rPr>
                <w:rFonts w:cs="Arial"/>
                <w:sz w:val="22"/>
              </w:rPr>
            </w:pPr>
            <w:permStart w:id="1763120321"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C414D2" w:rsidP="00C414D2">
                <w:pPr>
                  <w:rPr>
                    <w:rStyle w:val="PlaceholderText"/>
                    <w:rFonts w:cs="Arial"/>
                  </w:rPr>
                </w:pPr>
                <w:r>
                  <w:rPr>
                    <w:rStyle w:val="PlaceholderText"/>
                    <w:rFonts w:cs="Arial"/>
                  </w:rPr>
                  <w:t>The Investment Association</w:t>
                </w:r>
              </w:p>
            </w:tc>
          </w:sdtContent>
        </w:sdt>
      </w:tr>
      <w:tr w:rsidR="00B327E9" w:rsidRPr="00AB6D88" w:rsidTr="00381FA5">
        <w:tc>
          <w:tcPr>
            <w:tcW w:w="3929" w:type="dxa"/>
            <w:shd w:val="clear" w:color="auto" w:fill="auto"/>
          </w:tcPr>
          <w:p w:rsidR="00B327E9" w:rsidRPr="00E40A5C" w:rsidRDefault="00B327E9" w:rsidP="00381FA5">
            <w:pPr>
              <w:rPr>
                <w:rFonts w:cs="Arial"/>
                <w:sz w:val="22"/>
              </w:rPr>
            </w:pPr>
            <w:permStart w:id="439768470" w:edGrp="everyone" w:colFirst="1" w:colLast="1"/>
            <w:permEnd w:id="1763120321"/>
            <w:r w:rsidRPr="00E40A5C">
              <w:rPr>
                <w:rFonts w:cs="Arial"/>
                <w:sz w:val="22"/>
              </w:rPr>
              <w:t>Activity</w:t>
            </w:r>
          </w:p>
        </w:tc>
        <w:tc>
          <w:tcPr>
            <w:tcW w:w="5595" w:type="dxa"/>
            <w:shd w:val="clear" w:color="auto" w:fill="auto"/>
          </w:tcPr>
          <w:p w:rsidR="00B327E9" w:rsidRPr="00AB6D88" w:rsidRDefault="007B6F49" w:rsidP="00381FA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414D2">
                  <w:rPr>
                    <w:rFonts w:cs="Arial"/>
                  </w:rPr>
                  <w:t>Investment Services</w:t>
                </w:r>
              </w:sdtContent>
            </w:sdt>
          </w:p>
        </w:tc>
      </w:tr>
      <w:tr w:rsidR="00B327E9" w:rsidRPr="00AB6D88" w:rsidTr="00381FA5">
        <w:tc>
          <w:tcPr>
            <w:tcW w:w="3929" w:type="dxa"/>
            <w:shd w:val="clear" w:color="auto" w:fill="auto"/>
          </w:tcPr>
          <w:p w:rsidR="00B327E9" w:rsidRPr="00E40A5C" w:rsidRDefault="00B327E9" w:rsidP="00381FA5">
            <w:pPr>
              <w:rPr>
                <w:rFonts w:cs="Arial"/>
                <w:sz w:val="22"/>
              </w:rPr>
            </w:pPr>
            <w:permStart w:id="1433750958" w:edGrp="everyone" w:colFirst="1" w:colLast="1"/>
            <w:permEnd w:id="439768470"/>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C414D2" w:rsidP="00381FA5">
                <w:pPr>
                  <w:rPr>
                    <w:rFonts w:cs="Arial"/>
                  </w:rPr>
                </w:pPr>
                <w:r>
                  <w:rPr>
                    <w:rFonts w:ascii="MS Gothic" w:eastAsia="MS Gothic" w:hAnsi="MS Gothic" w:cs="Arial" w:hint="eastAsia"/>
                  </w:rPr>
                  <w:t>☒</w:t>
                </w:r>
              </w:p>
            </w:tc>
          </w:sdtContent>
        </w:sdt>
      </w:tr>
      <w:tr w:rsidR="00B327E9" w:rsidRPr="00AB6D88" w:rsidTr="00381FA5">
        <w:tc>
          <w:tcPr>
            <w:tcW w:w="3929" w:type="dxa"/>
            <w:shd w:val="clear" w:color="auto" w:fill="auto"/>
          </w:tcPr>
          <w:p w:rsidR="00B327E9" w:rsidRPr="00E40A5C" w:rsidRDefault="00B327E9" w:rsidP="00381FA5">
            <w:pPr>
              <w:rPr>
                <w:rFonts w:cs="Arial"/>
                <w:sz w:val="22"/>
              </w:rPr>
            </w:pPr>
            <w:permStart w:id="2073312149" w:edGrp="everyone" w:colFirst="1" w:colLast="1"/>
            <w:permEnd w:id="1433750958"/>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C414D2" w:rsidP="00381FA5">
                <w:pPr>
                  <w:rPr>
                    <w:rFonts w:cs="Arial"/>
                  </w:rPr>
                </w:pPr>
                <w:r>
                  <w:rPr>
                    <w:rFonts w:cs="Arial"/>
                  </w:rPr>
                  <w:t>UK</w:t>
                </w:r>
              </w:p>
            </w:tc>
          </w:sdtContent>
        </w:sdt>
      </w:tr>
      <w:permEnd w:id="2073312149"/>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CC49EE">
        <w:rPr>
          <w:rFonts w:cs="Arial"/>
        </w:rPr>
        <w:t>TIE</w:t>
      </w:r>
      <w:r w:rsidRPr="006F4535">
        <w:t>_1&gt;</w:t>
      </w:r>
    </w:p>
    <w:p w:rsidR="00C414D2" w:rsidRPr="00A561E4" w:rsidRDefault="00C414D2" w:rsidP="00C414D2">
      <w:pPr>
        <w:jc w:val="both"/>
        <w:rPr>
          <w:rFonts w:cstheme="minorHAnsi"/>
          <w:bCs/>
          <w:sz w:val="22"/>
        </w:rPr>
      </w:pPr>
      <w:permStart w:id="2101551315" w:edGrp="everyone"/>
      <w:r w:rsidRPr="00A561E4">
        <w:rPr>
          <w:rFonts w:cstheme="minorHAnsi"/>
          <w:bCs/>
          <w:sz w:val="22"/>
        </w:rPr>
        <w:t>The Investment Association is the trade body that represents investment managers, whose 220 members collectively manage over GBP6.9 trillion on behalf of clients. Our purpose is to ensure investment managers are in the best possible position to:</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 Build people’s resilience to financial adversity</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 Help people achieve their financial aspirations</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 Enable people to maintain a decent standard of living as they grow older</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 Contribute to economic growth through the efficient allocation of capital</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The UK is the second largest investment management centre in the world and manages 37% of European assets.</w:t>
      </w:r>
    </w:p>
    <w:p w:rsidR="00C414D2" w:rsidRPr="00A561E4" w:rsidRDefault="00C414D2" w:rsidP="00C414D2">
      <w:pPr>
        <w:jc w:val="both"/>
        <w:rPr>
          <w:rFonts w:cstheme="minorHAnsi"/>
          <w:bCs/>
          <w:sz w:val="22"/>
        </w:rPr>
      </w:pPr>
    </w:p>
    <w:p w:rsidR="00C414D2" w:rsidRPr="00A561E4" w:rsidRDefault="00C414D2" w:rsidP="00C414D2">
      <w:pPr>
        <w:jc w:val="both"/>
        <w:rPr>
          <w:rFonts w:cstheme="minorHAnsi"/>
          <w:bCs/>
          <w:sz w:val="22"/>
        </w:rPr>
      </w:pPr>
      <w:r w:rsidRPr="00A561E4">
        <w:rPr>
          <w:rFonts w:cstheme="minorHAnsi"/>
          <w:bCs/>
          <w:sz w:val="22"/>
        </w:rPr>
        <w:t xml:space="preserve">More information can be viewed on our </w:t>
      </w:r>
      <w:hyperlink r:id="rId18" w:history="1">
        <w:r w:rsidRPr="00A561E4">
          <w:rPr>
            <w:rStyle w:val="Hyperlink"/>
            <w:rFonts w:cstheme="minorHAnsi"/>
            <w:bCs/>
            <w:sz w:val="22"/>
          </w:rPr>
          <w:t>website</w:t>
        </w:r>
      </w:hyperlink>
      <w:r w:rsidRPr="00A561E4">
        <w:rPr>
          <w:rFonts w:cstheme="minorHAnsi"/>
          <w:bCs/>
          <w:sz w:val="22"/>
        </w:rPr>
        <w:t>.</w:t>
      </w:r>
    </w:p>
    <w:p w:rsidR="00C414D2" w:rsidRDefault="00C414D2" w:rsidP="00B327E9"/>
    <w:p w:rsidR="00C414D2" w:rsidRDefault="00C414D2" w:rsidP="00B327E9"/>
    <w:permEnd w:id="2101551315"/>
    <w:p w:rsidR="00B327E9" w:rsidRPr="00BF28DA" w:rsidRDefault="00B327E9" w:rsidP="00B327E9">
      <w:r w:rsidRPr="00BF28DA">
        <w:t>&lt;ESMA_COMMENT_</w:t>
      </w:r>
      <w:r w:rsidR="00CC49EE">
        <w:rPr>
          <w:rFonts w:cs="Arial"/>
        </w:rPr>
        <w:t>TIE</w:t>
      </w:r>
      <w:r w:rsidR="000A58BE">
        <w:t>_</w:t>
      </w:r>
      <w:r w:rsidRPr="00BF28DA">
        <w:t>1&gt;</w:t>
      </w:r>
    </w:p>
    <w:p w:rsidR="002E7113" w:rsidRDefault="002E7113" w:rsidP="002E7113">
      <w:pPr>
        <w:pStyle w:val="Heading1"/>
        <w:numPr>
          <w:ilvl w:val="0"/>
          <w:numId w:val="0"/>
        </w:numPr>
      </w:pPr>
    </w:p>
    <w:p w:rsidR="00F31E57" w:rsidRPr="00BF28DA" w:rsidRDefault="00F31E57" w:rsidP="00D34282"/>
    <w:p w:rsidR="00CC49EE" w:rsidRDefault="00F31E57" w:rsidP="00CC49EE">
      <w:pPr>
        <w:pStyle w:val="Questionstyle"/>
        <w:ind w:left="720" w:hanging="360"/>
      </w:pPr>
      <w:r w:rsidRPr="0075015C">
        <w:br w:type="page"/>
      </w:r>
    </w:p>
    <w:p w:rsidR="00CC49EE" w:rsidRDefault="00CC49EE" w:rsidP="00CC49EE">
      <w:pPr>
        <w:pStyle w:val="Questionstyle"/>
        <w:ind w:left="720" w:hanging="360"/>
      </w:pPr>
    </w:p>
    <w:p w:rsidR="00AF38AF" w:rsidRDefault="00170D44" w:rsidP="00CC49EE">
      <w:pPr>
        <w:pStyle w:val="Questionstyle"/>
        <w:numPr>
          <w:ilvl w:val="0"/>
          <w:numId w:val="39"/>
        </w:numPr>
      </w:pPr>
      <w:r w:rsidRPr="00CC49EE">
        <w:t xml:space="preserve">: </w:t>
      </w:r>
      <w:r w:rsidR="00CC49EE" w:rsidRPr="00CC49EE">
        <w:t>Do you consider that the proposed extension of the temporary intragroup exemption is justified?</w:t>
      </w:r>
      <w:r w:rsidR="00CC49EE">
        <w:t xml:space="preserve"> </w:t>
      </w:r>
      <w:r w:rsidR="00CC49EE" w:rsidRPr="00CC49EE">
        <w:t>Please explain.</w:t>
      </w:r>
    </w:p>
    <w:p w:rsidR="00CC38E9" w:rsidRDefault="00CC38E9" w:rsidP="00CC38E9">
      <w:r>
        <w:t>&lt;ESMA_QUESTION_</w:t>
      </w:r>
      <w:r w:rsidR="00CC49EE">
        <w:t>TIE</w:t>
      </w:r>
      <w:r>
        <w:t>_1&gt;</w:t>
      </w:r>
    </w:p>
    <w:p w:rsidR="00381FA5" w:rsidRPr="00A561E4" w:rsidRDefault="00381FA5" w:rsidP="00381FA5">
      <w:pPr>
        <w:rPr>
          <w:sz w:val="18"/>
        </w:rPr>
      </w:pPr>
      <w:permStart w:id="1861696027" w:edGrp="everyone"/>
    </w:p>
    <w:p w:rsidR="00381FA5" w:rsidRPr="00A561E4" w:rsidRDefault="00381FA5" w:rsidP="00381FA5">
      <w:pPr>
        <w:rPr>
          <w:rFonts w:cs="Arial"/>
          <w:color w:val="000000"/>
          <w:sz w:val="22"/>
          <w:szCs w:val="20"/>
          <w:lang w:eastAsia="en-GB"/>
        </w:rPr>
      </w:pPr>
      <w:r w:rsidRPr="00A561E4">
        <w:rPr>
          <w:sz w:val="22"/>
        </w:rPr>
        <w:t xml:space="preserve">The Investment Association (IA) supports </w:t>
      </w:r>
      <w:r w:rsidRPr="00A561E4">
        <w:rPr>
          <w:rFonts w:cs="Arial"/>
          <w:color w:val="000000"/>
          <w:sz w:val="22"/>
          <w:szCs w:val="20"/>
          <w:lang w:eastAsia="en-GB"/>
        </w:rPr>
        <w:t xml:space="preserve">ESMA’s proposal to prolong the date of application by two years of Commission Delegated Regulation (EU) 2015/2205 (interest rate derivative classes denominated in the G4 currencies), i.e. until 21 December 2020. </w:t>
      </w:r>
    </w:p>
    <w:p w:rsidR="00381FA5" w:rsidRPr="00A561E4" w:rsidRDefault="00381FA5" w:rsidP="00381FA5">
      <w:pPr>
        <w:autoSpaceDE w:val="0"/>
        <w:autoSpaceDN w:val="0"/>
        <w:adjustRightInd w:val="0"/>
        <w:rPr>
          <w:rFonts w:cs="Arial"/>
          <w:color w:val="000000"/>
          <w:sz w:val="22"/>
          <w:szCs w:val="20"/>
          <w:lang w:eastAsia="en-GB"/>
        </w:rPr>
      </w:pPr>
    </w:p>
    <w:p w:rsidR="00381FA5" w:rsidRPr="00A561E4" w:rsidRDefault="00381FA5" w:rsidP="00381FA5">
      <w:pPr>
        <w:autoSpaceDE w:val="0"/>
        <w:autoSpaceDN w:val="0"/>
        <w:adjustRightInd w:val="0"/>
        <w:rPr>
          <w:rFonts w:cs="Arial"/>
          <w:color w:val="000000"/>
          <w:sz w:val="22"/>
          <w:szCs w:val="20"/>
          <w:lang w:eastAsia="en-GB"/>
        </w:rPr>
      </w:pPr>
      <w:r w:rsidRPr="00A561E4">
        <w:rPr>
          <w:rFonts w:cs="Arial"/>
          <w:color w:val="000000"/>
          <w:sz w:val="22"/>
          <w:szCs w:val="20"/>
          <w:lang w:eastAsia="en-GB"/>
        </w:rPr>
        <w:t xml:space="preserve">We also support the alignment of the date for the other two Commission Delegated Regulations (EU) 2016/1178 and (EU) 2016/592 to 21 December 2020. </w:t>
      </w:r>
    </w:p>
    <w:p w:rsidR="00381FA5" w:rsidRPr="00A561E4" w:rsidRDefault="00381FA5" w:rsidP="00CC38E9">
      <w:pPr>
        <w:rPr>
          <w:sz w:val="22"/>
        </w:rPr>
      </w:pPr>
    </w:p>
    <w:p w:rsidR="00381FA5" w:rsidRPr="00A561E4" w:rsidRDefault="00381FA5" w:rsidP="00381FA5">
      <w:pPr>
        <w:rPr>
          <w:sz w:val="22"/>
        </w:rPr>
      </w:pPr>
      <w:r w:rsidRPr="00A561E4">
        <w:rPr>
          <w:sz w:val="22"/>
        </w:rPr>
        <w:t>The IA agrees that the rationale behind the initial deferral remains valid. Therefore the application of the clearing obligation to contracts set out in the Annexes to the regulations and concluded between the counterparties established in a third country and another counterparty established in the Union belonging to the same group which meet the conditions set out in the regulations, should be further deferred for a limited period of time.</w:t>
      </w:r>
    </w:p>
    <w:p w:rsidR="00381FA5" w:rsidRPr="00A561E4" w:rsidRDefault="00381FA5" w:rsidP="00381FA5">
      <w:pPr>
        <w:rPr>
          <w:sz w:val="22"/>
        </w:rPr>
      </w:pPr>
    </w:p>
    <w:p w:rsidR="00381FA5" w:rsidRPr="00A561E4" w:rsidRDefault="00381FA5" w:rsidP="00381FA5">
      <w:pPr>
        <w:rPr>
          <w:sz w:val="22"/>
        </w:rPr>
      </w:pPr>
      <w:r w:rsidRPr="00A561E4">
        <w:rPr>
          <w:sz w:val="22"/>
        </w:rPr>
        <w:t>The Commission Delegated Regulations should be amended to ensure the appropriate functioning of i</w:t>
      </w:r>
      <w:r w:rsidR="009421C3" w:rsidRPr="00A561E4">
        <w:rPr>
          <w:sz w:val="22"/>
        </w:rPr>
        <w:t>n</w:t>
      </w:r>
      <w:r w:rsidRPr="00A561E4">
        <w:rPr>
          <w:sz w:val="22"/>
        </w:rPr>
        <w:t>ternational derivative markets and to avoid distorting the economic and hedging incentives of market participants in the global market of OTC derivatives.</w:t>
      </w:r>
    </w:p>
    <w:p w:rsidR="00381FA5" w:rsidRDefault="00381FA5" w:rsidP="00CC38E9"/>
    <w:permEnd w:id="1861696027"/>
    <w:p w:rsidR="00CC38E9" w:rsidRDefault="00CC38E9" w:rsidP="00CC38E9">
      <w:r>
        <w:t>&lt;ESMA_QUESTION_</w:t>
      </w:r>
      <w:r w:rsidR="00CC49EE">
        <w:t>TIE</w:t>
      </w:r>
      <w:r>
        <w:t>_1&gt;</w:t>
      </w:r>
    </w:p>
    <w:p w:rsidR="00CC38E9" w:rsidRDefault="00CC38E9" w:rsidP="00170D44">
      <w:pPr>
        <w:rPr>
          <w:b/>
        </w:rPr>
      </w:pPr>
    </w:p>
    <w:p w:rsidR="00CC49EE" w:rsidRPr="00170D44" w:rsidRDefault="00CC49EE" w:rsidP="00170D44">
      <w:pPr>
        <w:rPr>
          <w:b/>
        </w:rPr>
      </w:pPr>
    </w:p>
    <w:p w:rsidR="00AF38AF" w:rsidRPr="00CC49EE" w:rsidRDefault="00170D44" w:rsidP="00C51D8B">
      <w:pPr>
        <w:pStyle w:val="Questionstyle"/>
        <w:numPr>
          <w:ilvl w:val="0"/>
          <w:numId w:val="39"/>
        </w:numPr>
      </w:pPr>
      <w:r w:rsidRPr="00CC49EE">
        <w:t xml:space="preserve">: </w:t>
      </w:r>
      <w:r w:rsidR="00C51D8B" w:rsidRPr="00C51D8B">
        <w:t>Do you identify other benefits and costs not mentioned above associated to the proposed approach? If you advocated for a different approach in the responses to the previous question, how would it impact this section on the impact assessment? Please provide details.</w:t>
      </w:r>
    </w:p>
    <w:p w:rsidR="00CC38E9" w:rsidRDefault="00CC38E9" w:rsidP="00170D44">
      <w:pPr>
        <w:rPr>
          <w:b/>
        </w:rPr>
      </w:pPr>
    </w:p>
    <w:p w:rsidR="00CC38E9" w:rsidRDefault="00CC38E9" w:rsidP="00CC38E9">
      <w:r>
        <w:t>&lt;ESMA_QUESTION_</w:t>
      </w:r>
      <w:r w:rsidR="00CC49EE">
        <w:t>TIE</w:t>
      </w:r>
      <w:r>
        <w:t>_2&gt;</w:t>
      </w:r>
    </w:p>
    <w:p w:rsidR="00566394" w:rsidRDefault="00566394" w:rsidP="00566394">
      <w:permStart w:id="436426144" w:edGrp="everyone"/>
      <w:r>
        <w:t>TYPE YOUR TEXT HERE</w:t>
      </w:r>
    </w:p>
    <w:permEnd w:id="436426144"/>
    <w:p w:rsidR="00CC38E9" w:rsidRDefault="00CC38E9" w:rsidP="00CC38E9">
      <w:r>
        <w:t>&lt;ESMA_QUESTION</w:t>
      </w:r>
      <w:r w:rsidR="00CC49EE">
        <w:t>_TIE</w:t>
      </w:r>
      <w:r w:rsidR="00AF38AF">
        <w:t>_</w:t>
      </w:r>
      <w:r>
        <w:t>2&gt;</w:t>
      </w:r>
    </w:p>
    <w:p w:rsidR="00CC38E9" w:rsidRPr="00170D44" w:rsidRDefault="00CC38E9" w:rsidP="00170D44">
      <w:pPr>
        <w:rPr>
          <w:b/>
        </w:rPr>
      </w:pPr>
    </w:p>
    <w:sectPr w:rsidR="00CC38E9" w:rsidRPr="00170D4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A5" w:rsidRDefault="00381FA5">
      <w:r>
        <w:separator/>
      </w:r>
    </w:p>
    <w:p w:rsidR="00381FA5" w:rsidRDefault="00381FA5"/>
  </w:endnote>
  <w:endnote w:type="continuationSeparator" w:id="0">
    <w:p w:rsidR="00381FA5" w:rsidRDefault="00381FA5">
      <w:r>
        <w:continuationSeparator/>
      </w:r>
    </w:p>
    <w:p w:rsidR="00381FA5" w:rsidRDefault="00381FA5"/>
  </w:endnote>
  <w:endnote w:type="continuationNotice" w:id="1">
    <w:p w:rsidR="00381FA5" w:rsidRDefault="00381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1FA5" w:rsidRPr="00616B9B" w:rsidTr="00315E96">
      <w:trPr>
        <w:trHeight w:val="284"/>
      </w:trPr>
      <w:tc>
        <w:tcPr>
          <w:tcW w:w="8460" w:type="dxa"/>
        </w:tcPr>
        <w:p w:rsidR="00381FA5" w:rsidRPr="00315E96" w:rsidRDefault="00381FA5" w:rsidP="00315E96">
          <w:pPr>
            <w:pStyle w:val="00Footer"/>
            <w:rPr>
              <w:lang w:val="fr-FR"/>
            </w:rPr>
          </w:pPr>
        </w:p>
      </w:tc>
      <w:tc>
        <w:tcPr>
          <w:tcW w:w="952" w:type="dxa"/>
        </w:tcPr>
        <w:p w:rsidR="00381FA5" w:rsidRPr="00616B9B" w:rsidRDefault="00381FA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B6F49">
            <w:rPr>
              <w:rFonts w:cs="Arial"/>
              <w:noProof/>
              <w:sz w:val="22"/>
              <w:szCs w:val="22"/>
            </w:rPr>
            <w:t>6</w:t>
          </w:r>
          <w:r w:rsidRPr="00616B9B">
            <w:rPr>
              <w:rFonts w:cs="Arial"/>
              <w:noProof/>
              <w:sz w:val="22"/>
              <w:szCs w:val="22"/>
            </w:rPr>
            <w:fldChar w:fldCharType="end"/>
          </w:r>
        </w:p>
      </w:tc>
    </w:tr>
  </w:tbl>
  <w:p w:rsidR="00381FA5" w:rsidRDefault="00381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A5" w:rsidRDefault="00381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A5" w:rsidRDefault="00381FA5">
      <w:r>
        <w:separator/>
      </w:r>
    </w:p>
    <w:p w:rsidR="00381FA5" w:rsidRDefault="00381FA5"/>
  </w:footnote>
  <w:footnote w:type="continuationSeparator" w:id="0">
    <w:p w:rsidR="00381FA5" w:rsidRDefault="00381FA5">
      <w:r>
        <w:continuationSeparator/>
      </w:r>
    </w:p>
    <w:p w:rsidR="00381FA5" w:rsidRDefault="00381FA5"/>
  </w:footnote>
  <w:footnote w:type="continuationNotice" w:id="1">
    <w:p w:rsidR="00381FA5" w:rsidRDefault="00381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A5" w:rsidRDefault="00381FA5">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F17C8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A5" w:rsidRDefault="00381FA5"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A5" w:rsidRDefault="00381F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81FA5" w:rsidRPr="002F4496" w:rsidTr="000C06C9">
      <w:trPr>
        <w:trHeight w:val="284"/>
      </w:trPr>
      <w:tc>
        <w:tcPr>
          <w:tcW w:w="8460" w:type="dxa"/>
        </w:tcPr>
        <w:p w:rsidR="00381FA5" w:rsidRPr="000C3B6D" w:rsidRDefault="00381FA5" w:rsidP="000C06C9">
          <w:pPr>
            <w:pStyle w:val="00Footer"/>
            <w:rPr>
              <w:lang w:val="fr-FR"/>
            </w:rPr>
          </w:pPr>
        </w:p>
      </w:tc>
      <w:tc>
        <w:tcPr>
          <w:tcW w:w="952" w:type="dxa"/>
        </w:tcPr>
        <w:p w:rsidR="00381FA5" w:rsidRPr="00146B34" w:rsidRDefault="00381FA5" w:rsidP="000C06C9">
          <w:pPr>
            <w:pStyle w:val="00aPagenumber"/>
            <w:rPr>
              <w:lang w:val="fr-FR"/>
            </w:rPr>
          </w:pPr>
        </w:p>
      </w:tc>
    </w:tr>
  </w:tbl>
  <w:p w:rsidR="00381FA5" w:rsidRPr="00DB46C3" w:rsidRDefault="00381FA5">
    <w:pPr>
      <w:rPr>
        <w:lang w:val="fr-FR"/>
      </w:rPr>
    </w:pPr>
  </w:p>
  <w:p w:rsidR="00381FA5" w:rsidRPr="002F4496" w:rsidRDefault="00381FA5">
    <w:pPr>
      <w:pStyle w:val="Header"/>
      <w:rPr>
        <w:lang w:val="fr-FR"/>
      </w:rPr>
    </w:pPr>
  </w:p>
  <w:p w:rsidR="00381FA5" w:rsidRPr="002F4496" w:rsidRDefault="00381FA5" w:rsidP="000C06C9">
    <w:pPr>
      <w:pStyle w:val="Header"/>
      <w:tabs>
        <w:tab w:val="clear" w:pos="4536"/>
        <w:tab w:val="clear" w:pos="9072"/>
        <w:tab w:val="left" w:pos="8227"/>
      </w:tabs>
      <w:rPr>
        <w:lang w:val="fr-FR"/>
      </w:rPr>
    </w:pPr>
  </w:p>
  <w:p w:rsidR="00381FA5" w:rsidRPr="002F4496" w:rsidRDefault="00381FA5" w:rsidP="000C06C9">
    <w:pPr>
      <w:pStyle w:val="Header"/>
      <w:tabs>
        <w:tab w:val="clear" w:pos="4536"/>
        <w:tab w:val="clear" w:pos="9072"/>
        <w:tab w:val="left" w:pos="8227"/>
      </w:tabs>
      <w:rPr>
        <w:lang w:val="fr-FR"/>
      </w:rPr>
    </w:pPr>
  </w:p>
  <w:p w:rsidR="00381FA5" w:rsidRPr="002F4496" w:rsidRDefault="00381FA5">
    <w:pPr>
      <w:pStyle w:val="Header"/>
      <w:rPr>
        <w:lang w:val="fr-FR"/>
      </w:rPr>
    </w:pPr>
  </w:p>
  <w:p w:rsidR="00381FA5" w:rsidRPr="002F4496" w:rsidRDefault="00381FA5">
    <w:pPr>
      <w:pStyle w:val="Header"/>
      <w:rPr>
        <w:lang w:val="fr-FR"/>
      </w:rPr>
    </w:pPr>
  </w:p>
  <w:p w:rsidR="00381FA5" w:rsidRPr="002F4496" w:rsidRDefault="00381FA5">
    <w:pPr>
      <w:pStyle w:val="Header"/>
      <w:rPr>
        <w:lang w:val="fr-FR"/>
      </w:rPr>
    </w:pPr>
  </w:p>
  <w:p w:rsidR="00381FA5" w:rsidRPr="002F4496" w:rsidRDefault="00381FA5">
    <w:pPr>
      <w:pStyle w:val="Header"/>
      <w:rPr>
        <w:lang w:val="fr-FR"/>
      </w:rPr>
    </w:pPr>
  </w:p>
  <w:p w:rsidR="00381FA5" w:rsidRPr="002F4496" w:rsidRDefault="00381FA5">
    <w:pPr>
      <w:pStyle w:val="Header"/>
      <w:rPr>
        <w:highlight w:val="yellow"/>
        <w:lang w:val="fr-FR"/>
      </w:rPr>
    </w:pPr>
  </w:p>
  <w:p w:rsidR="00381FA5" w:rsidRDefault="00381FA5">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D8721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8otg9z9d+MWYPUDhFPrGz3P/m2qef081y58CGynkv0pXGheGW2Mdu2RETBKo2TYb7jfPs2JoWNdC6TFoX3dbw==" w:salt="Vn5gSOJfg1ja0oBe3iph2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C1E"/>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E71"/>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A5"/>
    <w:rsid w:val="00381FF6"/>
    <w:rsid w:val="00383D7D"/>
    <w:rsid w:val="00384CCE"/>
    <w:rsid w:val="003865E5"/>
    <w:rsid w:val="00386BB8"/>
    <w:rsid w:val="003926C1"/>
    <w:rsid w:val="00392900"/>
    <w:rsid w:val="00393357"/>
    <w:rsid w:val="00394CE6"/>
    <w:rsid w:val="00395E7B"/>
    <w:rsid w:val="00395F4C"/>
    <w:rsid w:val="003A18D2"/>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0D4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B6F49"/>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1C3"/>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1E4"/>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1E75"/>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14D2"/>
    <w:rsid w:val="00C422C5"/>
    <w:rsid w:val="00C43D33"/>
    <w:rsid w:val="00C44407"/>
    <w:rsid w:val="00C456E8"/>
    <w:rsid w:val="00C46630"/>
    <w:rsid w:val="00C47A2F"/>
    <w:rsid w:val="00C50D18"/>
    <w:rsid w:val="00C51179"/>
    <w:rsid w:val="00C51D8B"/>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DD8"/>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55F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theinvestmentassociation.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ESMA70-151-1693</_dlc_DocId>
    <_dlc_DocIdUrl xmlns="20fbe147-bbda-4e53-b6b1-7e8bbff3fe19">
      <Url>https://sherpa.esma.europa.eu/sites/MKT/PTR/_layouts/15/DocIdRedir.aspx?ID=ESMA70-151-1693</Url>
      <Description>ESMA70-151-1693</Description>
    </_dlc_DocIdUrl>
    <TaxCatchAll xmlns="20fbe147-bbda-4e53-b6b1-7e8bbff3fe19">
      <Value>2</Value>
      <Value>4</Value>
      <Value>16</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OTC Dervatives</TermName>
          <TermId xmlns="http://schemas.microsoft.com/office/infopath/2007/PartnerControls">034f863b-e632-4e69-bb42-57a850cee4a2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4"/>
    <ds:schemaRef ds:uri="http://schemas.microsoft.com/office/2006/documentManagement/types"/>
    <ds:schemaRef ds:uri="20fbe147-bbda-4e53-b6b1-7e8bbff3fe19"/>
    <ds:schemaRef ds:uri="http://www.w3.org/XML/1998/namespace"/>
    <ds:schemaRef ds:uri="http://purl.org/dc/term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61EAFB7A-B154-49C0-A0F3-05C623BC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AD4AB-F314-4B7F-AA9D-ABD168E578DB}">
  <ds:schemaRefs>
    <ds:schemaRef ds:uri="http://schemas.openxmlformats.org/officeDocument/2006/bibliography"/>
  </ds:schemaRefs>
</ds:datastoreItem>
</file>

<file path=customXml/itemProps6.xml><?xml version="1.0" encoding="utf-8"?>
<ds:datastoreItem xmlns:ds="http://schemas.openxmlformats.org/officeDocument/2006/customXml" ds:itemID="{4EB5EC2B-8B70-40D4-8014-7FFAAAFC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AB6B021E</Template>
  <TotalTime>0</TotalTime>
  <Pages>6</Pages>
  <Words>775</Words>
  <Characters>4672</Characters>
  <Application>Microsoft Office Word</Application>
  <DocSecurity>8</DocSecurity>
  <Lines>38</Lines>
  <Paragraphs>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5437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Ross Barrett (Capital Markets)</cp:lastModifiedBy>
  <cp:revision>2</cp:revision>
  <cp:lastPrinted>2015-02-18T11:01:00Z</cp:lastPrinted>
  <dcterms:created xsi:type="dcterms:W3CDTF">2018-08-30T13:43:00Z</dcterms:created>
  <dcterms:modified xsi:type="dcterms:W3CDTF">2018-08-30T13:43:00Z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cb532c38-e9c6-4fbc-92da-76731c3b9a25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