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320B9B" w:rsidP="00AF38AF">
            <w:pPr>
              <w:pStyle w:val="00bDBInfo"/>
              <w:rPr>
                <w:rFonts w:cs="Arial"/>
              </w:rPr>
            </w:pPr>
            <w:r>
              <w:rPr>
                <w:rFonts w:cs="Arial"/>
              </w:rPr>
              <w:t>23</w:t>
            </w:r>
            <w:r w:rsidR="00EF5FB9">
              <w:rPr>
                <w:rFonts w:cs="Arial"/>
              </w:rPr>
              <w:t xml:space="preserve"> </w:t>
            </w:r>
            <w:r w:rsidR="00AF38AF">
              <w:rPr>
                <w:rFonts w:cs="Arial"/>
              </w:rPr>
              <w:t>May</w:t>
            </w:r>
            <w:r w:rsidR="00EF5FB9">
              <w:rPr>
                <w:rFonts w:cs="Arial"/>
              </w:rPr>
              <w:t xml:space="preserve"> 2018</w:t>
            </w:r>
          </w:p>
        </w:tc>
      </w:tr>
    </w:tbl>
    <w:p w:rsidR="00FD7A8D" w:rsidRPr="00616B9B" w:rsidRDefault="00FD7A8D" w:rsidP="00FD7A8D">
      <w:pPr>
        <w:rPr>
          <w:rFonts w:cs="Arial"/>
          <w:vanish/>
        </w:rPr>
      </w:pPr>
    </w:p>
    <w:tbl>
      <w:tblPr>
        <w:tblpPr w:leftFromText="8505" w:vertAnchor="page" w:horzAnchor="margin" w:tblpY="3801"/>
        <w:tblW w:w="9646" w:type="dxa"/>
        <w:tblLayout w:type="fixed"/>
        <w:tblCellMar>
          <w:left w:w="0" w:type="dxa"/>
          <w:right w:w="0" w:type="dxa"/>
        </w:tblCellMar>
        <w:tblLook w:val="01E0" w:firstRow="1" w:lastRow="1" w:firstColumn="1" w:lastColumn="1" w:noHBand="0" w:noVBand="0"/>
      </w:tblPr>
      <w:tblGrid>
        <w:gridCol w:w="9646"/>
      </w:tblGrid>
      <w:tr w:rsidR="006F4535" w:rsidRPr="00616B9B" w:rsidTr="006E0A4F">
        <w:trPr>
          <w:trHeight w:hRule="exact" w:val="2475"/>
        </w:trPr>
        <w:tc>
          <w:tcPr>
            <w:tcW w:w="9646" w:type="dxa"/>
            <w:vAlign w:val="bottom"/>
          </w:tcPr>
          <w:p w:rsidR="00AF38AF" w:rsidRPr="00AF38AF" w:rsidRDefault="006F4535" w:rsidP="00AF38AF">
            <w:pPr>
              <w:pStyle w:val="01aDBTitle"/>
              <w:jc w:val="left"/>
              <w:rPr>
                <w:rFonts w:cs="Arial"/>
                <w:szCs w:val="56"/>
              </w:rPr>
            </w:pPr>
            <w:r w:rsidRPr="006E0A4F">
              <w:rPr>
                <w:rFonts w:cs="Arial"/>
                <w:szCs w:val="56"/>
              </w:rPr>
              <w:t>Re</w:t>
            </w:r>
            <w:r w:rsidR="009A3017" w:rsidRPr="006E0A4F">
              <w:rPr>
                <w:rFonts w:cs="Arial"/>
                <w:szCs w:val="56"/>
              </w:rPr>
              <w:t>sponse</w:t>
            </w:r>
            <w:r w:rsidRPr="006E0A4F">
              <w:rPr>
                <w:rFonts w:cs="Arial"/>
                <w:szCs w:val="56"/>
              </w:rPr>
              <w:t xml:space="preserve"> form for </w:t>
            </w:r>
            <w:r w:rsidR="00AF38AF">
              <w:rPr>
                <w:rFonts w:cs="Arial"/>
                <w:szCs w:val="56"/>
              </w:rPr>
              <w:t xml:space="preserve">the </w:t>
            </w:r>
            <w:r w:rsidRPr="006E0A4F">
              <w:rPr>
                <w:rFonts w:cs="Arial"/>
                <w:szCs w:val="56"/>
              </w:rPr>
              <w:t>Consultation Paper on</w:t>
            </w:r>
            <w:r w:rsidR="00AF38AF" w:rsidRPr="00AF38AF">
              <w:rPr>
                <w:rFonts w:cs="Arial"/>
                <w:szCs w:val="56"/>
              </w:rPr>
              <w:t xml:space="preserve"> the Amendments to the EMIR Clearing Obligation under the Securitisation Regulation</w:t>
            </w:r>
          </w:p>
          <w:p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rsidTr="006E0A4F">
        <w:trPr>
          <w:trHeight w:hRule="exact" w:val="1237"/>
        </w:trPr>
        <w:tc>
          <w:tcPr>
            <w:tcW w:w="9646" w:type="dxa"/>
            <w:tcMar>
              <w:top w:w="142" w:type="dxa"/>
            </w:tcMar>
          </w:tcPr>
          <w:p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320B9B">
            <w:pPr>
              <w:pStyle w:val="02Date"/>
              <w:rPr>
                <w:rFonts w:cs="Arial"/>
              </w:rPr>
            </w:pPr>
            <w:r w:rsidRPr="004E49B0">
              <w:rPr>
                <w:rFonts w:cs="Arial"/>
              </w:rPr>
              <w:lastRenderedPageBreak/>
              <w:t xml:space="preserve">Date: </w:t>
            </w:r>
            <w:r w:rsidR="00320B9B">
              <w:rPr>
                <w:rFonts w:cs="Arial"/>
              </w:rPr>
              <w:t>23</w:t>
            </w:r>
            <w:r w:rsidR="005738DE">
              <w:rPr>
                <w:rFonts w:cs="Arial"/>
              </w:rPr>
              <w:t xml:space="preserve"> </w:t>
            </w:r>
            <w:r w:rsidR="00AF38AF">
              <w:rPr>
                <w:rFonts w:cs="Arial"/>
              </w:rPr>
              <w:t>May</w:t>
            </w:r>
            <w:r w:rsidR="005738DE">
              <w:rPr>
                <w:rFonts w:cs="Arial"/>
              </w:rPr>
              <w:t xml:space="preserve"> 2018</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9A3017" w:rsidRDefault="009A3017" w:rsidP="00AF38AF">
      <w:pPr>
        <w:rPr>
          <w:rStyle w:val="SchwacheHervorhebung"/>
          <w:b w:val="0"/>
          <w:sz w:val="22"/>
        </w:rPr>
      </w:pPr>
      <w:r w:rsidRPr="00E40A5C">
        <w:rPr>
          <w:rStyle w:val="SchwacheHervorhebung"/>
          <w:b w:val="0"/>
          <w:sz w:val="22"/>
        </w:rPr>
        <w:t xml:space="preserve">ESMA invites responses to the questions set out throughout </w:t>
      </w:r>
      <w:r w:rsidR="00963D60">
        <w:rPr>
          <w:rStyle w:val="SchwacheHervorhebung"/>
          <w:b w:val="0"/>
          <w:sz w:val="22"/>
        </w:rPr>
        <w:t>its</w:t>
      </w:r>
      <w:r w:rsidR="00963D60" w:rsidRPr="00E40A5C">
        <w:rPr>
          <w:rStyle w:val="SchwacheHervorhebung"/>
          <w:b w:val="0"/>
          <w:sz w:val="22"/>
        </w:rPr>
        <w:t xml:space="preserve"> </w:t>
      </w:r>
      <w:r w:rsidR="00EF5FB9" w:rsidRPr="00EF5FB9">
        <w:rPr>
          <w:rStyle w:val="SchwacheHervorhebung"/>
          <w:b w:val="0"/>
          <w:sz w:val="22"/>
        </w:rPr>
        <w:t xml:space="preserve">Consultation Paper </w:t>
      </w:r>
      <w:r w:rsidR="00AF38AF" w:rsidRPr="00AF38AF">
        <w:rPr>
          <w:rStyle w:val="SchwacheHervorhebung"/>
          <w:b w:val="0"/>
          <w:sz w:val="22"/>
        </w:rPr>
        <w:t>on the Amendments to the EMIR Clearing Obligation under the Securitisation Regulation</w:t>
      </w:r>
      <w:r w:rsidR="004E6AE4">
        <w:rPr>
          <w:rStyle w:val="SchwacheHervorhebung"/>
          <w:b w:val="0"/>
          <w:sz w:val="22"/>
        </w:rPr>
        <w:t xml:space="preserve"> </w:t>
      </w:r>
      <w:r w:rsidR="00963D60" w:rsidRPr="001D5360">
        <w:rPr>
          <w:rStyle w:val="SchwacheHervorhebung"/>
          <w:b w:val="0"/>
          <w:sz w:val="22"/>
        </w:rPr>
        <w:t>(</w:t>
      </w:r>
      <w:r w:rsidR="00C422C5" w:rsidRPr="00324011">
        <w:rPr>
          <w:rStyle w:val="SchwacheHervorhebung"/>
          <w:b w:val="0"/>
          <w:sz w:val="22"/>
        </w:rPr>
        <w:t>Regulation (EU) 2017/2402</w:t>
      </w:r>
      <w:r w:rsidR="00963D60" w:rsidRPr="00324011">
        <w:rPr>
          <w:rStyle w:val="SchwacheHervorhebung"/>
          <w:b w:val="0"/>
          <w:sz w:val="22"/>
        </w:rPr>
        <w:t>)</w:t>
      </w:r>
      <w:r w:rsidRPr="001D5360">
        <w:rPr>
          <w:rStyle w:val="SchwacheHervorhebung"/>
          <w:b w:val="0"/>
          <w:sz w:val="22"/>
        </w:rPr>
        <w:t>.</w:t>
      </w:r>
      <w:r w:rsidRPr="00E40A5C">
        <w:rPr>
          <w:rStyle w:val="SchwacheHervorhebung"/>
          <w:b w:val="0"/>
          <w:sz w:val="22"/>
        </w:rPr>
        <w:t xml:space="preserve"> Responses are most helpful if they:</w:t>
      </w:r>
    </w:p>
    <w:p w:rsidR="00AF38AF" w:rsidRPr="00E40A5C" w:rsidRDefault="00AF38AF" w:rsidP="00AF38AF">
      <w:pPr>
        <w:rPr>
          <w:rStyle w:val="SchwacheHervorhebung"/>
          <w:b w:val="0"/>
          <w:sz w:val="22"/>
        </w:rPr>
      </w:pPr>
    </w:p>
    <w:p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respond to the question stated;</w:t>
      </w:r>
    </w:p>
    <w:p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contain a clear rationale; and</w:t>
      </w:r>
    </w:p>
    <w:p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describe any alternatives ESMA should consider.</w:t>
      </w:r>
    </w:p>
    <w:p w:rsidR="009A3017" w:rsidRPr="00E40A5C" w:rsidRDefault="009A3017" w:rsidP="009A3017">
      <w:pPr>
        <w:spacing w:after="240"/>
        <w:jc w:val="both"/>
        <w:rPr>
          <w:rStyle w:val="SchwacheHervorhebung"/>
          <w:b w:val="0"/>
          <w:sz w:val="22"/>
        </w:rPr>
      </w:pPr>
      <w:r w:rsidRPr="00E40A5C">
        <w:rPr>
          <w:rStyle w:val="SchwacheHervorhebung"/>
          <w:b w:val="0"/>
          <w:sz w:val="22"/>
        </w:rPr>
        <w:t xml:space="preserve">ESMA will consider all responses received by </w:t>
      </w:r>
      <w:r w:rsidR="00AF38AF">
        <w:rPr>
          <w:rStyle w:val="SchwacheHervorhebung"/>
          <w:b w:val="0"/>
          <w:sz w:val="22"/>
        </w:rPr>
        <w:t>15 June</w:t>
      </w:r>
      <w:r w:rsidR="005C6485" w:rsidRPr="001D5360">
        <w:rPr>
          <w:rStyle w:val="SchwacheHervorhebung"/>
          <w:b w:val="0"/>
          <w:sz w:val="22"/>
        </w:rPr>
        <w:t xml:space="preserve"> 2018</w:t>
      </w:r>
      <w:r w:rsidRPr="001D5360">
        <w:rPr>
          <w:rStyle w:val="SchwacheHervorhebung"/>
          <w:b w:val="0"/>
          <w:sz w:val="22"/>
        </w:rPr>
        <w:t>.</w:t>
      </w:r>
    </w:p>
    <w:p w:rsidR="009A3017" w:rsidRPr="00E40A5C" w:rsidRDefault="009A3017" w:rsidP="009A3017">
      <w:pPr>
        <w:spacing w:after="120"/>
        <w:jc w:val="both"/>
        <w:rPr>
          <w:rStyle w:val="SchwacheHervorhebung"/>
          <w:sz w:val="22"/>
        </w:rPr>
      </w:pPr>
      <w:r w:rsidRPr="00E40A5C">
        <w:rPr>
          <w:rStyle w:val="SchwacheHervorhebung"/>
          <w:sz w:val="22"/>
        </w:rPr>
        <w:t>Instructions</w:t>
      </w:r>
    </w:p>
    <w:p w:rsidR="009A3017" w:rsidRPr="00E40A5C" w:rsidRDefault="009A3017" w:rsidP="009A3017">
      <w:pPr>
        <w:spacing w:after="240"/>
        <w:jc w:val="both"/>
        <w:rPr>
          <w:rStyle w:val="SchwacheHervorhebung"/>
          <w:b w:val="0"/>
          <w:sz w:val="22"/>
        </w:rPr>
      </w:pPr>
      <w:r w:rsidRPr="00E40A5C">
        <w:rPr>
          <w:rStyle w:val="SchwacheHervorhebung"/>
          <w:b w:val="0"/>
          <w:sz w:val="22"/>
        </w:rPr>
        <w:t>In order to facilitate analysis of responses to the Consultation Paper, respondents are requested to follow the below steps when preparing and submitting their response:</w:t>
      </w:r>
    </w:p>
    <w:p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 xml:space="preserve">Insert your responses to the questions in the Consultation Paper in </w:t>
      </w:r>
      <w:r w:rsidR="00963D60">
        <w:rPr>
          <w:rStyle w:val="SchwacheHervorhebung"/>
          <w:b w:val="0"/>
          <w:sz w:val="22"/>
        </w:rPr>
        <w:t>the present</w:t>
      </w:r>
      <w:r w:rsidR="00963D60" w:rsidRPr="00E40A5C">
        <w:rPr>
          <w:rStyle w:val="SchwacheHervorhebung"/>
          <w:b w:val="0"/>
          <w:sz w:val="22"/>
        </w:rPr>
        <w:t xml:space="preserve"> </w:t>
      </w:r>
      <w:r w:rsidR="00315895">
        <w:rPr>
          <w:rStyle w:val="SchwacheHervorhebung"/>
          <w:b w:val="0"/>
          <w:sz w:val="22"/>
        </w:rPr>
        <w:t xml:space="preserve">response </w:t>
      </w:r>
      <w:r w:rsidRPr="00E40A5C">
        <w:rPr>
          <w:rStyle w:val="SchwacheHervorhebung"/>
          <w:b w:val="0"/>
          <w:sz w:val="22"/>
        </w:rPr>
        <w:t>form</w:t>
      </w:r>
      <w:r w:rsidR="00963D60">
        <w:rPr>
          <w:rStyle w:val="SchwacheHervorhebung"/>
          <w:b w:val="0"/>
          <w:sz w:val="22"/>
        </w:rPr>
        <w:t>.</w:t>
      </w:r>
      <w:r w:rsidRPr="00E40A5C">
        <w:rPr>
          <w:rStyle w:val="SchwacheHervorhebung"/>
          <w:b w:val="0"/>
          <w:sz w:val="22"/>
        </w:rPr>
        <w:t xml:space="preserve"> </w:t>
      </w:r>
    </w:p>
    <w:p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Please do not remove tags of the type &lt;ESMA_QUESTION_</w:t>
      </w:r>
      <w:r w:rsidR="00AF38AF">
        <w:rPr>
          <w:rStyle w:val="SchwacheHervorhebung"/>
          <w:b w:val="0"/>
          <w:sz w:val="22"/>
        </w:rPr>
        <w:t>ECO</w:t>
      </w:r>
      <w:r w:rsidRPr="00E40A5C">
        <w:rPr>
          <w:rStyle w:val="SchwacheHervorhebung"/>
          <w:b w:val="0"/>
          <w:sz w:val="22"/>
        </w:rPr>
        <w:t>_1&gt;. Your response to each question has to be framed by the two tags corresponding to the question.</w:t>
      </w:r>
    </w:p>
    <w:p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If you do not wish to respond to a given question, please do not delete it but simply leave the text “TYPE YOUR TEXT HERE” between the tags.</w:t>
      </w:r>
    </w:p>
    <w:p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When you have drafted your response, name your response form according to the following convention: ESMA_</w:t>
      </w:r>
      <w:r w:rsidR="00AF38AF">
        <w:rPr>
          <w:rStyle w:val="SchwacheHervorhebung"/>
          <w:b w:val="0"/>
          <w:sz w:val="22"/>
        </w:rPr>
        <w:t>ECO</w:t>
      </w:r>
      <w:r w:rsidRPr="00E40A5C">
        <w:rPr>
          <w:rStyle w:val="SchwacheHervorhebung"/>
          <w:b w:val="0"/>
          <w:sz w:val="22"/>
        </w:rPr>
        <w:t>_nameofrespondent_RESPONSEFORM. For example, for a respondent named ABCD, the response form would be entitled ESMA_</w:t>
      </w:r>
      <w:r w:rsidR="00AF38AF">
        <w:rPr>
          <w:rStyle w:val="SchwacheHervorhebung"/>
          <w:b w:val="0"/>
          <w:sz w:val="22"/>
        </w:rPr>
        <w:t>ECO</w:t>
      </w:r>
      <w:r w:rsidRPr="00E40A5C">
        <w:rPr>
          <w:rStyle w:val="SchwacheHervorhebung"/>
          <w:b w:val="0"/>
          <w:sz w:val="22"/>
        </w:rPr>
        <w:t>_ABCD_RESPONSEFORM.</w:t>
      </w:r>
    </w:p>
    <w:p w:rsidR="009A3017" w:rsidRPr="00E40A5C" w:rsidRDefault="009A3017" w:rsidP="00EF5FB9">
      <w:pPr>
        <w:pStyle w:val="Listenabsatz"/>
        <w:numPr>
          <w:ilvl w:val="0"/>
          <w:numId w:val="37"/>
        </w:numPr>
        <w:spacing w:after="240" w:line="276" w:lineRule="auto"/>
        <w:contextualSpacing w:val="0"/>
        <w:jc w:val="both"/>
        <w:rPr>
          <w:rStyle w:val="SchwacheHervorhebung"/>
          <w:b w:val="0"/>
          <w:sz w:val="22"/>
        </w:rPr>
      </w:pPr>
      <w:r w:rsidRPr="00E40A5C">
        <w:rPr>
          <w:rStyle w:val="SchwacheHervorhebung"/>
          <w:b w:val="0"/>
          <w:sz w:val="22"/>
        </w:rPr>
        <w:t xml:space="preserve">Upload the form containing your responses, </w:t>
      </w:r>
      <w:r w:rsidRPr="00963D60">
        <w:rPr>
          <w:rStyle w:val="SchwacheHervorhebung"/>
          <w:sz w:val="22"/>
        </w:rPr>
        <w:t>in Word format</w:t>
      </w:r>
      <w:r w:rsidRPr="00E40A5C">
        <w:rPr>
          <w:rStyle w:val="SchwacheHervorhebung"/>
          <w:b w:val="0"/>
          <w:sz w:val="22"/>
        </w:rPr>
        <w:t>, to ESMA’s website (</w:t>
      </w:r>
      <w:hyperlink r:id="rId16" w:history="1">
        <w:r w:rsidRPr="00E40A5C">
          <w:rPr>
            <w:rStyle w:val="Hyperlink"/>
            <w:rFonts w:cs="Arial"/>
            <w:sz w:val="22"/>
          </w:rPr>
          <w:t>www.esma.europa.eu</w:t>
        </w:r>
      </w:hyperlink>
      <w:r w:rsidR="006E0A4F">
        <w:rPr>
          <w:rStyle w:val="SchwacheHervorhebung"/>
          <w:b w:val="0"/>
          <w:sz w:val="22"/>
        </w:rPr>
        <w:t xml:space="preserve"> under the heading “Your input – Open consultatio</w:t>
      </w:r>
      <w:r w:rsidR="006E0A4F" w:rsidRPr="001D5360">
        <w:rPr>
          <w:rStyle w:val="SchwacheHervorhebung"/>
          <w:b w:val="0"/>
          <w:sz w:val="22"/>
        </w:rPr>
        <w:t>ns”</w:t>
      </w:r>
      <w:r w:rsidRPr="001D5360">
        <w:rPr>
          <w:rStyle w:val="SchwacheHervorhebung"/>
          <w:b w:val="0"/>
          <w:sz w:val="22"/>
        </w:rPr>
        <w:t xml:space="preserve"> </w:t>
      </w:r>
      <w:r w:rsidRPr="001D5360">
        <w:rPr>
          <w:rStyle w:val="SchwacheHervorhebung"/>
          <w:b w:val="0"/>
          <w:sz w:val="22"/>
        </w:rPr>
        <w:sym w:font="Wingdings" w:char="F0E0"/>
      </w:r>
      <w:r w:rsidRPr="001D5360">
        <w:rPr>
          <w:rStyle w:val="SchwacheHervorhebung"/>
          <w:b w:val="0"/>
          <w:sz w:val="22"/>
        </w:rPr>
        <w:t xml:space="preserve"> </w:t>
      </w:r>
      <w:r w:rsidR="006E0A4F" w:rsidRPr="001D5360">
        <w:rPr>
          <w:rStyle w:val="SchwacheHervorhebung"/>
          <w:b w:val="0"/>
          <w:sz w:val="22"/>
        </w:rPr>
        <w:t>“</w:t>
      </w:r>
      <w:r w:rsidR="00EF5FB9" w:rsidRPr="00EF5FB9">
        <w:rPr>
          <w:rStyle w:val="SchwacheHervorhebung"/>
          <w:b w:val="0"/>
          <w:sz w:val="22"/>
        </w:rPr>
        <w:t xml:space="preserve">Consultation </w:t>
      </w:r>
      <w:r w:rsidR="00EF5FB9">
        <w:rPr>
          <w:rStyle w:val="SchwacheHervorhebung"/>
          <w:b w:val="0"/>
          <w:sz w:val="22"/>
        </w:rPr>
        <w:t>on</w:t>
      </w:r>
      <w:r w:rsidR="00EF5FB9" w:rsidRPr="00EF5FB9">
        <w:rPr>
          <w:rStyle w:val="SchwacheHervorhebung"/>
          <w:b w:val="0"/>
          <w:sz w:val="22"/>
        </w:rPr>
        <w:t xml:space="preserve"> Securitisation Repositories Application</w:t>
      </w:r>
      <w:r w:rsidR="00EF5FB9">
        <w:rPr>
          <w:rStyle w:val="SchwacheHervorhebung"/>
          <w:b w:val="0"/>
          <w:sz w:val="22"/>
        </w:rPr>
        <w:t xml:space="preserve"> Requirements</w:t>
      </w:r>
      <w:r w:rsidR="006E0A4F" w:rsidRPr="001D5360">
        <w:rPr>
          <w:rStyle w:val="SchwacheHervorhebung"/>
          <w:b w:val="0"/>
          <w:sz w:val="22"/>
        </w:rPr>
        <w:t>”</w:t>
      </w:r>
      <w:r w:rsidRPr="001D5360">
        <w:rPr>
          <w:rStyle w:val="SchwacheHervorhebung"/>
          <w:b w:val="0"/>
          <w:sz w:val="22"/>
        </w:rPr>
        <w:t>).</w:t>
      </w:r>
    </w:p>
    <w:p w:rsidR="009A3017" w:rsidRPr="00E40A5C" w:rsidRDefault="009A3017" w:rsidP="009A3017">
      <w:pPr>
        <w:spacing w:after="120"/>
        <w:jc w:val="both"/>
        <w:rPr>
          <w:rStyle w:val="SchwacheHervorhebung"/>
          <w:sz w:val="22"/>
          <w:lang w:eastAsia="en-GB"/>
        </w:rPr>
      </w:pPr>
      <w:r w:rsidRPr="00E40A5C">
        <w:rPr>
          <w:rStyle w:val="SchwacheHervorhebung"/>
          <w:sz w:val="22"/>
          <w:lang w:eastAsia="en-GB"/>
        </w:rPr>
        <w:lastRenderedPageBreak/>
        <w:t>Publication of responses</w:t>
      </w:r>
    </w:p>
    <w:p w:rsidR="009A3017" w:rsidRPr="00E40A5C" w:rsidRDefault="009A3017" w:rsidP="009A3017">
      <w:pPr>
        <w:spacing w:after="240"/>
        <w:jc w:val="both"/>
        <w:rPr>
          <w:rStyle w:val="SchwacheHervorhebung"/>
          <w:b w:val="0"/>
          <w:sz w:val="22"/>
          <w:lang w:eastAsia="en-GB"/>
        </w:rPr>
      </w:pPr>
      <w:r w:rsidRPr="00E40A5C">
        <w:rPr>
          <w:rStyle w:val="SchwacheHervorhebung"/>
          <w:b w:val="0"/>
          <w:sz w:val="22"/>
          <w:lang w:eastAsia="en-GB"/>
        </w:rPr>
        <w:t xml:space="preserve">All contributions received will be published following the close of the consultation, unless you request otherwise. </w:t>
      </w:r>
      <w:r w:rsidRPr="00963D60">
        <w:rPr>
          <w:rStyle w:val="SchwacheHervorhebung"/>
          <w:sz w:val="22"/>
          <w:lang w:eastAsia="en-GB"/>
        </w:rPr>
        <w:t>Please clearly indicate by ticking the appropriate checkbox on the website submission page if you do not wish your contribution to be publicly disclosed.</w:t>
      </w:r>
      <w:r w:rsidRPr="00E40A5C">
        <w:rPr>
          <w:rStyle w:val="SchwacheHervorhebung"/>
          <w:b w:val="0"/>
          <w:sz w:val="22"/>
          <w:lang w:eastAsia="en-GB"/>
        </w:rPr>
        <w:t xml:space="preserv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rsidR="009A3017" w:rsidRPr="00E40A5C" w:rsidRDefault="00315895" w:rsidP="004E6AE4">
      <w:pPr>
        <w:rPr>
          <w:rStyle w:val="SchwacheHervorhebung"/>
          <w:sz w:val="22"/>
          <w:lang w:eastAsia="en-GB"/>
        </w:rPr>
      </w:pPr>
      <w:r>
        <w:rPr>
          <w:rStyle w:val="SchwacheHervorhebung"/>
          <w:sz w:val="22"/>
          <w:lang w:eastAsia="en-GB"/>
        </w:rPr>
        <w:br w:type="page"/>
      </w:r>
      <w:r w:rsidR="009A3017" w:rsidRPr="00E40A5C">
        <w:rPr>
          <w:rStyle w:val="SchwacheHervorhebung"/>
          <w:sz w:val="22"/>
          <w:lang w:eastAsia="en-GB"/>
        </w:rPr>
        <w:lastRenderedPageBreak/>
        <w:t>Data protection</w:t>
      </w:r>
    </w:p>
    <w:p w:rsidR="009A3017" w:rsidRPr="00E40A5C" w:rsidRDefault="009A3017" w:rsidP="009A3017">
      <w:pPr>
        <w:spacing w:after="240"/>
        <w:jc w:val="both"/>
        <w:rPr>
          <w:rStyle w:val="SchwacheHervorhebung"/>
          <w:b w:val="0"/>
          <w:sz w:val="22"/>
          <w:lang w:eastAsia="en-GB"/>
        </w:rPr>
      </w:pPr>
      <w:r w:rsidRPr="00E40A5C">
        <w:rPr>
          <w:rStyle w:val="SchwacheHervorhebung"/>
          <w:b w:val="0"/>
          <w:sz w:val="22"/>
          <w:lang w:eastAsia="en-GB"/>
        </w:rPr>
        <w:t xml:space="preserve">Information on data protection can be found at </w:t>
      </w:r>
      <w:hyperlink r:id="rId17" w:history="1">
        <w:r w:rsidRPr="00E40A5C">
          <w:rPr>
            <w:rStyle w:val="Hyperlink"/>
            <w:rFonts w:cs="Arial"/>
            <w:sz w:val="22"/>
            <w:lang w:eastAsia="en-GB"/>
          </w:rPr>
          <w:t>www.esma.europa.eu</w:t>
        </w:r>
      </w:hyperlink>
      <w:r w:rsidR="006E0A4F">
        <w:rPr>
          <w:rStyle w:val="SchwacheHervorhebung"/>
          <w:b w:val="0"/>
          <w:sz w:val="22"/>
          <w:lang w:eastAsia="en-GB"/>
        </w:rPr>
        <w:t xml:space="preserve"> under the heading “Data protection”</w:t>
      </w:r>
      <w:r w:rsidRPr="00E40A5C">
        <w:rPr>
          <w:rStyle w:val="SchwacheHervorhebung"/>
          <w:b w:val="0"/>
          <w:sz w:val="22"/>
          <w:lang w:eastAsia="en-GB"/>
        </w:rPr>
        <w:t>.</w:t>
      </w:r>
    </w:p>
    <w:p w:rsidR="009A3017" w:rsidRPr="00E40A5C" w:rsidRDefault="009A3017" w:rsidP="009A3017">
      <w:pPr>
        <w:spacing w:after="120"/>
        <w:jc w:val="both"/>
        <w:rPr>
          <w:rStyle w:val="SchwacheHervorhebung"/>
          <w:sz w:val="22"/>
          <w:lang w:eastAsia="en-GB"/>
        </w:rPr>
      </w:pPr>
      <w:r w:rsidRPr="00E40A5C">
        <w:rPr>
          <w:rStyle w:val="SchwacheHervorhebung"/>
          <w:sz w:val="22"/>
          <w:lang w:eastAsia="en-GB"/>
        </w:rPr>
        <w:t>Who should read th</w:t>
      </w:r>
      <w:r w:rsidR="00315895">
        <w:rPr>
          <w:rStyle w:val="SchwacheHervorhebung"/>
          <w:sz w:val="22"/>
          <w:lang w:eastAsia="en-GB"/>
        </w:rPr>
        <w:t>e</w:t>
      </w:r>
      <w:r w:rsidRPr="00E40A5C">
        <w:rPr>
          <w:rStyle w:val="SchwacheHervorhebung"/>
          <w:sz w:val="22"/>
          <w:lang w:eastAsia="en-GB"/>
        </w:rPr>
        <w:t xml:space="preserve"> Consultation Paper</w:t>
      </w:r>
    </w:p>
    <w:bookmarkEnd w:id="0"/>
    <w:p w:rsidR="00332304" w:rsidRDefault="00C422C5" w:rsidP="004E6AE4">
      <w:pPr>
        <w:rPr>
          <w:rFonts w:cs="Arial"/>
          <w:b/>
          <w:bCs/>
          <w:kern w:val="32"/>
          <w:sz w:val="24"/>
          <w:szCs w:val="32"/>
        </w:rPr>
      </w:pPr>
      <w:r w:rsidRPr="00A85226">
        <w:t>All interested stakeholders are invited to respond to this consultation paper. In particular, responses are sought from counterparties who are entering into OTC derivatives transactions with covered bond issuers or with cover pools for covered bonds, or who are entering into OTC derivatives transactions with Securitisation Special Purpose Entities (SSPEs), as well as central counterparties (CCPs).</w:t>
      </w:r>
      <w:r>
        <w:t xml:space="preserve"> </w:t>
      </w:r>
      <w:r w:rsidR="00332304">
        <w:br w:type="page"/>
      </w:r>
    </w:p>
    <w:p w:rsidR="00B327E9" w:rsidRPr="00AB6D88" w:rsidRDefault="00B327E9" w:rsidP="00B327E9">
      <w:pPr>
        <w:pStyle w:val="berschrift1"/>
        <w:numPr>
          <w:ilvl w:val="0"/>
          <w:numId w:val="0"/>
        </w:numPr>
      </w:pPr>
      <w:r w:rsidRPr="00AB6D88">
        <w:lastRenderedPageBreak/>
        <w:t>General information about respondent</w:t>
      </w:r>
    </w:p>
    <w:p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rsidTr="00F136AD">
        <w:tc>
          <w:tcPr>
            <w:tcW w:w="3929" w:type="dxa"/>
            <w:shd w:val="clear" w:color="auto" w:fill="auto"/>
          </w:tcPr>
          <w:p w:rsidR="00B327E9" w:rsidRPr="00E40A5C" w:rsidRDefault="00B327E9" w:rsidP="00F136AD">
            <w:pPr>
              <w:rPr>
                <w:rFonts w:cs="Arial"/>
                <w:sz w:val="22"/>
              </w:rPr>
            </w:pPr>
            <w:permStart w:id="395973393" w:edGrp="everyone" w:colFirst="1" w:colLast="1"/>
            <w:r w:rsidRPr="00E40A5C">
              <w:rPr>
                <w:rFonts w:cs="Arial"/>
                <w:sz w:val="22"/>
              </w:rPr>
              <w:t>Name of the company / organisation</w:t>
            </w:r>
          </w:p>
        </w:tc>
        <w:sdt>
          <w:sdtPr>
            <w:rPr>
              <w:rStyle w:val="Platzhaltertext"/>
              <w:rFonts w:cs="Arial"/>
            </w:rPr>
            <w:id w:val="-1905066999"/>
            <w:text/>
          </w:sdtPr>
          <w:sdtEndPr>
            <w:rPr>
              <w:rStyle w:val="Platzhaltertext"/>
            </w:rPr>
          </w:sdtEndPr>
          <w:sdtContent>
            <w:tc>
              <w:tcPr>
                <w:tcW w:w="5595" w:type="dxa"/>
                <w:shd w:val="clear" w:color="auto" w:fill="auto"/>
              </w:tcPr>
              <w:p w:rsidR="00B327E9" w:rsidRPr="00AB6D88" w:rsidRDefault="005E07E5" w:rsidP="005E07E5">
                <w:pPr>
                  <w:rPr>
                    <w:rStyle w:val="Platzhaltertext"/>
                    <w:rFonts w:cs="Arial"/>
                  </w:rPr>
                </w:pPr>
                <w:r>
                  <w:rPr>
                    <w:rStyle w:val="Platzhaltertext"/>
                    <w:rFonts w:cs="Arial"/>
                  </w:rPr>
                  <w:t>True Sale International GmbH</w:t>
                </w:r>
              </w:p>
            </w:tc>
          </w:sdtContent>
        </w:sdt>
      </w:tr>
      <w:tr w:rsidR="00B327E9" w:rsidRPr="00AB6D88" w:rsidTr="00F136AD">
        <w:tc>
          <w:tcPr>
            <w:tcW w:w="3929" w:type="dxa"/>
            <w:shd w:val="clear" w:color="auto" w:fill="auto"/>
          </w:tcPr>
          <w:p w:rsidR="00B327E9" w:rsidRPr="00E40A5C" w:rsidRDefault="00B327E9" w:rsidP="00F136AD">
            <w:pPr>
              <w:rPr>
                <w:rFonts w:cs="Arial"/>
                <w:sz w:val="22"/>
              </w:rPr>
            </w:pPr>
            <w:permStart w:id="492908981" w:edGrp="everyone" w:colFirst="1" w:colLast="1"/>
            <w:permEnd w:id="395973393"/>
            <w:r w:rsidRPr="00E40A5C">
              <w:rPr>
                <w:rFonts w:cs="Arial"/>
                <w:sz w:val="22"/>
              </w:rPr>
              <w:t>Activity</w:t>
            </w:r>
          </w:p>
        </w:tc>
        <w:tc>
          <w:tcPr>
            <w:tcW w:w="5595" w:type="dxa"/>
            <w:shd w:val="clear" w:color="auto" w:fill="auto"/>
          </w:tcPr>
          <w:p w:rsidR="00B327E9" w:rsidRPr="00AB6D88" w:rsidRDefault="00406579"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5E07E5">
                  <w:rPr>
                    <w:rFonts w:cs="Arial"/>
                  </w:rPr>
                  <w:t>Non-financial counterparty</w:t>
                </w:r>
              </w:sdtContent>
            </w:sdt>
          </w:p>
        </w:tc>
      </w:tr>
      <w:tr w:rsidR="00B327E9" w:rsidRPr="00AB6D88" w:rsidTr="00F136AD">
        <w:tc>
          <w:tcPr>
            <w:tcW w:w="3929" w:type="dxa"/>
            <w:shd w:val="clear" w:color="auto" w:fill="auto"/>
          </w:tcPr>
          <w:p w:rsidR="00B327E9" w:rsidRPr="00E40A5C" w:rsidRDefault="00B327E9" w:rsidP="00F136AD">
            <w:pPr>
              <w:rPr>
                <w:rFonts w:cs="Arial"/>
                <w:sz w:val="22"/>
              </w:rPr>
            </w:pPr>
            <w:permStart w:id="1109671307" w:edGrp="everyone" w:colFirst="1" w:colLast="1"/>
            <w:permEnd w:id="492908981"/>
            <w:r w:rsidRPr="00E40A5C">
              <w:rPr>
                <w:rFonts w:cs="Arial"/>
                <w:sz w:val="22"/>
              </w:rPr>
              <w:t>Are you representing an association?</w:t>
            </w:r>
          </w:p>
        </w:tc>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rsidR="00B327E9" w:rsidRPr="00AB6D88" w:rsidRDefault="005E07E5" w:rsidP="00F136AD">
                <w:pPr>
                  <w:rPr>
                    <w:rFonts w:cs="Arial"/>
                  </w:rPr>
                </w:pPr>
                <w:r>
                  <w:rPr>
                    <w:rFonts w:ascii="MS Gothic" w:eastAsia="MS Gothic" w:hAnsi="MS Gothic" w:cs="Arial" w:hint="eastAsia"/>
                  </w:rPr>
                  <w:t>☐</w:t>
                </w:r>
              </w:p>
            </w:tc>
          </w:sdtContent>
        </w:sdt>
      </w:tr>
      <w:tr w:rsidR="00B327E9" w:rsidRPr="00AB6D88" w:rsidTr="00F136AD">
        <w:tc>
          <w:tcPr>
            <w:tcW w:w="3929" w:type="dxa"/>
            <w:shd w:val="clear" w:color="auto" w:fill="auto"/>
          </w:tcPr>
          <w:p w:rsidR="00B327E9" w:rsidRPr="00E40A5C" w:rsidRDefault="00B327E9" w:rsidP="00F136AD">
            <w:pPr>
              <w:rPr>
                <w:rFonts w:cs="Arial"/>
                <w:sz w:val="22"/>
              </w:rPr>
            </w:pPr>
            <w:permStart w:id="2097093553" w:edGrp="everyone" w:colFirst="1" w:colLast="1"/>
            <w:permEnd w:id="1109671307"/>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rsidR="00B327E9" w:rsidRPr="00AB6D88" w:rsidRDefault="005E07E5" w:rsidP="00F136AD">
                <w:pPr>
                  <w:rPr>
                    <w:rFonts w:cs="Arial"/>
                  </w:rPr>
                </w:pPr>
                <w:r>
                  <w:rPr>
                    <w:rFonts w:cs="Arial"/>
                  </w:rPr>
                  <w:t>Germany</w:t>
                </w:r>
              </w:p>
            </w:tc>
          </w:sdtContent>
        </w:sdt>
      </w:tr>
      <w:permEnd w:id="2097093553"/>
    </w:tbl>
    <w:p w:rsidR="00B327E9" w:rsidRDefault="00B327E9" w:rsidP="00B327E9">
      <w:pPr>
        <w:spacing w:after="120" w:line="264" w:lineRule="auto"/>
      </w:pPr>
    </w:p>
    <w:p w:rsidR="00B327E9" w:rsidRDefault="00B327E9" w:rsidP="00B327E9">
      <w:pPr>
        <w:pStyle w:val="berschrift1"/>
        <w:numPr>
          <w:ilvl w:val="0"/>
          <w:numId w:val="0"/>
        </w:numPr>
        <w:ind w:left="431" w:hanging="431"/>
      </w:pPr>
      <w:r>
        <w:t>Introduction</w:t>
      </w:r>
    </w:p>
    <w:p w:rsidR="00B327E9" w:rsidRPr="00E40A5C" w:rsidRDefault="00B327E9" w:rsidP="00B327E9">
      <w:pPr>
        <w:rPr>
          <w:rStyle w:val="IntensiveHervorhebung"/>
          <w:sz w:val="22"/>
        </w:rPr>
      </w:pPr>
      <w:r w:rsidRPr="00E40A5C">
        <w:rPr>
          <w:rStyle w:val="IntensiveHervorhebung"/>
          <w:sz w:val="22"/>
        </w:rPr>
        <w:t>Please make your introductory comments below, if any:</w:t>
      </w:r>
    </w:p>
    <w:p w:rsidR="00B327E9" w:rsidRPr="00BF28DA" w:rsidRDefault="00B327E9" w:rsidP="00B327E9"/>
    <w:p w:rsidR="00B327E9" w:rsidRPr="006F4535" w:rsidRDefault="00B327E9" w:rsidP="00B327E9">
      <w:r w:rsidRPr="006F4535">
        <w:t>&lt;ESMA_COMMENT_</w:t>
      </w:r>
      <w:r w:rsidR="00AF38AF">
        <w:rPr>
          <w:rFonts w:cs="Arial"/>
        </w:rPr>
        <w:t>ECO</w:t>
      </w:r>
      <w:r w:rsidRPr="006F4535">
        <w:t>_1&gt;</w:t>
      </w:r>
    </w:p>
    <w:p w:rsidR="005E07E5" w:rsidRDefault="005E07E5" w:rsidP="005E07E5">
      <w:permStart w:id="1799685546" w:edGrp="everyone"/>
      <w:r>
        <w:t xml:space="preserve">Assuming that special purpose entities can continue to be treated as non-financial counterparties, we assume that the two draft delegated regulations will have only a minor impact on securitisations. This would change drastically if securitisation special purpose vehicles had to be classified as financial counterparties in accordance with the Commission's draft for EMIR II. We therefore confine ourselves to one aspect in Article 30a which is not in line with market practice and which, if the two delegated regulations were relevant, would lead to an increase in the refinancing costs for STS securitisations, since the counterparty of the securitisation purpose company will charge for the risk of having to provide collateral and also for all the associated costs. </w:t>
      </w:r>
    </w:p>
    <w:p w:rsidR="005E07E5" w:rsidRDefault="005E07E5" w:rsidP="005E07E5"/>
    <w:p w:rsidR="005E07E5" w:rsidRDefault="005E07E5" w:rsidP="005E07E5">
      <w:r>
        <w:t>It is market practice to waive the exchange of collateral if and as long as the counterparty to the securitisation special purpose vehicle has a minimum rating. In practice, this generally requires an "A" rating, which corresponds to quality level 2. If the rating falls below this minimum rating, a guarantee  from a guarantor with a minimum rating of quality level 2 can also be considered as an alternative.  In addition, we would like to add that in practice it is possible for the counterparty to provide the collateral not only in cash but also in the form of securities. The latter is currently permitted under Article 4 of the Delegated Regulation (EU) 2016/2251, so that it is not clear why the collateral in securitisation transactions should be limited to cash collateral in future. An adjustment should be made accordingly:</w:t>
      </w:r>
    </w:p>
    <w:p w:rsidR="005E07E5" w:rsidRDefault="005E07E5" w:rsidP="005E07E5"/>
    <w:p w:rsidR="005E07E5" w:rsidRDefault="005E07E5" w:rsidP="005E07E5">
      <w:r>
        <w:t xml:space="preserve">Accordingly, an adjustment should be made in Article 30a(1)(a). Point (a) could be supplemented as follows:    </w:t>
      </w:r>
    </w:p>
    <w:p w:rsidR="005E07E5" w:rsidRDefault="005E07E5" w:rsidP="005E07E5"/>
    <w:p w:rsidR="00B327E9" w:rsidRDefault="005E07E5" w:rsidP="005E07E5">
      <w:r>
        <w:t xml:space="preserve">(a) that variation margin is not posted by the securitisation special purpose entity but that it is collected from its counterparty </w:t>
      </w:r>
      <w:r w:rsidRPr="000B0A93">
        <w:rPr>
          <w:b/>
          <w:strike/>
        </w:rPr>
        <w:t>in cash</w:t>
      </w:r>
      <w:r>
        <w:t xml:space="preserve"> and returned to its counterparty when due </w:t>
      </w:r>
      <w:r w:rsidRPr="005E07E5">
        <w:rPr>
          <w:b/>
        </w:rPr>
        <w:t>where the rating of its counterparty is or falls below the credit quality step 2 and where the variation margin is not covered by a guarantee with a counterparty with a credit quality step of at least 2 pursuant to Annex III of the commission implementing regulation (EU) 2018/634".</w:t>
      </w:r>
    </w:p>
    <w:permEnd w:id="1799685546"/>
    <w:p w:rsidR="00B327E9" w:rsidRPr="00BF28DA" w:rsidRDefault="00B327E9" w:rsidP="00B327E9">
      <w:r w:rsidRPr="00BF28DA">
        <w:t>&lt;ESMA_COMMENT_</w:t>
      </w:r>
      <w:r w:rsidR="00AF38AF">
        <w:rPr>
          <w:rFonts w:cs="Arial"/>
        </w:rPr>
        <w:t>ECO</w:t>
      </w:r>
      <w:r w:rsidR="000A58BE">
        <w:t>_</w:t>
      </w:r>
      <w:r w:rsidRPr="00BF28DA">
        <w:t>1&gt;</w:t>
      </w:r>
    </w:p>
    <w:p w:rsidR="002E7113" w:rsidRDefault="002E7113" w:rsidP="002E7113">
      <w:pPr>
        <w:pStyle w:val="berschrift1"/>
        <w:numPr>
          <w:ilvl w:val="0"/>
          <w:numId w:val="0"/>
        </w:numPr>
      </w:pPr>
    </w:p>
    <w:p w:rsidR="00F31E57" w:rsidRPr="00BF28DA" w:rsidRDefault="00F31E57" w:rsidP="00D34282"/>
    <w:p w:rsidR="00AF38AF" w:rsidRDefault="00F31E57" w:rsidP="00AF38AF">
      <w:pPr>
        <w:rPr>
          <w:rFonts w:cs="Arial"/>
          <w:sz w:val="18"/>
          <w:szCs w:val="18"/>
        </w:rPr>
      </w:pPr>
      <w:r w:rsidRPr="0075015C">
        <w:br w:type="page"/>
      </w:r>
      <w:r w:rsidR="00170D44" w:rsidRPr="00170D44">
        <w:rPr>
          <w:b/>
        </w:rPr>
        <w:lastRenderedPageBreak/>
        <w:t xml:space="preserve">Q 1: </w:t>
      </w:r>
      <w:r w:rsidR="00AF38AF" w:rsidRPr="00AF38AF">
        <w:rPr>
          <w:b/>
        </w:rPr>
        <w:t>Do you have any comments on the conditions and objectives for developing the technical standards on the clearing obligation under the mandate of Article 4(6) of EMIR?</w:t>
      </w:r>
    </w:p>
    <w:p w:rsidR="00170D44" w:rsidRDefault="00170D44" w:rsidP="00170D44">
      <w:pPr>
        <w:rPr>
          <w:b/>
        </w:rPr>
      </w:pPr>
    </w:p>
    <w:p w:rsidR="00CC38E9" w:rsidRDefault="00CC38E9" w:rsidP="00CC38E9">
      <w:r>
        <w:t>&lt;ESMA_QUESTION_</w:t>
      </w:r>
      <w:r w:rsidR="00AF38AF">
        <w:t>ECO</w:t>
      </w:r>
      <w:r>
        <w:t>_1&gt;</w:t>
      </w:r>
    </w:p>
    <w:p w:rsidR="00566394" w:rsidRDefault="00196FED" w:rsidP="00566394">
      <w:permStart w:id="1108965548" w:edGrp="everyone"/>
      <w:r>
        <w:t>See Introduction</w:t>
      </w:r>
    </w:p>
    <w:permEnd w:id="1108965548"/>
    <w:p w:rsidR="00CC38E9" w:rsidRDefault="00CC38E9" w:rsidP="00CC38E9">
      <w:r>
        <w:t>&lt;ESMA_QUESTION_</w:t>
      </w:r>
      <w:r w:rsidR="00AF38AF">
        <w:t>ECO</w:t>
      </w:r>
      <w:r>
        <w:t>_1&gt;</w:t>
      </w:r>
    </w:p>
    <w:p w:rsidR="00CC38E9" w:rsidRPr="00170D44" w:rsidRDefault="00CC38E9" w:rsidP="00170D44">
      <w:pPr>
        <w:rPr>
          <w:b/>
        </w:rPr>
      </w:pPr>
    </w:p>
    <w:p w:rsidR="00AF38AF" w:rsidRPr="00AF38AF" w:rsidRDefault="00170D44" w:rsidP="00AF38AF">
      <w:pPr>
        <w:rPr>
          <w:b/>
        </w:rPr>
      </w:pPr>
      <w:r w:rsidRPr="00170D44">
        <w:rPr>
          <w:b/>
        </w:rPr>
        <w:t xml:space="preserve">Q 2: </w:t>
      </w:r>
      <w:r w:rsidR="00AF38AF" w:rsidRPr="00AF38AF">
        <w:rPr>
          <w:b/>
        </w:rPr>
        <w:t>Do you agree with the proposed approach to migrate the conditions of the two Delegated Regulations on the clearing obligation into the new technical standards developed under Article 4(6)? If not, what new information should be taken into account to decide on a different approach and different conditions?</w:t>
      </w:r>
    </w:p>
    <w:p w:rsidR="00CC38E9" w:rsidRDefault="00CC38E9" w:rsidP="00170D44">
      <w:pPr>
        <w:rPr>
          <w:b/>
        </w:rPr>
      </w:pPr>
    </w:p>
    <w:p w:rsidR="00CC38E9" w:rsidRDefault="00CC38E9" w:rsidP="00CC38E9">
      <w:r>
        <w:t>&lt;ESMA_QUESTION_</w:t>
      </w:r>
      <w:r w:rsidR="00AF38AF">
        <w:t>ECO</w:t>
      </w:r>
      <w:r>
        <w:t>_2&gt;</w:t>
      </w:r>
    </w:p>
    <w:p w:rsidR="00566394" w:rsidRDefault="00196FED" w:rsidP="00566394">
      <w:permStart w:id="261777675" w:edGrp="everyone"/>
      <w:r>
        <w:t>See Introduction</w:t>
      </w:r>
    </w:p>
    <w:permEnd w:id="261777675"/>
    <w:p w:rsidR="00CC38E9" w:rsidRDefault="00CC38E9" w:rsidP="00CC38E9">
      <w:r>
        <w:t>&lt;ESMA_QUESTION</w:t>
      </w:r>
      <w:r w:rsidR="00AF38AF">
        <w:t>_ECO_</w:t>
      </w:r>
      <w:r>
        <w:t>2&gt;</w:t>
      </w:r>
    </w:p>
    <w:p w:rsidR="00CC38E9" w:rsidRPr="00170D44" w:rsidRDefault="00CC38E9" w:rsidP="00170D44">
      <w:pPr>
        <w:rPr>
          <w:b/>
        </w:rPr>
      </w:pPr>
    </w:p>
    <w:p w:rsidR="00CC38E9" w:rsidRDefault="00AF38AF" w:rsidP="00AF38AF">
      <w:pPr>
        <w:rPr>
          <w:b/>
        </w:rPr>
      </w:pPr>
      <w:r w:rsidRPr="00170D44">
        <w:rPr>
          <w:b/>
        </w:rPr>
        <w:t xml:space="preserve">Q </w:t>
      </w:r>
      <w:r>
        <w:rPr>
          <w:b/>
        </w:rPr>
        <w:t>3</w:t>
      </w:r>
      <w:r w:rsidRPr="00170D44">
        <w:rPr>
          <w:b/>
        </w:rPr>
        <w:t xml:space="preserve">: </w:t>
      </w:r>
      <w:r w:rsidRPr="00AF38AF">
        <w:rPr>
          <w:b/>
        </w:rPr>
        <w:t>Do you agree with the proposed approach to mirror for securitisation the conditions applicable in the case of covered bonds but to exclude the conditions that are assessed as only relevant for covered bonds? If not, what additional information should be taken into account to decide on a different approach and different conditions, and specifically what should be these different conditions?</w:t>
      </w:r>
    </w:p>
    <w:p w:rsidR="00CC38E9" w:rsidRDefault="00CC38E9" w:rsidP="00CC38E9">
      <w:r>
        <w:t>&lt;ESMA_QUESTION_</w:t>
      </w:r>
      <w:r w:rsidR="00AF38AF">
        <w:t>ECO</w:t>
      </w:r>
      <w:r>
        <w:t>_3&gt;</w:t>
      </w:r>
    </w:p>
    <w:p w:rsidR="00566394" w:rsidRPr="000B0A93" w:rsidRDefault="00196FED" w:rsidP="00566394">
      <w:pPr>
        <w:rPr>
          <w:lang w:val="es-ES_tradnl"/>
        </w:rPr>
      </w:pPr>
      <w:permStart w:id="1738224845" w:edGrp="everyone"/>
      <w:r w:rsidRPr="000B0A93">
        <w:rPr>
          <w:lang w:val="es-ES_tradnl"/>
        </w:rPr>
        <w:t>Yes.</w:t>
      </w:r>
    </w:p>
    <w:permEnd w:id="1738224845"/>
    <w:p w:rsidR="00CC38E9" w:rsidRDefault="00CC38E9" w:rsidP="00CC38E9">
      <w:r>
        <w:t>&lt;ESMA_QUESTION_</w:t>
      </w:r>
      <w:r w:rsidR="00AF38AF">
        <w:t>ECO</w:t>
      </w:r>
      <w:r>
        <w:t>_3&gt;</w:t>
      </w:r>
    </w:p>
    <w:p w:rsidR="00CC38E9" w:rsidRPr="00170D44" w:rsidRDefault="00CC38E9" w:rsidP="00170D44">
      <w:pPr>
        <w:rPr>
          <w:b/>
        </w:rPr>
      </w:pPr>
    </w:p>
    <w:p w:rsidR="00170D44" w:rsidRPr="00170D44" w:rsidRDefault="00AF38AF" w:rsidP="00170D44">
      <w:pPr>
        <w:rPr>
          <w:b/>
        </w:rPr>
      </w:pPr>
      <w:r>
        <w:rPr>
          <w:b/>
        </w:rPr>
        <w:t xml:space="preserve">Q 4: </w:t>
      </w:r>
      <w:r w:rsidRPr="00AF38AF">
        <w:rPr>
          <w:b/>
        </w:rPr>
        <w:t>Do you agree that the waiver of the pari passu rank only applies for covered bonds and not to securitisations? Do you agree that it is better to clarify that the pari passu ranking applies with respect to the most senior bondholders?</w:t>
      </w:r>
    </w:p>
    <w:p w:rsidR="00CC38E9" w:rsidRDefault="00CC38E9" w:rsidP="00170D44">
      <w:pPr>
        <w:rPr>
          <w:b/>
        </w:rPr>
      </w:pPr>
    </w:p>
    <w:p w:rsidR="00CC38E9" w:rsidRDefault="00CC38E9" w:rsidP="00CC38E9">
      <w:r>
        <w:t>&lt;ESMA_QUESTION_</w:t>
      </w:r>
      <w:r w:rsidR="00AF38AF">
        <w:t>ECO</w:t>
      </w:r>
      <w:r>
        <w:t>_4&gt;</w:t>
      </w:r>
    </w:p>
    <w:p w:rsidR="00566394" w:rsidRPr="000B0A93" w:rsidRDefault="00196FED" w:rsidP="00566394">
      <w:pPr>
        <w:rPr>
          <w:lang w:val="es-ES_tradnl"/>
        </w:rPr>
      </w:pPr>
      <w:permStart w:id="221081757" w:edGrp="everyone"/>
      <w:r w:rsidRPr="000B0A93">
        <w:rPr>
          <w:lang w:val="es-ES_tradnl"/>
        </w:rPr>
        <w:t>Yes.</w:t>
      </w:r>
    </w:p>
    <w:permEnd w:id="221081757"/>
    <w:p w:rsidR="00CC38E9" w:rsidRDefault="00CC38E9" w:rsidP="00CC38E9">
      <w:r>
        <w:t>&lt;ESMA_QUESTION_</w:t>
      </w:r>
      <w:r w:rsidR="00AF38AF">
        <w:t>ECO</w:t>
      </w:r>
      <w:r>
        <w:t>_4&gt;</w:t>
      </w:r>
    </w:p>
    <w:p w:rsidR="00CC38E9" w:rsidRDefault="00CC38E9" w:rsidP="00170D44">
      <w:pPr>
        <w:rPr>
          <w:b/>
        </w:rPr>
      </w:pPr>
    </w:p>
    <w:p w:rsidR="00CC38E9" w:rsidRDefault="00AF38AF" w:rsidP="00170D44">
      <w:pPr>
        <w:rPr>
          <w:b/>
        </w:rPr>
      </w:pPr>
      <w:r>
        <w:rPr>
          <w:b/>
        </w:rPr>
        <w:t xml:space="preserve">Q 5: </w:t>
      </w:r>
      <w:r w:rsidRPr="00AF38AF">
        <w:rPr>
          <w:b/>
        </w:rPr>
        <w:t>Do you identify other benefits and costs not mentioned above associated to the proposed approach? If you advocated for a different approach in the responses to the previous questions, how would it impact this section on the impact assessment? Please provide details.</w:t>
      </w:r>
    </w:p>
    <w:p w:rsidR="00AF38AF" w:rsidRDefault="00AF38AF" w:rsidP="00170D44">
      <w:pPr>
        <w:rPr>
          <w:b/>
        </w:rPr>
      </w:pPr>
    </w:p>
    <w:p w:rsidR="00CC38E9" w:rsidRDefault="00CC38E9" w:rsidP="00CC38E9">
      <w:r>
        <w:t>&lt;ESMA_QUESTION_</w:t>
      </w:r>
      <w:r w:rsidR="00AF38AF">
        <w:t>ECO</w:t>
      </w:r>
      <w:r>
        <w:t>_5&gt;</w:t>
      </w:r>
    </w:p>
    <w:p w:rsidR="00566394" w:rsidRDefault="00196FED" w:rsidP="00566394">
      <w:permStart w:id="561060705" w:edGrp="everyone"/>
      <w:r>
        <w:t>Yes</w:t>
      </w:r>
      <w:r w:rsidR="00542861">
        <w:t xml:space="preserve">, the proposed approach would entail higher costs </w:t>
      </w:r>
      <w:r w:rsidR="004C0315">
        <w:t>because the</w:t>
      </w:r>
      <w:r w:rsidR="00542861">
        <w:t xml:space="preserve"> financial counterparty </w:t>
      </w:r>
      <w:r w:rsidR="004C0315">
        <w:t xml:space="preserve">would have higher costs due to the fact </w:t>
      </w:r>
      <w:r w:rsidR="00F8337B">
        <w:t xml:space="preserve">that </w:t>
      </w:r>
      <w:r w:rsidR="004C0315">
        <w:t>the financial counterparty shall provide the variation margin which is not market standard</w:t>
      </w:r>
      <w:r w:rsidR="00976914">
        <w:t xml:space="preserve"> in case of OTC derivatives for securitisations</w:t>
      </w:r>
      <w:r w:rsidR="004C0315">
        <w:t xml:space="preserve">. To mitigate the counterparty risk it is market standard that the financial counterparty has to have an external minimum rating. If the external rating of the financial counterparty falls below the minimum rating then it is market practice to provide collaterals or that a guarantee is provided from a third counterparty that has got a minimum rating. Thus, we have made a proposal above (see introduction) </w:t>
      </w:r>
      <w:r w:rsidR="00976914">
        <w:t xml:space="preserve">that mitigates the counterparty risk, but avoids additional costs for the financial counterparty that at the end would have to be borne by the originator. Hence, the proposal would contribute to avoid rising financing </w:t>
      </w:r>
      <w:r w:rsidR="00406579">
        <w:t>costs for STS-securitisations.</w:t>
      </w:r>
      <w:bookmarkStart w:id="1" w:name="_GoBack"/>
      <w:bookmarkEnd w:id="1"/>
    </w:p>
    <w:permEnd w:id="561060705"/>
    <w:p w:rsidR="00CC38E9" w:rsidRDefault="00CC38E9" w:rsidP="00CC38E9">
      <w:r>
        <w:t>&lt;ESMA_QUESTION_</w:t>
      </w:r>
      <w:r w:rsidR="00AF38AF">
        <w:t>ECO</w:t>
      </w:r>
      <w:r>
        <w:t>_5&gt;</w:t>
      </w:r>
    </w:p>
    <w:p w:rsidR="00CC38E9" w:rsidRDefault="00CC38E9" w:rsidP="00170D44">
      <w:pPr>
        <w:rPr>
          <w:b/>
        </w:rPr>
      </w:pPr>
    </w:p>
    <w:p w:rsidR="00820CBA" w:rsidRPr="00820CBA" w:rsidRDefault="00820CBA" w:rsidP="00820CBA">
      <w:pPr>
        <w:rPr>
          <w:lang w:eastAsia="en-US"/>
        </w:rPr>
      </w:pPr>
    </w:p>
    <w:sectPr w:rsidR="00820CBA" w:rsidRPr="00820CBA"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C82" w:rsidRDefault="00347C82">
      <w:r>
        <w:separator/>
      </w:r>
    </w:p>
    <w:p w:rsidR="00347C82" w:rsidRDefault="00347C82"/>
  </w:endnote>
  <w:endnote w:type="continuationSeparator" w:id="0">
    <w:p w:rsidR="00347C82" w:rsidRDefault="00347C82">
      <w:r>
        <w:continuationSeparator/>
      </w:r>
    </w:p>
    <w:p w:rsidR="00347C82" w:rsidRDefault="00347C82"/>
  </w:endnote>
  <w:endnote w:type="continuationNotice" w:id="1">
    <w:p w:rsidR="00347C82" w:rsidRDefault="00347C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E1000AEF" w:usb1="5000A1FF" w:usb2="00000000" w:usb3="00000000" w:csb0="000001B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406579">
            <w:rPr>
              <w:rFonts w:cs="Arial"/>
              <w:noProof/>
              <w:sz w:val="22"/>
              <w:szCs w:val="22"/>
            </w:rPr>
            <w:t>5</w:t>
          </w:r>
          <w:r w:rsidRPr="00616B9B">
            <w:rPr>
              <w:rFonts w:cs="Arial"/>
              <w:noProof/>
              <w:sz w:val="22"/>
              <w:szCs w:val="22"/>
            </w:rPr>
            <w:fldChar w:fldCharType="end"/>
          </w:r>
        </w:p>
      </w:tc>
    </w:tr>
  </w:tbl>
  <w:p w:rsidR="00811EDA" w:rsidRDefault="00811ED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811ED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C82" w:rsidRDefault="00347C82">
      <w:r>
        <w:separator/>
      </w:r>
    </w:p>
    <w:p w:rsidR="00347C82" w:rsidRDefault="00347C82"/>
  </w:footnote>
  <w:footnote w:type="continuationSeparator" w:id="0">
    <w:p w:rsidR="00347C82" w:rsidRDefault="00347C82">
      <w:r>
        <w:continuationSeparator/>
      </w:r>
    </w:p>
    <w:p w:rsidR="00347C82" w:rsidRDefault="00347C82"/>
  </w:footnote>
  <w:footnote w:type="continuationNotice" w:id="1">
    <w:p w:rsidR="00347C82" w:rsidRDefault="00347C8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DE66EB">
    <w:pPr>
      <w:pStyle w:val="Kopfzeile"/>
    </w:pPr>
    <w:r>
      <w:rPr>
        <w:noProof/>
        <w:lang w:val="de-DE"/>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B0F3D"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DE66EB" w:rsidP="00013CCE">
    <w:pPr>
      <w:pStyle w:val="Kopfzeile"/>
      <w:jc w:val="right"/>
    </w:pPr>
    <w:r>
      <w:rPr>
        <w:noProof/>
        <w:lang w:val="de-DE"/>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Kopfzeile"/>
      <w:rPr>
        <w:lang w:val="fr-FR"/>
      </w:rPr>
    </w:pPr>
  </w:p>
  <w:p w:rsidR="00811EDA" w:rsidRPr="002F4496" w:rsidRDefault="00811EDA" w:rsidP="000C06C9">
    <w:pPr>
      <w:pStyle w:val="Kopfzeile"/>
      <w:tabs>
        <w:tab w:val="clear" w:pos="4536"/>
        <w:tab w:val="clear" w:pos="9072"/>
        <w:tab w:val="left" w:pos="8227"/>
      </w:tabs>
      <w:rPr>
        <w:lang w:val="fr-FR"/>
      </w:rPr>
    </w:pPr>
  </w:p>
  <w:p w:rsidR="00811EDA" w:rsidRPr="002F4496" w:rsidRDefault="00811EDA" w:rsidP="000C06C9">
    <w:pPr>
      <w:pStyle w:val="Kopfzeile"/>
      <w:tabs>
        <w:tab w:val="clear" w:pos="4536"/>
        <w:tab w:val="clear" w:pos="9072"/>
        <w:tab w:val="left" w:pos="8227"/>
      </w:tabs>
      <w:rPr>
        <w:lang w:val="fr-FR"/>
      </w:rPr>
    </w:pPr>
  </w:p>
  <w:p w:rsidR="00811EDA" w:rsidRPr="002F4496" w:rsidRDefault="00811EDA">
    <w:pPr>
      <w:pStyle w:val="Kopfzeile"/>
      <w:rPr>
        <w:lang w:val="fr-FR"/>
      </w:rPr>
    </w:pPr>
  </w:p>
  <w:p w:rsidR="00811EDA" w:rsidRPr="002F4496" w:rsidRDefault="00811EDA">
    <w:pPr>
      <w:pStyle w:val="Kopfzeile"/>
      <w:rPr>
        <w:lang w:val="fr-FR"/>
      </w:rPr>
    </w:pPr>
  </w:p>
  <w:p w:rsidR="00811EDA" w:rsidRPr="002F4496" w:rsidRDefault="00811EDA">
    <w:pPr>
      <w:pStyle w:val="Kopfzeile"/>
      <w:rPr>
        <w:lang w:val="fr-FR"/>
      </w:rPr>
    </w:pPr>
  </w:p>
  <w:p w:rsidR="00811EDA" w:rsidRPr="002F4496" w:rsidRDefault="00811EDA">
    <w:pPr>
      <w:pStyle w:val="Kopfzeile"/>
      <w:rPr>
        <w:lang w:val="fr-FR"/>
      </w:rPr>
    </w:pPr>
  </w:p>
  <w:p w:rsidR="00811EDA" w:rsidRPr="002F4496" w:rsidRDefault="00811EDA">
    <w:pPr>
      <w:pStyle w:val="Kopfzeile"/>
      <w:rPr>
        <w:highlight w:val="yellow"/>
        <w:lang w:val="fr-FR"/>
      </w:rPr>
    </w:pPr>
  </w:p>
  <w:p w:rsidR="00811EDA" w:rsidRDefault="00DE66EB">
    <w:pPr>
      <w:pStyle w:val="Kopfzeile"/>
    </w:pPr>
    <w:r>
      <w:rPr>
        <w:noProof/>
        <w:lang w:val="de-DE"/>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B1E8B"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de-DE"/>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4"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2"/>
  </w:num>
  <w:num w:numId="4">
    <w:abstractNumId w:val="25"/>
  </w:num>
  <w:num w:numId="5">
    <w:abstractNumId w:val="27"/>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3"/>
  </w:num>
  <w:num w:numId="15">
    <w:abstractNumId w:val="8"/>
  </w:num>
  <w:num w:numId="16">
    <w:abstractNumId w:val="1"/>
  </w:num>
  <w:num w:numId="17">
    <w:abstractNumId w:val="15"/>
  </w:num>
  <w:num w:numId="18">
    <w:abstractNumId w:val="16"/>
  </w:num>
  <w:num w:numId="19">
    <w:abstractNumId w:val="18"/>
  </w:num>
  <w:num w:numId="20">
    <w:abstractNumId w:val="28"/>
  </w:num>
  <w:num w:numId="21">
    <w:abstractNumId w:val="37"/>
  </w:num>
  <w:num w:numId="22">
    <w:abstractNumId w:val="26"/>
  </w:num>
  <w:num w:numId="23">
    <w:abstractNumId w:val="7"/>
  </w:num>
  <w:num w:numId="24">
    <w:abstractNumId w:val="31"/>
  </w:num>
  <w:num w:numId="25">
    <w:abstractNumId w:val="30"/>
  </w:num>
  <w:num w:numId="26">
    <w:abstractNumId w:val="20"/>
  </w:num>
  <w:num w:numId="27">
    <w:abstractNumId w:val="34"/>
  </w:num>
  <w:num w:numId="28">
    <w:abstractNumId w:val="39"/>
  </w:num>
  <w:num w:numId="29">
    <w:abstractNumId w:val="5"/>
  </w:num>
  <w:num w:numId="30">
    <w:abstractNumId w:val="2"/>
  </w:num>
  <w:num w:numId="31">
    <w:abstractNumId w:val="22"/>
  </w:num>
  <w:num w:numId="32">
    <w:abstractNumId w:val="21"/>
  </w:num>
  <w:num w:numId="33">
    <w:abstractNumId w:val="36"/>
  </w:num>
  <w:num w:numId="34">
    <w:abstractNumId w:val="35"/>
  </w:num>
  <w:num w:numId="35">
    <w:abstractNumId w:val="9"/>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4"/>
  </w:num>
  <w:num w:numId="39">
    <w:abstractNumId w:val="13"/>
  </w:num>
  <w:num w:numId="40">
    <w:abstractNumId w:val="1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CcGG5BNlYJOfabDgQAsXuOPdEZMX65v/6t9hBSQYBlisK/j1Zk9KJSUt4QXLiS6paHaJ9J+zrCljdyVq7zfOgg==" w:salt="NzgIWjwLZv+Ihk6y9rBSWQ=="/>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0A93"/>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96FED"/>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B56"/>
    <w:rsid w:val="003378A6"/>
    <w:rsid w:val="00341B25"/>
    <w:rsid w:val="00341EC0"/>
    <w:rsid w:val="0034240C"/>
    <w:rsid w:val="00344496"/>
    <w:rsid w:val="00345968"/>
    <w:rsid w:val="00347667"/>
    <w:rsid w:val="00347C82"/>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579"/>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E61"/>
    <w:rsid w:val="004B21AB"/>
    <w:rsid w:val="004B59E0"/>
    <w:rsid w:val="004B667B"/>
    <w:rsid w:val="004B71C7"/>
    <w:rsid w:val="004C0315"/>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861"/>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07E5"/>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473"/>
    <w:rsid w:val="00654936"/>
    <w:rsid w:val="00655485"/>
    <w:rsid w:val="006558B3"/>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6914"/>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544"/>
    <w:rsid w:val="00B105F2"/>
    <w:rsid w:val="00B10991"/>
    <w:rsid w:val="00B12128"/>
    <w:rsid w:val="00B12945"/>
    <w:rsid w:val="00B12C1E"/>
    <w:rsid w:val="00B1470D"/>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337B"/>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15:docId w15:val="{D650F8B6-8E0F-4CE3-A371-20981DDED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F0769"/>
    <w:rPr>
      <w:rFonts w:ascii="Arial" w:hAnsi="Arial"/>
      <w:szCs w:val="24"/>
      <w:lang w:eastAsia="de-DE"/>
    </w:rPr>
  </w:style>
  <w:style w:type="paragraph" w:styleId="berschrift1">
    <w:name w:val="heading 1"/>
    <w:basedOn w:val="Standard"/>
    <w:next w:val="Standard"/>
    <w:link w:val="berschrift1Zchn"/>
    <w:qFormat/>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rsid w:val="00886A60"/>
    <w:pPr>
      <w:keepNext/>
      <w:keepLines/>
      <w:spacing w:before="200" w:after="120"/>
      <w:outlineLvl w:val="1"/>
    </w:pPr>
    <w:rPr>
      <w:b/>
      <w:bCs/>
      <w:szCs w:val="26"/>
    </w:rPr>
  </w:style>
  <w:style w:type="paragraph" w:styleId="berschrift3">
    <w:name w:val="heading 3"/>
    <w:basedOn w:val="Standard"/>
    <w:next w:val="Standard"/>
    <w:link w:val="berschrift3Zchn"/>
    <w:qFormat/>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qFormat/>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B64CB"/>
    <w:pPr>
      <w:tabs>
        <w:tab w:val="center" w:pos="4536"/>
        <w:tab w:val="right" w:pos="9072"/>
      </w:tabs>
    </w:pPr>
  </w:style>
  <w:style w:type="paragraph" w:styleId="Fuzeile">
    <w:name w:val="footer"/>
    <w:basedOn w:val="Standard"/>
    <w:link w:val="FuzeileZchn"/>
    <w:rsid w:val="005B64CB"/>
    <w:pPr>
      <w:tabs>
        <w:tab w:val="center" w:pos="4536"/>
        <w:tab w:val="right" w:pos="9072"/>
      </w:tabs>
    </w:pPr>
  </w:style>
  <w:style w:type="table" w:styleId="Tabellenraster">
    <w:name w:val="Table Grid"/>
    <w:basedOn w:val="NormaleTabel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eitenzahl">
    <w:name w:val="page number"/>
    <w:basedOn w:val="Absatz-Standardschriftar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Fußnote, Cha"/>
    <w:basedOn w:val="Standard"/>
    <w:link w:val="FunotentextZchn"/>
    <w:qFormat/>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Verzeichnis2">
    <w:name w:val="toc 2"/>
    <w:basedOn w:val="Standard"/>
    <w:next w:val="Stand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zeichen">
    <w:name w:val="annotation reference"/>
    <w:rsid w:val="004B1E61"/>
    <w:rPr>
      <w:sz w:val="16"/>
      <w:szCs w:val="16"/>
    </w:rPr>
  </w:style>
  <w:style w:type="paragraph" w:styleId="Kommentartext">
    <w:name w:val="annotation text"/>
    <w:basedOn w:val="Standard"/>
    <w:link w:val="KommentartextZchn"/>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
    <w:basedOn w:val="Standard"/>
    <w:link w:val="ListenabsatzZchn"/>
    <w:uiPriority w:val="34"/>
    <w:qFormat/>
    <w:rsid w:val="002A0C82"/>
    <w:pPr>
      <w:ind w:left="720"/>
      <w:contextualSpacing/>
    </w:pPr>
  </w:style>
  <w:style w:type="paragraph" w:styleId="Inhaltsverzeichnisberschrift">
    <w:name w:val="TOC Heading"/>
    <w:basedOn w:val="berschrift1"/>
    <w:next w:val="Stand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Cha Zchn"/>
    <w:link w:val="Funoten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rsid w:val="008E1B6A"/>
  </w:style>
  <w:style w:type="paragraph" w:customStyle="1" w:styleId="ManualNumPar1">
    <w:name w:val="Manual NumPar 1"/>
    <w:basedOn w:val="Standard"/>
    <w:next w:val="Stand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Hervorhebung">
    <w:name w:val="Emphasis"/>
    <w:uiPriority w:val="20"/>
    <w:qFormat/>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chriftung">
    <w:name w:val="caption"/>
    <w:basedOn w:val="Standard"/>
    <w:next w:val="Stand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struktur">
    <w:name w:val="Document Map"/>
    <w:basedOn w:val="Standard"/>
    <w:link w:val="DokumentstrukturZchn"/>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ett">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rsid w:val="002D6E1A"/>
  </w:style>
  <w:style w:type="character" w:styleId="BesuchterHyperlink">
    <w:name w:val="FollowedHyperlink"/>
    <w:unhideWhenUs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rsid w:val="002D6E1A"/>
    <w:rPr>
      <w:rFonts w:ascii="Georgia" w:hAnsi="Georgia"/>
      <w:sz w:val="22"/>
      <w:szCs w:val="24"/>
      <w:lang w:eastAsia="de-DE"/>
    </w:rPr>
  </w:style>
  <w:style w:type="paragraph" w:styleId="Endnotentext">
    <w:name w:val="endnote text"/>
    <w:basedOn w:val="Standard"/>
    <w:link w:val="EndnotentextZchn"/>
    <w:unhideWhenUs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
    <w:link w:val="Listenabsatz"/>
    <w:uiPriority w:val="34"/>
    <w:locked/>
    <w:rsid w:val="002D6E1A"/>
    <w:rPr>
      <w:rFonts w:ascii="Georgia" w:hAnsi="Georgia"/>
      <w:sz w:val="22"/>
      <w:szCs w:val="24"/>
      <w:lang w:eastAsia="de-DE"/>
    </w:rPr>
  </w:style>
  <w:style w:type="paragraph" w:customStyle="1" w:styleId="04anumbering0">
    <w:name w:val="04anumbering"/>
    <w:basedOn w:val="Stand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rsid w:val="002D6E1A"/>
    <w:pPr>
      <w:ind w:left="708"/>
      <w:contextualSpacing w:val="0"/>
      <w:jc w:val="both"/>
    </w:pPr>
    <w:rPr>
      <w:b/>
      <w:szCs w:val="20"/>
      <w:u w:val="single"/>
    </w:rPr>
  </w:style>
  <w:style w:type="paragraph" w:customStyle="1" w:styleId="Bullet">
    <w:name w:val="Bullet"/>
    <w:basedOn w:val="Standar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rsid w:val="002D6E1A"/>
    <w:rPr>
      <w:vertAlign w:val="superscript"/>
    </w:rPr>
  </w:style>
  <w:style w:type="character" w:styleId="Platzhalt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eTabel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rsid w:val="00952F2C"/>
  </w:style>
  <w:style w:type="paragraph" w:customStyle="1" w:styleId="aStyle">
    <w:name w:val="a) Style"/>
    <w:basedOn w:val="Stand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berschrift5Zchn">
    <w:name w:val="Überschrift 5 Zchn"/>
    <w:aliases w:val="Questions Zchn"/>
    <w:link w:val="berschrift5"/>
    <w:rsid w:val="00E9344E"/>
    <w:rPr>
      <w:rFonts w:ascii="Arial" w:hAnsi="Arial"/>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bersch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berschrift1"/>
    <w:next w:val="Stand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rsid w:val="000D2D0B"/>
    <w:pPr>
      <w:spacing w:before="120" w:after="120"/>
      <w:ind w:left="850"/>
      <w:jc w:val="both"/>
    </w:pPr>
    <w:rPr>
      <w:rFonts w:ascii="Times New Roman" w:hAnsi="Times New Roman"/>
      <w:sz w:val="24"/>
      <w:lang w:eastAsia="en-US"/>
    </w:rPr>
  </w:style>
  <w:style w:type="paragraph" w:customStyle="1" w:styleId="Text2">
    <w:name w:val="Text 2"/>
    <w:basedOn w:val="Standard"/>
    <w:rsid w:val="000D2D0B"/>
    <w:pPr>
      <w:spacing w:before="120" w:after="120"/>
      <w:ind w:left="1417"/>
      <w:jc w:val="both"/>
    </w:pPr>
    <w:rPr>
      <w:rFonts w:ascii="Times New Roman" w:hAnsi="Times New Roman"/>
      <w:sz w:val="24"/>
      <w:lang w:eastAsia="en-US"/>
    </w:rPr>
  </w:style>
  <w:style w:type="paragraph" w:customStyle="1" w:styleId="Text3">
    <w:name w:val="Text 3"/>
    <w:basedOn w:val="Standard"/>
    <w:rsid w:val="000D2D0B"/>
    <w:pPr>
      <w:spacing w:before="120" w:after="120"/>
      <w:ind w:left="1984"/>
      <w:jc w:val="both"/>
    </w:pPr>
    <w:rPr>
      <w:rFonts w:ascii="Times New Roman" w:hAnsi="Times New Roman"/>
      <w:sz w:val="24"/>
      <w:lang w:eastAsia="en-US"/>
    </w:rPr>
  </w:style>
  <w:style w:type="paragraph" w:customStyle="1" w:styleId="Text4">
    <w:name w:val="Text 4"/>
    <w:basedOn w:val="Stand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rsid w:val="000D2D0B"/>
    <w:pPr>
      <w:spacing w:after="240"/>
    </w:pPr>
    <w:rPr>
      <w:rFonts w:ascii="Times New Roman" w:hAnsi="Times New Roman"/>
      <w:sz w:val="24"/>
      <w:lang w:eastAsia="en-US"/>
    </w:rPr>
  </w:style>
  <w:style w:type="paragraph" w:customStyle="1" w:styleId="Datedadoption">
    <w:name w:val="Date d'adoption"/>
    <w:basedOn w:val="Stand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rsid w:val="000D2D0B"/>
    <w:rPr>
      <w:rFonts w:cs="Arial"/>
      <w:sz w:val="24"/>
      <w:lang w:eastAsia="en-US"/>
    </w:rPr>
  </w:style>
  <w:style w:type="paragraph" w:customStyle="1" w:styleId="Rfrenceinstitutionnelle">
    <w:name w:val="Référence institutionnelle"/>
    <w:basedOn w:val="Stand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rd"/>
    <w:rsid w:val="000D2D0B"/>
    <w:pPr>
      <w:jc w:val="center"/>
    </w:pPr>
    <w:rPr>
      <w:rFonts w:ascii="Times New Roman" w:hAnsi="Times New Roman"/>
      <w:b/>
      <w:sz w:val="24"/>
      <w:lang w:eastAsia="en-US"/>
    </w:rPr>
  </w:style>
  <w:style w:type="paragraph" w:customStyle="1" w:styleId="Statut">
    <w:name w:val="Statut"/>
    <w:basedOn w:val="Stand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rd"/>
    <w:next w:val="Stand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rsid w:val="000D2D0B"/>
    <w:pPr>
      <w:spacing w:before="360"/>
      <w:jc w:val="center"/>
    </w:pPr>
    <w:rPr>
      <w:rFonts w:ascii="Times New Roman" w:hAnsi="Times New Roman"/>
      <w:sz w:val="24"/>
      <w:lang w:eastAsia="en-US"/>
    </w:rPr>
  </w:style>
  <w:style w:type="paragraph" w:customStyle="1" w:styleId="Rfrencecroise">
    <w:name w:val="Référence croisée"/>
    <w:basedOn w:val="Standar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rsid w:val="000D2D0B"/>
    <w:pPr>
      <w:spacing w:after="240"/>
    </w:pPr>
  </w:style>
  <w:style w:type="paragraph" w:customStyle="1" w:styleId="Accompagnant">
    <w:name w:val="Accompagnant"/>
    <w:basedOn w:val="Stand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rd"/>
    <w:next w:val="Standard"/>
    <w:rsid w:val="000D2D0B"/>
    <w:pPr>
      <w:spacing w:before="360"/>
      <w:jc w:val="center"/>
    </w:pPr>
    <w:rPr>
      <w:rFonts w:ascii="Times New Roman" w:hAnsi="Times New Roman"/>
      <w:sz w:val="24"/>
      <w:lang w:eastAsia="en-US"/>
    </w:rPr>
  </w:style>
  <w:style w:type="paragraph" w:styleId="Listennummer2">
    <w:name w:val="List Number 2"/>
    <w:basedOn w:val="Standar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rsid w:val="000D2D0B"/>
    <w:pPr>
      <w:ind w:left="720"/>
      <w:contextualSpacing/>
    </w:pPr>
    <w:rPr>
      <w:rFonts w:ascii="Cambria" w:hAnsi="Cambria"/>
      <w:sz w:val="24"/>
      <w:lang w:val="en-US" w:eastAsia="en-US"/>
    </w:rPr>
  </w:style>
  <w:style w:type="paragraph" w:customStyle="1" w:styleId="Listeavsnitt1">
    <w:name w:val="Listeavsnitt1"/>
    <w:basedOn w:val="Stand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rd"/>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rd"/>
    <w:next w:val="Standard"/>
    <w:link w:val="TitelZch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Text,Diskret betoning,Emphase pâle"/>
    <w:uiPriority w:val="19"/>
    <w:qFormat/>
    <w:rsid w:val="003A6E9A"/>
    <w:rPr>
      <w:b/>
      <w:i w:val="0"/>
      <w:iCs/>
      <w:sz w:val="20"/>
    </w:rPr>
  </w:style>
  <w:style w:type="paragraph" w:customStyle="1" w:styleId="NEW-Paragraph-Level1">
    <w:name w:val="NEW-Paragraph-Level1"/>
    <w:basedOn w:val="Stand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Standard"/>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Absatz-Standardschriftar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Standard"/>
    <w:next w:val="Standard"/>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Absatz-Standardschriftart"/>
    <w:link w:val="Questionstyle"/>
    <w:rsid w:val="008701E5"/>
    <w:rPr>
      <w:rFonts w:asciiTheme="minorHAnsi" w:eastAsiaTheme="minorEastAsia" w:hAnsiTheme="minorHAnsi" w:cstheme="minorBidi"/>
      <w:b/>
      <w:sz w:val="22"/>
      <w:lang w:eastAsia="en-US"/>
    </w:rPr>
  </w:style>
  <w:style w:type="paragraph" w:styleId="Untertitel">
    <w:name w:val="Subtitle"/>
    <w:basedOn w:val="Standard"/>
    <w:next w:val="Standard"/>
    <w:link w:val="UntertitelZchn"/>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UntertitelZchn">
    <w:name w:val="Untertitel Zchn"/>
    <w:basedOn w:val="Absatz-Standardschriftart"/>
    <w:link w:val="Untertitel"/>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enabsatz"/>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Absatz-Standardschriftar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Absatz-Standardschriftart"/>
    <w:link w:val="myNormal0"/>
    <w:locked/>
    <w:rsid w:val="00AF38AF"/>
    <w:rPr>
      <w:rFonts w:ascii="Georgia" w:hAnsi="Georgia"/>
      <w:lang w:eastAsia="de-DE"/>
    </w:rPr>
  </w:style>
  <w:style w:type="paragraph" w:customStyle="1" w:styleId="myNormal0">
    <w:name w:val="myNormal"/>
    <w:basedOn w:val="Standard"/>
    <w:link w:val="myNormalChar0"/>
    <w:rsid w:val="00AF38AF"/>
    <w:pPr>
      <w:tabs>
        <w:tab w:val="num" w:pos="360"/>
      </w:tabs>
      <w:spacing w:after="250" w:line="276" w:lineRule="auto"/>
      <w:jc w:val="both"/>
    </w:pPr>
    <w:rPr>
      <w:rFonts w:ascii="Georgia" w:hAnsi="Georg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2E78A1C66BD3428DF3CE26B104127B" ma:contentTypeVersion="3" ma:contentTypeDescription="Create a new document." ma:contentTypeScope="" ma:versionID="a762bd3d9ad0398cd6855bbf79597b58">
  <xsd:schema xmlns:xsd="http://www.w3.org/2001/XMLSchema" xmlns:xs="http://www.w3.org/2001/XMLSchema" xmlns:p="http://schemas.microsoft.com/office/2006/metadata/properties" xmlns:ns2="a090d947-cb5a-4e71-a094-4f979ca4aec0" targetNamespace="http://schemas.microsoft.com/office/2006/metadata/properties" ma:root="true" ma:fieldsID="6e1bad992cbcbbc9f9e232bfe1c09753" ns2:_="">
    <xsd:import namespace="a090d947-cb5a-4e71-a094-4f979ca4ae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0d947-cb5a-4e71-a094-4f979ca4ae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a090d947-cb5a-4e71-a094-4f979ca4aec0">ESMA33-128-184</_dlc_DocId>
    <_dlc_DocIdUrl xmlns="a090d947-cb5a-4e71-a094-4f979ca4aec0">
      <Url>http://sherpa.esma.europa.eu/sites/INICRA/_layouts/15/DocIdRedir.aspx?ID=ESMA33-128-184</Url>
      <Description>ESMA33-128-184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2.xml><?xml version="1.0" encoding="utf-8"?>
<ds:datastoreItem xmlns:ds="http://schemas.openxmlformats.org/officeDocument/2006/customXml" ds:itemID="{1648C755-30CC-4E64-89D3-6D332F34C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0d947-cb5a-4e71-a094-4f979ca4a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4.xml><?xml version="1.0" encoding="utf-8"?>
<ds:datastoreItem xmlns:ds="http://schemas.openxmlformats.org/officeDocument/2006/customXml" ds:itemID="{A1823ED9-4C25-4A0F-AA35-0F2F3F3B90A3}">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a090d947-cb5a-4e71-a094-4f979ca4aec0"/>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23CC0115-4CB6-4C4D-B1E9-84277F903C18}">
  <ds:schemaRefs>
    <ds:schemaRef ds:uri="http://schemas.openxmlformats.org/officeDocument/2006/bibliography"/>
  </ds:schemaRefs>
</ds:datastoreItem>
</file>

<file path=customXml/itemProps6.xml><?xml version="1.0" encoding="utf-8"?>
<ds:datastoreItem xmlns:ds="http://schemas.openxmlformats.org/officeDocument/2006/customXml" ds:itemID="{456CE0C2-F2FC-4B99-8136-13BDC706C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1091</Words>
  <Characters>6874</Characters>
  <Application>Microsoft Office Word</Application>
  <DocSecurity>12</DocSecurity>
  <Lines>57</Lines>
  <Paragraphs>15</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7950</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Mario Uhrmacher</cp:lastModifiedBy>
  <cp:revision>2</cp:revision>
  <cp:lastPrinted>2018-06-14T10:30:00Z</cp:lastPrinted>
  <dcterms:created xsi:type="dcterms:W3CDTF">2018-06-15T06:46:00Z</dcterms:created>
  <dcterms:modified xsi:type="dcterms:W3CDTF">2018-06-15T06:46:00Z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0x0101000A2E78A1C66BD3428DF3CE26B104127B</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4d6eacbf-271d-4e26-8cb1-0125de674a37</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ies>
</file>