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394CE6">
              <w:rPr>
                <w:rFonts w:cs="Arial"/>
                <w:szCs w:val="56"/>
              </w:rPr>
              <w:t>STS notification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w:t>
      </w:r>
      <w:r w:rsidR="001B3DE4" w:rsidRPr="00271DA1">
        <w:rPr>
          <w:rStyle w:val="SchwacheHervorhebung"/>
          <w:b w:val="0"/>
          <w:sz w:val="22"/>
        </w:rPr>
        <w:t>Draft technical standards on content and format of the STS notification under the Securitisation Regulation</w:t>
      </w:r>
      <w:r w:rsidR="00963D60" w:rsidRPr="00271DA1">
        <w:rPr>
          <w:rStyle w:val="SchwacheHervorhebung"/>
          <w:b w:val="0"/>
          <w:sz w:val="22"/>
        </w:rPr>
        <w:t xml:space="preserve"> (ESMA</w:t>
      </w:r>
      <w:r w:rsidR="001B3DE4" w:rsidRPr="00271DA1">
        <w:rPr>
          <w:rStyle w:val="SchwacheHervorhebung"/>
          <w:b w:val="0"/>
          <w:sz w:val="22"/>
        </w:rPr>
        <w:t>33</w:t>
      </w:r>
      <w:r w:rsidR="00394CE6" w:rsidRPr="00271DA1">
        <w:rPr>
          <w:rStyle w:val="SchwacheHervorhebung"/>
          <w:b w:val="0"/>
          <w:sz w:val="22"/>
        </w:rPr>
        <w:t>-</w:t>
      </w:r>
      <w:r w:rsidR="001B3DE4" w:rsidRPr="00271DA1">
        <w:rPr>
          <w:rStyle w:val="SchwacheHervorhebung"/>
          <w:b w:val="0"/>
          <w:sz w:val="22"/>
        </w:rPr>
        <w:t>128-33</w:t>
      </w:r>
      <w:r w:rsidR="00963D60" w:rsidRPr="00271DA1">
        <w:rPr>
          <w:rStyle w:val="SchwacheHervorhebung"/>
          <w:b w:val="0"/>
          <w:sz w:val="22"/>
        </w:rPr>
        <w:t>)</w:t>
      </w:r>
      <w:r w:rsidRPr="00271DA1">
        <w:rPr>
          <w:rStyle w:val="SchwacheHervorhebung"/>
          <w:b w:val="0"/>
          <w:sz w:val="22"/>
        </w:rPr>
        <w:t>. Responses are most helpful if they:</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w:t>
      </w:r>
      <w:r w:rsidRPr="00271DA1">
        <w:rPr>
          <w:rStyle w:val="SchwacheHervorhebung"/>
          <w:b w:val="0"/>
          <w:sz w:val="22"/>
        </w:rPr>
        <w:t xml:space="preserve">by </w:t>
      </w:r>
      <w:r w:rsidR="001B3DE4" w:rsidRPr="00271DA1">
        <w:rPr>
          <w:rStyle w:val="SchwacheHervorhebung"/>
          <w:b w:val="0"/>
          <w:sz w:val="22"/>
        </w:rPr>
        <w:t>1</w:t>
      </w:r>
      <w:r w:rsidR="005C6485" w:rsidRPr="00271DA1">
        <w:rPr>
          <w:rStyle w:val="SchwacheHervorhebung"/>
          <w:b w:val="0"/>
          <w:sz w:val="22"/>
        </w:rPr>
        <w:t>9 March 2018</w:t>
      </w:r>
      <w:r w:rsidRPr="00271DA1">
        <w:rPr>
          <w:rStyle w:val="SchwacheHervorhebung"/>
          <w:b w:val="0"/>
          <w:sz w:val="22"/>
        </w:rPr>
        <w:t>.</w:t>
      </w:r>
    </w:p>
    <w:p w:rsidR="009A3017" w:rsidRPr="00E40A5C" w:rsidRDefault="009A3017" w:rsidP="009A3017">
      <w:pPr>
        <w:spacing w:after="120"/>
        <w:jc w:val="both"/>
        <w:rPr>
          <w:rStyle w:val="SchwacheHervorhebung"/>
          <w:sz w:val="22"/>
        </w:rPr>
      </w:pPr>
      <w:r w:rsidRPr="00E40A5C">
        <w:rPr>
          <w:rStyle w:val="SchwacheHervorhebung"/>
          <w:sz w:val="22"/>
        </w:rPr>
        <w:t>Instructions</w:t>
      </w:r>
    </w:p>
    <w:p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394CE6">
        <w:rPr>
          <w:rStyle w:val="SchwacheHervorhebung"/>
          <w:b w:val="0"/>
          <w:sz w:val="22"/>
        </w:rPr>
        <w:t>STS</w:t>
      </w:r>
      <w:r w:rsidRPr="00E40A5C">
        <w:rPr>
          <w:rStyle w:val="SchwacheHervorhebung"/>
          <w:b w:val="0"/>
          <w:sz w:val="22"/>
        </w:rPr>
        <w:t>_1&gt;. Your response to each question has to be framed by the two tags corresponding to the question.</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394CE6">
        <w:rPr>
          <w:rStyle w:val="SchwacheHervorhebung"/>
          <w:b w:val="0"/>
          <w:sz w:val="22"/>
        </w:rPr>
        <w:t>STS</w:t>
      </w:r>
      <w:r w:rsidRPr="00E40A5C">
        <w:rPr>
          <w:rStyle w:val="SchwacheHervorhebung"/>
          <w:b w:val="0"/>
          <w:sz w:val="22"/>
        </w:rPr>
        <w:t>_nameofrespondent_RESPONSEFORM. For example, for a respondent named ABCD, the response form would be entitled ESMA_</w:t>
      </w:r>
      <w:r w:rsidR="00394CE6">
        <w:rPr>
          <w:rStyle w:val="SchwacheHervorhebung"/>
          <w:b w:val="0"/>
          <w:sz w:val="22"/>
        </w:rPr>
        <w:t>STS</w:t>
      </w:r>
      <w:r w:rsidRPr="00E40A5C">
        <w:rPr>
          <w:rStyle w:val="SchwacheHervorhebung"/>
          <w:b w:val="0"/>
          <w:sz w:val="22"/>
        </w:rPr>
        <w:t>_ABCD_RESPONSEFORM.</w:t>
      </w:r>
    </w:p>
    <w:p w:rsidR="009A3017" w:rsidRPr="00271DA1"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consultations”</w:t>
      </w:r>
      <w:r w:rsidRPr="00E40A5C">
        <w:rPr>
          <w:rStyle w:val="SchwacheHervorhebung"/>
          <w:b w:val="0"/>
          <w:sz w:val="22"/>
        </w:rPr>
        <w:t xml:space="preserve"> </w:t>
      </w:r>
      <w:r w:rsidRPr="00271DA1">
        <w:rPr>
          <w:rStyle w:val="SchwacheHervorhebung"/>
          <w:b w:val="0"/>
          <w:sz w:val="22"/>
        </w:rPr>
        <w:sym w:font="Wingdings" w:char="F0E0"/>
      </w:r>
      <w:r w:rsidRPr="00271DA1">
        <w:rPr>
          <w:rStyle w:val="SchwacheHervorhebung"/>
          <w:b w:val="0"/>
          <w:sz w:val="22"/>
        </w:rPr>
        <w:t xml:space="preserve"> </w:t>
      </w:r>
      <w:r w:rsidR="006E0A4F" w:rsidRPr="00271DA1">
        <w:rPr>
          <w:rStyle w:val="SchwacheHervorhebung"/>
          <w:b w:val="0"/>
          <w:sz w:val="22"/>
        </w:rPr>
        <w:t>“</w:t>
      </w:r>
      <w:r w:rsidR="001B3DE4" w:rsidRPr="00271DA1">
        <w:rPr>
          <w:rStyle w:val="SchwacheHervorhebung"/>
          <w:b w:val="0"/>
          <w:sz w:val="22"/>
        </w:rPr>
        <w:t>Draft technical standards on content and format of the STS notification under the Securitisation Regulation</w:t>
      </w:r>
      <w:r w:rsidR="006E0A4F" w:rsidRPr="00271DA1">
        <w:rPr>
          <w:rStyle w:val="SchwacheHervorhebung"/>
          <w:b w:val="0"/>
          <w:sz w:val="22"/>
        </w:rPr>
        <w:t>”</w:t>
      </w:r>
      <w:r w:rsidRPr="00271DA1">
        <w:rPr>
          <w:rStyle w:val="SchwacheHervorhebung"/>
          <w:b w:val="0"/>
          <w:sz w:val="22"/>
        </w:rPr>
        <w:t>).</w:t>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315895" w:rsidRDefault="00315895">
      <w:pPr>
        <w:rPr>
          <w:rStyle w:val="SchwacheHervorhebung"/>
          <w:sz w:val="22"/>
          <w:lang w:eastAsia="en-GB"/>
        </w:rPr>
      </w:pPr>
      <w:r>
        <w:rPr>
          <w:rStyle w:val="SchwacheHervorhebung"/>
          <w:sz w:val="22"/>
          <w:lang w:eastAsia="en-GB"/>
        </w:rPr>
        <w:lastRenderedPageBreak/>
        <w:br w:type="page"/>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271DA1">
        <w:rPr>
          <w:rStyle w:val="SchwacheHervorhebung"/>
          <w:b w:val="0"/>
          <w:sz w:val="22"/>
          <w:lang w:eastAsia="en-GB"/>
        </w:rPr>
        <w:t xml:space="preserve"> under the heading “Data </w:t>
      </w:r>
      <w:r w:rsidR="006E0A4F">
        <w:rPr>
          <w:rStyle w:val="SchwacheHervorhebung"/>
          <w:b w:val="0"/>
          <w:sz w:val="22"/>
          <w:lang w:eastAsia="en-GB"/>
        </w:rPr>
        <w:t>protection”</w:t>
      </w:r>
      <w:r w:rsidRPr="00E40A5C">
        <w:rPr>
          <w:rStyle w:val="SchwacheHervorhebung"/>
          <w:b w:val="0"/>
          <w:sz w:val="22"/>
          <w:lang w:eastAsia="en-GB"/>
        </w:rPr>
        <w:t>.</w:t>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p w:rsidR="00ED4063" w:rsidRPr="00ED4063" w:rsidRDefault="001B3DE4" w:rsidP="00ED4063">
      <w:pPr>
        <w:spacing w:after="240"/>
        <w:jc w:val="both"/>
        <w:rPr>
          <w:rStyle w:val="SchwacheHervorhebung"/>
          <w:b w:val="0"/>
          <w:sz w:val="22"/>
          <w:lang w:eastAsia="en-GB"/>
        </w:rPr>
      </w:pPr>
      <w:r w:rsidRPr="00271DA1">
        <w:rPr>
          <w:rStyle w:val="SchwacheHervorhebung"/>
          <w:b w:val="0"/>
          <w:sz w:val="22"/>
          <w:lang w:eastAsia="en-GB"/>
        </w:rPr>
        <w:t>This consultation paper will be of interest to key parties in a securitisation including originators, sponsors, SSPE and institutional investors in securitisation.</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berschrift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139543336"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rsidR="00B327E9" w:rsidRPr="00AB6D88" w:rsidRDefault="003D1A0A" w:rsidP="003D1A0A">
                <w:pPr>
                  <w:rPr>
                    <w:rStyle w:val="Platzhaltertext"/>
                    <w:rFonts w:cs="Arial"/>
                  </w:rPr>
                </w:pPr>
                <w:r>
                  <w:rPr>
                    <w:rStyle w:val="Platzhaltertext"/>
                    <w:rFonts w:cs="Arial"/>
                  </w:rPr>
                  <w:t>True Sale International GmbH</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715932046" w:edGrp="everyone" w:colFirst="1" w:colLast="1"/>
            <w:permEnd w:id="139543336"/>
            <w:r w:rsidRPr="00E40A5C">
              <w:rPr>
                <w:rFonts w:cs="Arial"/>
                <w:sz w:val="22"/>
              </w:rPr>
              <w:t>Activity</w:t>
            </w:r>
          </w:p>
        </w:tc>
        <w:tc>
          <w:tcPr>
            <w:tcW w:w="5595" w:type="dxa"/>
            <w:shd w:val="clear" w:color="auto" w:fill="auto"/>
          </w:tcPr>
          <w:p w:rsidR="00B327E9" w:rsidRPr="00AB6D88" w:rsidRDefault="003D1A0A"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1705266393" w:edGrp="everyone" w:colFirst="1" w:colLast="1"/>
            <w:permEnd w:id="715932046"/>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B327E9"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409408436" w:edGrp="everyone" w:colFirst="1" w:colLast="1"/>
            <w:permEnd w:id="1705266393"/>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3D1A0A" w:rsidP="00F136AD">
                <w:pPr>
                  <w:rPr>
                    <w:rFonts w:cs="Arial"/>
                  </w:rPr>
                </w:pPr>
                <w:r>
                  <w:rPr>
                    <w:rFonts w:cs="Arial"/>
                  </w:rPr>
                  <w:t>Germany</w:t>
                </w:r>
              </w:p>
            </w:tc>
          </w:sdtContent>
        </w:sdt>
      </w:tr>
      <w:permEnd w:id="409408436"/>
    </w:tbl>
    <w:p w:rsidR="00B327E9" w:rsidRDefault="00B327E9" w:rsidP="00B327E9">
      <w:pPr>
        <w:spacing w:after="120" w:line="264" w:lineRule="auto"/>
      </w:pPr>
    </w:p>
    <w:p w:rsidR="00B327E9" w:rsidRDefault="00B327E9" w:rsidP="00B327E9">
      <w:pPr>
        <w:pStyle w:val="berschrift1"/>
        <w:numPr>
          <w:ilvl w:val="0"/>
          <w:numId w:val="0"/>
        </w:numPr>
        <w:ind w:left="431" w:hanging="431"/>
      </w:pPr>
      <w:r>
        <w:t>Introduction</w:t>
      </w:r>
    </w:p>
    <w:p w:rsidR="00B327E9" w:rsidRPr="00E40A5C" w:rsidRDefault="00B327E9" w:rsidP="00B327E9">
      <w:pPr>
        <w:rPr>
          <w:rStyle w:val="IntensiveHervorhebung"/>
          <w:sz w:val="22"/>
        </w:rPr>
      </w:pPr>
      <w:r w:rsidRPr="00E40A5C">
        <w:rPr>
          <w:rStyle w:val="IntensiveHervorhebung"/>
          <w:sz w:val="22"/>
        </w:rPr>
        <w:t>Please make your introductory comments below, if any:</w:t>
      </w:r>
    </w:p>
    <w:p w:rsidR="00B327E9" w:rsidRPr="00BF28DA" w:rsidRDefault="00B327E9" w:rsidP="00B327E9"/>
    <w:p w:rsidR="00B327E9" w:rsidRPr="006F4535" w:rsidRDefault="00B327E9" w:rsidP="00B327E9">
      <w:r w:rsidRPr="006F4535">
        <w:t>&lt;ESMA_COMMENT_</w:t>
      </w:r>
      <w:r w:rsidR="00394CE6">
        <w:rPr>
          <w:rFonts w:cs="Arial"/>
        </w:rPr>
        <w:t>STS</w:t>
      </w:r>
      <w:r w:rsidRPr="006F4535">
        <w:t>_1&gt;</w:t>
      </w:r>
      <w:bookmarkStart w:id="1" w:name="_GoBack"/>
      <w:bookmarkEnd w:id="1"/>
    </w:p>
    <w:p w:rsidR="000629D0" w:rsidRDefault="000629D0" w:rsidP="00B327E9">
      <w:pPr>
        <w:rPr>
          <w:rFonts w:cs="Arial"/>
        </w:rPr>
      </w:pPr>
      <w:permStart w:id="1941461040" w:edGrp="everyone"/>
      <w:r>
        <w:rPr>
          <w:rFonts w:cs="Arial"/>
        </w:rPr>
        <w:t>We welcome ESMA´s approach to create three distinct categories in terms of the necessary degree of details.</w:t>
      </w:r>
    </w:p>
    <w:p w:rsidR="000629D0" w:rsidRDefault="000629D0" w:rsidP="00B327E9">
      <w:pPr>
        <w:rPr>
          <w:rFonts w:cs="Arial"/>
        </w:rPr>
      </w:pPr>
    </w:p>
    <w:p w:rsidR="00ED360D" w:rsidRDefault="000629D0" w:rsidP="00B327E9">
      <w:pPr>
        <w:rPr>
          <w:rFonts w:cs="Arial"/>
        </w:rPr>
      </w:pPr>
      <w:r>
        <w:rPr>
          <w:rFonts w:cs="Arial"/>
        </w:rPr>
        <w:t xml:space="preserve">Furthermore, </w:t>
      </w:r>
      <w:r w:rsidR="004C2555">
        <w:rPr>
          <w:rFonts w:cs="Arial"/>
        </w:rPr>
        <w:t xml:space="preserve">we also </w:t>
      </w:r>
      <w:r w:rsidR="00ED360D">
        <w:rPr>
          <w:rFonts w:cs="Arial"/>
        </w:rPr>
        <w:t xml:space="preserve">endorse </w:t>
      </w:r>
      <w:r w:rsidR="004C2555">
        <w:rPr>
          <w:rFonts w:cs="Arial"/>
        </w:rPr>
        <w:t xml:space="preserve">the </w:t>
      </w:r>
      <w:r>
        <w:rPr>
          <w:rFonts w:cs="Arial"/>
        </w:rPr>
        <w:t>distinction between public and private securitisations</w:t>
      </w:r>
      <w:r w:rsidR="004C2555">
        <w:rPr>
          <w:rFonts w:cs="Arial"/>
        </w:rPr>
        <w:t xml:space="preserve"> and within the private securitisation </w:t>
      </w:r>
      <w:r w:rsidR="00ED360D">
        <w:rPr>
          <w:rFonts w:cs="Arial"/>
        </w:rPr>
        <w:t>the differentiation between a</w:t>
      </w:r>
      <w:r w:rsidR="004C2555">
        <w:rPr>
          <w:rFonts w:cs="Arial"/>
        </w:rPr>
        <w:t xml:space="preserve"> set of info</w:t>
      </w:r>
      <w:r w:rsidR="00ED360D">
        <w:rPr>
          <w:rFonts w:cs="Arial"/>
        </w:rPr>
        <w:t>r</w:t>
      </w:r>
      <w:r w:rsidR="004C2555">
        <w:rPr>
          <w:rFonts w:cs="Arial"/>
        </w:rPr>
        <w:t>mation</w:t>
      </w:r>
      <w:r w:rsidR="00ED360D">
        <w:rPr>
          <w:rFonts w:cs="Arial"/>
        </w:rPr>
        <w:t xml:space="preserve"> for prudential reporting and for public disclosure.</w:t>
      </w:r>
    </w:p>
    <w:p w:rsidR="00ED360D" w:rsidRDefault="00ED360D" w:rsidP="00B327E9">
      <w:pPr>
        <w:rPr>
          <w:rFonts w:cs="Arial"/>
        </w:rPr>
      </w:pPr>
    </w:p>
    <w:p w:rsidR="00B327E9" w:rsidRPr="00BF28DA" w:rsidRDefault="00ED360D" w:rsidP="00B327E9">
      <w:r>
        <w:rPr>
          <w:rFonts w:cs="Arial"/>
        </w:rPr>
        <w:t>However, in both cases, certain details</w:t>
      </w:r>
      <w:r w:rsidR="000629D0" w:rsidRPr="00BF28DA">
        <w:t xml:space="preserve"> </w:t>
      </w:r>
      <w:r>
        <w:t>should be worked out further which we address in our answers to the questions below</w:t>
      </w:r>
      <w:proofErr w:type="gramStart"/>
      <w:r>
        <w:t>.</w:t>
      </w:r>
      <w:permEnd w:id="1941461040"/>
      <w:r w:rsidR="00B327E9" w:rsidRPr="00BF28DA">
        <w:t>&lt;</w:t>
      </w:r>
      <w:proofErr w:type="gramEnd"/>
      <w:r w:rsidR="00B327E9" w:rsidRPr="00BF28DA">
        <w:t>ESMA_COMMENT_</w:t>
      </w:r>
      <w:r w:rsidR="00394CE6">
        <w:rPr>
          <w:rFonts w:cs="Arial"/>
        </w:rPr>
        <w:t>STS</w:t>
      </w:r>
      <w:r w:rsidR="000A58BE">
        <w:t>_</w:t>
      </w:r>
      <w:r w:rsidR="00B327E9" w:rsidRPr="00BF28DA">
        <w:t>1&gt;</w:t>
      </w:r>
    </w:p>
    <w:p w:rsidR="002E7113" w:rsidRDefault="002E7113" w:rsidP="002E7113">
      <w:pPr>
        <w:pStyle w:val="berschrift1"/>
        <w:numPr>
          <w:ilvl w:val="0"/>
          <w:numId w:val="0"/>
        </w:numPr>
      </w:pPr>
    </w:p>
    <w:p w:rsidR="00F31E57" w:rsidRPr="00BF28DA" w:rsidRDefault="00F31E57" w:rsidP="00D34282"/>
    <w:p w:rsidR="00394CE6" w:rsidRDefault="00F31E57" w:rsidP="00394CE6">
      <w:pPr>
        <w:pStyle w:val="Questionstyle"/>
        <w:numPr>
          <w:ilvl w:val="0"/>
          <w:numId w:val="39"/>
        </w:numPr>
      </w:pPr>
      <w:r w:rsidRPr="0075015C">
        <w:br w:type="page"/>
      </w:r>
      <w:r w:rsidR="00394CE6">
        <w:lastRenderedPageBreak/>
        <w:t xml:space="preserve">: </w:t>
      </w:r>
      <w:r w:rsidR="00394CE6" w:rsidRPr="000A5F37">
        <w:t>Do you agree that some general information elements will facilitate the identification of the securitisation and are thus needed to be included in the STS notification?</w:t>
      </w:r>
    </w:p>
    <w:p w:rsidR="00394CE6" w:rsidRDefault="00394CE6" w:rsidP="00394CE6">
      <w:pPr>
        <w:rPr>
          <w:rFonts w:cs="Arial"/>
        </w:rPr>
      </w:pPr>
      <w:r>
        <w:rPr>
          <w:rFonts w:cs="Arial"/>
        </w:rPr>
        <w:t>&lt;ESMA_QUESTION_STS_1&gt;</w:t>
      </w:r>
    </w:p>
    <w:p w:rsidR="00ED360D" w:rsidRDefault="00ED360D" w:rsidP="00394CE6">
      <w:pPr>
        <w:rPr>
          <w:rFonts w:cs="Arial"/>
        </w:rPr>
      </w:pPr>
      <w:permStart w:id="978526995" w:edGrp="everyone"/>
      <w:r>
        <w:rPr>
          <w:rFonts w:cs="Arial"/>
        </w:rPr>
        <w:t xml:space="preserve"> In gene</w:t>
      </w:r>
      <w:r w:rsidR="00E67061">
        <w:rPr>
          <w:rFonts w:cs="Arial"/>
        </w:rPr>
        <w:t>ral, we agree to the proposal. H</w:t>
      </w:r>
      <w:r>
        <w:rPr>
          <w:rFonts w:cs="Arial"/>
        </w:rPr>
        <w:t xml:space="preserve">owever, it should be considered that in ABCP securitisations there are several layers of securitisation exposures: </w:t>
      </w:r>
      <w:r w:rsidR="00E67061">
        <w:rPr>
          <w:rFonts w:cs="Arial"/>
        </w:rPr>
        <w:t xml:space="preserve">on the transactions </w:t>
      </w:r>
      <w:proofErr w:type="gramStart"/>
      <w:r w:rsidR="00E67061">
        <w:rPr>
          <w:rFonts w:cs="Arial"/>
        </w:rPr>
        <w:t>level  (</w:t>
      </w:r>
      <w:proofErr w:type="gramEnd"/>
      <w:r w:rsidR="00E67061">
        <w:rPr>
          <w:rFonts w:cs="Arial"/>
        </w:rPr>
        <w:t xml:space="preserve">e.g. the liquidity facility), and on program level (e.g. the ABCP). Although both exposures </w:t>
      </w:r>
      <w:proofErr w:type="gramStart"/>
      <w:r w:rsidR="00E67061">
        <w:rPr>
          <w:rFonts w:cs="Arial"/>
        </w:rPr>
        <w:t>are considered</w:t>
      </w:r>
      <w:proofErr w:type="gramEnd"/>
      <w:r w:rsidR="00E67061">
        <w:rPr>
          <w:rFonts w:cs="Arial"/>
        </w:rPr>
        <w:t xml:space="preserve"> private securitisations</w:t>
      </w:r>
      <w:r>
        <w:rPr>
          <w:rFonts w:cs="Arial"/>
        </w:rPr>
        <w:t xml:space="preserve"> </w:t>
      </w:r>
      <w:r w:rsidR="00E67061">
        <w:rPr>
          <w:rFonts w:cs="Arial"/>
        </w:rPr>
        <w:t xml:space="preserve">(as the ABCPs do not fall under the prospectus directive), the counterparts, risk features and confidentiality aspects differ fundamentally. </w:t>
      </w:r>
      <w:proofErr w:type="gramStart"/>
      <w:r w:rsidR="00E67061">
        <w:rPr>
          <w:rFonts w:cs="Arial"/>
        </w:rPr>
        <w:t>Also</w:t>
      </w:r>
      <w:proofErr w:type="gramEnd"/>
      <w:r w:rsidR="00964871">
        <w:rPr>
          <w:rFonts w:cs="Arial"/>
        </w:rPr>
        <w:t>, as stated in Art 23 STS-</w:t>
      </w:r>
      <w:proofErr w:type="spellStart"/>
      <w:r w:rsidR="00964871">
        <w:rPr>
          <w:rFonts w:cs="Arial"/>
        </w:rPr>
        <w:t>Reg</w:t>
      </w:r>
      <w:proofErr w:type="spellEnd"/>
      <w:r w:rsidR="00E67061">
        <w:rPr>
          <w:rFonts w:cs="Arial"/>
        </w:rPr>
        <w:t xml:space="preserve"> some liquidity facilities within a</w:t>
      </w:r>
      <w:r w:rsidR="00964871">
        <w:rPr>
          <w:rFonts w:cs="Arial"/>
        </w:rPr>
        <w:t>n</w:t>
      </w:r>
      <w:r w:rsidR="00E67061">
        <w:rPr>
          <w:rFonts w:cs="Arial"/>
        </w:rPr>
        <w:t xml:space="preserve"> ABCP program may comply with </w:t>
      </w:r>
      <w:r w:rsidR="00964871">
        <w:rPr>
          <w:rFonts w:cs="Arial"/>
        </w:rPr>
        <w:t xml:space="preserve">the </w:t>
      </w:r>
      <w:r w:rsidR="00E67061">
        <w:rPr>
          <w:rFonts w:cs="Arial"/>
        </w:rPr>
        <w:t xml:space="preserve">STS </w:t>
      </w:r>
      <w:r w:rsidR="00964871">
        <w:rPr>
          <w:rFonts w:cs="Arial"/>
        </w:rPr>
        <w:t xml:space="preserve">criteria </w:t>
      </w:r>
      <w:r w:rsidR="00E67061">
        <w:rPr>
          <w:rFonts w:cs="Arial"/>
        </w:rPr>
        <w:t>where other</w:t>
      </w:r>
      <w:r w:rsidR="00964871">
        <w:rPr>
          <w:rFonts w:cs="Arial"/>
        </w:rPr>
        <w:t>s</w:t>
      </w:r>
      <w:r w:rsidR="00E67061">
        <w:rPr>
          <w:rFonts w:cs="Arial"/>
        </w:rPr>
        <w:t xml:space="preserve"> do not</w:t>
      </w:r>
      <w:r w:rsidR="00964871">
        <w:rPr>
          <w:rFonts w:cs="Arial"/>
        </w:rPr>
        <w:t>,</w:t>
      </w:r>
      <w:r w:rsidR="00E67061">
        <w:rPr>
          <w:rFonts w:cs="Arial"/>
        </w:rPr>
        <w:t xml:space="preserve"> and/or the ABCP paper itself may or may not be STS</w:t>
      </w:r>
      <w:r w:rsidR="00964871">
        <w:rPr>
          <w:rFonts w:cs="Arial"/>
        </w:rPr>
        <w:t xml:space="preserve"> compliant</w:t>
      </w:r>
      <w:r w:rsidR="00E67061">
        <w:rPr>
          <w:rFonts w:cs="Arial"/>
        </w:rPr>
        <w:t xml:space="preserve">. </w:t>
      </w:r>
      <w:proofErr w:type="gramStart"/>
      <w:r w:rsidR="00E67061">
        <w:rPr>
          <w:rFonts w:cs="Arial"/>
        </w:rPr>
        <w:t>Therefore</w:t>
      </w:r>
      <w:proofErr w:type="gramEnd"/>
      <w:r w:rsidR="00E67061">
        <w:rPr>
          <w:rFonts w:cs="Arial"/>
        </w:rPr>
        <w:t xml:space="preserve"> the general information elements for STS notifications should take into </w:t>
      </w:r>
      <w:r w:rsidR="00964871">
        <w:rPr>
          <w:rFonts w:cs="Arial"/>
        </w:rPr>
        <w:t xml:space="preserve">account </w:t>
      </w:r>
      <w:r w:rsidR="00E67061">
        <w:rPr>
          <w:rFonts w:cs="Arial"/>
        </w:rPr>
        <w:t>the different characteristics of STS-eligible liquidity line</w:t>
      </w:r>
      <w:r w:rsidR="00964871">
        <w:rPr>
          <w:rFonts w:cs="Arial"/>
        </w:rPr>
        <w:t>s</w:t>
      </w:r>
      <w:r w:rsidR="00E67061">
        <w:rPr>
          <w:rFonts w:cs="Arial"/>
        </w:rPr>
        <w:t xml:space="preserve"> on on</w:t>
      </w:r>
      <w:r w:rsidR="00C9195A">
        <w:rPr>
          <w:rFonts w:cs="Arial"/>
        </w:rPr>
        <w:t>e</w:t>
      </w:r>
      <w:r w:rsidR="00E67061">
        <w:rPr>
          <w:rFonts w:cs="Arial"/>
        </w:rPr>
        <w:t xml:space="preserve"> side and STS-eligible ABCP on the other side.</w:t>
      </w:r>
    </w:p>
    <w:permEnd w:id="978526995"/>
    <w:p w:rsidR="00394CE6" w:rsidRDefault="00394CE6" w:rsidP="00394CE6">
      <w:pPr>
        <w:rPr>
          <w:rFonts w:cs="Arial"/>
        </w:rPr>
      </w:pPr>
      <w:r>
        <w:rPr>
          <w:rFonts w:cs="Arial"/>
        </w:rPr>
        <w:t>&lt;ESMA_QUESTION_STS_1&gt;</w:t>
      </w:r>
    </w:p>
    <w:p w:rsidR="00394CE6" w:rsidRDefault="00394CE6" w:rsidP="00394CE6">
      <w:pPr>
        <w:rPr>
          <w:rFonts w:cs="Arial"/>
        </w:rPr>
      </w:pPr>
    </w:p>
    <w:p w:rsidR="00394CE6" w:rsidRDefault="00394CE6" w:rsidP="00394CE6">
      <w:pPr>
        <w:pStyle w:val="Questionstyle"/>
        <w:numPr>
          <w:ilvl w:val="0"/>
          <w:numId w:val="39"/>
        </w:numPr>
      </w:pPr>
      <w:r>
        <w:t xml:space="preserve">: </w:t>
      </w:r>
      <w:r w:rsidRPr="000A5F37">
        <w:t>Do you agree that the list of items in paragraph 15 should be included in the STS notification? Do you have any further proposals? If yes, please also state the reasons.</w:t>
      </w:r>
    </w:p>
    <w:p w:rsidR="00394CE6" w:rsidRDefault="00394CE6" w:rsidP="00394CE6">
      <w:pPr>
        <w:rPr>
          <w:rFonts w:cs="Arial"/>
        </w:rPr>
      </w:pPr>
      <w:r>
        <w:rPr>
          <w:rFonts w:cs="Arial"/>
        </w:rPr>
        <w:t>&lt;ESMA_QUESTION_STS_2&gt;</w:t>
      </w:r>
    </w:p>
    <w:p w:rsidR="000314FF" w:rsidRDefault="000314FF" w:rsidP="00394CE6">
      <w:pPr>
        <w:rPr>
          <w:rFonts w:cs="Arial"/>
        </w:rPr>
      </w:pPr>
      <w:permStart w:id="311446379" w:edGrp="everyone"/>
      <w:proofErr w:type="gramStart"/>
      <w:r>
        <w:rPr>
          <w:rFonts w:cs="Arial"/>
        </w:rPr>
        <w:t>pre-remark</w:t>
      </w:r>
      <w:proofErr w:type="gramEnd"/>
      <w:r>
        <w:rPr>
          <w:rFonts w:cs="Arial"/>
        </w:rPr>
        <w:t xml:space="preserve">: we understand Q2 as a reference to para 13 </w:t>
      </w:r>
      <w:r w:rsidR="00C2013F">
        <w:rPr>
          <w:rFonts w:cs="Arial"/>
        </w:rPr>
        <w:t xml:space="preserve">- </w:t>
      </w:r>
      <w:r>
        <w:rPr>
          <w:rFonts w:cs="Arial"/>
        </w:rPr>
        <w:t>as mentioned in the CP (and not para 15 as above)</w:t>
      </w:r>
    </w:p>
    <w:p w:rsidR="000314FF" w:rsidRDefault="000314FF" w:rsidP="00394CE6">
      <w:pPr>
        <w:rPr>
          <w:rFonts w:cs="Arial"/>
        </w:rPr>
      </w:pPr>
    </w:p>
    <w:p w:rsidR="00394CE6" w:rsidRDefault="00964871" w:rsidP="00394CE6">
      <w:pPr>
        <w:rPr>
          <w:rFonts w:cs="Arial"/>
        </w:rPr>
      </w:pPr>
      <w:r>
        <w:rPr>
          <w:rFonts w:cs="Arial"/>
        </w:rPr>
        <w:t xml:space="preserve">In ABCP </w:t>
      </w:r>
      <w:proofErr w:type="gramStart"/>
      <w:r>
        <w:rPr>
          <w:rFonts w:cs="Arial"/>
        </w:rPr>
        <w:t>transactions</w:t>
      </w:r>
      <w:proofErr w:type="gramEnd"/>
      <w:r>
        <w:rPr>
          <w:rFonts w:cs="Arial"/>
        </w:rPr>
        <w:t xml:space="preserve"> typically real economy enterprises act as originators. </w:t>
      </w:r>
      <w:r w:rsidR="00D918EC">
        <w:rPr>
          <w:rFonts w:cs="Arial"/>
        </w:rPr>
        <w:t xml:space="preserve">These entities usually do not have LEI numbers. Likewise, the liquidity facility between the SPV and the Sponsor (acting as liquidity bank) is a bilateral </w:t>
      </w:r>
      <w:proofErr w:type="gramStart"/>
      <w:r w:rsidR="00D918EC">
        <w:rPr>
          <w:rFonts w:cs="Arial"/>
        </w:rPr>
        <w:t>credit  agreement</w:t>
      </w:r>
      <w:proofErr w:type="gramEnd"/>
      <w:r w:rsidR="00D918EC">
        <w:rPr>
          <w:rFonts w:cs="Arial"/>
        </w:rPr>
        <w:t xml:space="preserve"> without an ISIN. Hence, these securitisation exposures</w:t>
      </w:r>
      <w:r w:rsidR="00C2013F">
        <w:rPr>
          <w:rFonts w:cs="Arial"/>
        </w:rPr>
        <w:t xml:space="preserve"> (i.e. the liquidity lines)</w:t>
      </w:r>
      <w:r w:rsidR="00D918EC">
        <w:rPr>
          <w:rFonts w:cs="Arial"/>
        </w:rPr>
        <w:t xml:space="preserve"> neither have </w:t>
      </w:r>
      <w:proofErr w:type="spellStart"/>
      <w:proofErr w:type="gramStart"/>
      <w:r w:rsidR="00D918EC">
        <w:rPr>
          <w:rFonts w:cs="Arial"/>
        </w:rPr>
        <w:t>a</w:t>
      </w:r>
      <w:proofErr w:type="spellEnd"/>
      <w:proofErr w:type="gramEnd"/>
      <w:r w:rsidR="00C2013F">
        <w:rPr>
          <w:rFonts w:cs="Arial"/>
        </w:rPr>
        <w:t xml:space="preserve"> originator</w:t>
      </w:r>
      <w:r w:rsidR="00D918EC">
        <w:rPr>
          <w:rFonts w:cs="Arial"/>
        </w:rPr>
        <w:t xml:space="preserve"> LEI nor an ISIN. This </w:t>
      </w:r>
      <w:proofErr w:type="gramStart"/>
      <w:r w:rsidR="00D918EC">
        <w:rPr>
          <w:rFonts w:cs="Arial"/>
        </w:rPr>
        <w:t>should be considered</w:t>
      </w:r>
      <w:proofErr w:type="gramEnd"/>
      <w:r w:rsidR="00D918EC">
        <w:rPr>
          <w:rFonts w:cs="Arial"/>
        </w:rPr>
        <w:t xml:space="preserve"> when the identification of such exposure is regarded.</w:t>
      </w:r>
      <w:r w:rsidR="000314FF">
        <w:rPr>
          <w:rFonts w:cs="Arial"/>
        </w:rPr>
        <w:t xml:space="preserve"> Furthermore in the second </w:t>
      </w:r>
      <w:proofErr w:type="spellStart"/>
      <w:r w:rsidR="000314FF">
        <w:rPr>
          <w:rFonts w:cs="Arial"/>
        </w:rPr>
        <w:t>bullitpoint</w:t>
      </w:r>
      <w:proofErr w:type="spellEnd"/>
      <w:r w:rsidR="000314FF">
        <w:rPr>
          <w:rFonts w:cs="Arial"/>
        </w:rPr>
        <w:t>, it is to clear to us if the originator LEI</w:t>
      </w:r>
      <w:r w:rsidR="00E561C0">
        <w:rPr>
          <w:rFonts w:cs="Arial"/>
        </w:rPr>
        <w:t xml:space="preserve"> (if any – see above)</w:t>
      </w:r>
      <w:r w:rsidR="000314FF">
        <w:rPr>
          <w:rFonts w:cs="Arial"/>
        </w:rPr>
        <w:t xml:space="preserve"> or the </w:t>
      </w:r>
      <w:r w:rsidR="00C2013F">
        <w:rPr>
          <w:rFonts w:cs="Arial"/>
        </w:rPr>
        <w:t>s</w:t>
      </w:r>
      <w:r w:rsidR="000314FF">
        <w:rPr>
          <w:rFonts w:cs="Arial"/>
        </w:rPr>
        <w:t xml:space="preserve">ponsor LEI is meant.  </w:t>
      </w:r>
    </w:p>
    <w:p w:rsidR="00D918EC" w:rsidRDefault="00D918EC" w:rsidP="00394CE6">
      <w:pPr>
        <w:rPr>
          <w:rFonts w:cs="Arial"/>
        </w:rPr>
      </w:pPr>
    </w:p>
    <w:p w:rsidR="00C2013F" w:rsidRDefault="00E561C0" w:rsidP="00394CE6">
      <w:pPr>
        <w:rPr>
          <w:rFonts w:cs="Arial"/>
        </w:rPr>
      </w:pPr>
      <w:r>
        <w:rPr>
          <w:rFonts w:cs="Arial"/>
        </w:rPr>
        <w:t xml:space="preserve">In case of STS-eligible ABCP, such paper </w:t>
      </w:r>
      <w:proofErr w:type="gramStart"/>
      <w:r>
        <w:rPr>
          <w:rFonts w:cs="Arial"/>
        </w:rPr>
        <w:t>is backed</w:t>
      </w:r>
      <w:proofErr w:type="gramEnd"/>
      <w:r>
        <w:rPr>
          <w:rFonts w:cs="Arial"/>
        </w:rPr>
        <w:t xml:space="preserve"> by all receivables of the programme. Hence, no distinct originator name </w:t>
      </w:r>
      <w:proofErr w:type="gramStart"/>
      <w:r>
        <w:rPr>
          <w:rFonts w:cs="Arial"/>
        </w:rPr>
        <w:t>can be mentioned</w:t>
      </w:r>
      <w:proofErr w:type="gramEnd"/>
      <w:r>
        <w:rPr>
          <w:rFonts w:cs="Arial"/>
        </w:rPr>
        <w:t>. We propose that in this case the sponsor name and LEI should be sufficient. Furthermore, as ABCP paper is issues regularly several times a day/week, each with its own ISIN</w:t>
      </w:r>
      <w:proofErr w:type="gramStart"/>
      <w:r>
        <w:rPr>
          <w:rFonts w:cs="Arial"/>
        </w:rPr>
        <w:t>,  there</w:t>
      </w:r>
      <w:proofErr w:type="gramEnd"/>
      <w:r>
        <w:rPr>
          <w:rFonts w:cs="Arial"/>
        </w:rPr>
        <w:t xml:space="preserve"> is no specific date or ISIN code that can be used. We advocate, that in such </w:t>
      </w:r>
      <w:proofErr w:type="gramStart"/>
      <w:r>
        <w:rPr>
          <w:rFonts w:cs="Arial"/>
        </w:rPr>
        <w:t>cases</w:t>
      </w:r>
      <w:proofErr w:type="gramEnd"/>
      <w:r>
        <w:rPr>
          <w:rFonts w:cs="Arial"/>
        </w:rPr>
        <w:t xml:space="preserve"> the programme as such is the subject of the STS notification and not</w:t>
      </w:r>
      <w:r w:rsidR="00C2013F">
        <w:rPr>
          <w:rFonts w:cs="Arial"/>
        </w:rPr>
        <w:t xml:space="preserve"> the single ABCP issued under the programme. Otherwise, given the short tenor of the paper, the ABCP </w:t>
      </w:r>
      <w:proofErr w:type="gramStart"/>
      <w:r w:rsidR="00C2013F">
        <w:rPr>
          <w:rFonts w:cs="Arial"/>
        </w:rPr>
        <w:t>might already be matured</w:t>
      </w:r>
      <w:proofErr w:type="gramEnd"/>
      <w:r w:rsidR="00C2013F">
        <w:rPr>
          <w:rFonts w:cs="Arial"/>
        </w:rPr>
        <w:t xml:space="preserve"> before the STS notification is made public. This means, that no ISIN or issuance date </w:t>
      </w:r>
      <w:proofErr w:type="gramStart"/>
      <w:r w:rsidR="00C2013F">
        <w:rPr>
          <w:rFonts w:cs="Arial"/>
        </w:rPr>
        <w:t>can be given</w:t>
      </w:r>
      <w:proofErr w:type="gramEnd"/>
      <w:r w:rsidR="00C2013F">
        <w:rPr>
          <w:rFonts w:cs="Arial"/>
        </w:rPr>
        <w:t xml:space="preserve"> on programme level.</w:t>
      </w:r>
    </w:p>
    <w:p w:rsidR="00C2013F" w:rsidRDefault="00C2013F" w:rsidP="00394CE6">
      <w:pPr>
        <w:rPr>
          <w:rFonts w:cs="Arial"/>
        </w:rPr>
      </w:pPr>
    </w:p>
    <w:p w:rsidR="00C2013F" w:rsidRDefault="00C2013F" w:rsidP="00394CE6">
      <w:pPr>
        <w:rPr>
          <w:rFonts w:cs="Arial"/>
        </w:rPr>
      </w:pPr>
      <w:r>
        <w:rPr>
          <w:rFonts w:cs="Arial"/>
        </w:rPr>
        <w:t>Considering the above, it may make sen</w:t>
      </w:r>
      <w:r w:rsidR="001457C7">
        <w:rPr>
          <w:rFonts w:cs="Arial"/>
        </w:rPr>
        <w:t>s</w:t>
      </w:r>
      <w:r>
        <w:rPr>
          <w:rFonts w:cs="Arial"/>
        </w:rPr>
        <w:t xml:space="preserve">e that concerning the type of securitisation a distinction between ABCP program level and ABCP transaction level </w:t>
      </w:r>
      <w:proofErr w:type="gramStart"/>
      <w:r>
        <w:rPr>
          <w:rFonts w:cs="Arial"/>
        </w:rPr>
        <w:t>is made</w:t>
      </w:r>
      <w:proofErr w:type="gramEnd"/>
      <w:r>
        <w:rPr>
          <w:rFonts w:cs="Arial"/>
        </w:rPr>
        <w:t>. So possible type</w:t>
      </w:r>
      <w:r w:rsidR="001457C7">
        <w:rPr>
          <w:rFonts w:cs="Arial"/>
        </w:rPr>
        <w:t>s</w:t>
      </w:r>
      <w:r>
        <w:rPr>
          <w:rFonts w:cs="Arial"/>
        </w:rPr>
        <w:t xml:space="preserve"> would </w:t>
      </w:r>
      <w:proofErr w:type="gramStart"/>
      <w:r>
        <w:rPr>
          <w:rFonts w:cs="Arial"/>
        </w:rPr>
        <w:t>be:</w:t>
      </w:r>
      <w:proofErr w:type="gramEnd"/>
      <w:r>
        <w:rPr>
          <w:rFonts w:cs="Arial"/>
        </w:rPr>
        <w:t xml:space="preserve"> non-ABCP, ABCP-programme level, ABCP-transaction level.</w:t>
      </w:r>
    </w:p>
    <w:permEnd w:id="311446379"/>
    <w:p w:rsidR="00394CE6" w:rsidRDefault="00394CE6" w:rsidP="00394CE6">
      <w:pPr>
        <w:rPr>
          <w:rFonts w:cs="Arial"/>
        </w:rPr>
      </w:pPr>
      <w:r>
        <w:rPr>
          <w:rFonts w:cs="Arial"/>
        </w:rPr>
        <w:t>&lt;ESMA_QUESTION_STS_2&gt;</w:t>
      </w:r>
    </w:p>
    <w:p w:rsidR="00394CE6" w:rsidRDefault="00394CE6" w:rsidP="00394CE6">
      <w:pPr>
        <w:rPr>
          <w:rFonts w:cs="Arial"/>
        </w:rPr>
      </w:pPr>
    </w:p>
    <w:p w:rsidR="00394CE6" w:rsidRDefault="00394CE6" w:rsidP="00394CE6">
      <w:pPr>
        <w:pStyle w:val="Questionstyle"/>
        <w:numPr>
          <w:ilvl w:val="0"/>
          <w:numId w:val="39"/>
        </w:numPr>
      </w:pPr>
      <w:r>
        <w:t xml:space="preserve">: </w:t>
      </w:r>
      <w:r w:rsidRPr="000A5F37">
        <w:t>Do you agree that the proposed list of items in paragraph 17 should be published on ESMA public website?</w:t>
      </w:r>
    </w:p>
    <w:p w:rsidR="00394CE6" w:rsidRDefault="00394CE6" w:rsidP="00394CE6">
      <w:pPr>
        <w:rPr>
          <w:rFonts w:cs="Arial"/>
        </w:rPr>
      </w:pPr>
      <w:r>
        <w:rPr>
          <w:rFonts w:cs="Arial"/>
        </w:rPr>
        <w:t>&lt;ESMA_QUESTION_STS_3&gt;</w:t>
      </w:r>
    </w:p>
    <w:p w:rsidR="000314FF" w:rsidRDefault="000314FF" w:rsidP="000314FF">
      <w:pPr>
        <w:rPr>
          <w:rFonts w:cs="Arial"/>
        </w:rPr>
      </w:pPr>
      <w:permStart w:id="1372472973" w:edGrp="everyone"/>
      <w:proofErr w:type="gramStart"/>
      <w:r>
        <w:rPr>
          <w:rFonts w:cs="Arial"/>
        </w:rPr>
        <w:t>pre-remark</w:t>
      </w:r>
      <w:proofErr w:type="gramEnd"/>
      <w:r>
        <w:rPr>
          <w:rFonts w:cs="Arial"/>
        </w:rPr>
        <w:t>: we understand Q3 as a reference to para 15</w:t>
      </w:r>
      <w:r w:rsidR="00C2013F">
        <w:rPr>
          <w:rFonts w:cs="Arial"/>
        </w:rPr>
        <w:t xml:space="preserve"> - </w:t>
      </w:r>
      <w:r>
        <w:rPr>
          <w:rFonts w:cs="Arial"/>
        </w:rPr>
        <w:t>as mentioned in the CP (and not para 17 as above)</w:t>
      </w:r>
    </w:p>
    <w:p w:rsidR="00C2013F" w:rsidRDefault="00C2013F" w:rsidP="000314FF">
      <w:pPr>
        <w:rPr>
          <w:rFonts w:cs="Arial"/>
        </w:rPr>
      </w:pPr>
    </w:p>
    <w:p w:rsidR="00CC6314" w:rsidRDefault="00C2013F" w:rsidP="000314FF">
      <w:pPr>
        <w:rPr>
          <w:rFonts w:cs="Arial"/>
        </w:rPr>
      </w:pPr>
      <w:r>
        <w:rPr>
          <w:rFonts w:cs="Arial"/>
        </w:rPr>
        <w:t xml:space="preserve">The type of underlying exposures </w:t>
      </w:r>
      <w:r w:rsidR="00CC6314">
        <w:rPr>
          <w:rFonts w:cs="Arial"/>
        </w:rPr>
        <w:t xml:space="preserve">should not be </w:t>
      </w:r>
      <w:r w:rsidR="00E70D43">
        <w:rPr>
          <w:rFonts w:cs="Arial"/>
        </w:rPr>
        <w:t>described</w:t>
      </w:r>
      <w:r w:rsidR="001457C7">
        <w:rPr>
          <w:rFonts w:cs="Arial"/>
        </w:rPr>
        <w:t xml:space="preserve"> in the case</w:t>
      </w:r>
      <w:r w:rsidR="00CC6314">
        <w:rPr>
          <w:rFonts w:cs="Arial"/>
        </w:rPr>
        <w:t xml:space="preserve"> the STS exposure is of the type of an ABCP programme level</w:t>
      </w:r>
      <w:r w:rsidR="00E70D43">
        <w:rPr>
          <w:rFonts w:cs="Arial"/>
        </w:rPr>
        <w:t xml:space="preserve"> because there will be multiple types</w:t>
      </w:r>
      <w:r w:rsidR="00CC6314">
        <w:rPr>
          <w:rFonts w:cs="Arial"/>
        </w:rPr>
        <w:t xml:space="preserve">. With respect to the issuance date of the </w:t>
      </w:r>
      <w:proofErr w:type="gramStart"/>
      <w:r w:rsidR="00CC6314">
        <w:rPr>
          <w:rFonts w:cs="Arial"/>
        </w:rPr>
        <w:t>ABCP</w:t>
      </w:r>
      <w:proofErr w:type="gramEnd"/>
      <w:r w:rsidR="00CC6314">
        <w:rPr>
          <w:rFonts w:cs="Arial"/>
        </w:rPr>
        <w:t xml:space="preserve"> see Q2.</w:t>
      </w:r>
    </w:p>
    <w:permEnd w:id="1372472973"/>
    <w:p w:rsidR="00394CE6" w:rsidRDefault="00394CE6" w:rsidP="00394CE6">
      <w:pPr>
        <w:rPr>
          <w:rFonts w:cs="Arial"/>
        </w:rPr>
      </w:pPr>
      <w:r>
        <w:rPr>
          <w:rFonts w:cs="Arial"/>
        </w:rPr>
        <w:t>&lt;ESMA_QUESTION_STS_3&gt;</w:t>
      </w:r>
    </w:p>
    <w:p w:rsidR="00394CE6" w:rsidRDefault="00394CE6" w:rsidP="00394CE6">
      <w:pPr>
        <w:rPr>
          <w:rFonts w:cs="Arial"/>
        </w:rPr>
      </w:pPr>
    </w:p>
    <w:p w:rsidR="00394CE6" w:rsidRDefault="00394CE6" w:rsidP="00394CE6">
      <w:pPr>
        <w:pStyle w:val="Questionstyle"/>
        <w:numPr>
          <w:ilvl w:val="0"/>
          <w:numId w:val="39"/>
        </w:numPr>
      </w:pPr>
      <w:r>
        <w:t xml:space="preserve">: </w:t>
      </w:r>
      <w:r w:rsidRPr="000A5F37">
        <w:t xml:space="preserve">Do you agree with the proposal to have three different explanation types in the STS notification, depending on the nature of the criteria? </w:t>
      </w:r>
    </w:p>
    <w:p w:rsidR="00394CE6" w:rsidRDefault="00394CE6" w:rsidP="00394CE6">
      <w:pPr>
        <w:rPr>
          <w:rFonts w:cs="Arial"/>
        </w:rPr>
      </w:pPr>
      <w:r>
        <w:rPr>
          <w:rFonts w:cs="Arial"/>
        </w:rPr>
        <w:t>&lt;ESMA_QUESTION_STS_4&gt;</w:t>
      </w:r>
    </w:p>
    <w:p w:rsidR="00394CE6" w:rsidRDefault="00DF69ED" w:rsidP="00394CE6">
      <w:pPr>
        <w:rPr>
          <w:rFonts w:cs="Arial"/>
        </w:rPr>
      </w:pPr>
      <w:permStart w:id="256770975" w:edGrp="everyone"/>
      <w:r>
        <w:rPr>
          <w:rFonts w:cs="Arial"/>
        </w:rPr>
        <w:t>Y</w:t>
      </w:r>
      <w:r w:rsidR="00E70D43">
        <w:rPr>
          <w:rFonts w:cs="Arial"/>
        </w:rPr>
        <w:t>es</w:t>
      </w:r>
    </w:p>
    <w:permEnd w:id="256770975"/>
    <w:p w:rsidR="00394CE6" w:rsidRDefault="00394CE6" w:rsidP="00394CE6">
      <w:pPr>
        <w:rPr>
          <w:rFonts w:cs="Arial"/>
        </w:rPr>
      </w:pPr>
      <w:r>
        <w:rPr>
          <w:rFonts w:cs="Arial"/>
        </w:rPr>
        <w:t>&lt;ESMA_QUESTION_STS_4&gt;</w:t>
      </w:r>
    </w:p>
    <w:p w:rsidR="00394CE6" w:rsidRDefault="00394CE6" w:rsidP="00394CE6">
      <w:pPr>
        <w:rPr>
          <w:rFonts w:cs="Arial"/>
        </w:rPr>
      </w:pPr>
    </w:p>
    <w:p w:rsidR="00394CE6" w:rsidRDefault="00394CE6" w:rsidP="00394CE6">
      <w:pPr>
        <w:pStyle w:val="Questionstyle"/>
        <w:numPr>
          <w:ilvl w:val="0"/>
          <w:numId w:val="39"/>
        </w:numPr>
      </w:pPr>
      <w:r>
        <w:t xml:space="preserve">: </w:t>
      </w:r>
      <w:r w:rsidRPr="000A5F37">
        <w:t>Do you agree with the proposal of cross-referring in a STS notification between the STS elements and those from Prospectus, where available, or otherwise other securitisation documentation? If not, please also state the reasons.</w:t>
      </w:r>
    </w:p>
    <w:p w:rsidR="00394CE6" w:rsidRDefault="00394CE6" w:rsidP="00394CE6">
      <w:pPr>
        <w:rPr>
          <w:rFonts w:cs="Arial"/>
        </w:rPr>
      </w:pPr>
      <w:r>
        <w:rPr>
          <w:rFonts w:cs="Arial"/>
        </w:rPr>
        <w:t>&lt;ESMA_QUESTION_STS_5&gt;</w:t>
      </w:r>
    </w:p>
    <w:p w:rsidR="009A0F04" w:rsidRDefault="00DF69ED" w:rsidP="00394CE6">
      <w:pPr>
        <w:rPr>
          <w:rFonts w:cs="Arial"/>
        </w:rPr>
      </w:pPr>
      <w:permStart w:id="1266961744" w:edGrp="everyone"/>
      <w:r>
        <w:rPr>
          <w:rFonts w:cs="Arial"/>
        </w:rPr>
        <w:t>Yes, a</w:t>
      </w:r>
      <w:r w:rsidR="009A0F04">
        <w:rPr>
          <w:rFonts w:cs="Arial"/>
        </w:rPr>
        <w:t xml:space="preserve"> cross-reference to existing documentation should be possible </w:t>
      </w:r>
      <w:r>
        <w:rPr>
          <w:rFonts w:cs="Arial"/>
        </w:rPr>
        <w:t>in</w:t>
      </w:r>
      <w:r w:rsidR="009A0F04">
        <w:rPr>
          <w:rFonts w:cs="Arial"/>
        </w:rPr>
        <w:t xml:space="preserve"> order to avoid unintentional conflicting statements. Cross-references should also be possible to summaries or overviews under Art 7 (1</w:t>
      </w:r>
      <w:proofErr w:type="gramStart"/>
      <w:r w:rsidR="009A0F04">
        <w:rPr>
          <w:rFonts w:cs="Arial"/>
        </w:rPr>
        <w:t>)(</w:t>
      </w:r>
      <w:proofErr w:type="gramEnd"/>
      <w:r w:rsidR="009A0F04">
        <w:rPr>
          <w:rFonts w:cs="Arial"/>
        </w:rPr>
        <w:t>c) STS-Reg.</w:t>
      </w:r>
    </w:p>
    <w:permEnd w:id="1266961744"/>
    <w:p w:rsidR="00394CE6" w:rsidRDefault="00394CE6" w:rsidP="00394CE6">
      <w:pPr>
        <w:rPr>
          <w:rFonts w:cs="Arial"/>
        </w:rPr>
      </w:pPr>
      <w:r>
        <w:rPr>
          <w:rFonts w:cs="Arial"/>
        </w:rPr>
        <w:t>&lt;ESMA_QUESTION_STS_5&gt;</w:t>
      </w:r>
    </w:p>
    <w:p w:rsidR="00394CE6" w:rsidRDefault="00394CE6" w:rsidP="00394CE6">
      <w:pPr>
        <w:rPr>
          <w:rFonts w:cs="Arial"/>
        </w:rPr>
      </w:pPr>
    </w:p>
    <w:p w:rsidR="00394CE6" w:rsidRDefault="00394CE6" w:rsidP="00394CE6">
      <w:pPr>
        <w:pStyle w:val="Questionstyle"/>
        <w:numPr>
          <w:ilvl w:val="0"/>
          <w:numId w:val="39"/>
        </w:numPr>
      </w:pPr>
      <w:r>
        <w:t xml:space="preserve">: </w:t>
      </w:r>
      <w:r w:rsidRPr="000A5F37">
        <w:t>Do you agree that for the list of items in table 2 only a confirmation should be required in the STS notification, accompanied by the cross reference to the relevant section in prospectus or other securitisation documentation? If not, please state your reasons and any further suggestion.</w:t>
      </w:r>
    </w:p>
    <w:p w:rsidR="00394CE6" w:rsidRDefault="00394CE6" w:rsidP="00394CE6">
      <w:pPr>
        <w:rPr>
          <w:rFonts w:cs="Arial"/>
        </w:rPr>
      </w:pPr>
      <w:r>
        <w:rPr>
          <w:rFonts w:cs="Arial"/>
        </w:rPr>
        <w:t>&lt;ESMA_QUESTION_STS_6&gt;</w:t>
      </w:r>
    </w:p>
    <w:p w:rsidR="00971301" w:rsidRDefault="00971301" w:rsidP="00394CE6">
      <w:pPr>
        <w:rPr>
          <w:rFonts w:cs="Arial"/>
        </w:rPr>
      </w:pPr>
      <w:permStart w:id="1930384665" w:edGrp="everyone"/>
      <w:r>
        <w:rPr>
          <w:rFonts w:cs="Arial"/>
        </w:rPr>
        <w:t>In principle, the list of items in table 2 is clear</w:t>
      </w:r>
      <w:r w:rsidR="00CD0C65">
        <w:rPr>
          <w:rFonts w:cs="Arial"/>
        </w:rPr>
        <w:t xml:space="preserve"> but in our view not co</w:t>
      </w:r>
      <w:r w:rsidR="00EA71F8">
        <w:rPr>
          <w:rFonts w:cs="Arial"/>
        </w:rPr>
        <w:t>m</w:t>
      </w:r>
      <w:r w:rsidR="00CD0C65">
        <w:rPr>
          <w:rFonts w:cs="Arial"/>
        </w:rPr>
        <w:t>plete. Please see Q7 for additional items.</w:t>
      </w:r>
    </w:p>
    <w:p w:rsidR="00971301" w:rsidRDefault="00971301" w:rsidP="00394CE6">
      <w:pPr>
        <w:rPr>
          <w:rFonts w:cs="Arial"/>
        </w:rPr>
      </w:pPr>
    </w:p>
    <w:p w:rsidR="00394CE6" w:rsidRDefault="00971301" w:rsidP="00394CE6">
      <w:pPr>
        <w:rPr>
          <w:rFonts w:cs="Arial"/>
        </w:rPr>
      </w:pPr>
      <w:r>
        <w:rPr>
          <w:rFonts w:cs="Arial"/>
        </w:rPr>
        <w:t xml:space="preserve">However, the cross reference-approach needs further explanation with regard to private transactions where no prospectus has been set up. Especially it is unclear how underlying documentation </w:t>
      </w:r>
      <w:proofErr w:type="gramStart"/>
      <w:r>
        <w:rPr>
          <w:rFonts w:cs="Arial"/>
        </w:rPr>
        <w:t>shall be integrated</w:t>
      </w:r>
      <w:proofErr w:type="gramEnd"/>
      <w:r>
        <w:rPr>
          <w:rFonts w:cs="Arial"/>
        </w:rPr>
        <w:t xml:space="preserve"> in the notification. Underlying docs are comprehensive and complex. We strongly advocate that underlying documentation shall not be submitted to </w:t>
      </w:r>
      <w:proofErr w:type="gramStart"/>
      <w:r>
        <w:rPr>
          <w:rFonts w:cs="Arial"/>
        </w:rPr>
        <w:t>ESMA</w:t>
      </w:r>
      <w:proofErr w:type="gramEnd"/>
      <w:r>
        <w:rPr>
          <w:rFonts w:cs="Arial"/>
        </w:rPr>
        <w:t xml:space="preserve"> as it would by no means be feasible to review 10.000s of pages of underlying docs. The format </w:t>
      </w:r>
      <w:r w:rsidR="00045C2F">
        <w:rPr>
          <w:rFonts w:cs="Arial"/>
        </w:rPr>
        <w:t>for cases where a simple confirmation and cross-reference is sufficient, should just name the referenced document and the relevant page range. No documentation identifier and no delivery of docs shall be necessary (see Annex III STSA23-77).</w:t>
      </w:r>
    </w:p>
    <w:permEnd w:id="1930384665"/>
    <w:p w:rsidR="00394CE6" w:rsidRDefault="00394CE6" w:rsidP="00394CE6">
      <w:pPr>
        <w:rPr>
          <w:rFonts w:cs="Arial"/>
        </w:rPr>
      </w:pPr>
      <w:r>
        <w:rPr>
          <w:rFonts w:cs="Arial"/>
        </w:rPr>
        <w:t>&lt;ESMA_QUESTION_STS_6&gt;</w:t>
      </w:r>
    </w:p>
    <w:p w:rsidR="00394CE6" w:rsidRDefault="00394CE6" w:rsidP="00394CE6">
      <w:pPr>
        <w:rPr>
          <w:rFonts w:cs="Arial"/>
        </w:rPr>
      </w:pPr>
    </w:p>
    <w:p w:rsidR="00394CE6" w:rsidRDefault="00394CE6" w:rsidP="00394CE6">
      <w:pPr>
        <w:pStyle w:val="Questionstyle"/>
        <w:numPr>
          <w:ilvl w:val="0"/>
          <w:numId w:val="39"/>
        </w:numPr>
      </w:pPr>
      <w:r>
        <w:t xml:space="preserve">: </w:t>
      </w:r>
      <w:r w:rsidRPr="000A5F37">
        <w:t>Do you agree that for the list of items in Table 3 a concise explanation shall be required in the STS notification, accompanied by the cross reference to the relevant section in prospectus or other securitisation documentation? If not, please state your reason and any further suggestion.</w:t>
      </w:r>
    </w:p>
    <w:p w:rsidR="00394CE6" w:rsidRDefault="00394CE6" w:rsidP="00394CE6">
      <w:pPr>
        <w:rPr>
          <w:rFonts w:cs="Arial"/>
        </w:rPr>
      </w:pPr>
      <w:r>
        <w:rPr>
          <w:rFonts w:cs="Arial"/>
        </w:rPr>
        <w:t>&lt;ESMA_QUESTION_STS_7&gt;</w:t>
      </w:r>
    </w:p>
    <w:p w:rsidR="00EA71F8" w:rsidRDefault="00EA71F8" w:rsidP="00EA71F8">
      <w:pPr>
        <w:rPr>
          <w:rFonts w:cs="Arial"/>
        </w:rPr>
      </w:pPr>
      <w:permStart w:id="2096058276" w:edGrp="everyone"/>
      <w:r>
        <w:rPr>
          <w:rFonts w:cs="Arial"/>
        </w:rPr>
        <w:t xml:space="preserve">With regard to cross-reference to securitisation </w:t>
      </w:r>
      <w:proofErr w:type="gramStart"/>
      <w:r>
        <w:rPr>
          <w:rFonts w:cs="Arial"/>
        </w:rPr>
        <w:t>documentation</w:t>
      </w:r>
      <w:proofErr w:type="gramEnd"/>
      <w:r>
        <w:rPr>
          <w:rFonts w:cs="Arial"/>
        </w:rPr>
        <w:t xml:space="preserve"> please see Q 6.</w:t>
      </w:r>
    </w:p>
    <w:p w:rsidR="00EA71F8" w:rsidRDefault="00EA71F8" w:rsidP="00394CE6">
      <w:pPr>
        <w:rPr>
          <w:rFonts w:cs="Arial"/>
        </w:rPr>
      </w:pPr>
    </w:p>
    <w:p w:rsidR="00394CE6" w:rsidRDefault="00CD0C65" w:rsidP="00394CE6">
      <w:pPr>
        <w:rPr>
          <w:rFonts w:cs="Arial"/>
        </w:rPr>
      </w:pPr>
      <w:r>
        <w:rPr>
          <w:rFonts w:cs="Arial"/>
        </w:rPr>
        <w:t xml:space="preserve">Concise explanation should only be required for items that are not digital (yes/no) or where several option may be used. </w:t>
      </w:r>
      <w:proofErr w:type="gramStart"/>
      <w:r>
        <w:rPr>
          <w:rFonts w:cs="Arial"/>
        </w:rPr>
        <w:t>Therefore</w:t>
      </w:r>
      <w:proofErr w:type="gramEnd"/>
      <w:r>
        <w:rPr>
          <w:rFonts w:cs="Arial"/>
        </w:rPr>
        <w:t xml:space="preserve"> the following items should be transferred in table 2:</w:t>
      </w:r>
    </w:p>
    <w:p w:rsidR="002414CB" w:rsidRDefault="002414CB" w:rsidP="00394CE6">
      <w:pPr>
        <w:rPr>
          <w:rFonts w:cs="Arial"/>
        </w:rPr>
      </w:pPr>
    </w:p>
    <w:tbl>
      <w:tblPr>
        <w:tblStyle w:val="Tabellenraster"/>
        <w:tblW w:w="0" w:type="auto"/>
        <w:tblLayout w:type="fixed"/>
        <w:tblLook w:val="04A0" w:firstRow="1" w:lastRow="0" w:firstColumn="1" w:lastColumn="0" w:noHBand="0" w:noVBand="1"/>
      </w:tblPr>
      <w:tblGrid>
        <w:gridCol w:w="1668"/>
        <w:gridCol w:w="708"/>
        <w:gridCol w:w="709"/>
        <w:gridCol w:w="1559"/>
        <w:gridCol w:w="709"/>
        <w:gridCol w:w="3402"/>
        <w:gridCol w:w="797"/>
      </w:tblGrid>
      <w:tr w:rsidR="002414CB" w:rsidRPr="002414CB" w:rsidTr="002414CB">
        <w:tc>
          <w:tcPr>
            <w:tcW w:w="1668" w:type="dxa"/>
          </w:tcPr>
          <w:p w:rsidR="00CD0C65" w:rsidRPr="002414CB" w:rsidRDefault="00CD0C65" w:rsidP="00394CE6">
            <w:pPr>
              <w:rPr>
                <w:rFonts w:cs="Arial"/>
                <w:sz w:val="16"/>
                <w:szCs w:val="16"/>
              </w:rPr>
            </w:pPr>
            <w:proofErr w:type="spellStart"/>
            <w:r w:rsidRPr="00CD0C65">
              <w:rPr>
                <w:rFonts w:cs="Arial"/>
                <w:b/>
                <w:bCs/>
                <w:color w:val="000000"/>
                <w:sz w:val="16"/>
                <w:szCs w:val="16"/>
                <w:lang w:val="de-DE" w:eastAsia="en-GB"/>
              </w:rPr>
              <w:t>Subject</w:t>
            </w:r>
            <w:proofErr w:type="spellEnd"/>
            <w:r w:rsidRPr="00CD0C65">
              <w:rPr>
                <w:rFonts w:cs="Arial"/>
                <w:b/>
                <w:bCs/>
                <w:color w:val="000000"/>
                <w:sz w:val="16"/>
                <w:szCs w:val="16"/>
                <w:lang w:val="de-DE" w:eastAsia="en-GB"/>
              </w:rPr>
              <w:t xml:space="preserve"> matter</w:t>
            </w:r>
          </w:p>
        </w:tc>
        <w:tc>
          <w:tcPr>
            <w:tcW w:w="708" w:type="dxa"/>
          </w:tcPr>
          <w:p w:rsidR="00CD0C65" w:rsidRPr="002414CB" w:rsidRDefault="00CD0C65" w:rsidP="00394CE6">
            <w:pPr>
              <w:rPr>
                <w:rFonts w:cs="Arial"/>
                <w:sz w:val="16"/>
                <w:szCs w:val="16"/>
              </w:rPr>
            </w:pPr>
            <w:r w:rsidRPr="00CD0C65">
              <w:rPr>
                <w:rFonts w:cs="Arial"/>
                <w:b/>
                <w:bCs/>
                <w:color w:val="000000"/>
                <w:sz w:val="16"/>
                <w:szCs w:val="16"/>
                <w:lang w:val="de-DE" w:eastAsia="en-GB"/>
              </w:rPr>
              <w:t>Non-ABCP</w:t>
            </w:r>
          </w:p>
        </w:tc>
        <w:tc>
          <w:tcPr>
            <w:tcW w:w="709" w:type="dxa"/>
          </w:tcPr>
          <w:p w:rsidR="00CD0C65" w:rsidRPr="002414CB" w:rsidRDefault="00CD0C65" w:rsidP="00394CE6">
            <w:pPr>
              <w:rPr>
                <w:rFonts w:cs="Arial"/>
                <w:sz w:val="16"/>
                <w:szCs w:val="16"/>
              </w:rPr>
            </w:pPr>
            <w:r w:rsidRPr="00CD0C65">
              <w:rPr>
                <w:rFonts w:cs="Arial"/>
                <w:b/>
                <w:bCs/>
                <w:color w:val="000000"/>
                <w:sz w:val="16"/>
                <w:szCs w:val="16"/>
                <w:lang w:val="de-DE" w:eastAsia="en-GB"/>
              </w:rPr>
              <w:t>ABCP Trans</w:t>
            </w:r>
            <w:r w:rsidR="002414CB" w:rsidRPr="002414CB">
              <w:rPr>
                <w:rFonts w:cs="Arial"/>
                <w:b/>
                <w:bCs/>
                <w:color w:val="000000"/>
                <w:sz w:val="16"/>
                <w:szCs w:val="16"/>
                <w:lang w:val="de-DE" w:eastAsia="en-GB"/>
              </w:rPr>
              <w:t>-</w:t>
            </w:r>
            <w:r w:rsidRPr="00CD0C65">
              <w:rPr>
                <w:rFonts w:cs="Arial"/>
                <w:b/>
                <w:bCs/>
                <w:color w:val="000000"/>
                <w:sz w:val="16"/>
                <w:szCs w:val="16"/>
                <w:lang w:val="de-DE" w:eastAsia="en-GB"/>
              </w:rPr>
              <w:t xml:space="preserve">action </w:t>
            </w:r>
            <w:proofErr w:type="spellStart"/>
            <w:r w:rsidRPr="00CD0C65">
              <w:rPr>
                <w:rFonts w:cs="Arial"/>
                <w:b/>
                <w:bCs/>
                <w:color w:val="000000"/>
                <w:sz w:val="16"/>
                <w:szCs w:val="16"/>
                <w:lang w:val="de-DE" w:eastAsia="en-GB"/>
              </w:rPr>
              <w:t>article</w:t>
            </w:r>
            <w:proofErr w:type="spellEnd"/>
          </w:p>
        </w:tc>
        <w:tc>
          <w:tcPr>
            <w:tcW w:w="1559" w:type="dxa"/>
          </w:tcPr>
          <w:p w:rsidR="00CD0C65" w:rsidRPr="002414CB" w:rsidRDefault="00CD0C65" w:rsidP="00394CE6">
            <w:pPr>
              <w:rPr>
                <w:rFonts w:cs="Arial"/>
                <w:sz w:val="16"/>
                <w:szCs w:val="16"/>
              </w:rPr>
            </w:pPr>
            <w:r w:rsidRPr="00CD0C65">
              <w:rPr>
                <w:rFonts w:cs="Arial"/>
                <w:b/>
                <w:bCs/>
                <w:color w:val="000000"/>
                <w:sz w:val="16"/>
                <w:szCs w:val="16"/>
                <w:lang w:val="de-DE" w:eastAsia="en-GB"/>
              </w:rPr>
              <w:t>ABCP Pro</w:t>
            </w:r>
            <w:r w:rsidR="00FC79E8">
              <w:rPr>
                <w:rFonts w:cs="Arial"/>
                <w:b/>
                <w:bCs/>
                <w:color w:val="000000"/>
                <w:sz w:val="16"/>
                <w:szCs w:val="16"/>
                <w:lang w:val="de-DE" w:eastAsia="en-GB"/>
              </w:rPr>
              <w:t>-</w:t>
            </w:r>
            <w:r w:rsidRPr="00CD0C65">
              <w:rPr>
                <w:rFonts w:cs="Arial"/>
                <w:b/>
                <w:bCs/>
                <w:color w:val="000000"/>
                <w:sz w:val="16"/>
                <w:szCs w:val="16"/>
                <w:lang w:val="de-DE" w:eastAsia="en-GB"/>
              </w:rPr>
              <w:t xml:space="preserve">gramme </w:t>
            </w:r>
            <w:proofErr w:type="spellStart"/>
            <w:r w:rsidRPr="00CD0C65">
              <w:rPr>
                <w:rFonts w:cs="Arial"/>
                <w:b/>
                <w:bCs/>
                <w:color w:val="000000"/>
                <w:sz w:val="16"/>
                <w:szCs w:val="16"/>
                <w:lang w:val="de-DE" w:eastAsia="en-GB"/>
              </w:rPr>
              <w:t>article</w:t>
            </w:r>
            <w:proofErr w:type="spellEnd"/>
          </w:p>
        </w:tc>
        <w:tc>
          <w:tcPr>
            <w:tcW w:w="709" w:type="dxa"/>
          </w:tcPr>
          <w:p w:rsidR="00CD0C65" w:rsidRPr="00CD0C65" w:rsidRDefault="00CD0C65" w:rsidP="00CD0C65">
            <w:pPr>
              <w:autoSpaceDE w:val="0"/>
              <w:autoSpaceDN w:val="0"/>
              <w:adjustRightInd w:val="0"/>
              <w:rPr>
                <w:rFonts w:cs="Arial"/>
                <w:color w:val="000000"/>
                <w:sz w:val="16"/>
                <w:szCs w:val="16"/>
                <w:lang w:val="de-DE" w:eastAsia="en-GB"/>
              </w:rPr>
            </w:pPr>
            <w:r w:rsidRPr="00CD0C65">
              <w:rPr>
                <w:rFonts w:cs="Arial"/>
                <w:b/>
                <w:bCs/>
                <w:color w:val="000000"/>
                <w:sz w:val="16"/>
                <w:szCs w:val="16"/>
                <w:lang w:val="de-DE" w:eastAsia="en-GB"/>
              </w:rPr>
              <w:t xml:space="preserve">ABCP </w:t>
            </w:r>
            <w:proofErr w:type="spellStart"/>
            <w:r w:rsidRPr="00CD0C65">
              <w:rPr>
                <w:rFonts w:cs="Arial"/>
                <w:b/>
                <w:bCs/>
                <w:color w:val="000000"/>
                <w:sz w:val="16"/>
                <w:szCs w:val="16"/>
                <w:lang w:val="de-DE" w:eastAsia="en-GB"/>
              </w:rPr>
              <w:t>Spon</w:t>
            </w:r>
            <w:r w:rsidR="00FC79E8">
              <w:rPr>
                <w:rFonts w:cs="Arial"/>
                <w:b/>
                <w:bCs/>
                <w:color w:val="000000"/>
                <w:sz w:val="16"/>
                <w:szCs w:val="16"/>
                <w:lang w:val="de-DE" w:eastAsia="en-GB"/>
              </w:rPr>
              <w:t>-</w:t>
            </w:r>
            <w:r w:rsidRPr="00CD0C65">
              <w:rPr>
                <w:rFonts w:cs="Arial"/>
                <w:b/>
                <w:bCs/>
                <w:color w:val="000000"/>
                <w:sz w:val="16"/>
                <w:szCs w:val="16"/>
                <w:lang w:val="de-DE" w:eastAsia="en-GB"/>
              </w:rPr>
              <w:t>sor</w:t>
            </w:r>
            <w:proofErr w:type="spellEnd"/>
            <w:r w:rsidRPr="00CD0C65">
              <w:rPr>
                <w:rFonts w:cs="Arial"/>
                <w:b/>
                <w:bCs/>
                <w:color w:val="000000"/>
                <w:sz w:val="16"/>
                <w:szCs w:val="16"/>
                <w:lang w:val="de-DE" w:eastAsia="en-GB"/>
              </w:rPr>
              <w:t xml:space="preserve"> </w:t>
            </w:r>
          </w:p>
          <w:p w:rsidR="00CD0C65" w:rsidRPr="002414CB" w:rsidRDefault="00CD0C65" w:rsidP="00CD0C65">
            <w:pPr>
              <w:rPr>
                <w:rFonts w:cs="Arial"/>
                <w:sz w:val="16"/>
                <w:szCs w:val="16"/>
              </w:rPr>
            </w:pPr>
            <w:proofErr w:type="spellStart"/>
            <w:r w:rsidRPr="00CD0C65">
              <w:rPr>
                <w:rFonts w:cs="Arial"/>
                <w:b/>
                <w:bCs/>
                <w:color w:val="000000"/>
                <w:sz w:val="16"/>
                <w:szCs w:val="16"/>
                <w:lang w:val="de-DE" w:eastAsia="en-GB"/>
              </w:rPr>
              <w:t>article</w:t>
            </w:r>
            <w:proofErr w:type="spellEnd"/>
          </w:p>
        </w:tc>
        <w:tc>
          <w:tcPr>
            <w:tcW w:w="3402" w:type="dxa"/>
          </w:tcPr>
          <w:p w:rsidR="00CD0C65" w:rsidRPr="002414CB" w:rsidRDefault="00CD0C65" w:rsidP="00394CE6">
            <w:pPr>
              <w:rPr>
                <w:rFonts w:cs="Arial"/>
                <w:sz w:val="16"/>
                <w:szCs w:val="16"/>
              </w:rPr>
            </w:pPr>
            <w:r w:rsidRPr="001457C7">
              <w:rPr>
                <w:rFonts w:cs="Arial"/>
                <w:b/>
                <w:bCs/>
                <w:color w:val="000000"/>
                <w:sz w:val="16"/>
                <w:szCs w:val="16"/>
                <w:lang w:eastAsia="en-GB"/>
              </w:rPr>
              <w:t>ESMA comments regarding the expected content of the STS notification</w:t>
            </w:r>
          </w:p>
        </w:tc>
        <w:tc>
          <w:tcPr>
            <w:tcW w:w="797" w:type="dxa"/>
          </w:tcPr>
          <w:p w:rsidR="00CD0C65" w:rsidRPr="002414CB" w:rsidRDefault="00CD0C65" w:rsidP="00394CE6">
            <w:pPr>
              <w:rPr>
                <w:rFonts w:cs="Arial"/>
                <w:sz w:val="16"/>
                <w:szCs w:val="16"/>
              </w:rPr>
            </w:pPr>
            <w:proofErr w:type="spellStart"/>
            <w:r w:rsidRPr="002414CB">
              <w:rPr>
                <w:rFonts w:cs="Arial"/>
                <w:b/>
                <w:bCs/>
                <w:color w:val="000000"/>
                <w:sz w:val="16"/>
                <w:szCs w:val="16"/>
                <w:lang w:val="de-DE" w:eastAsia="en-GB"/>
              </w:rPr>
              <w:t>reason</w:t>
            </w:r>
            <w:proofErr w:type="spellEnd"/>
          </w:p>
        </w:tc>
      </w:tr>
      <w:tr w:rsidR="002414CB" w:rsidRPr="002414CB" w:rsidTr="002414CB">
        <w:tc>
          <w:tcPr>
            <w:tcW w:w="1668" w:type="dxa"/>
          </w:tcPr>
          <w:p w:rsidR="00CD0C65" w:rsidRPr="002414CB" w:rsidRDefault="00CD0C65" w:rsidP="00394CE6">
            <w:pPr>
              <w:rPr>
                <w:rFonts w:cs="Arial"/>
                <w:sz w:val="16"/>
                <w:szCs w:val="16"/>
              </w:rPr>
            </w:pPr>
            <w:r w:rsidRPr="001457C7">
              <w:rPr>
                <w:rFonts w:cs="Arial"/>
                <w:color w:val="000000"/>
                <w:sz w:val="16"/>
                <w:szCs w:val="16"/>
                <w:lang w:eastAsia="en-GB"/>
              </w:rPr>
              <w:lastRenderedPageBreak/>
              <w:t>Transfer of the underlying exposures by true sale or assignment</w:t>
            </w:r>
          </w:p>
        </w:tc>
        <w:tc>
          <w:tcPr>
            <w:tcW w:w="708" w:type="dxa"/>
          </w:tcPr>
          <w:p w:rsidR="00CD0C65" w:rsidRPr="002414CB" w:rsidRDefault="00CD0C65" w:rsidP="00394CE6">
            <w:pPr>
              <w:rPr>
                <w:rFonts w:cs="Arial"/>
                <w:sz w:val="16"/>
                <w:szCs w:val="16"/>
              </w:rPr>
            </w:pPr>
            <w:proofErr w:type="spellStart"/>
            <w:r w:rsidRPr="00CD0C65">
              <w:rPr>
                <w:rFonts w:cs="Arial"/>
                <w:color w:val="000000"/>
                <w:sz w:val="16"/>
                <w:szCs w:val="16"/>
                <w:lang w:val="de-DE" w:eastAsia="en-GB"/>
              </w:rPr>
              <w:t>Article</w:t>
            </w:r>
            <w:proofErr w:type="spellEnd"/>
            <w:r w:rsidRPr="00CD0C65">
              <w:rPr>
                <w:rFonts w:cs="Arial"/>
                <w:color w:val="000000"/>
                <w:sz w:val="16"/>
                <w:szCs w:val="16"/>
                <w:lang w:val="de-DE" w:eastAsia="en-GB"/>
              </w:rPr>
              <w:t xml:space="preserve"> 20(1)</w:t>
            </w:r>
          </w:p>
        </w:tc>
        <w:tc>
          <w:tcPr>
            <w:tcW w:w="709" w:type="dxa"/>
          </w:tcPr>
          <w:p w:rsidR="00CD0C65" w:rsidRPr="002414CB" w:rsidRDefault="00CD0C65" w:rsidP="00394CE6">
            <w:pPr>
              <w:rPr>
                <w:rFonts w:cs="Arial"/>
                <w:sz w:val="16"/>
                <w:szCs w:val="16"/>
              </w:rPr>
            </w:pPr>
            <w:proofErr w:type="spellStart"/>
            <w:r w:rsidRPr="00CD0C65">
              <w:rPr>
                <w:rFonts w:cs="Arial"/>
                <w:color w:val="000000"/>
                <w:sz w:val="16"/>
                <w:szCs w:val="16"/>
                <w:lang w:val="de-DE" w:eastAsia="en-GB"/>
              </w:rPr>
              <w:t>Article</w:t>
            </w:r>
            <w:proofErr w:type="spellEnd"/>
            <w:r w:rsidRPr="00CD0C65">
              <w:rPr>
                <w:rFonts w:cs="Arial"/>
                <w:color w:val="000000"/>
                <w:sz w:val="16"/>
                <w:szCs w:val="16"/>
                <w:lang w:val="de-DE" w:eastAsia="en-GB"/>
              </w:rPr>
              <w:t xml:space="preserve"> 24(1)</w:t>
            </w:r>
          </w:p>
        </w:tc>
        <w:tc>
          <w:tcPr>
            <w:tcW w:w="1559" w:type="dxa"/>
          </w:tcPr>
          <w:p w:rsidR="00CD0C65" w:rsidRPr="002414CB" w:rsidRDefault="00CD0C65" w:rsidP="00394CE6">
            <w:pPr>
              <w:rPr>
                <w:rFonts w:cs="Arial"/>
                <w:sz w:val="16"/>
                <w:szCs w:val="16"/>
              </w:rPr>
            </w:pPr>
            <w:r w:rsidRPr="001457C7">
              <w:rPr>
                <w:rFonts w:cs="Arial"/>
                <w:color w:val="000000"/>
                <w:sz w:val="16"/>
                <w:szCs w:val="16"/>
                <w:lang w:eastAsia="en-GB"/>
              </w:rPr>
              <w:t>Article 26(1), same requirement as under Articles 20(1) and 24(1)</w:t>
            </w:r>
          </w:p>
        </w:tc>
        <w:tc>
          <w:tcPr>
            <w:tcW w:w="709" w:type="dxa"/>
          </w:tcPr>
          <w:p w:rsidR="00CD0C65" w:rsidRPr="002414CB" w:rsidRDefault="00CD0C65" w:rsidP="00394CE6">
            <w:pPr>
              <w:rPr>
                <w:rFonts w:cs="Arial"/>
                <w:sz w:val="16"/>
                <w:szCs w:val="16"/>
              </w:rPr>
            </w:pPr>
            <w:r w:rsidRPr="00CD0C65">
              <w:rPr>
                <w:rFonts w:cs="Arial"/>
                <w:color w:val="000000"/>
                <w:sz w:val="16"/>
                <w:szCs w:val="16"/>
                <w:lang w:val="de-DE" w:eastAsia="en-GB"/>
              </w:rPr>
              <w:t>N/A</w:t>
            </w:r>
          </w:p>
        </w:tc>
        <w:tc>
          <w:tcPr>
            <w:tcW w:w="3402" w:type="dxa"/>
          </w:tcPr>
          <w:p w:rsidR="00CD0C65" w:rsidRPr="002414CB" w:rsidRDefault="00CD0C65" w:rsidP="00394CE6">
            <w:pPr>
              <w:rPr>
                <w:rFonts w:cs="Arial"/>
                <w:sz w:val="16"/>
                <w:szCs w:val="16"/>
              </w:rPr>
            </w:pPr>
            <w:r w:rsidRPr="001457C7">
              <w:rPr>
                <w:rFonts w:cs="Arial"/>
                <w:color w:val="000000"/>
                <w:sz w:val="16"/>
                <w:szCs w:val="16"/>
                <w:lang w:eastAsia="en-GB"/>
              </w:rPr>
              <w:t>The STS notification shall confirm and include a concise explanation on whether there is no circumstance in which a liquidator or creditor of the originator could seek to unwind the securitisation and claim that the receivables are available to the general creditors of the originator. The explanation shall specify whether the transfer of the underlying exposures is made by means of true sale</w:t>
            </w:r>
          </w:p>
        </w:tc>
        <w:tc>
          <w:tcPr>
            <w:tcW w:w="797" w:type="dxa"/>
          </w:tcPr>
          <w:p w:rsidR="00CD0C65" w:rsidRPr="002414CB" w:rsidRDefault="00CD0C65" w:rsidP="00394CE6">
            <w:pPr>
              <w:rPr>
                <w:rFonts w:cs="Arial"/>
                <w:sz w:val="16"/>
                <w:szCs w:val="16"/>
              </w:rPr>
            </w:pPr>
            <w:r w:rsidRPr="002414CB">
              <w:rPr>
                <w:rFonts w:cs="Arial"/>
                <w:sz w:val="16"/>
                <w:szCs w:val="16"/>
              </w:rPr>
              <w:t>Yes/No</w:t>
            </w:r>
          </w:p>
        </w:tc>
      </w:tr>
      <w:tr w:rsidR="002414CB" w:rsidRPr="002414CB" w:rsidTr="002414CB">
        <w:tc>
          <w:tcPr>
            <w:tcW w:w="1668"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No </w:t>
            </w:r>
            <w:proofErr w:type="spellStart"/>
            <w:r w:rsidRPr="002414CB">
              <w:rPr>
                <w:rFonts w:ascii="Arial" w:hAnsi="Arial" w:cs="Arial"/>
                <w:sz w:val="16"/>
                <w:szCs w:val="16"/>
              </w:rPr>
              <w:t>severe</w:t>
            </w:r>
            <w:proofErr w:type="spellEnd"/>
            <w:r w:rsidRPr="002414CB">
              <w:rPr>
                <w:rFonts w:ascii="Arial" w:hAnsi="Arial" w:cs="Arial"/>
                <w:sz w:val="16"/>
                <w:szCs w:val="16"/>
              </w:rPr>
              <w:t xml:space="preserve"> </w:t>
            </w:r>
            <w:proofErr w:type="spellStart"/>
            <w:r w:rsidRPr="002414CB">
              <w:rPr>
                <w:rFonts w:ascii="Arial" w:hAnsi="Arial" w:cs="Arial"/>
                <w:sz w:val="16"/>
                <w:szCs w:val="16"/>
              </w:rPr>
              <w:t>clawback</w:t>
            </w:r>
            <w:proofErr w:type="spellEnd"/>
            <w:r w:rsidRPr="002414CB">
              <w:rPr>
                <w:rFonts w:ascii="Arial" w:hAnsi="Arial" w:cs="Arial"/>
                <w:sz w:val="16"/>
                <w:szCs w:val="16"/>
              </w:rPr>
              <w:t xml:space="preserve"> provisions </w:t>
            </w:r>
          </w:p>
          <w:p w:rsidR="00CD0C65" w:rsidRPr="002414CB" w:rsidRDefault="00CD0C65" w:rsidP="00394CE6">
            <w:pPr>
              <w:rPr>
                <w:rFonts w:cs="Arial"/>
                <w:sz w:val="16"/>
                <w:szCs w:val="16"/>
              </w:rPr>
            </w:pPr>
          </w:p>
        </w:tc>
        <w:tc>
          <w:tcPr>
            <w:tcW w:w="708"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Article 20 (2) </w:t>
            </w:r>
          </w:p>
          <w:p w:rsidR="00CD0C65" w:rsidRPr="002414CB" w:rsidRDefault="00CD0C65" w:rsidP="00394CE6">
            <w:pPr>
              <w:rPr>
                <w:rFonts w:cs="Arial"/>
                <w:sz w:val="16"/>
                <w:szCs w:val="16"/>
              </w:rPr>
            </w:pPr>
          </w:p>
        </w:tc>
        <w:tc>
          <w:tcPr>
            <w:tcW w:w="709"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Article 24(2) </w:t>
            </w:r>
          </w:p>
          <w:p w:rsidR="00CD0C65" w:rsidRPr="002414CB" w:rsidRDefault="00CD0C65" w:rsidP="00394CE6">
            <w:pPr>
              <w:rPr>
                <w:rFonts w:cs="Arial"/>
                <w:sz w:val="16"/>
                <w:szCs w:val="16"/>
              </w:rPr>
            </w:pPr>
          </w:p>
        </w:tc>
        <w:tc>
          <w:tcPr>
            <w:tcW w:w="1559"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No </w:t>
            </w:r>
            <w:proofErr w:type="spellStart"/>
            <w:r w:rsidRPr="002414CB">
              <w:rPr>
                <w:rFonts w:ascii="Arial" w:hAnsi="Arial" w:cs="Arial"/>
                <w:sz w:val="16"/>
                <w:szCs w:val="16"/>
              </w:rPr>
              <w:t>severe</w:t>
            </w:r>
            <w:proofErr w:type="spellEnd"/>
            <w:r w:rsidRPr="002414CB">
              <w:rPr>
                <w:rFonts w:ascii="Arial" w:hAnsi="Arial" w:cs="Arial"/>
                <w:sz w:val="16"/>
                <w:szCs w:val="16"/>
              </w:rPr>
              <w:t xml:space="preserve"> </w:t>
            </w:r>
            <w:proofErr w:type="spellStart"/>
            <w:r w:rsidRPr="002414CB">
              <w:rPr>
                <w:rFonts w:ascii="Arial" w:hAnsi="Arial" w:cs="Arial"/>
                <w:sz w:val="16"/>
                <w:szCs w:val="16"/>
              </w:rPr>
              <w:t>clawback</w:t>
            </w:r>
            <w:proofErr w:type="spellEnd"/>
            <w:r w:rsidRPr="002414CB">
              <w:rPr>
                <w:rFonts w:ascii="Arial" w:hAnsi="Arial" w:cs="Arial"/>
                <w:sz w:val="16"/>
                <w:szCs w:val="16"/>
              </w:rPr>
              <w:t xml:space="preserve"> provisions </w:t>
            </w:r>
          </w:p>
          <w:p w:rsidR="00CD0C65" w:rsidRPr="002414CB" w:rsidRDefault="00CD0C65" w:rsidP="00394CE6">
            <w:pPr>
              <w:rPr>
                <w:rFonts w:cs="Arial"/>
                <w:sz w:val="16"/>
                <w:szCs w:val="16"/>
              </w:rPr>
            </w:pPr>
          </w:p>
        </w:tc>
        <w:tc>
          <w:tcPr>
            <w:tcW w:w="709"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N/A </w:t>
            </w:r>
          </w:p>
          <w:p w:rsidR="00CD0C65" w:rsidRPr="002414CB" w:rsidRDefault="00CD0C65" w:rsidP="00394CE6">
            <w:pPr>
              <w:rPr>
                <w:rFonts w:cs="Arial"/>
                <w:sz w:val="16"/>
                <w:szCs w:val="16"/>
              </w:rPr>
            </w:pPr>
          </w:p>
        </w:tc>
        <w:tc>
          <w:tcPr>
            <w:tcW w:w="3402"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The STS notification </w:t>
            </w:r>
            <w:proofErr w:type="spellStart"/>
            <w:r w:rsidRPr="002414CB">
              <w:rPr>
                <w:rFonts w:ascii="Arial" w:hAnsi="Arial" w:cs="Arial"/>
                <w:sz w:val="16"/>
                <w:szCs w:val="16"/>
              </w:rPr>
              <w:t>shall</w:t>
            </w:r>
            <w:proofErr w:type="spellEnd"/>
            <w:r w:rsidRPr="002414CB">
              <w:rPr>
                <w:rFonts w:ascii="Arial" w:hAnsi="Arial" w:cs="Arial"/>
                <w:sz w:val="16"/>
                <w:szCs w:val="16"/>
              </w:rPr>
              <w:t xml:space="preserve"> </w:t>
            </w:r>
            <w:proofErr w:type="spellStart"/>
            <w:r w:rsidRPr="002414CB">
              <w:rPr>
                <w:rFonts w:ascii="Arial" w:hAnsi="Arial" w:cs="Arial"/>
                <w:sz w:val="16"/>
                <w:szCs w:val="16"/>
              </w:rPr>
              <w:t>include</w:t>
            </w:r>
            <w:proofErr w:type="spellEnd"/>
            <w:r w:rsidRPr="002414CB">
              <w:rPr>
                <w:rFonts w:ascii="Arial" w:hAnsi="Arial" w:cs="Arial"/>
                <w:sz w:val="16"/>
                <w:szCs w:val="16"/>
              </w:rPr>
              <w:t xml:space="preserve"> a concise </w:t>
            </w:r>
            <w:proofErr w:type="spellStart"/>
            <w:r w:rsidRPr="002414CB">
              <w:rPr>
                <w:rFonts w:ascii="Arial" w:hAnsi="Arial" w:cs="Arial"/>
                <w:sz w:val="16"/>
                <w:szCs w:val="16"/>
              </w:rPr>
              <w:t>explanation</w:t>
            </w:r>
            <w:proofErr w:type="spellEnd"/>
            <w:r w:rsidRPr="002414CB">
              <w:rPr>
                <w:rFonts w:ascii="Arial" w:hAnsi="Arial" w:cs="Arial"/>
                <w:sz w:val="16"/>
                <w:szCs w:val="16"/>
              </w:rPr>
              <w:t xml:space="preserve"> </w:t>
            </w:r>
            <w:proofErr w:type="spellStart"/>
            <w:r w:rsidRPr="002414CB">
              <w:rPr>
                <w:rFonts w:ascii="Arial" w:hAnsi="Arial" w:cs="Arial"/>
                <w:sz w:val="16"/>
                <w:szCs w:val="16"/>
              </w:rPr>
              <w:t>that</w:t>
            </w:r>
            <w:proofErr w:type="spellEnd"/>
            <w:r w:rsidRPr="002414CB">
              <w:rPr>
                <w:rFonts w:ascii="Arial" w:hAnsi="Arial" w:cs="Arial"/>
                <w:sz w:val="16"/>
                <w:szCs w:val="16"/>
              </w:rPr>
              <w:t xml:space="preserve"> none of the situations </w:t>
            </w:r>
            <w:proofErr w:type="spellStart"/>
            <w:r w:rsidRPr="002414CB">
              <w:rPr>
                <w:rFonts w:ascii="Arial" w:hAnsi="Arial" w:cs="Arial"/>
                <w:sz w:val="16"/>
                <w:szCs w:val="16"/>
              </w:rPr>
              <w:t>referred</w:t>
            </w:r>
            <w:proofErr w:type="spellEnd"/>
            <w:r w:rsidRPr="002414CB">
              <w:rPr>
                <w:rFonts w:ascii="Arial" w:hAnsi="Arial" w:cs="Arial"/>
                <w:sz w:val="16"/>
                <w:szCs w:val="16"/>
              </w:rPr>
              <w:t xml:space="preserve"> to in Article 20 (2) (a) and (b) or Article 24(2) are </w:t>
            </w:r>
            <w:proofErr w:type="spellStart"/>
            <w:r w:rsidRPr="002414CB">
              <w:rPr>
                <w:rFonts w:ascii="Arial" w:hAnsi="Arial" w:cs="Arial"/>
                <w:sz w:val="16"/>
                <w:szCs w:val="16"/>
              </w:rPr>
              <w:t>found</w:t>
            </w:r>
            <w:proofErr w:type="spellEnd"/>
            <w:r w:rsidRPr="002414CB">
              <w:rPr>
                <w:rFonts w:ascii="Arial" w:hAnsi="Arial" w:cs="Arial"/>
                <w:sz w:val="16"/>
                <w:szCs w:val="16"/>
              </w:rPr>
              <w:t xml:space="preserve"> in the </w:t>
            </w:r>
            <w:proofErr w:type="spellStart"/>
            <w:r w:rsidRPr="002414CB">
              <w:rPr>
                <w:rFonts w:ascii="Arial" w:hAnsi="Arial" w:cs="Arial"/>
                <w:sz w:val="16"/>
                <w:szCs w:val="16"/>
              </w:rPr>
              <w:t>securitisation</w:t>
            </w:r>
            <w:proofErr w:type="spellEnd"/>
            <w:r w:rsidRPr="002414CB">
              <w:rPr>
                <w:rFonts w:ascii="Arial" w:hAnsi="Arial" w:cs="Arial"/>
                <w:sz w:val="16"/>
                <w:szCs w:val="16"/>
              </w:rPr>
              <w:t xml:space="preserve">, </w:t>
            </w:r>
            <w:proofErr w:type="spellStart"/>
            <w:r w:rsidRPr="002414CB">
              <w:rPr>
                <w:rFonts w:ascii="Arial" w:hAnsi="Arial" w:cs="Arial"/>
                <w:sz w:val="16"/>
                <w:szCs w:val="16"/>
              </w:rPr>
              <w:t>unless</w:t>
            </w:r>
            <w:proofErr w:type="spellEnd"/>
            <w:r w:rsidRPr="002414CB">
              <w:rPr>
                <w:rFonts w:ascii="Arial" w:hAnsi="Arial" w:cs="Arial"/>
                <w:sz w:val="16"/>
                <w:szCs w:val="16"/>
              </w:rPr>
              <w:t xml:space="preserve"> the </w:t>
            </w:r>
            <w:proofErr w:type="spellStart"/>
            <w:r w:rsidRPr="002414CB">
              <w:rPr>
                <w:rFonts w:ascii="Arial" w:hAnsi="Arial" w:cs="Arial"/>
                <w:sz w:val="16"/>
                <w:szCs w:val="16"/>
              </w:rPr>
              <w:t>requirements</w:t>
            </w:r>
            <w:proofErr w:type="spellEnd"/>
            <w:r w:rsidRPr="002414CB">
              <w:rPr>
                <w:rFonts w:ascii="Arial" w:hAnsi="Arial" w:cs="Arial"/>
                <w:sz w:val="16"/>
                <w:szCs w:val="16"/>
              </w:rPr>
              <w:t xml:space="preserve"> laid down in Article 20 (3) or 24 (3) </w:t>
            </w:r>
            <w:proofErr w:type="spellStart"/>
            <w:r w:rsidRPr="002414CB">
              <w:rPr>
                <w:rFonts w:ascii="Arial" w:hAnsi="Arial" w:cs="Arial"/>
                <w:sz w:val="16"/>
                <w:szCs w:val="16"/>
              </w:rPr>
              <w:t>apply</w:t>
            </w:r>
            <w:proofErr w:type="spellEnd"/>
            <w:r w:rsidRPr="002414CB">
              <w:rPr>
                <w:rFonts w:ascii="Arial" w:hAnsi="Arial" w:cs="Arial"/>
                <w:sz w:val="16"/>
                <w:szCs w:val="16"/>
              </w:rPr>
              <w:t xml:space="preserve">. </w:t>
            </w:r>
            <w:proofErr w:type="spellStart"/>
            <w:r w:rsidRPr="002414CB">
              <w:rPr>
                <w:rFonts w:ascii="Arial" w:hAnsi="Arial" w:cs="Arial"/>
                <w:sz w:val="16"/>
                <w:szCs w:val="16"/>
              </w:rPr>
              <w:t>Such</w:t>
            </w:r>
            <w:proofErr w:type="spellEnd"/>
            <w:r w:rsidRPr="002414CB">
              <w:rPr>
                <w:rFonts w:ascii="Arial" w:hAnsi="Arial" w:cs="Arial"/>
                <w:sz w:val="16"/>
                <w:szCs w:val="16"/>
              </w:rPr>
              <w:t xml:space="preserve"> </w:t>
            </w:r>
            <w:proofErr w:type="spellStart"/>
            <w:r w:rsidRPr="002414CB">
              <w:rPr>
                <w:rFonts w:ascii="Arial" w:hAnsi="Arial" w:cs="Arial"/>
                <w:sz w:val="16"/>
                <w:szCs w:val="16"/>
              </w:rPr>
              <w:t>explanation</w:t>
            </w:r>
            <w:proofErr w:type="spellEnd"/>
            <w:r w:rsidRPr="002414CB">
              <w:rPr>
                <w:rFonts w:ascii="Arial" w:hAnsi="Arial" w:cs="Arial"/>
                <w:sz w:val="16"/>
                <w:szCs w:val="16"/>
              </w:rPr>
              <w:t xml:space="preserve"> must </w:t>
            </w:r>
            <w:proofErr w:type="spellStart"/>
            <w:r w:rsidRPr="002414CB">
              <w:rPr>
                <w:rFonts w:ascii="Arial" w:hAnsi="Arial" w:cs="Arial"/>
                <w:sz w:val="16"/>
                <w:szCs w:val="16"/>
              </w:rPr>
              <w:t>include</w:t>
            </w:r>
            <w:proofErr w:type="spellEnd"/>
            <w:r w:rsidRPr="002414CB">
              <w:rPr>
                <w:rFonts w:ascii="Arial" w:hAnsi="Arial" w:cs="Arial"/>
                <w:sz w:val="16"/>
                <w:szCs w:val="16"/>
              </w:rPr>
              <w:t xml:space="preserve"> cross-</w:t>
            </w:r>
            <w:proofErr w:type="spellStart"/>
            <w:r w:rsidRPr="002414CB">
              <w:rPr>
                <w:rFonts w:ascii="Arial" w:hAnsi="Arial" w:cs="Arial"/>
                <w:sz w:val="16"/>
                <w:szCs w:val="16"/>
              </w:rPr>
              <w:t>reference</w:t>
            </w:r>
            <w:proofErr w:type="spellEnd"/>
            <w:r w:rsidRPr="002414CB">
              <w:rPr>
                <w:rFonts w:ascii="Arial" w:hAnsi="Arial" w:cs="Arial"/>
                <w:sz w:val="16"/>
                <w:szCs w:val="16"/>
              </w:rPr>
              <w:t xml:space="preserve"> to Item 3.3 of </w:t>
            </w:r>
            <w:proofErr w:type="spellStart"/>
            <w:r w:rsidRPr="002414CB">
              <w:rPr>
                <w:rFonts w:ascii="Arial" w:hAnsi="Arial" w:cs="Arial"/>
                <w:sz w:val="16"/>
                <w:szCs w:val="16"/>
              </w:rPr>
              <w:t>Annex</w:t>
            </w:r>
            <w:proofErr w:type="spellEnd"/>
            <w:r w:rsidRPr="002414CB">
              <w:rPr>
                <w:rFonts w:ascii="Arial" w:hAnsi="Arial" w:cs="Arial"/>
                <w:sz w:val="16"/>
                <w:szCs w:val="16"/>
              </w:rPr>
              <w:t xml:space="preserve"> 11. </w:t>
            </w:r>
          </w:p>
        </w:tc>
        <w:tc>
          <w:tcPr>
            <w:tcW w:w="797" w:type="dxa"/>
          </w:tcPr>
          <w:p w:rsidR="00CD0C65" w:rsidRPr="002414CB" w:rsidRDefault="00CD0C65" w:rsidP="00394CE6">
            <w:pPr>
              <w:rPr>
                <w:rFonts w:cs="Arial"/>
                <w:sz w:val="16"/>
                <w:szCs w:val="16"/>
              </w:rPr>
            </w:pPr>
            <w:r w:rsidRPr="002414CB">
              <w:rPr>
                <w:rFonts w:cs="Arial"/>
                <w:sz w:val="16"/>
                <w:szCs w:val="16"/>
              </w:rPr>
              <w:t>Yes/No</w:t>
            </w:r>
          </w:p>
        </w:tc>
      </w:tr>
      <w:tr w:rsidR="002414CB" w:rsidRPr="002414CB" w:rsidTr="002414CB">
        <w:tc>
          <w:tcPr>
            <w:tcW w:w="1668" w:type="dxa"/>
          </w:tcPr>
          <w:p w:rsidR="00CD0C65" w:rsidRPr="002414CB" w:rsidRDefault="00CD0C65" w:rsidP="00CD0C65">
            <w:pPr>
              <w:pStyle w:val="Default"/>
              <w:rPr>
                <w:rFonts w:ascii="Arial" w:hAnsi="Arial" w:cs="Arial"/>
                <w:sz w:val="16"/>
                <w:szCs w:val="16"/>
              </w:rPr>
            </w:pPr>
            <w:proofErr w:type="spellStart"/>
            <w:r w:rsidRPr="002414CB">
              <w:rPr>
                <w:rFonts w:ascii="Arial" w:hAnsi="Arial" w:cs="Arial"/>
                <w:sz w:val="16"/>
                <w:szCs w:val="16"/>
              </w:rPr>
              <w:t>Clawback</w:t>
            </w:r>
            <w:proofErr w:type="spellEnd"/>
            <w:r w:rsidRPr="002414CB">
              <w:rPr>
                <w:rFonts w:ascii="Arial" w:hAnsi="Arial" w:cs="Arial"/>
                <w:sz w:val="16"/>
                <w:szCs w:val="16"/>
              </w:rPr>
              <w:t xml:space="preserve"> provisions in national </w:t>
            </w:r>
            <w:proofErr w:type="spellStart"/>
            <w:r w:rsidRPr="002414CB">
              <w:rPr>
                <w:rFonts w:ascii="Arial" w:hAnsi="Arial" w:cs="Arial"/>
                <w:sz w:val="16"/>
                <w:szCs w:val="16"/>
              </w:rPr>
              <w:t>insolvency</w:t>
            </w:r>
            <w:proofErr w:type="spellEnd"/>
            <w:r w:rsidRPr="002414CB">
              <w:rPr>
                <w:rFonts w:ascii="Arial" w:hAnsi="Arial" w:cs="Arial"/>
                <w:sz w:val="16"/>
                <w:szCs w:val="16"/>
              </w:rPr>
              <w:t xml:space="preserve"> </w:t>
            </w:r>
            <w:proofErr w:type="spellStart"/>
            <w:r w:rsidRPr="002414CB">
              <w:rPr>
                <w:rFonts w:ascii="Arial" w:hAnsi="Arial" w:cs="Arial"/>
                <w:sz w:val="16"/>
                <w:szCs w:val="16"/>
              </w:rPr>
              <w:t>laws</w:t>
            </w:r>
            <w:proofErr w:type="spellEnd"/>
            <w:r w:rsidRPr="002414CB">
              <w:rPr>
                <w:rFonts w:ascii="Arial" w:hAnsi="Arial" w:cs="Arial"/>
                <w:sz w:val="16"/>
                <w:szCs w:val="16"/>
              </w:rPr>
              <w:t xml:space="preserve"> </w:t>
            </w:r>
          </w:p>
          <w:p w:rsidR="00CD0C65" w:rsidRPr="002414CB" w:rsidRDefault="00CD0C65" w:rsidP="00394CE6">
            <w:pPr>
              <w:rPr>
                <w:rFonts w:cs="Arial"/>
                <w:sz w:val="16"/>
                <w:szCs w:val="16"/>
              </w:rPr>
            </w:pPr>
          </w:p>
        </w:tc>
        <w:tc>
          <w:tcPr>
            <w:tcW w:w="708"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Articles 20(3) </w:t>
            </w:r>
          </w:p>
          <w:p w:rsidR="00CD0C65" w:rsidRPr="002414CB" w:rsidRDefault="00CD0C65" w:rsidP="00394CE6">
            <w:pPr>
              <w:rPr>
                <w:rFonts w:cs="Arial"/>
                <w:sz w:val="16"/>
                <w:szCs w:val="16"/>
              </w:rPr>
            </w:pPr>
          </w:p>
        </w:tc>
        <w:tc>
          <w:tcPr>
            <w:tcW w:w="709"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Article 24(3) </w:t>
            </w:r>
          </w:p>
          <w:p w:rsidR="00CD0C65" w:rsidRPr="002414CB" w:rsidRDefault="00CD0C65" w:rsidP="00394CE6">
            <w:pPr>
              <w:rPr>
                <w:rFonts w:cs="Arial"/>
                <w:sz w:val="16"/>
                <w:szCs w:val="16"/>
              </w:rPr>
            </w:pPr>
          </w:p>
        </w:tc>
        <w:tc>
          <w:tcPr>
            <w:tcW w:w="1559"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Article 26(1), </w:t>
            </w:r>
            <w:proofErr w:type="spellStart"/>
            <w:r w:rsidRPr="002414CB">
              <w:rPr>
                <w:rFonts w:ascii="Arial" w:hAnsi="Arial" w:cs="Arial"/>
                <w:sz w:val="16"/>
                <w:szCs w:val="16"/>
              </w:rPr>
              <w:t>same</w:t>
            </w:r>
            <w:proofErr w:type="spellEnd"/>
            <w:r w:rsidRPr="002414CB">
              <w:rPr>
                <w:rFonts w:ascii="Arial" w:hAnsi="Arial" w:cs="Arial"/>
                <w:sz w:val="16"/>
                <w:szCs w:val="16"/>
              </w:rPr>
              <w:t xml:space="preserve"> </w:t>
            </w:r>
            <w:proofErr w:type="spellStart"/>
            <w:r w:rsidRPr="002414CB">
              <w:rPr>
                <w:rFonts w:ascii="Arial" w:hAnsi="Arial" w:cs="Arial"/>
                <w:sz w:val="16"/>
                <w:szCs w:val="16"/>
              </w:rPr>
              <w:t>requirement</w:t>
            </w:r>
            <w:proofErr w:type="spellEnd"/>
            <w:r w:rsidRPr="002414CB">
              <w:rPr>
                <w:rFonts w:ascii="Arial" w:hAnsi="Arial" w:cs="Arial"/>
                <w:sz w:val="16"/>
                <w:szCs w:val="16"/>
              </w:rPr>
              <w:t xml:space="preserve"> as </w:t>
            </w:r>
            <w:proofErr w:type="spellStart"/>
            <w:r w:rsidRPr="002414CB">
              <w:rPr>
                <w:rFonts w:ascii="Arial" w:hAnsi="Arial" w:cs="Arial"/>
                <w:sz w:val="16"/>
                <w:szCs w:val="16"/>
              </w:rPr>
              <w:t>under</w:t>
            </w:r>
            <w:proofErr w:type="spellEnd"/>
            <w:r w:rsidRPr="002414CB">
              <w:rPr>
                <w:rFonts w:ascii="Arial" w:hAnsi="Arial" w:cs="Arial"/>
                <w:sz w:val="16"/>
                <w:szCs w:val="16"/>
              </w:rPr>
              <w:t xml:space="preserve"> Articles 20(3) and 24(3</w:t>
            </w:r>
            <w:proofErr w:type="gramStart"/>
            <w:r w:rsidRPr="002414CB">
              <w:rPr>
                <w:rFonts w:ascii="Arial" w:hAnsi="Arial" w:cs="Arial"/>
                <w:sz w:val="16"/>
                <w:szCs w:val="16"/>
              </w:rPr>
              <w:t>);</w:t>
            </w:r>
            <w:proofErr w:type="gramEnd"/>
            <w:r w:rsidRPr="002414CB">
              <w:rPr>
                <w:rFonts w:ascii="Arial" w:hAnsi="Arial" w:cs="Arial"/>
                <w:sz w:val="16"/>
                <w:szCs w:val="16"/>
              </w:rPr>
              <w:t xml:space="preserve"> </w:t>
            </w:r>
          </w:p>
          <w:p w:rsidR="00CD0C65" w:rsidRPr="002414CB" w:rsidRDefault="00CD0C65" w:rsidP="00394CE6">
            <w:pPr>
              <w:rPr>
                <w:rFonts w:cs="Arial"/>
                <w:sz w:val="16"/>
                <w:szCs w:val="16"/>
              </w:rPr>
            </w:pPr>
          </w:p>
        </w:tc>
        <w:tc>
          <w:tcPr>
            <w:tcW w:w="709"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N/A </w:t>
            </w:r>
          </w:p>
          <w:p w:rsidR="00CD0C65" w:rsidRPr="002414CB" w:rsidRDefault="00CD0C65" w:rsidP="00394CE6">
            <w:pPr>
              <w:rPr>
                <w:rFonts w:cs="Arial"/>
                <w:sz w:val="16"/>
                <w:szCs w:val="16"/>
              </w:rPr>
            </w:pPr>
          </w:p>
        </w:tc>
        <w:tc>
          <w:tcPr>
            <w:tcW w:w="3402"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The STS notification </w:t>
            </w:r>
            <w:proofErr w:type="spellStart"/>
            <w:r w:rsidRPr="002414CB">
              <w:rPr>
                <w:rFonts w:ascii="Arial" w:hAnsi="Arial" w:cs="Arial"/>
                <w:sz w:val="16"/>
                <w:szCs w:val="16"/>
              </w:rPr>
              <w:t>shall</w:t>
            </w:r>
            <w:proofErr w:type="spellEnd"/>
            <w:r w:rsidRPr="002414CB">
              <w:rPr>
                <w:rFonts w:ascii="Arial" w:hAnsi="Arial" w:cs="Arial"/>
                <w:sz w:val="16"/>
                <w:szCs w:val="16"/>
              </w:rPr>
              <w:t xml:space="preserve"> </w:t>
            </w:r>
            <w:proofErr w:type="spellStart"/>
            <w:r w:rsidRPr="002414CB">
              <w:rPr>
                <w:rFonts w:ascii="Arial" w:hAnsi="Arial" w:cs="Arial"/>
                <w:sz w:val="16"/>
                <w:szCs w:val="16"/>
              </w:rPr>
              <w:t>include</w:t>
            </w:r>
            <w:proofErr w:type="spellEnd"/>
            <w:r w:rsidRPr="002414CB">
              <w:rPr>
                <w:rFonts w:ascii="Arial" w:hAnsi="Arial" w:cs="Arial"/>
                <w:sz w:val="16"/>
                <w:szCs w:val="16"/>
              </w:rPr>
              <w:t xml:space="preserve"> a concise </w:t>
            </w:r>
            <w:proofErr w:type="spellStart"/>
            <w:r w:rsidRPr="002414CB">
              <w:rPr>
                <w:rFonts w:ascii="Arial" w:hAnsi="Arial" w:cs="Arial"/>
                <w:sz w:val="16"/>
                <w:szCs w:val="16"/>
              </w:rPr>
              <w:t>explanation</w:t>
            </w:r>
            <w:proofErr w:type="spellEnd"/>
            <w:r w:rsidRPr="002414CB">
              <w:rPr>
                <w:rFonts w:ascii="Arial" w:hAnsi="Arial" w:cs="Arial"/>
                <w:sz w:val="16"/>
                <w:szCs w:val="16"/>
              </w:rPr>
              <w:t xml:space="preserve"> on </w:t>
            </w:r>
            <w:proofErr w:type="spellStart"/>
            <w:r w:rsidRPr="002414CB">
              <w:rPr>
                <w:rFonts w:ascii="Arial" w:hAnsi="Arial" w:cs="Arial"/>
                <w:sz w:val="16"/>
                <w:szCs w:val="16"/>
              </w:rPr>
              <w:t>which</w:t>
            </w:r>
            <w:proofErr w:type="spellEnd"/>
            <w:r w:rsidRPr="002414CB">
              <w:rPr>
                <w:rFonts w:ascii="Arial" w:hAnsi="Arial" w:cs="Arial"/>
                <w:sz w:val="16"/>
                <w:szCs w:val="16"/>
              </w:rPr>
              <w:t xml:space="preserve"> of the </w:t>
            </w:r>
            <w:proofErr w:type="spellStart"/>
            <w:r w:rsidRPr="002414CB">
              <w:rPr>
                <w:rFonts w:ascii="Arial" w:hAnsi="Arial" w:cs="Arial"/>
                <w:sz w:val="16"/>
                <w:szCs w:val="16"/>
              </w:rPr>
              <w:t>clawback</w:t>
            </w:r>
            <w:proofErr w:type="spellEnd"/>
            <w:r w:rsidRPr="002414CB">
              <w:rPr>
                <w:rFonts w:ascii="Arial" w:hAnsi="Arial" w:cs="Arial"/>
                <w:sz w:val="16"/>
                <w:szCs w:val="16"/>
              </w:rPr>
              <w:t xml:space="preserve"> provisions in national </w:t>
            </w:r>
            <w:proofErr w:type="spellStart"/>
            <w:r w:rsidRPr="002414CB">
              <w:rPr>
                <w:rFonts w:ascii="Arial" w:hAnsi="Arial" w:cs="Arial"/>
                <w:sz w:val="16"/>
                <w:szCs w:val="16"/>
              </w:rPr>
              <w:t>insolvency</w:t>
            </w:r>
            <w:proofErr w:type="spellEnd"/>
            <w:r w:rsidRPr="002414CB">
              <w:rPr>
                <w:rFonts w:ascii="Arial" w:hAnsi="Arial" w:cs="Arial"/>
                <w:sz w:val="16"/>
                <w:szCs w:val="16"/>
              </w:rPr>
              <w:t xml:space="preserve"> </w:t>
            </w:r>
            <w:proofErr w:type="spellStart"/>
            <w:r w:rsidRPr="002414CB">
              <w:rPr>
                <w:rFonts w:ascii="Arial" w:hAnsi="Arial" w:cs="Arial"/>
                <w:sz w:val="16"/>
                <w:szCs w:val="16"/>
              </w:rPr>
              <w:t>laws</w:t>
            </w:r>
            <w:proofErr w:type="spellEnd"/>
            <w:r w:rsidRPr="002414CB">
              <w:rPr>
                <w:rFonts w:ascii="Arial" w:hAnsi="Arial" w:cs="Arial"/>
                <w:sz w:val="16"/>
                <w:szCs w:val="16"/>
              </w:rPr>
              <w:t xml:space="preserve"> </w:t>
            </w:r>
            <w:proofErr w:type="spellStart"/>
            <w:r w:rsidRPr="002414CB">
              <w:rPr>
                <w:rFonts w:ascii="Arial" w:hAnsi="Arial" w:cs="Arial"/>
                <w:sz w:val="16"/>
                <w:szCs w:val="16"/>
              </w:rPr>
              <w:t>form</w:t>
            </w:r>
            <w:proofErr w:type="spellEnd"/>
            <w:r w:rsidRPr="002414CB">
              <w:rPr>
                <w:rFonts w:ascii="Arial" w:hAnsi="Arial" w:cs="Arial"/>
                <w:sz w:val="16"/>
                <w:szCs w:val="16"/>
              </w:rPr>
              <w:t xml:space="preserve"> an exception to the </w:t>
            </w:r>
            <w:proofErr w:type="spellStart"/>
            <w:r w:rsidRPr="002414CB">
              <w:rPr>
                <w:rFonts w:ascii="Arial" w:hAnsi="Arial" w:cs="Arial"/>
                <w:sz w:val="16"/>
                <w:szCs w:val="16"/>
              </w:rPr>
              <w:t>severe</w:t>
            </w:r>
            <w:proofErr w:type="spellEnd"/>
            <w:r w:rsidRPr="002414CB">
              <w:rPr>
                <w:rFonts w:ascii="Arial" w:hAnsi="Arial" w:cs="Arial"/>
                <w:sz w:val="16"/>
                <w:szCs w:val="16"/>
              </w:rPr>
              <w:t xml:space="preserve"> </w:t>
            </w:r>
            <w:proofErr w:type="spellStart"/>
            <w:r w:rsidRPr="002414CB">
              <w:rPr>
                <w:rFonts w:ascii="Arial" w:hAnsi="Arial" w:cs="Arial"/>
                <w:sz w:val="16"/>
                <w:szCs w:val="16"/>
              </w:rPr>
              <w:t>clawback</w:t>
            </w:r>
            <w:proofErr w:type="spellEnd"/>
            <w:r w:rsidRPr="002414CB">
              <w:rPr>
                <w:rFonts w:ascii="Arial" w:hAnsi="Arial" w:cs="Arial"/>
                <w:sz w:val="16"/>
                <w:szCs w:val="16"/>
              </w:rPr>
              <w:t xml:space="preserve"> provisions as </w:t>
            </w:r>
            <w:proofErr w:type="spellStart"/>
            <w:r w:rsidRPr="002414CB">
              <w:rPr>
                <w:rFonts w:ascii="Arial" w:hAnsi="Arial" w:cs="Arial"/>
                <w:sz w:val="16"/>
                <w:szCs w:val="16"/>
              </w:rPr>
              <w:t>provided</w:t>
            </w:r>
            <w:proofErr w:type="spellEnd"/>
            <w:r w:rsidRPr="002414CB">
              <w:rPr>
                <w:rFonts w:ascii="Arial" w:hAnsi="Arial" w:cs="Arial"/>
                <w:sz w:val="16"/>
                <w:szCs w:val="16"/>
              </w:rPr>
              <w:t xml:space="preserve"> for in Article 20(2) of the Securitisation </w:t>
            </w:r>
            <w:proofErr w:type="spellStart"/>
            <w:r w:rsidRPr="002414CB">
              <w:rPr>
                <w:rFonts w:ascii="Arial" w:hAnsi="Arial" w:cs="Arial"/>
                <w:sz w:val="16"/>
                <w:szCs w:val="16"/>
              </w:rPr>
              <w:t>Regulation</w:t>
            </w:r>
            <w:proofErr w:type="spellEnd"/>
            <w:r w:rsidRPr="002414CB">
              <w:rPr>
                <w:rFonts w:ascii="Arial" w:hAnsi="Arial" w:cs="Arial"/>
                <w:sz w:val="16"/>
                <w:szCs w:val="16"/>
              </w:rPr>
              <w:t xml:space="preserve">. </w:t>
            </w:r>
          </w:p>
        </w:tc>
        <w:tc>
          <w:tcPr>
            <w:tcW w:w="797" w:type="dxa"/>
          </w:tcPr>
          <w:p w:rsidR="00CD0C65" w:rsidRPr="002414CB" w:rsidRDefault="00CD0C65" w:rsidP="00394CE6">
            <w:pPr>
              <w:rPr>
                <w:rFonts w:cs="Arial"/>
                <w:sz w:val="16"/>
                <w:szCs w:val="16"/>
              </w:rPr>
            </w:pPr>
            <w:r w:rsidRPr="002414CB">
              <w:rPr>
                <w:rFonts w:cs="Arial"/>
                <w:sz w:val="16"/>
                <w:szCs w:val="16"/>
              </w:rPr>
              <w:t>Yes/No</w:t>
            </w:r>
          </w:p>
        </w:tc>
      </w:tr>
      <w:tr w:rsidR="002414CB" w:rsidRPr="002414CB" w:rsidTr="002414CB">
        <w:tc>
          <w:tcPr>
            <w:tcW w:w="1668"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Standard </w:t>
            </w:r>
            <w:proofErr w:type="spellStart"/>
            <w:r w:rsidRPr="002414CB">
              <w:rPr>
                <w:rFonts w:ascii="Arial" w:hAnsi="Arial" w:cs="Arial"/>
                <w:sz w:val="16"/>
                <w:szCs w:val="16"/>
              </w:rPr>
              <w:t>reference</w:t>
            </w:r>
            <w:proofErr w:type="spellEnd"/>
            <w:r w:rsidRPr="002414CB">
              <w:rPr>
                <w:rFonts w:ascii="Arial" w:hAnsi="Arial" w:cs="Arial"/>
                <w:sz w:val="16"/>
                <w:szCs w:val="16"/>
              </w:rPr>
              <w:t xml:space="preserve"> rates. </w:t>
            </w:r>
          </w:p>
          <w:p w:rsidR="00CD0C65" w:rsidRPr="002414CB" w:rsidRDefault="00CD0C65" w:rsidP="00394CE6">
            <w:pPr>
              <w:rPr>
                <w:rFonts w:cs="Arial"/>
                <w:sz w:val="16"/>
                <w:szCs w:val="16"/>
              </w:rPr>
            </w:pPr>
          </w:p>
        </w:tc>
        <w:tc>
          <w:tcPr>
            <w:tcW w:w="708"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Article 21(3) </w:t>
            </w:r>
          </w:p>
          <w:p w:rsidR="00CD0C65" w:rsidRPr="002414CB" w:rsidRDefault="00CD0C65" w:rsidP="00394CE6">
            <w:pPr>
              <w:rPr>
                <w:rFonts w:cs="Arial"/>
                <w:sz w:val="16"/>
                <w:szCs w:val="16"/>
              </w:rPr>
            </w:pPr>
          </w:p>
        </w:tc>
        <w:tc>
          <w:tcPr>
            <w:tcW w:w="709"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Article 24(16) </w:t>
            </w:r>
          </w:p>
          <w:p w:rsidR="00CD0C65" w:rsidRPr="002414CB" w:rsidRDefault="00CD0C65" w:rsidP="00394CE6">
            <w:pPr>
              <w:rPr>
                <w:rFonts w:cs="Arial"/>
                <w:sz w:val="16"/>
                <w:szCs w:val="16"/>
              </w:rPr>
            </w:pPr>
          </w:p>
        </w:tc>
        <w:tc>
          <w:tcPr>
            <w:tcW w:w="1559"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Article 26(1), </w:t>
            </w:r>
            <w:proofErr w:type="spellStart"/>
            <w:r w:rsidRPr="002414CB">
              <w:rPr>
                <w:rFonts w:ascii="Arial" w:hAnsi="Arial" w:cs="Arial"/>
                <w:sz w:val="16"/>
                <w:szCs w:val="16"/>
              </w:rPr>
              <w:t>same</w:t>
            </w:r>
            <w:proofErr w:type="spellEnd"/>
            <w:r w:rsidRPr="002414CB">
              <w:rPr>
                <w:rFonts w:ascii="Arial" w:hAnsi="Arial" w:cs="Arial"/>
                <w:sz w:val="16"/>
                <w:szCs w:val="16"/>
              </w:rPr>
              <w:t xml:space="preserve"> </w:t>
            </w:r>
            <w:proofErr w:type="spellStart"/>
            <w:r w:rsidRPr="002414CB">
              <w:rPr>
                <w:rFonts w:ascii="Arial" w:hAnsi="Arial" w:cs="Arial"/>
                <w:sz w:val="16"/>
                <w:szCs w:val="16"/>
              </w:rPr>
              <w:t>requirement</w:t>
            </w:r>
            <w:proofErr w:type="spellEnd"/>
            <w:r w:rsidRPr="002414CB">
              <w:rPr>
                <w:rFonts w:ascii="Arial" w:hAnsi="Arial" w:cs="Arial"/>
                <w:sz w:val="16"/>
                <w:szCs w:val="16"/>
              </w:rPr>
              <w:t xml:space="preserve"> as </w:t>
            </w:r>
            <w:proofErr w:type="spellStart"/>
            <w:r w:rsidRPr="002414CB">
              <w:rPr>
                <w:rFonts w:ascii="Arial" w:hAnsi="Arial" w:cs="Arial"/>
                <w:sz w:val="16"/>
                <w:szCs w:val="16"/>
              </w:rPr>
              <w:t>under</w:t>
            </w:r>
            <w:proofErr w:type="spellEnd"/>
            <w:r w:rsidRPr="002414CB">
              <w:rPr>
                <w:rFonts w:ascii="Arial" w:hAnsi="Arial" w:cs="Arial"/>
                <w:sz w:val="16"/>
                <w:szCs w:val="16"/>
              </w:rPr>
              <w:t xml:space="preserve"> Article 21(3) and 24(16) </w:t>
            </w:r>
          </w:p>
          <w:p w:rsidR="00CD0C65" w:rsidRPr="002414CB" w:rsidRDefault="00CD0C65" w:rsidP="00394CE6">
            <w:pPr>
              <w:rPr>
                <w:rFonts w:cs="Arial"/>
                <w:sz w:val="16"/>
                <w:szCs w:val="16"/>
              </w:rPr>
            </w:pPr>
          </w:p>
        </w:tc>
        <w:tc>
          <w:tcPr>
            <w:tcW w:w="709"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N/A </w:t>
            </w:r>
          </w:p>
          <w:p w:rsidR="00CD0C65" w:rsidRPr="002414CB" w:rsidRDefault="00CD0C65" w:rsidP="00394CE6">
            <w:pPr>
              <w:rPr>
                <w:rFonts w:cs="Arial"/>
                <w:sz w:val="16"/>
                <w:szCs w:val="16"/>
              </w:rPr>
            </w:pPr>
          </w:p>
        </w:tc>
        <w:tc>
          <w:tcPr>
            <w:tcW w:w="3402" w:type="dxa"/>
          </w:tcPr>
          <w:p w:rsidR="00CD0C65" w:rsidRPr="002414CB" w:rsidRDefault="00CD0C65" w:rsidP="00CD0C65">
            <w:pPr>
              <w:pStyle w:val="Default"/>
              <w:rPr>
                <w:rFonts w:ascii="Arial" w:hAnsi="Arial" w:cs="Arial"/>
                <w:sz w:val="16"/>
                <w:szCs w:val="16"/>
              </w:rPr>
            </w:pPr>
            <w:r w:rsidRPr="002414CB">
              <w:rPr>
                <w:rFonts w:ascii="Arial" w:hAnsi="Arial" w:cs="Arial"/>
                <w:sz w:val="16"/>
                <w:szCs w:val="16"/>
              </w:rPr>
              <w:t xml:space="preserve">STS notification </w:t>
            </w:r>
            <w:proofErr w:type="spellStart"/>
            <w:r w:rsidRPr="002414CB">
              <w:rPr>
                <w:rFonts w:ascii="Arial" w:hAnsi="Arial" w:cs="Arial"/>
                <w:sz w:val="16"/>
                <w:szCs w:val="16"/>
              </w:rPr>
              <w:t>shall</w:t>
            </w:r>
            <w:proofErr w:type="spellEnd"/>
            <w:r w:rsidRPr="002414CB">
              <w:rPr>
                <w:rFonts w:ascii="Arial" w:hAnsi="Arial" w:cs="Arial"/>
                <w:sz w:val="16"/>
                <w:szCs w:val="16"/>
              </w:rPr>
              <w:t xml:space="preserve"> </w:t>
            </w:r>
            <w:proofErr w:type="spellStart"/>
            <w:r w:rsidRPr="002414CB">
              <w:rPr>
                <w:rFonts w:ascii="Arial" w:hAnsi="Arial" w:cs="Arial"/>
                <w:sz w:val="16"/>
                <w:szCs w:val="16"/>
              </w:rPr>
              <w:t>include</w:t>
            </w:r>
            <w:proofErr w:type="spellEnd"/>
            <w:r w:rsidRPr="002414CB">
              <w:rPr>
                <w:rFonts w:ascii="Arial" w:hAnsi="Arial" w:cs="Arial"/>
                <w:sz w:val="16"/>
                <w:szCs w:val="16"/>
              </w:rPr>
              <w:t xml:space="preserve"> a concise </w:t>
            </w:r>
            <w:proofErr w:type="spellStart"/>
            <w:r w:rsidRPr="002414CB">
              <w:rPr>
                <w:rFonts w:ascii="Arial" w:hAnsi="Arial" w:cs="Arial"/>
                <w:sz w:val="16"/>
                <w:szCs w:val="16"/>
              </w:rPr>
              <w:t>explanation</w:t>
            </w:r>
            <w:proofErr w:type="spellEnd"/>
            <w:r w:rsidRPr="002414CB">
              <w:rPr>
                <w:rFonts w:ascii="Arial" w:hAnsi="Arial" w:cs="Arial"/>
                <w:sz w:val="16"/>
                <w:szCs w:val="16"/>
              </w:rPr>
              <w:t xml:space="preserve"> on </w:t>
            </w:r>
            <w:proofErr w:type="spellStart"/>
            <w:r w:rsidRPr="002414CB">
              <w:rPr>
                <w:rFonts w:ascii="Arial" w:hAnsi="Arial" w:cs="Arial"/>
                <w:sz w:val="16"/>
                <w:szCs w:val="16"/>
              </w:rPr>
              <w:t>whether</w:t>
            </w:r>
            <w:proofErr w:type="spellEnd"/>
            <w:r w:rsidRPr="002414CB">
              <w:rPr>
                <w:rFonts w:ascii="Arial" w:hAnsi="Arial" w:cs="Arial"/>
                <w:sz w:val="16"/>
                <w:szCs w:val="16"/>
              </w:rPr>
              <w:t xml:space="preserve"> and how the </w:t>
            </w:r>
            <w:proofErr w:type="spellStart"/>
            <w:r w:rsidRPr="002414CB">
              <w:rPr>
                <w:rFonts w:ascii="Arial" w:hAnsi="Arial" w:cs="Arial"/>
                <w:sz w:val="16"/>
                <w:szCs w:val="16"/>
              </w:rPr>
              <w:t>referenced</w:t>
            </w:r>
            <w:proofErr w:type="spellEnd"/>
            <w:r w:rsidRPr="002414CB">
              <w:rPr>
                <w:rFonts w:ascii="Arial" w:hAnsi="Arial" w:cs="Arial"/>
                <w:sz w:val="16"/>
                <w:szCs w:val="16"/>
              </w:rPr>
              <w:t xml:space="preserve"> </w:t>
            </w:r>
            <w:proofErr w:type="spellStart"/>
            <w:r w:rsidRPr="002414CB">
              <w:rPr>
                <w:rFonts w:ascii="Arial" w:hAnsi="Arial" w:cs="Arial"/>
                <w:sz w:val="16"/>
                <w:szCs w:val="16"/>
              </w:rPr>
              <w:t>interest</w:t>
            </w:r>
            <w:proofErr w:type="spellEnd"/>
            <w:r w:rsidRPr="002414CB">
              <w:rPr>
                <w:rFonts w:ascii="Arial" w:hAnsi="Arial" w:cs="Arial"/>
                <w:sz w:val="16"/>
                <w:szCs w:val="16"/>
              </w:rPr>
              <w:t xml:space="preserve"> rates </w:t>
            </w:r>
            <w:proofErr w:type="spellStart"/>
            <w:r w:rsidRPr="002414CB">
              <w:rPr>
                <w:rFonts w:ascii="Arial" w:hAnsi="Arial" w:cs="Arial"/>
                <w:sz w:val="16"/>
                <w:szCs w:val="16"/>
              </w:rPr>
              <w:t>used</w:t>
            </w:r>
            <w:proofErr w:type="spellEnd"/>
            <w:r w:rsidRPr="002414CB">
              <w:rPr>
                <w:rFonts w:ascii="Arial" w:hAnsi="Arial" w:cs="Arial"/>
                <w:sz w:val="16"/>
                <w:szCs w:val="16"/>
              </w:rPr>
              <w:t xml:space="preserve"> </w:t>
            </w:r>
            <w:proofErr w:type="spellStart"/>
            <w:r w:rsidRPr="002414CB">
              <w:rPr>
                <w:rFonts w:ascii="Arial" w:hAnsi="Arial" w:cs="Arial"/>
                <w:sz w:val="16"/>
                <w:szCs w:val="16"/>
              </w:rPr>
              <w:t>under</w:t>
            </w:r>
            <w:proofErr w:type="spellEnd"/>
            <w:r w:rsidRPr="002414CB">
              <w:rPr>
                <w:rFonts w:ascii="Arial" w:hAnsi="Arial" w:cs="Arial"/>
                <w:sz w:val="16"/>
                <w:szCs w:val="16"/>
              </w:rPr>
              <w:t xml:space="preserve"> the </w:t>
            </w:r>
            <w:proofErr w:type="spellStart"/>
            <w:r w:rsidRPr="002414CB">
              <w:rPr>
                <w:rFonts w:ascii="Arial" w:hAnsi="Arial" w:cs="Arial"/>
                <w:sz w:val="16"/>
                <w:szCs w:val="16"/>
              </w:rPr>
              <w:t>securitisation</w:t>
            </w:r>
            <w:proofErr w:type="spellEnd"/>
            <w:r w:rsidRPr="002414CB">
              <w:rPr>
                <w:rFonts w:ascii="Arial" w:hAnsi="Arial" w:cs="Arial"/>
                <w:sz w:val="16"/>
                <w:szCs w:val="16"/>
              </w:rPr>
              <w:t xml:space="preserve"> </w:t>
            </w:r>
            <w:proofErr w:type="spellStart"/>
            <w:r w:rsidRPr="002414CB">
              <w:rPr>
                <w:rFonts w:ascii="Arial" w:hAnsi="Arial" w:cs="Arial"/>
                <w:sz w:val="16"/>
                <w:szCs w:val="16"/>
              </w:rPr>
              <w:t>assets</w:t>
            </w:r>
            <w:proofErr w:type="spellEnd"/>
            <w:r w:rsidRPr="002414CB">
              <w:rPr>
                <w:rFonts w:ascii="Arial" w:hAnsi="Arial" w:cs="Arial"/>
                <w:sz w:val="16"/>
                <w:szCs w:val="16"/>
              </w:rPr>
              <w:t xml:space="preserve"> and </w:t>
            </w:r>
            <w:proofErr w:type="spellStart"/>
            <w:r w:rsidRPr="002414CB">
              <w:rPr>
                <w:rFonts w:ascii="Arial" w:hAnsi="Arial" w:cs="Arial"/>
                <w:sz w:val="16"/>
                <w:szCs w:val="16"/>
              </w:rPr>
              <w:t>liabilities</w:t>
            </w:r>
            <w:proofErr w:type="spellEnd"/>
            <w:r w:rsidRPr="002414CB">
              <w:rPr>
                <w:rFonts w:ascii="Arial" w:hAnsi="Arial" w:cs="Arial"/>
                <w:sz w:val="16"/>
                <w:szCs w:val="16"/>
              </w:rPr>
              <w:t xml:space="preserve"> are </w:t>
            </w:r>
            <w:proofErr w:type="spellStart"/>
            <w:r w:rsidRPr="002414CB">
              <w:rPr>
                <w:rFonts w:ascii="Arial" w:hAnsi="Arial" w:cs="Arial"/>
                <w:sz w:val="16"/>
                <w:szCs w:val="16"/>
              </w:rPr>
              <w:t>calculated</w:t>
            </w:r>
            <w:proofErr w:type="spellEnd"/>
            <w:r w:rsidRPr="002414CB">
              <w:rPr>
                <w:rFonts w:ascii="Arial" w:hAnsi="Arial" w:cs="Arial"/>
                <w:sz w:val="16"/>
                <w:szCs w:val="16"/>
              </w:rPr>
              <w:t xml:space="preserve"> by </w:t>
            </w:r>
            <w:proofErr w:type="spellStart"/>
            <w:r w:rsidRPr="002414CB">
              <w:rPr>
                <w:rFonts w:ascii="Arial" w:hAnsi="Arial" w:cs="Arial"/>
                <w:sz w:val="16"/>
                <w:szCs w:val="16"/>
              </w:rPr>
              <w:t>reference</w:t>
            </w:r>
            <w:proofErr w:type="spellEnd"/>
            <w:r w:rsidRPr="002414CB">
              <w:rPr>
                <w:rFonts w:ascii="Arial" w:hAnsi="Arial" w:cs="Arial"/>
                <w:sz w:val="16"/>
                <w:szCs w:val="16"/>
              </w:rPr>
              <w:t xml:space="preserve"> to </w:t>
            </w:r>
            <w:proofErr w:type="spellStart"/>
            <w:r w:rsidRPr="002414CB">
              <w:rPr>
                <w:rFonts w:ascii="Arial" w:hAnsi="Arial" w:cs="Arial"/>
                <w:sz w:val="16"/>
                <w:szCs w:val="16"/>
              </w:rPr>
              <w:t>generally</w:t>
            </w:r>
            <w:proofErr w:type="spellEnd"/>
            <w:r w:rsidRPr="002414CB">
              <w:rPr>
                <w:rFonts w:ascii="Arial" w:hAnsi="Arial" w:cs="Arial"/>
                <w:sz w:val="16"/>
                <w:szCs w:val="16"/>
              </w:rPr>
              <w:t xml:space="preserve"> </w:t>
            </w:r>
            <w:proofErr w:type="spellStart"/>
            <w:r w:rsidRPr="002414CB">
              <w:rPr>
                <w:rFonts w:ascii="Arial" w:hAnsi="Arial" w:cs="Arial"/>
                <w:sz w:val="16"/>
                <w:szCs w:val="16"/>
              </w:rPr>
              <w:t>used</w:t>
            </w:r>
            <w:proofErr w:type="spellEnd"/>
            <w:r w:rsidRPr="002414CB">
              <w:rPr>
                <w:rFonts w:ascii="Arial" w:hAnsi="Arial" w:cs="Arial"/>
                <w:sz w:val="16"/>
                <w:szCs w:val="16"/>
              </w:rPr>
              <w:t xml:space="preserve"> </w:t>
            </w:r>
            <w:proofErr w:type="spellStart"/>
            <w:r w:rsidRPr="002414CB">
              <w:rPr>
                <w:rFonts w:ascii="Arial" w:hAnsi="Arial" w:cs="Arial"/>
                <w:sz w:val="16"/>
                <w:szCs w:val="16"/>
              </w:rPr>
              <w:t>market</w:t>
            </w:r>
            <w:proofErr w:type="spellEnd"/>
            <w:r w:rsidRPr="002414CB">
              <w:rPr>
                <w:rFonts w:ascii="Arial" w:hAnsi="Arial" w:cs="Arial"/>
                <w:sz w:val="16"/>
                <w:szCs w:val="16"/>
              </w:rPr>
              <w:t xml:space="preserve"> </w:t>
            </w:r>
            <w:proofErr w:type="spellStart"/>
            <w:r w:rsidRPr="002414CB">
              <w:rPr>
                <w:rFonts w:ascii="Arial" w:hAnsi="Arial" w:cs="Arial"/>
                <w:sz w:val="16"/>
                <w:szCs w:val="16"/>
              </w:rPr>
              <w:t>interest</w:t>
            </w:r>
            <w:proofErr w:type="spellEnd"/>
            <w:r w:rsidRPr="002414CB">
              <w:rPr>
                <w:rFonts w:ascii="Arial" w:hAnsi="Arial" w:cs="Arial"/>
                <w:sz w:val="16"/>
                <w:szCs w:val="16"/>
              </w:rPr>
              <w:t xml:space="preserve"> rates, </w:t>
            </w:r>
            <w:proofErr w:type="spellStart"/>
            <w:r w:rsidRPr="002414CB">
              <w:rPr>
                <w:rFonts w:ascii="Arial" w:hAnsi="Arial" w:cs="Arial"/>
                <w:sz w:val="16"/>
                <w:szCs w:val="16"/>
              </w:rPr>
              <w:t>which</w:t>
            </w:r>
            <w:proofErr w:type="spellEnd"/>
            <w:r w:rsidRPr="002414CB">
              <w:rPr>
                <w:rFonts w:ascii="Arial" w:hAnsi="Arial" w:cs="Arial"/>
                <w:sz w:val="16"/>
                <w:szCs w:val="16"/>
              </w:rPr>
              <w:t xml:space="preserve"> are </w:t>
            </w:r>
            <w:proofErr w:type="spellStart"/>
            <w:r w:rsidRPr="002414CB">
              <w:rPr>
                <w:rFonts w:ascii="Arial" w:hAnsi="Arial" w:cs="Arial"/>
                <w:sz w:val="16"/>
                <w:szCs w:val="16"/>
              </w:rPr>
              <w:t>considered</w:t>
            </w:r>
            <w:proofErr w:type="spellEnd"/>
            <w:r w:rsidRPr="002414CB">
              <w:rPr>
                <w:rFonts w:ascii="Arial" w:hAnsi="Arial" w:cs="Arial"/>
                <w:sz w:val="16"/>
                <w:szCs w:val="16"/>
              </w:rPr>
              <w:t xml:space="preserve"> to </w:t>
            </w:r>
            <w:proofErr w:type="spellStart"/>
            <w:r w:rsidRPr="002414CB">
              <w:rPr>
                <w:rFonts w:ascii="Arial" w:hAnsi="Arial" w:cs="Arial"/>
                <w:sz w:val="16"/>
                <w:szCs w:val="16"/>
              </w:rPr>
              <w:t>be</w:t>
            </w:r>
            <w:proofErr w:type="spellEnd"/>
            <w:r w:rsidRPr="002414CB">
              <w:rPr>
                <w:rFonts w:ascii="Arial" w:hAnsi="Arial" w:cs="Arial"/>
                <w:sz w:val="16"/>
                <w:szCs w:val="16"/>
              </w:rPr>
              <w:t xml:space="preserve"> “acceptable” in </w:t>
            </w:r>
            <w:proofErr w:type="spellStart"/>
            <w:r w:rsidRPr="002414CB">
              <w:rPr>
                <w:rFonts w:ascii="Arial" w:hAnsi="Arial" w:cs="Arial"/>
                <w:sz w:val="16"/>
                <w:szCs w:val="16"/>
              </w:rPr>
              <w:t>comparison</w:t>
            </w:r>
            <w:proofErr w:type="spellEnd"/>
            <w:r w:rsidRPr="002414CB">
              <w:rPr>
                <w:rFonts w:ascii="Arial" w:hAnsi="Arial" w:cs="Arial"/>
                <w:sz w:val="16"/>
                <w:szCs w:val="16"/>
              </w:rPr>
              <w:t xml:space="preserve"> </w:t>
            </w:r>
            <w:proofErr w:type="spellStart"/>
            <w:r w:rsidRPr="002414CB">
              <w:rPr>
                <w:rFonts w:ascii="Arial" w:hAnsi="Arial" w:cs="Arial"/>
                <w:sz w:val="16"/>
                <w:szCs w:val="16"/>
              </w:rPr>
              <w:t>with</w:t>
            </w:r>
            <w:proofErr w:type="spellEnd"/>
            <w:r w:rsidRPr="002414CB">
              <w:rPr>
                <w:rFonts w:ascii="Arial" w:hAnsi="Arial" w:cs="Arial"/>
                <w:sz w:val="16"/>
                <w:szCs w:val="16"/>
              </w:rPr>
              <w:t xml:space="preserve"> </w:t>
            </w:r>
            <w:proofErr w:type="spellStart"/>
            <w:r w:rsidRPr="002414CB">
              <w:rPr>
                <w:rFonts w:ascii="Arial" w:hAnsi="Arial" w:cs="Arial"/>
                <w:sz w:val="16"/>
                <w:szCs w:val="16"/>
              </w:rPr>
              <w:t>unconventional</w:t>
            </w:r>
            <w:proofErr w:type="spellEnd"/>
            <w:r w:rsidRPr="002414CB">
              <w:rPr>
                <w:rFonts w:ascii="Arial" w:hAnsi="Arial" w:cs="Arial"/>
                <w:sz w:val="16"/>
                <w:szCs w:val="16"/>
              </w:rPr>
              <w:t xml:space="preserve"> or </w:t>
            </w:r>
            <w:proofErr w:type="spellStart"/>
            <w:r w:rsidRPr="002414CB">
              <w:rPr>
                <w:rFonts w:ascii="Arial" w:hAnsi="Arial" w:cs="Arial"/>
                <w:sz w:val="16"/>
                <w:szCs w:val="16"/>
              </w:rPr>
              <w:t>exotic</w:t>
            </w:r>
            <w:proofErr w:type="spellEnd"/>
            <w:r w:rsidRPr="002414CB">
              <w:rPr>
                <w:rFonts w:ascii="Arial" w:hAnsi="Arial" w:cs="Arial"/>
                <w:sz w:val="16"/>
                <w:szCs w:val="16"/>
              </w:rPr>
              <w:t xml:space="preserve"> (and hard to </w:t>
            </w:r>
            <w:proofErr w:type="spellStart"/>
            <w:r w:rsidRPr="002414CB">
              <w:rPr>
                <w:rFonts w:ascii="Arial" w:hAnsi="Arial" w:cs="Arial"/>
                <w:sz w:val="16"/>
                <w:szCs w:val="16"/>
              </w:rPr>
              <w:t>calculate</w:t>
            </w:r>
            <w:proofErr w:type="spellEnd"/>
            <w:r w:rsidRPr="002414CB">
              <w:rPr>
                <w:rFonts w:ascii="Arial" w:hAnsi="Arial" w:cs="Arial"/>
                <w:sz w:val="16"/>
                <w:szCs w:val="16"/>
              </w:rPr>
              <w:t>) rates (</w:t>
            </w:r>
            <w:proofErr w:type="spellStart"/>
            <w:r w:rsidRPr="002414CB">
              <w:rPr>
                <w:rFonts w:ascii="Arial" w:hAnsi="Arial" w:cs="Arial"/>
                <w:sz w:val="16"/>
                <w:szCs w:val="16"/>
              </w:rPr>
              <w:t>expected</w:t>
            </w:r>
            <w:proofErr w:type="spellEnd"/>
            <w:r w:rsidRPr="002414CB">
              <w:rPr>
                <w:rFonts w:ascii="Arial" w:hAnsi="Arial" w:cs="Arial"/>
                <w:sz w:val="16"/>
                <w:szCs w:val="16"/>
              </w:rPr>
              <w:t xml:space="preserve"> cross-</w:t>
            </w:r>
            <w:proofErr w:type="spellStart"/>
            <w:r w:rsidRPr="002414CB">
              <w:rPr>
                <w:rFonts w:ascii="Arial" w:hAnsi="Arial" w:cs="Arial"/>
                <w:sz w:val="16"/>
                <w:szCs w:val="16"/>
              </w:rPr>
              <w:t>references</w:t>
            </w:r>
            <w:proofErr w:type="spellEnd"/>
            <w:r w:rsidRPr="002414CB">
              <w:rPr>
                <w:rFonts w:ascii="Arial" w:hAnsi="Arial" w:cs="Arial"/>
                <w:sz w:val="16"/>
                <w:szCs w:val="16"/>
              </w:rPr>
              <w:t xml:space="preserve"> </w:t>
            </w:r>
            <w:proofErr w:type="spellStart"/>
            <w:r w:rsidRPr="002414CB">
              <w:rPr>
                <w:rFonts w:ascii="Arial" w:hAnsi="Arial" w:cs="Arial"/>
                <w:sz w:val="16"/>
                <w:szCs w:val="16"/>
              </w:rPr>
              <w:t>with</w:t>
            </w:r>
            <w:proofErr w:type="spellEnd"/>
            <w:r w:rsidRPr="002414CB">
              <w:rPr>
                <w:rFonts w:ascii="Arial" w:hAnsi="Arial" w:cs="Arial"/>
                <w:sz w:val="16"/>
                <w:szCs w:val="16"/>
              </w:rPr>
              <w:t xml:space="preserve"> the Prospectus </w:t>
            </w:r>
            <w:proofErr w:type="spellStart"/>
            <w:r w:rsidRPr="002414CB">
              <w:rPr>
                <w:rFonts w:ascii="Arial" w:hAnsi="Arial" w:cs="Arial"/>
                <w:sz w:val="16"/>
                <w:szCs w:val="16"/>
              </w:rPr>
              <w:t>includes</w:t>
            </w:r>
            <w:proofErr w:type="spellEnd"/>
            <w:r w:rsidRPr="002414CB">
              <w:rPr>
                <w:rFonts w:ascii="Arial" w:hAnsi="Arial" w:cs="Arial"/>
                <w:sz w:val="16"/>
                <w:szCs w:val="16"/>
              </w:rPr>
              <w:t xml:space="preserve"> Items 2.2.2 and 2.2.13 of </w:t>
            </w:r>
            <w:proofErr w:type="spellStart"/>
            <w:r w:rsidRPr="002414CB">
              <w:rPr>
                <w:rFonts w:ascii="Arial" w:hAnsi="Arial" w:cs="Arial"/>
                <w:sz w:val="16"/>
                <w:szCs w:val="16"/>
              </w:rPr>
              <w:t>Annex</w:t>
            </w:r>
            <w:proofErr w:type="spellEnd"/>
            <w:r w:rsidRPr="002414CB">
              <w:rPr>
                <w:rFonts w:ascii="Arial" w:hAnsi="Arial" w:cs="Arial"/>
                <w:sz w:val="16"/>
                <w:szCs w:val="16"/>
              </w:rPr>
              <w:t xml:space="preserve"> 11). </w:t>
            </w:r>
          </w:p>
          <w:p w:rsidR="00CD0C65" w:rsidRPr="002414CB" w:rsidRDefault="00CD0C65" w:rsidP="00394CE6">
            <w:pPr>
              <w:rPr>
                <w:rFonts w:cs="Arial"/>
                <w:sz w:val="16"/>
                <w:szCs w:val="16"/>
              </w:rPr>
            </w:pPr>
          </w:p>
        </w:tc>
        <w:tc>
          <w:tcPr>
            <w:tcW w:w="797" w:type="dxa"/>
          </w:tcPr>
          <w:p w:rsidR="00CD0C65" w:rsidRPr="002414CB" w:rsidRDefault="00CD0C65" w:rsidP="00394CE6">
            <w:pPr>
              <w:rPr>
                <w:rFonts w:cs="Arial"/>
                <w:sz w:val="16"/>
                <w:szCs w:val="16"/>
              </w:rPr>
            </w:pPr>
            <w:r w:rsidRPr="002414CB">
              <w:rPr>
                <w:rFonts w:cs="Arial"/>
                <w:sz w:val="16"/>
                <w:szCs w:val="16"/>
              </w:rPr>
              <w:t>Yes/No</w:t>
            </w:r>
          </w:p>
        </w:tc>
      </w:tr>
      <w:tr w:rsidR="002414CB" w:rsidRPr="002414CB" w:rsidTr="002414CB">
        <w:tc>
          <w:tcPr>
            <w:tcW w:w="1668"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No </w:t>
            </w:r>
            <w:proofErr w:type="spellStart"/>
            <w:r w:rsidRPr="002414CB">
              <w:rPr>
                <w:rFonts w:ascii="Arial" w:hAnsi="Arial" w:cs="Arial"/>
                <w:sz w:val="16"/>
                <w:szCs w:val="16"/>
              </w:rPr>
              <w:t>trapping</w:t>
            </w:r>
            <w:proofErr w:type="spellEnd"/>
            <w:r w:rsidRPr="002414CB">
              <w:rPr>
                <w:rFonts w:ascii="Arial" w:hAnsi="Arial" w:cs="Arial"/>
                <w:sz w:val="16"/>
                <w:szCs w:val="16"/>
              </w:rPr>
              <w:t xml:space="preserve"> of cash </w:t>
            </w:r>
            <w:proofErr w:type="spellStart"/>
            <w:r w:rsidRPr="002414CB">
              <w:rPr>
                <w:rFonts w:ascii="Arial" w:hAnsi="Arial" w:cs="Arial"/>
                <w:sz w:val="16"/>
                <w:szCs w:val="16"/>
              </w:rPr>
              <w:t>following</w:t>
            </w:r>
            <w:proofErr w:type="spellEnd"/>
            <w:r w:rsidRPr="002414CB">
              <w:rPr>
                <w:rFonts w:ascii="Arial" w:hAnsi="Arial" w:cs="Arial"/>
                <w:sz w:val="16"/>
                <w:szCs w:val="16"/>
              </w:rPr>
              <w:t xml:space="preserve"> </w:t>
            </w:r>
            <w:proofErr w:type="spellStart"/>
            <w:r w:rsidRPr="002414CB">
              <w:rPr>
                <w:rFonts w:ascii="Arial" w:hAnsi="Arial" w:cs="Arial"/>
                <w:sz w:val="16"/>
                <w:szCs w:val="16"/>
              </w:rPr>
              <w:t>enforcement</w:t>
            </w:r>
            <w:proofErr w:type="spellEnd"/>
            <w:r w:rsidRPr="002414CB">
              <w:rPr>
                <w:rFonts w:ascii="Arial" w:hAnsi="Arial" w:cs="Arial"/>
                <w:sz w:val="16"/>
                <w:szCs w:val="16"/>
              </w:rPr>
              <w:t xml:space="preserve"> or </w:t>
            </w:r>
            <w:proofErr w:type="spellStart"/>
            <w:r w:rsidRPr="002414CB">
              <w:rPr>
                <w:rFonts w:ascii="Arial" w:hAnsi="Arial" w:cs="Arial"/>
                <w:sz w:val="16"/>
                <w:szCs w:val="16"/>
              </w:rPr>
              <w:t>acceleration</w:t>
            </w:r>
            <w:proofErr w:type="spellEnd"/>
            <w:r w:rsidRPr="002414CB">
              <w:rPr>
                <w:rFonts w:ascii="Arial" w:hAnsi="Arial" w:cs="Arial"/>
                <w:sz w:val="16"/>
                <w:szCs w:val="16"/>
              </w:rPr>
              <w:t xml:space="preserve"> notice </w:t>
            </w:r>
          </w:p>
          <w:p w:rsidR="00CD0C65" w:rsidRPr="002414CB" w:rsidRDefault="00CD0C65" w:rsidP="00394CE6">
            <w:pPr>
              <w:rPr>
                <w:rFonts w:cs="Arial"/>
                <w:sz w:val="16"/>
                <w:szCs w:val="16"/>
              </w:rPr>
            </w:pPr>
          </w:p>
        </w:tc>
        <w:tc>
          <w:tcPr>
            <w:tcW w:w="708"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Article 21(4</w:t>
            </w:r>
            <w:proofErr w:type="gramStart"/>
            <w:r w:rsidRPr="002414CB">
              <w:rPr>
                <w:rFonts w:ascii="Arial" w:hAnsi="Arial" w:cs="Arial"/>
                <w:sz w:val="16"/>
                <w:szCs w:val="16"/>
              </w:rPr>
              <w:t>);</w:t>
            </w:r>
            <w:proofErr w:type="gramEnd"/>
            <w:r w:rsidRPr="002414CB">
              <w:rPr>
                <w:rFonts w:ascii="Arial" w:hAnsi="Arial" w:cs="Arial"/>
                <w:sz w:val="16"/>
                <w:szCs w:val="16"/>
              </w:rPr>
              <w:t xml:space="preserve"> </w:t>
            </w:r>
          </w:p>
          <w:p w:rsidR="00CD0C65" w:rsidRPr="002414CB" w:rsidRDefault="00CD0C65" w:rsidP="00394CE6">
            <w:pPr>
              <w:rPr>
                <w:rFonts w:cs="Arial"/>
                <w:sz w:val="16"/>
                <w:szCs w:val="16"/>
              </w:rPr>
            </w:pPr>
          </w:p>
        </w:tc>
        <w:tc>
          <w:tcPr>
            <w:tcW w:w="709"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Article 24(17</w:t>
            </w:r>
            <w:proofErr w:type="gramStart"/>
            <w:r w:rsidRPr="002414CB">
              <w:rPr>
                <w:rFonts w:ascii="Arial" w:hAnsi="Arial" w:cs="Arial"/>
                <w:sz w:val="16"/>
                <w:szCs w:val="16"/>
              </w:rPr>
              <w:t>);</w:t>
            </w:r>
            <w:proofErr w:type="gramEnd"/>
            <w:r w:rsidRPr="002414CB">
              <w:rPr>
                <w:rFonts w:ascii="Arial" w:hAnsi="Arial" w:cs="Arial"/>
                <w:sz w:val="16"/>
                <w:szCs w:val="16"/>
              </w:rPr>
              <w:t xml:space="preserve"> </w:t>
            </w:r>
          </w:p>
          <w:p w:rsidR="00CD0C65" w:rsidRPr="002414CB" w:rsidRDefault="00CD0C65" w:rsidP="00394CE6">
            <w:pPr>
              <w:rPr>
                <w:rFonts w:cs="Arial"/>
                <w:sz w:val="16"/>
                <w:szCs w:val="16"/>
              </w:rPr>
            </w:pPr>
          </w:p>
        </w:tc>
        <w:tc>
          <w:tcPr>
            <w:tcW w:w="1559"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Article 26(1), </w:t>
            </w:r>
            <w:proofErr w:type="spellStart"/>
            <w:r w:rsidRPr="002414CB">
              <w:rPr>
                <w:rFonts w:ascii="Arial" w:hAnsi="Arial" w:cs="Arial"/>
                <w:sz w:val="16"/>
                <w:szCs w:val="16"/>
              </w:rPr>
              <w:t>same</w:t>
            </w:r>
            <w:proofErr w:type="spellEnd"/>
            <w:r w:rsidRPr="002414CB">
              <w:rPr>
                <w:rFonts w:ascii="Arial" w:hAnsi="Arial" w:cs="Arial"/>
                <w:sz w:val="16"/>
                <w:szCs w:val="16"/>
              </w:rPr>
              <w:t xml:space="preserve"> </w:t>
            </w:r>
            <w:proofErr w:type="spellStart"/>
            <w:r w:rsidRPr="002414CB">
              <w:rPr>
                <w:rFonts w:ascii="Arial" w:hAnsi="Arial" w:cs="Arial"/>
                <w:sz w:val="16"/>
                <w:szCs w:val="16"/>
              </w:rPr>
              <w:t>requirement</w:t>
            </w:r>
            <w:proofErr w:type="spellEnd"/>
            <w:r w:rsidRPr="002414CB">
              <w:rPr>
                <w:rFonts w:ascii="Arial" w:hAnsi="Arial" w:cs="Arial"/>
                <w:sz w:val="16"/>
                <w:szCs w:val="16"/>
              </w:rPr>
              <w:t xml:space="preserve"> as </w:t>
            </w:r>
            <w:proofErr w:type="spellStart"/>
            <w:r w:rsidRPr="002414CB">
              <w:rPr>
                <w:rFonts w:ascii="Arial" w:hAnsi="Arial" w:cs="Arial"/>
                <w:sz w:val="16"/>
                <w:szCs w:val="16"/>
              </w:rPr>
              <w:t>under</w:t>
            </w:r>
            <w:proofErr w:type="spellEnd"/>
            <w:r w:rsidRPr="002414CB">
              <w:rPr>
                <w:rFonts w:ascii="Arial" w:hAnsi="Arial" w:cs="Arial"/>
                <w:sz w:val="16"/>
                <w:szCs w:val="16"/>
              </w:rPr>
              <w:t xml:space="preserve"> Article 21(4) and 24(17</w:t>
            </w:r>
            <w:proofErr w:type="gramStart"/>
            <w:r w:rsidRPr="002414CB">
              <w:rPr>
                <w:rFonts w:ascii="Arial" w:hAnsi="Arial" w:cs="Arial"/>
                <w:sz w:val="16"/>
                <w:szCs w:val="16"/>
              </w:rPr>
              <w:t>);</w:t>
            </w:r>
            <w:proofErr w:type="gramEnd"/>
            <w:r w:rsidRPr="002414CB">
              <w:rPr>
                <w:rFonts w:ascii="Arial" w:hAnsi="Arial" w:cs="Arial"/>
                <w:sz w:val="16"/>
                <w:szCs w:val="16"/>
              </w:rPr>
              <w:t xml:space="preserve"> </w:t>
            </w:r>
          </w:p>
          <w:p w:rsidR="00CD0C65" w:rsidRPr="002414CB" w:rsidRDefault="00CD0C65" w:rsidP="00394CE6">
            <w:pPr>
              <w:rPr>
                <w:rFonts w:cs="Arial"/>
                <w:sz w:val="16"/>
                <w:szCs w:val="16"/>
              </w:rPr>
            </w:pPr>
          </w:p>
        </w:tc>
        <w:tc>
          <w:tcPr>
            <w:tcW w:w="709"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N/A </w:t>
            </w:r>
          </w:p>
          <w:p w:rsidR="00CD0C65" w:rsidRPr="002414CB" w:rsidRDefault="00CD0C65" w:rsidP="00394CE6">
            <w:pPr>
              <w:rPr>
                <w:rFonts w:cs="Arial"/>
                <w:sz w:val="16"/>
                <w:szCs w:val="16"/>
              </w:rPr>
            </w:pPr>
          </w:p>
        </w:tc>
        <w:tc>
          <w:tcPr>
            <w:tcW w:w="3402"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The STS notification </w:t>
            </w:r>
            <w:proofErr w:type="spellStart"/>
            <w:r w:rsidRPr="002414CB">
              <w:rPr>
                <w:rFonts w:ascii="Arial" w:hAnsi="Arial" w:cs="Arial"/>
                <w:sz w:val="16"/>
                <w:szCs w:val="16"/>
              </w:rPr>
              <w:t>shall</w:t>
            </w:r>
            <w:proofErr w:type="spellEnd"/>
            <w:r w:rsidRPr="002414CB">
              <w:rPr>
                <w:rFonts w:ascii="Arial" w:hAnsi="Arial" w:cs="Arial"/>
                <w:sz w:val="16"/>
                <w:szCs w:val="16"/>
              </w:rPr>
              <w:t xml:space="preserve"> </w:t>
            </w:r>
            <w:proofErr w:type="spellStart"/>
            <w:r w:rsidRPr="002414CB">
              <w:rPr>
                <w:rFonts w:ascii="Arial" w:hAnsi="Arial" w:cs="Arial"/>
                <w:sz w:val="16"/>
                <w:szCs w:val="16"/>
              </w:rPr>
              <w:t>include</w:t>
            </w:r>
            <w:proofErr w:type="spellEnd"/>
            <w:r w:rsidRPr="002414CB">
              <w:rPr>
                <w:rFonts w:ascii="Arial" w:hAnsi="Arial" w:cs="Arial"/>
                <w:sz w:val="16"/>
                <w:szCs w:val="16"/>
              </w:rPr>
              <w:t xml:space="preserve"> a concise </w:t>
            </w:r>
            <w:proofErr w:type="spellStart"/>
            <w:r w:rsidRPr="002414CB">
              <w:rPr>
                <w:rFonts w:ascii="Arial" w:hAnsi="Arial" w:cs="Arial"/>
                <w:sz w:val="16"/>
                <w:szCs w:val="16"/>
              </w:rPr>
              <w:t>explanation</w:t>
            </w:r>
            <w:proofErr w:type="spellEnd"/>
            <w:r w:rsidRPr="002414CB">
              <w:rPr>
                <w:rFonts w:ascii="Arial" w:hAnsi="Arial" w:cs="Arial"/>
                <w:sz w:val="16"/>
                <w:szCs w:val="16"/>
              </w:rPr>
              <w:t xml:space="preserve"> on how the </w:t>
            </w:r>
            <w:proofErr w:type="spellStart"/>
            <w:r w:rsidRPr="002414CB">
              <w:rPr>
                <w:rFonts w:ascii="Arial" w:hAnsi="Arial" w:cs="Arial"/>
                <w:sz w:val="16"/>
                <w:szCs w:val="16"/>
              </w:rPr>
              <w:t>requirement</w:t>
            </w:r>
            <w:proofErr w:type="spellEnd"/>
            <w:r w:rsidRPr="002414CB">
              <w:rPr>
                <w:rFonts w:ascii="Arial" w:hAnsi="Arial" w:cs="Arial"/>
                <w:sz w:val="16"/>
                <w:szCs w:val="16"/>
              </w:rPr>
              <w:t xml:space="preserve"> </w:t>
            </w:r>
            <w:proofErr w:type="spellStart"/>
            <w:r w:rsidRPr="002414CB">
              <w:rPr>
                <w:rFonts w:ascii="Arial" w:hAnsi="Arial" w:cs="Arial"/>
                <w:sz w:val="16"/>
                <w:szCs w:val="16"/>
              </w:rPr>
              <w:t>is</w:t>
            </w:r>
            <w:proofErr w:type="spellEnd"/>
            <w:r w:rsidRPr="002414CB">
              <w:rPr>
                <w:rFonts w:ascii="Arial" w:hAnsi="Arial" w:cs="Arial"/>
                <w:sz w:val="16"/>
                <w:szCs w:val="16"/>
              </w:rPr>
              <w:t xml:space="preserve"> met, </w:t>
            </w:r>
            <w:proofErr w:type="spellStart"/>
            <w:r w:rsidRPr="002414CB">
              <w:rPr>
                <w:rFonts w:ascii="Arial" w:hAnsi="Arial" w:cs="Arial"/>
                <w:sz w:val="16"/>
                <w:szCs w:val="16"/>
              </w:rPr>
              <w:t>including</w:t>
            </w:r>
            <w:proofErr w:type="spellEnd"/>
            <w:r w:rsidRPr="002414CB">
              <w:rPr>
                <w:rFonts w:ascii="Arial" w:hAnsi="Arial" w:cs="Arial"/>
                <w:sz w:val="16"/>
                <w:szCs w:val="16"/>
              </w:rPr>
              <w:t xml:space="preserve"> </w:t>
            </w:r>
            <w:proofErr w:type="spellStart"/>
            <w:r w:rsidRPr="002414CB">
              <w:rPr>
                <w:rFonts w:ascii="Arial" w:hAnsi="Arial" w:cs="Arial"/>
                <w:sz w:val="16"/>
                <w:szCs w:val="16"/>
              </w:rPr>
              <w:t>explanation</w:t>
            </w:r>
            <w:proofErr w:type="spellEnd"/>
            <w:r w:rsidRPr="002414CB">
              <w:rPr>
                <w:rFonts w:ascii="Arial" w:hAnsi="Arial" w:cs="Arial"/>
                <w:sz w:val="16"/>
                <w:szCs w:val="16"/>
              </w:rPr>
              <w:t xml:space="preserve"> of cases </w:t>
            </w:r>
            <w:proofErr w:type="spellStart"/>
            <w:r w:rsidRPr="002414CB">
              <w:rPr>
                <w:rFonts w:ascii="Arial" w:hAnsi="Arial" w:cs="Arial"/>
                <w:sz w:val="16"/>
                <w:szCs w:val="16"/>
              </w:rPr>
              <w:t>where</w:t>
            </w:r>
            <w:proofErr w:type="spellEnd"/>
            <w:r w:rsidRPr="002414CB">
              <w:rPr>
                <w:rFonts w:ascii="Arial" w:hAnsi="Arial" w:cs="Arial"/>
                <w:sz w:val="16"/>
                <w:szCs w:val="16"/>
              </w:rPr>
              <w:t xml:space="preserve"> cash </w:t>
            </w:r>
            <w:proofErr w:type="spellStart"/>
            <w:r w:rsidRPr="002414CB">
              <w:rPr>
                <w:rFonts w:ascii="Arial" w:hAnsi="Arial" w:cs="Arial"/>
                <w:sz w:val="16"/>
                <w:szCs w:val="16"/>
              </w:rPr>
              <w:t>may</w:t>
            </w:r>
            <w:proofErr w:type="spellEnd"/>
            <w:r w:rsidRPr="002414CB">
              <w:rPr>
                <w:rFonts w:ascii="Arial" w:hAnsi="Arial" w:cs="Arial"/>
                <w:sz w:val="16"/>
                <w:szCs w:val="16"/>
              </w:rPr>
              <w:t xml:space="preserve"> </w:t>
            </w:r>
            <w:proofErr w:type="spellStart"/>
            <w:r w:rsidRPr="002414CB">
              <w:rPr>
                <w:rFonts w:ascii="Arial" w:hAnsi="Arial" w:cs="Arial"/>
                <w:sz w:val="16"/>
                <w:szCs w:val="16"/>
              </w:rPr>
              <w:t>be</w:t>
            </w:r>
            <w:proofErr w:type="spellEnd"/>
            <w:r w:rsidRPr="002414CB">
              <w:rPr>
                <w:rFonts w:ascii="Arial" w:hAnsi="Arial" w:cs="Arial"/>
                <w:sz w:val="16"/>
                <w:szCs w:val="16"/>
              </w:rPr>
              <w:t xml:space="preserve"> </w:t>
            </w:r>
            <w:proofErr w:type="spellStart"/>
            <w:r w:rsidRPr="002414CB">
              <w:rPr>
                <w:rFonts w:ascii="Arial" w:hAnsi="Arial" w:cs="Arial"/>
                <w:sz w:val="16"/>
                <w:szCs w:val="16"/>
              </w:rPr>
              <w:t>trapped</w:t>
            </w:r>
            <w:proofErr w:type="spellEnd"/>
            <w:r w:rsidRPr="002414CB">
              <w:rPr>
                <w:rFonts w:ascii="Arial" w:hAnsi="Arial" w:cs="Arial"/>
                <w:sz w:val="16"/>
                <w:szCs w:val="16"/>
              </w:rPr>
              <w:t xml:space="preserve"> in the SSPE (</w:t>
            </w:r>
            <w:proofErr w:type="spellStart"/>
            <w:r w:rsidRPr="002414CB">
              <w:rPr>
                <w:rFonts w:ascii="Arial" w:hAnsi="Arial" w:cs="Arial"/>
                <w:sz w:val="16"/>
                <w:szCs w:val="16"/>
              </w:rPr>
              <w:t>expected</w:t>
            </w:r>
            <w:proofErr w:type="spellEnd"/>
            <w:r w:rsidRPr="002414CB">
              <w:rPr>
                <w:rFonts w:ascii="Arial" w:hAnsi="Arial" w:cs="Arial"/>
                <w:sz w:val="16"/>
                <w:szCs w:val="16"/>
              </w:rPr>
              <w:t xml:space="preserve"> cross-</w:t>
            </w:r>
            <w:proofErr w:type="spellStart"/>
            <w:r w:rsidRPr="002414CB">
              <w:rPr>
                <w:rFonts w:ascii="Arial" w:hAnsi="Arial" w:cs="Arial"/>
                <w:sz w:val="16"/>
                <w:szCs w:val="16"/>
              </w:rPr>
              <w:t>references</w:t>
            </w:r>
            <w:proofErr w:type="spellEnd"/>
            <w:r w:rsidRPr="002414CB">
              <w:rPr>
                <w:rFonts w:ascii="Arial" w:hAnsi="Arial" w:cs="Arial"/>
                <w:sz w:val="16"/>
                <w:szCs w:val="16"/>
              </w:rPr>
              <w:t xml:space="preserve"> </w:t>
            </w:r>
            <w:proofErr w:type="spellStart"/>
            <w:r w:rsidRPr="002414CB">
              <w:rPr>
                <w:rFonts w:ascii="Arial" w:hAnsi="Arial" w:cs="Arial"/>
                <w:sz w:val="16"/>
                <w:szCs w:val="16"/>
              </w:rPr>
              <w:t>with</w:t>
            </w:r>
            <w:proofErr w:type="spellEnd"/>
            <w:r w:rsidRPr="002414CB">
              <w:rPr>
                <w:rFonts w:ascii="Arial" w:hAnsi="Arial" w:cs="Arial"/>
                <w:sz w:val="16"/>
                <w:szCs w:val="16"/>
              </w:rPr>
              <w:t xml:space="preserve"> the </w:t>
            </w:r>
            <w:proofErr w:type="gramStart"/>
            <w:r w:rsidRPr="002414CB">
              <w:rPr>
                <w:rFonts w:ascii="Arial" w:hAnsi="Arial" w:cs="Arial"/>
                <w:sz w:val="16"/>
                <w:szCs w:val="16"/>
              </w:rPr>
              <w:t>Prospectus:</w:t>
            </w:r>
            <w:proofErr w:type="gramEnd"/>
            <w:r w:rsidRPr="002414CB">
              <w:rPr>
                <w:rFonts w:ascii="Arial" w:hAnsi="Arial" w:cs="Arial"/>
                <w:sz w:val="16"/>
                <w:szCs w:val="16"/>
              </w:rPr>
              <w:t xml:space="preserve"> Item 3.4.6 of </w:t>
            </w:r>
            <w:proofErr w:type="spellStart"/>
            <w:r w:rsidRPr="002414CB">
              <w:rPr>
                <w:rFonts w:ascii="Arial" w:hAnsi="Arial" w:cs="Arial"/>
                <w:sz w:val="16"/>
                <w:szCs w:val="16"/>
              </w:rPr>
              <w:t>Annex</w:t>
            </w:r>
            <w:proofErr w:type="spellEnd"/>
            <w:r w:rsidRPr="002414CB">
              <w:rPr>
                <w:rFonts w:ascii="Arial" w:hAnsi="Arial" w:cs="Arial"/>
                <w:sz w:val="16"/>
                <w:szCs w:val="16"/>
              </w:rPr>
              <w:t xml:space="preserve"> 11). </w:t>
            </w:r>
          </w:p>
          <w:p w:rsidR="00CD0C65" w:rsidRPr="002414CB" w:rsidRDefault="00CD0C65" w:rsidP="002414CB">
            <w:pPr>
              <w:ind w:firstLine="709"/>
              <w:rPr>
                <w:rFonts w:cs="Arial"/>
                <w:sz w:val="16"/>
                <w:szCs w:val="16"/>
              </w:rPr>
            </w:pPr>
          </w:p>
        </w:tc>
        <w:tc>
          <w:tcPr>
            <w:tcW w:w="797" w:type="dxa"/>
          </w:tcPr>
          <w:p w:rsidR="00CD0C65" w:rsidRPr="002414CB" w:rsidRDefault="002414CB" w:rsidP="00394CE6">
            <w:pPr>
              <w:rPr>
                <w:rFonts w:cs="Arial"/>
                <w:sz w:val="16"/>
                <w:szCs w:val="16"/>
              </w:rPr>
            </w:pPr>
            <w:r w:rsidRPr="002414CB">
              <w:rPr>
                <w:rFonts w:cs="Arial"/>
                <w:sz w:val="16"/>
                <w:szCs w:val="16"/>
              </w:rPr>
              <w:t>Yes/No</w:t>
            </w:r>
          </w:p>
        </w:tc>
      </w:tr>
      <w:tr w:rsidR="002414CB" w:rsidRPr="002414CB" w:rsidTr="002414CB">
        <w:tc>
          <w:tcPr>
            <w:tcW w:w="1668" w:type="dxa"/>
          </w:tcPr>
          <w:p w:rsidR="002414CB" w:rsidRPr="002414CB" w:rsidRDefault="002414CB" w:rsidP="002414CB">
            <w:pPr>
              <w:pStyle w:val="Default"/>
              <w:rPr>
                <w:rFonts w:ascii="Arial" w:hAnsi="Arial" w:cs="Arial"/>
                <w:sz w:val="16"/>
                <w:szCs w:val="16"/>
              </w:rPr>
            </w:pPr>
            <w:proofErr w:type="spellStart"/>
            <w:r w:rsidRPr="002414CB">
              <w:rPr>
                <w:rFonts w:ascii="Arial" w:hAnsi="Arial" w:cs="Arial"/>
                <w:sz w:val="16"/>
                <w:szCs w:val="16"/>
              </w:rPr>
              <w:t>Drawn</w:t>
            </w:r>
            <w:proofErr w:type="spellEnd"/>
            <w:r w:rsidRPr="002414CB">
              <w:rPr>
                <w:rFonts w:ascii="Arial" w:hAnsi="Arial" w:cs="Arial"/>
                <w:sz w:val="16"/>
                <w:szCs w:val="16"/>
              </w:rPr>
              <w:t xml:space="preserve"> down of </w:t>
            </w:r>
            <w:proofErr w:type="spellStart"/>
            <w:r w:rsidRPr="002414CB">
              <w:rPr>
                <w:rFonts w:ascii="Arial" w:hAnsi="Arial" w:cs="Arial"/>
                <w:sz w:val="16"/>
                <w:szCs w:val="16"/>
              </w:rPr>
              <w:t>liquidity</w:t>
            </w:r>
            <w:proofErr w:type="spellEnd"/>
            <w:r w:rsidRPr="002414CB">
              <w:rPr>
                <w:rFonts w:ascii="Arial" w:hAnsi="Arial" w:cs="Arial"/>
                <w:sz w:val="16"/>
                <w:szCs w:val="16"/>
              </w:rPr>
              <w:t xml:space="preserve"> </w:t>
            </w:r>
            <w:proofErr w:type="spellStart"/>
            <w:r w:rsidRPr="002414CB">
              <w:rPr>
                <w:rFonts w:ascii="Arial" w:hAnsi="Arial" w:cs="Arial"/>
                <w:sz w:val="16"/>
                <w:szCs w:val="16"/>
              </w:rPr>
              <w:t>facility</w:t>
            </w:r>
            <w:proofErr w:type="spellEnd"/>
            <w:r w:rsidRPr="002414CB">
              <w:rPr>
                <w:rFonts w:ascii="Arial" w:hAnsi="Arial" w:cs="Arial"/>
                <w:sz w:val="16"/>
                <w:szCs w:val="16"/>
              </w:rPr>
              <w:t xml:space="preserve">, </w:t>
            </w:r>
            <w:proofErr w:type="spellStart"/>
            <w:r w:rsidRPr="002414CB">
              <w:rPr>
                <w:rFonts w:ascii="Arial" w:hAnsi="Arial" w:cs="Arial"/>
                <w:sz w:val="16"/>
                <w:szCs w:val="16"/>
              </w:rPr>
              <w:t>where</w:t>
            </w:r>
            <w:proofErr w:type="spellEnd"/>
            <w:r w:rsidRPr="002414CB">
              <w:rPr>
                <w:rFonts w:ascii="Arial" w:hAnsi="Arial" w:cs="Arial"/>
                <w:sz w:val="16"/>
                <w:szCs w:val="16"/>
              </w:rPr>
              <w:t xml:space="preserve"> </w:t>
            </w:r>
            <w:proofErr w:type="spellStart"/>
            <w:r w:rsidRPr="002414CB">
              <w:rPr>
                <w:rFonts w:ascii="Arial" w:hAnsi="Arial" w:cs="Arial"/>
                <w:sz w:val="16"/>
                <w:szCs w:val="16"/>
              </w:rPr>
              <w:t>funding</w:t>
            </w:r>
            <w:proofErr w:type="spellEnd"/>
            <w:r w:rsidRPr="002414CB">
              <w:rPr>
                <w:rFonts w:ascii="Arial" w:hAnsi="Arial" w:cs="Arial"/>
                <w:sz w:val="16"/>
                <w:szCs w:val="16"/>
              </w:rPr>
              <w:t xml:space="preserve"> </w:t>
            </w:r>
            <w:proofErr w:type="spellStart"/>
            <w:r w:rsidRPr="002414CB">
              <w:rPr>
                <w:rFonts w:ascii="Arial" w:hAnsi="Arial" w:cs="Arial"/>
                <w:sz w:val="16"/>
                <w:szCs w:val="16"/>
              </w:rPr>
              <w:t>commitments</w:t>
            </w:r>
            <w:proofErr w:type="spellEnd"/>
            <w:r w:rsidRPr="002414CB">
              <w:rPr>
                <w:rFonts w:ascii="Arial" w:hAnsi="Arial" w:cs="Arial"/>
                <w:sz w:val="16"/>
                <w:szCs w:val="16"/>
              </w:rPr>
              <w:t xml:space="preserve"> of the </w:t>
            </w:r>
            <w:proofErr w:type="spellStart"/>
            <w:r w:rsidRPr="002414CB">
              <w:rPr>
                <w:rFonts w:ascii="Arial" w:hAnsi="Arial" w:cs="Arial"/>
                <w:sz w:val="16"/>
                <w:szCs w:val="16"/>
              </w:rPr>
              <w:t>liquidity</w:t>
            </w:r>
            <w:proofErr w:type="spellEnd"/>
            <w:r w:rsidRPr="002414CB">
              <w:rPr>
                <w:rFonts w:ascii="Arial" w:hAnsi="Arial" w:cs="Arial"/>
                <w:sz w:val="16"/>
                <w:szCs w:val="16"/>
              </w:rPr>
              <w:t xml:space="preserve"> </w:t>
            </w:r>
            <w:proofErr w:type="spellStart"/>
            <w:r w:rsidRPr="002414CB">
              <w:rPr>
                <w:rFonts w:ascii="Arial" w:hAnsi="Arial" w:cs="Arial"/>
                <w:sz w:val="16"/>
                <w:szCs w:val="16"/>
              </w:rPr>
              <w:t>facility</w:t>
            </w:r>
            <w:proofErr w:type="spellEnd"/>
            <w:r w:rsidRPr="002414CB">
              <w:rPr>
                <w:rFonts w:ascii="Arial" w:hAnsi="Arial" w:cs="Arial"/>
                <w:sz w:val="16"/>
                <w:szCs w:val="16"/>
              </w:rPr>
              <w:t xml:space="preserve"> are not </w:t>
            </w:r>
            <w:proofErr w:type="spellStart"/>
            <w:r w:rsidRPr="002414CB">
              <w:rPr>
                <w:rFonts w:ascii="Arial" w:hAnsi="Arial" w:cs="Arial"/>
                <w:sz w:val="16"/>
                <w:szCs w:val="16"/>
              </w:rPr>
              <w:t>renewed</w:t>
            </w:r>
            <w:proofErr w:type="spellEnd"/>
            <w:r w:rsidRPr="002414CB">
              <w:rPr>
                <w:rFonts w:ascii="Arial" w:hAnsi="Arial" w:cs="Arial"/>
                <w:sz w:val="16"/>
                <w:szCs w:val="16"/>
              </w:rPr>
              <w:t xml:space="preserve"> by the </w:t>
            </w:r>
            <w:proofErr w:type="gramStart"/>
            <w:r w:rsidRPr="002414CB">
              <w:rPr>
                <w:rFonts w:ascii="Arial" w:hAnsi="Arial" w:cs="Arial"/>
                <w:sz w:val="16"/>
                <w:szCs w:val="16"/>
              </w:rPr>
              <w:t>sponsor:</w:t>
            </w:r>
            <w:proofErr w:type="gramEnd"/>
            <w:r w:rsidRPr="002414CB">
              <w:rPr>
                <w:rFonts w:ascii="Arial" w:hAnsi="Arial" w:cs="Arial"/>
                <w:sz w:val="16"/>
                <w:szCs w:val="16"/>
              </w:rPr>
              <w:t xml:space="preserve"> </w:t>
            </w:r>
          </w:p>
          <w:p w:rsidR="00CD0C65" w:rsidRPr="002414CB" w:rsidRDefault="00CD0C65" w:rsidP="00394CE6">
            <w:pPr>
              <w:rPr>
                <w:rFonts w:cs="Arial"/>
                <w:sz w:val="16"/>
                <w:szCs w:val="16"/>
              </w:rPr>
            </w:pPr>
          </w:p>
        </w:tc>
        <w:tc>
          <w:tcPr>
            <w:tcW w:w="708"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N/A </w:t>
            </w:r>
          </w:p>
          <w:p w:rsidR="00CD0C65" w:rsidRPr="002414CB" w:rsidRDefault="00CD0C65" w:rsidP="00394CE6">
            <w:pPr>
              <w:rPr>
                <w:rFonts w:cs="Arial"/>
                <w:sz w:val="16"/>
                <w:szCs w:val="16"/>
              </w:rPr>
            </w:pPr>
          </w:p>
        </w:tc>
        <w:tc>
          <w:tcPr>
            <w:tcW w:w="709"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N/A </w:t>
            </w:r>
          </w:p>
          <w:p w:rsidR="00CD0C65" w:rsidRPr="002414CB" w:rsidRDefault="00CD0C65" w:rsidP="00394CE6">
            <w:pPr>
              <w:rPr>
                <w:rFonts w:cs="Arial"/>
                <w:sz w:val="16"/>
                <w:szCs w:val="16"/>
              </w:rPr>
            </w:pPr>
          </w:p>
        </w:tc>
        <w:tc>
          <w:tcPr>
            <w:tcW w:w="1559"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N/A </w:t>
            </w:r>
          </w:p>
          <w:p w:rsidR="00CD0C65" w:rsidRPr="002414CB" w:rsidRDefault="00CD0C65" w:rsidP="00394CE6">
            <w:pPr>
              <w:rPr>
                <w:rFonts w:cs="Arial"/>
                <w:sz w:val="16"/>
                <w:szCs w:val="16"/>
              </w:rPr>
            </w:pPr>
          </w:p>
        </w:tc>
        <w:tc>
          <w:tcPr>
            <w:tcW w:w="709"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Article 25(7) </w:t>
            </w:r>
          </w:p>
          <w:p w:rsidR="00CD0C65" w:rsidRPr="002414CB" w:rsidRDefault="00CD0C65" w:rsidP="00394CE6">
            <w:pPr>
              <w:rPr>
                <w:rFonts w:cs="Arial"/>
                <w:sz w:val="16"/>
                <w:szCs w:val="16"/>
              </w:rPr>
            </w:pPr>
          </w:p>
        </w:tc>
        <w:tc>
          <w:tcPr>
            <w:tcW w:w="3402" w:type="dxa"/>
          </w:tcPr>
          <w:p w:rsidR="00CD0C65" w:rsidRPr="002414CB" w:rsidRDefault="002414CB" w:rsidP="002414CB">
            <w:pPr>
              <w:pStyle w:val="Default"/>
              <w:rPr>
                <w:rFonts w:ascii="Arial" w:hAnsi="Arial" w:cs="Arial"/>
                <w:sz w:val="16"/>
                <w:szCs w:val="16"/>
              </w:rPr>
            </w:pPr>
            <w:r w:rsidRPr="002414CB">
              <w:rPr>
                <w:rFonts w:ascii="Arial" w:hAnsi="Arial" w:cs="Arial"/>
                <w:sz w:val="16"/>
                <w:szCs w:val="16"/>
              </w:rPr>
              <w:t xml:space="preserve">In </w:t>
            </w:r>
            <w:proofErr w:type="spellStart"/>
            <w:r w:rsidRPr="002414CB">
              <w:rPr>
                <w:rFonts w:ascii="Arial" w:hAnsi="Arial" w:cs="Arial"/>
                <w:sz w:val="16"/>
                <w:szCs w:val="16"/>
              </w:rPr>
              <w:t>conjunction</w:t>
            </w:r>
            <w:proofErr w:type="spellEnd"/>
            <w:r w:rsidRPr="002414CB">
              <w:rPr>
                <w:rFonts w:ascii="Arial" w:hAnsi="Arial" w:cs="Arial"/>
                <w:sz w:val="16"/>
                <w:szCs w:val="16"/>
              </w:rPr>
              <w:t xml:space="preserve"> </w:t>
            </w:r>
            <w:proofErr w:type="spellStart"/>
            <w:r w:rsidRPr="002414CB">
              <w:rPr>
                <w:rFonts w:ascii="Arial" w:hAnsi="Arial" w:cs="Arial"/>
                <w:sz w:val="16"/>
                <w:szCs w:val="16"/>
              </w:rPr>
              <w:t>with</w:t>
            </w:r>
            <w:proofErr w:type="spellEnd"/>
            <w:r w:rsidRPr="002414CB">
              <w:rPr>
                <w:rFonts w:ascii="Arial" w:hAnsi="Arial" w:cs="Arial"/>
                <w:sz w:val="16"/>
                <w:szCs w:val="16"/>
              </w:rPr>
              <w:t xml:space="preserve"> Article 26(7)(f) of the Securitisation </w:t>
            </w:r>
            <w:proofErr w:type="spellStart"/>
            <w:r w:rsidRPr="002414CB">
              <w:rPr>
                <w:rFonts w:ascii="Arial" w:hAnsi="Arial" w:cs="Arial"/>
                <w:sz w:val="16"/>
                <w:szCs w:val="16"/>
              </w:rPr>
              <w:t>Regulation</w:t>
            </w:r>
            <w:proofErr w:type="spellEnd"/>
            <w:r w:rsidRPr="002414CB">
              <w:rPr>
                <w:rFonts w:ascii="Arial" w:hAnsi="Arial" w:cs="Arial"/>
                <w:sz w:val="16"/>
                <w:szCs w:val="16"/>
              </w:rPr>
              <w:t xml:space="preserve">, the STS notification </w:t>
            </w:r>
            <w:proofErr w:type="spellStart"/>
            <w:r w:rsidRPr="002414CB">
              <w:rPr>
                <w:rFonts w:ascii="Arial" w:hAnsi="Arial" w:cs="Arial"/>
                <w:sz w:val="16"/>
                <w:szCs w:val="16"/>
              </w:rPr>
              <w:t>shall</w:t>
            </w:r>
            <w:proofErr w:type="spellEnd"/>
            <w:r w:rsidRPr="002414CB">
              <w:rPr>
                <w:rFonts w:ascii="Arial" w:hAnsi="Arial" w:cs="Arial"/>
                <w:sz w:val="16"/>
                <w:szCs w:val="16"/>
              </w:rPr>
              <w:t xml:space="preserve"> </w:t>
            </w:r>
            <w:proofErr w:type="spellStart"/>
            <w:r w:rsidRPr="002414CB">
              <w:rPr>
                <w:rFonts w:ascii="Arial" w:hAnsi="Arial" w:cs="Arial"/>
                <w:sz w:val="16"/>
                <w:szCs w:val="16"/>
              </w:rPr>
              <w:t>include</w:t>
            </w:r>
            <w:proofErr w:type="spellEnd"/>
            <w:r w:rsidRPr="002414CB">
              <w:rPr>
                <w:rFonts w:ascii="Arial" w:hAnsi="Arial" w:cs="Arial"/>
                <w:sz w:val="16"/>
                <w:szCs w:val="16"/>
              </w:rPr>
              <w:t xml:space="preserve"> a concise </w:t>
            </w:r>
            <w:proofErr w:type="spellStart"/>
            <w:r w:rsidRPr="002414CB">
              <w:rPr>
                <w:rFonts w:ascii="Arial" w:hAnsi="Arial" w:cs="Arial"/>
                <w:sz w:val="16"/>
                <w:szCs w:val="16"/>
              </w:rPr>
              <w:t>explanation</w:t>
            </w:r>
            <w:proofErr w:type="spellEnd"/>
            <w:r w:rsidRPr="002414CB">
              <w:rPr>
                <w:rFonts w:ascii="Arial" w:hAnsi="Arial" w:cs="Arial"/>
                <w:sz w:val="16"/>
                <w:szCs w:val="16"/>
              </w:rPr>
              <w:t xml:space="preserve"> </w:t>
            </w:r>
            <w:proofErr w:type="spellStart"/>
            <w:r w:rsidRPr="002414CB">
              <w:rPr>
                <w:rFonts w:ascii="Arial" w:hAnsi="Arial" w:cs="Arial"/>
                <w:sz w:val="16"/>
                <w:szCs w:val="16"/>
              </w:rPr>
              <w:t>from</w:t>
            </w:r>
            <w:proofErr w:type="spellEnd"/>
            <w:r w:rsidRPr="002414CB">
              <w:rPr>
                <w:rFonts w:ascii="Arial" w:hAnsi="Arial" w:cs="Arial"/>
                <w:sz w:val="16"/>
                <w:szCs w:val="16"/>
              </w:rPr>
              <w:t xml:space="preserve"> the sponsor of an ABCP programme on </w:t>
            </w:r>
            <w:proofErr w:type="spellStart"/>
            <w:r w:rsidRPr="002414CB">
              <w:rPr>
                <w:rFonts w:ascii="Arial" w:hAnsi="Arial" w:cs="Arial"/>
                <w:sz w:val="16"/>
                <w:szCs w:val="16"/>
              </w:rPr>
              <w:t>whether</w:t>
            </w:r>
            <w:proofErr w:type="spellEnd"/>
            <w:r w:rsidRPr="002414CB">
              <w:rPr>
                <w:rFonts w:ascii="Arial" w:hAnsi="Arial" w:cs="Arial"/>
                <w:sz w:val="16"/>
                <w:szCs w:val="16"/>
              </w:rPr>
              <w:t xml:space="preserve"> the </w:t>
            </w:r>
            <w:proofErr w:type="spellStart"/>
            <w:r w:rsidRPr="002414CB">
              <w:rPr>
                <w:rFonts w:ascii="Arial" w:hAnsi="Arial" w:cs="Arial"/>
                <w:sz w:val="16"/>
                <w:szCs w:val="16"/>
              </w:rPr>
              <w:t>liquidity</w:t>
            </w:r>
            <w:proofErr w:type="spellEnd"/>
            <w:r w:rsidRPr="002414CB">
              <w:rPr>
                <w:rFonts w:ascii="Arial" w:hAnsi="Arial" w:cs="Arial"/>
                <w:sz w:val="16"/>
                <w:szCs w:val="16"/>
              </w:rPr>
              <w:t xml:space="preserve"> </w:t>
            </w:r>
            <w:proofErr w:type="spellStart"/>
            <w:r w:rsidRPr="002414CB">
              <w:rPr>
                <w:rFonts w:ascii="Arial" w:hAnsi="Arial" w:cs="Arial"/>
                <w:sz w:val="16"/>
                <w:szCs w:val="16"/>
              </w:rPr>
              <w:t>facility</w:t>
            </w:r>
            <w:proofErr w:type="spellEnd"/>
            <w:r w:rsidRPr="002414CB">
              <w:rPr>
                <w:rFonts w:ascii="Arial" w:hAnsi="Arial" w:cs="Arial"/>
                <w:sz w:val="16"/>
                <w:szCs w:val="16"/>
              </w:rPr>
              <w:t xml:space="preserve"> </w:t>
            </w:r>
            <w:proofErr w:type="spellStart"/>
            <w:r w:rsidRPr="002414CB">
              <w:rPr>
                <w:rFonts w:ascii="Arial" w:hAnsi="Arial" w:cs="Arial"/>
                <w:sz w:val="16"/>
                <w:szCs w:val="16"/>
              </w:rPr>
              <w:t>is</w:t>
            </w:r>
            <w:proofErr w:type="spellEnd"/>
            <w:r w:rsidRPr="002414CB">
              <w:rPr>
                <w:rFonts w:ascii="Arial" w:hAnsi="Arial" w:cs="Arial"/>
                <w:sz w:val="16"/>
                <w:szCs w:val="16"/>
              </w:rPr>
              <w:t xml:space="preserve"> </w:t>
            </w:r>
            <w:proofErr w:type="spellStart"/>
            <w:r w:rsidRPr="002414CB">
              <w:rPr>
                <w:rFonts w:ascii="Arial" w:hAnsi="Arial" w:cs="Arial"/>
                <w:sz w:val="16"/>
                <w:szCs w:val="16"/>
              </w:rPr>
              <w:t>drawn</w:t>
            </w:r>
            <w:proofErr w:type="spellEnd"/>
            <w:r w:rsidRPr="002414CB">
              <w:rPr>
                <w:rFonts w:ascii="Arial" w:hAnsi="Arial" w:cs="Arial"/>
                <w:sz w:val="16"/>
                <w:szCs w:val="16"/>
              </w:rPr>
              <w:t xml:space="preserve"> down and the </w:t>
            </w:r>
            <w:proofErr w:type="spellStart"/>
            <w:r w:rsidRPr="002414CB">
              <w:rPr>
                <w:rFonts w:ascii="Arial" w:hAnsi="Arial" w:cs="Arial"/>
                <w:sz w:val="16"/>
                <w:szCs w:val="16"/>
              </w:rPr>
              <w:t>maturing</w:t>
            </w:r>
            <w:proofErr w:type="spellEnd"/>
            <w:r w:rsidRPr="002414CB">
              <w:rPr>
                <w:rFonts w:ascii="Arial" w:hAnsi="Arial" w:cs="Arial"/>
                <w:sz w:val="16"/>
                <w:szCs w:val="16"/>
              </w:rPr>
              <w:t xml:space="preserve"> </w:t>
            </w:r>
            <w:proofErr w:type="spellStart"/>
            <w:r w:rsidRPr="002414CB">
              <w:rPr>
                <w:rFonts w:ascii="Arial" w:hAnsi="Arial" w:cs="Arial"/>
                <w:sz w:val="16"/>
                <w:szCs w:val="16"/>
              </w:rPr>
              <w:t>securities</w:t>
            </w:r>
            <w:proofErr w:type="spellEnd"/>
            <w:r w:rsidRPr="002414CB">
              <w:rPr>
                <w:rFonts w:ascii="Arial" w:hAnsi="Arial" w:cs="Arial"/>
                <w:sz w:val="16"/>
                <w:szCs w:val="16"/>
              </w:rPr>
              <w:t xml:space="preserve"> are </w:t>
            </w:r>
            <w:proofErr w:type="spellStart"/>
            <w:r w:rsidRPr="002414CB">
              <w:rPr>
                <w:rFonts w:ascii="Arial" w:hAnsi="Arial" w:cs="Arial"/>
                <w:sz w:val="16"/>
                <w:szCs w:val="16"/>
              </w:rPr>
              <w:t>repaid</w:t>
            </w:r>
            <w:proofErr w:type="spellEnd"/>
            <w:r w:rsidRPr="002414CB">
              <w:rPr>
                <w:rFonts w:ascii="Arial" w:hAnsi="Arial" w:cs="Arial"/>
                <w:sz w:val="16"/>
                <w:szCs w:val="16"/>
              </w:rPr>
              <w:t xml:space="preserve"> in the </w:t>
            </w:r>
            <w:proofErr w:type="spellStart"/>
            <w:r w:rsidRPr="002414CB">
              <w:rPr>
                <w:rFonts w:ascii="Arial" w:hAnsi="Arial" w:cs="Arial"/>
                <w:sz w:val="16"/>
                <w:szCs w:val="16"/>
              </w:rPr>
              <w:t>event</w:t>
            </w:r>
            <w:proofErr w:type="spellEnd"/>
            <w:r w:rsidRPr="002414CB">
              <w:rPr>
                <w:rFonts w:ascii="Arial" w:hAnsi="Arial" w:cs="Arial"/>
                <w:sz w:val="16"/>
                <w:szCs w:val="16"/>
              </w:rPr>
              <w:t xml:space="preserve"> </w:t>
            </w:r>
            <w:proofErr w:type="spellStart"/>
            <w:r w:rsidRPr="002414CB">
              <w:rPr>
                <w:rFonts w:ascii="Arial" w:hAnsi="Arial" w:cs="Arial"/>
                <w:sz w:val="16"/>
                <w:szCs w:val="16"/>
              </w:rPr>
              <w:t>that</w:t>
            </w:r>
            <w:proofErr w:type="spellEnd"/>
            <w:r w:rsidRPr="002414CB">
              <w:rPr>
                <w:rFonts w:ascii="Arial" w:hAnsi="Arial" w:cs="Arial"/>
                <w:sz w:val="16"/>
                <w:szCs w:val="16"/>
              </w:rPr>
              <w:t xml:space="preserve"> the sponsor </w:t>
            </w:r>
            <w:proofErr w:type="spellStart"/>
            <w:r w:rsidRPr="002414CB">
              <w:rPr>
                <w:rFonts w:ascii="Arial" w:hAnsi="Arial" w:cs="Arial"/>
                <w:sz w:val="16"/>
                <w:szCs w:val="16"/>
              </w:rPr>
              <w:t>does</w:t>
            </w:r>
            <w:proofErr w:type="spellEnd"/>
            <w:r w:rsidRPr="002414CB">
              <w:rPr>
                <w:rFonts w:ascii="Arial" w:hAnsi="Arial" w:cs="Arial"/>
                <w:sz w:val="16"/>
                <w:szCs w:val="16"/>
              </w:rPr>
              <w:t xml:space="preserve"> not </w:t>
            </w:r>
            <w:proofErr w:type="spellStart"/>
            <w:r w:rsidRPr="002414CB">
              <w:rPr>
                <w:rFonts w:ascii="Arial" w:hAnsi="Arial" w:cs="Arial"/>
                <w:sz w:val="16"/>
                <w:szCs w:val="16"/>
              </w:rPr>
              <w:t>renew</w:t>
            </w:r>
            <w:proofErr w:type="spellEnd"/>
            <w:r w:rsidRPr="002414CB">
              <w:rPr>
                <w:rFonts w:ascii="Arial" w:hAnsi="Arial" w:cs="Arial"/>
                <w:sz w:val="16"/>
                <w:szCs w:val="16"/>
              </w:rPr>
              <w:t xml:space="preserve"> the </w:t>
            </w:r>
            <w:proofErr w:type="spellStart"/>
            <w:r w:rsidRPr="002414CB">
              <w:rPr>
                <w:rFonts w:ascii="Arial" w:hAnsi="Arial" w:cs="Arial"/>
                <w:sz w:val="16"/>
                <w:szCs w:val="16"/>
              </w:rPr>
              <w:t>funding</w:t>
            </w:r>
            <w:proofErr w:type="spellEnd"/>
            <w:r w:rsidRPr="002414CB">
              <w:rPr>
                <w:rFonts w:ascii="Arial" w:hAnsi="Arial" w:cs="Arial"/>
                <w:sz w:val="16"/>
                <w:szCs w:val="16"/>
              </w:rPr>
              <w:t xml:space="preserve"> </w:t>
            </w:r>
            <w:proofErr w:type="spellStart"/>
            <w:r w:rsidRPr="002414CB">
              <w:rPr>
                <w:rFonts w:ascii="Arial" w:hAnsi="Arial" w:cs="Arial"/>
                <w:sz w:val="16"/>
                <w:szCs w:val="16"/>
              </w:rPr>
              <w:t>commitment</w:t>
            </w:r>
            <w:proofErr w:type="spellEnd"/>
            <w:r w:rsidRPr="002414CB">
              <w:rPr>
                <w:rFonts w:ascii="Arial" w:hAnsi="Arial" w:cs="Arial"/>
                <w:sz w:val="16"/>
                <w:szCs w:val="16"/>
              </w:rPr>
              <w:t xml:space="preserve"> of the </w:t>
            </w:r>
            <w:proofErr w:type="spellStart"/>
            <w:r w:rsidRPr="002414CB">
              <w:rPr>
                <w:rFonts w:ascii="Arial" w:hAnsi="Arial" w:cs="Arial"/>
                <w:sz w:val="16"/>
                <w:szCs w:val="16"/>
              </w:rPr>
              <w:t>liquidity</w:t>
            </w:r>
            <w:proofErr w:type="spellEnd"/>
            <w:r w:rsidRPr="002414CB">
              <w:rPr>
                <w:rFonts w:ascii="Arial" w:hAnsi="Arial" w:cs="Arial"/>
                <w:sz w:val="16"/>
                <w:szCs w:val="16"/>
              </w:rPr>
              <w:t xml:space="preserve"> </w:t>
            </w:r>
            <w:proofErr w:type="spellStart"/>
            <w:r w:rsidRPr="002414CB">
              <w:rPr>
                <w:rFonts w:ascii="Arial" w:hAnsi="Arial" w:cs="Arial"/>
                <w:sz w:val="16"/>
                <w:szCs w:val="16"/>
              </w:rPr>
              <w:t>facility</w:t>
            </w:r>
            <w:proofErr w:type="spellEnd"/>
            <w:r w:rsidRPr="002414CB">
              <w:rPr>
                <w:rFonts w:ascii="Arial" w:hAnsi="Arial" w:cs="Arial"/>
                <w:sz w:val="16"/>
                <w:szCs w:val="16"/>
              </w:rPr>
              <w:t xml:space="preserve"> </w:t>
            </w:r>
            <w:proofErr w:type="spellStart"/>
            <w:r w:rsidRPr="002414CB">
              <w:rPr>
                <w:rFonts w:ascii="Arial" w:hAnsi="Arial" w:cs="Arial"/>
                <w:sz w:val="16"/>
                <w:szCs w:val="16"/>
              </w:rPr>
              <w:t>before</w:t>
            </w:r>
            <w:proofErr w:type="spellEnd"/>
            <w:r w:rsidRPr="002414CB">
              <w:rPr>
                <w:rFonts w:ascii="Arial" w:hAnsi="Arial" w:cs="Arial"/>
                <w:sz w:val="16"/>
                <w:szCs w:val="16"/>
              </w:rPr>
              <w:t xml:space="preserve"> </w:t>
            </w:r>
            <w:proofErr w:type="spellStart"/>
            <w:r w:rsidRPr="002414CB">
              <w:rPr>
                <w:rFonts w:ascii="Arial" w:hAnsi="Arial" w:cs="Arial"/>
                <w:sz w:val="16"/>
                <w:szCs w:val="16"/>
              </w:rPr>
              <w:t>its</w:t>
            </w:r>
            <w:proofErr w:type="spellEnd"/>
            <w:r w:rsidRPr="002414CB">
              <w:rPr>
                <w:rFonts w:ascii="Arial" w:hAnsi="Arial" w:cs="Arial"/>
                <w:sz w:val="16"/>
                <w:szCs w:val="16"/>
              </w:rPr>
              <w:t xml:space="preserve"> </w:t>
            </w:r>
            <w:proofErr w:type="spellStart"/>
            <w:r w:rsidRPr="002414CB">
              <w:rPr>
                <w:rFonts w:ascii="Arial" w:hAnsi="Arial" w:cs="Arial"/>
                <w:sz w:val="16"/>
                <w:szCs w:val="16"/>
              </w:rPr>
              <w:t>expiry</w:t>
            </w:r>
            <w:proofErr w:type="spellEnd"/>
            <w:r w:rsidRPr="002414CB">
              <w:rPr>
                <w:rFonts w:ascii="Arial" w:hAnsi="Arial" w:cs="Arial"/>
                <w:sz w:val="16"/>
                <w:szCs w:val="16"/>
              </w:rPr>
              <w:t xml:space="preserve">. </w:t>
            </w:r>
          </w:p>
        </w:tc>
        <w:tc>
          <w:tcPr>
            <w:tcW w:w="797" w:type="dxa"/>
          </w:tcPr>
          <w:p w:rsidR="00CD0C65" w:rsidRPr="002414CB" w:rsidRDefault="002414CB" w:rsidP="00394CE6">
            <w:pPr>
              <w:rPr>
                <w:rFonts w:cs="Arial"/>
                <w:sz w:val="16"/>
                <w:szCs w:val="16"/>
              </w:rPr>
            </w:pPr>
            <w:r w:rsidRPr="002414CB">
              <w:rPr>
                <w:rFonts w:cs="Arial"/>
                <w:sz w:val="16"/>
                <w:szCs w:val="16"/>
              </w:rPr>
              <w:t>Yes/No</w:t>
            </w:r>
          </w:p>
        </w:tc>
      </w:tr>
      <w:tr w:rsidR="002414CB" w:rsidRPr="002414CB" w:rsidTr="002414CB">
        <w:tc>
          <w:tcPr>
            <w:tcW w:w="1668"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ABCP programme </w:t>
            </w:r>
            <w:proofErr w:type="spellStart"/>
            <w:r w:rsidRPr="002414CB">
              <w:rPr>
                <w:rFonts w:ascii="Arial" w:hAnsi="Arial" w:cs="Arial"/>
                <w:sz w:val="16"/>
                <w:szCs w:val="16"/>
              </w:rPr>
              <w:t>fully</w:t>
            </w:r>
            <w:proofErr w:type="spellEnd"/>
            <w:r w:rsidRPr="002414CB">
              <w:rPr>
                <w:rFonts w:ascii="Arial" w:hAnsi="Arial" w:cs="Arial"/>
                <w:sz w:val="16"/>
                <w:szCs w:val="16"/>
              </w:rPr>
              <w:t xml:space="preserve"> </w:t>
            </w:r>
            <w:proofErr w:type="spellStart"/>
            <w:r w:rsidRPr="002414CB">
              <w:rPr>
                <w:rFonts w:ascii="Arial" w:hAnsi="Arial" w:cs="Arial"/>
                <w:sz w:val="16"/>
                <w:szCs w:val="16"/>
              </w:rPr>
              <w:t>supported</w:t>
            </w:r>
            <w:proofErr w:type="spellEnd"/>
            <w:r w:rsidRPr="002414CB">
              <w:rPr>
                <w:rFonts w:ascii="Arial" w:hAnsi="Arial" w:cs="Arial"/>
                <w:sz w:val="16"/>
                <w:szCs w:val="16"/>
              </w:rPr>
              <w:t xml:space="preserve"> by </w:t>
            </w:r>
            <w:proofErr w:type="gramStart"/>
            <w:r w:rsidRPr="002414CB">
              <w:rPr>
                <w:rFonts w:ascii="Arial" w:hAnsi="Arial" w:cs="Arial"/>
                <w:sz w:val="16"/>
                <w:szCs w:val="16"/>
              </w:rPr>
              <w:t>a</w:t>
            </w:r>
            <w:proofErr w:type="gramEnd"/>
            <w:r w:rsidRPr="002414CB">
              <w:rPr>
                <w:rFonts w:ascii="Arial" w:hAnsi="Arial" w:cs="Arial"/>
                <w:sz w:val="16"/>
                <w:szCs w:val="16"/>
              </w:rPr>
              <w:t xml:space="preserve"> sponsor </w:t>
            </w:r>
          </w:p>
        </w:tc>
        <w:tc>
          <w:tcPr>
            <w:tcW w:w="708"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N/A </w:t>
            </w:r>
          </w:p>
          <w:p w:rsidR="002414CB" w:rsidRPr="002414CB" w:rsidRDefault="002414CB" w:rsidP="00394CE6">
            <w:pPr>
              <w:rPr>
                <w:rFonts w:cs="Arial"/>
                <w:sz w:val="16"/>
                <w:szCs w:val="16"/>
              </w:rPr>
            </w:pPr>
          </w:p>
        </w:tc>
        <w:tc>
          <w:tcPr>
            <w:tcW w:w="709"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N/A </w:t>
            </w:r>
          </w:p>
          <w:p w:rsidR="002414CB" w:rsidRPr="002414CB" w:rsidRDefault="002414CB" w:rsidP="00394CE6">
            <w:pPr>
              <w:rPr>
                <w:rFonts w:cs="Arial"/>
                <w:sz w:val="16"/>
                <w:szCs w:val="16"/>
              </w:rPr>
            </w:pPr>
          </w:p>
        </w:tc>
        <w:tc>
          <w:tcPr>
            <w:tcW w:w="1559"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Article 26(3) </w:t>
            </w:r>
          </w:p>
          <w:p w:rsidR="002414CB" w:rsidRPr="002414CB" w:rsidRDefault="002414CB" w:rsidP="00394CE6">
            <w:pPr>
              <w:rPr>
                <w:rFonts w:cs="Arial"/>
                <w:sz w:val="16"/>
                <w:szCs w:val="16"/>
              </w:rPr>
            </w:pPr>
          </w:p>
        </w:tc>
        <w:tc>
          <w:tcPr>
            <w:tcW w:w="709"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N/A </w:t>
            </w:r>
          </w:p>
          <w:p w:rsidR="002414CB" w:rsidRPr="002414CB" w:rsidRDefault="002414CB" w:rsidP="00394CE6">
            <w:pPr>
              <w:rPr>
                <w:rFonts w:cs="Arial"/>
                <w:sz w:val="16"/>
                <w:szCs w:val="16"/>
              </w:rPr>
            </w:pPr>
          </w:p>
        </w:tc>
        <w:tc>
          <w:tcPr>
            <w:tcW w:w="3402" w:type="dxa"/>
          </w:tcPr>
          <w:p w:rsidR="002414CB" w:rsidRPr="002414CB" w:rsidRDefault="002414CB" w:rsidP="002414CB">
            <w:pPr>
              <w:pStyle w:val="Default"/>
              <w:rPr>
                <w:rFonts w:ascii="Arial" w:hAnsi="Arial" w:cs="Arial"/>
                <w:sz w:val="16"/>
                <w:szCs w:val="16"/>
              </w:rPr>
            </w:pPr>
            <w:r w:rsidRPr="002414CB">
              <w:rPr>
                <w:rFonts w:ascii="Arial" w:hAnsi="Arial" w:cs="Arial"/>
                <w:sz w:val="16"/>
                <w:szCs w:val="16"/>
              </w:rPr>
              <w:t xml:space="preserve">The STS notification </w:t>
            </w:r>
            <w:proofErr w:type="spellStart"/>
            <w:r w:rsidRPr="002414CB">
              <w:rPr>
                <w:rFonts w:ascii="Arial" w:hAnsi="Arial" w:cs="Arial"/>
                <w:sz w:val="16"/>
                <w:szCs w:val="16"/>
              </w:rPr>
              <w:t>shall</w:t>
            </w:r>
            <w:proofErr w:type="spellEnd"/>
            <w:r w:rsidRPr="002414CB">
              <w:rPr>
                <w:rFonts w:ascii="Arial" w:hAnsi="Arial" w:cs="Arial"/>
                <w:sz w:val="16"/>
                <w:szCs w:val="16"/>
              </w:rPr>
              <w:t xml:space="preserve"> </w:t>
            </w:r>
            <w:proofErr w:type="spellStart"/>
            <w:r w:rsidRPr="002414CB">
              <w:rPr>
                <w:rFonts w:ascii="Arial" w:hAnsi="Arial" w:cs="Arial"/>
                <w:sz w:val="16"/>
                <w:szCs w:val="16"/>
              </w:rPr>
              <w:t>include</w:t>
            </w:r>
            <w:proofErr w:type="spellEnd"/>
            <w:r w:rsidRPr="002414CB">
              <w:rPr>
                <w:rFonts w:ascii="Arial" w:hAnsi="Arial" w:cs="Arial"/>
                <w:sz w:val="16"/>
                <w:szCs w:val="16"/>
              </w:rPr>
              <w:t xml:space="preserve"> a confirmation and a concise </w:t>
            </w:r>
            <w:proofErr w:type="spellStart"/>
            <w:r w:rsidRPr="002414CB">
              <w:rPr>
                <w:rFonts w:ascii="Arial" w:hAnsi="Arial" w:cs="Arial"/>
                <w:sz w:val="16"/>
                <w:szCs w:val="16"/>
              </w:rPr>
              <w:t>explanation</w:t>
            </w:r>
            <w:proofErr w:type="spellEnd"/>
            <w:r w:rsidRPr="002414CB">
              <w:rPr>
                <w:rFonts w:ascii="Arial" w:hAnsi="Arial" w:cs="Arial"/>
                <w:sz w:val="16"/>
                <w:szCs w:val="16"/>
              </w:rPr>
              <w:t xml:space="preserve"> </w:t>
            </w:r>
            <w:proofErr w:type="spellStart"/>
            <w:r w:rsidRPr="002414CB">
              <w:rPr>
                <w:rFonts w:ascii="Arial" w:hAnsi="Arial" w:cs="Arial"/>
                <w:sz w:val="16"/>
                <w:szCs w:val="16"/>
              </w:rPr>
              <w:t>from</w:t>
            </w:r>
            <w:proofErr w:type="spellEnd"/>
            <w:r w:rsidRPr="002414CB">
              <w:rPr>
                <w:rFonts w:ascii="Arial" w:hAnsi="Arial" w:cs="Arial"/>
                <w:sz w:val="16"/>
                <w:szCs w:val="16"/>
              </w:rPr>
              <w:t xml:space="preserve"> the sponsor on </w:t>
            </w:r>
            <w:proofErr w:type="spellStart"/>
            <w:r w:rsidRPr="002414CB">
              <w:rPr>
                <w:rFonts w:ascii="Arial" w:hAnsi="Arial" w:cs="Arial"/>
                <w:sz w:val="16"/>
                <w:szCs w:val="16"/>
              </w:rPr>
              <w:t>whether</w:t>
            </w:r>
            <w:proofErr w:type="spellEnd"/>
            <w:r w:rsidRPr="002414CB">
              <w:rPr>
                <w:rFonts w:ascii="Arial" w:hAnsi="Arial" w:cs="Arial"/>
                <w:sz w:val="16"/>
                <w:szCs w:val="16"/>
              </w:rPr>
              <w:t xml:space="preserve"> and how the ABCP programme </w:t>
            </w:r>
            <w:proofErr w:type="spellStart"/>
            <w:r w:rsidRPr="002414CB">
              <w:rPr>
                <w:rFonts w:ascii="Arial" w:hAnsi="Arial" w:cs="Arial"/>
                <w:sz w:val="16"/>
                <w:szCs w:val="16"/>
              </w:rPr>
              <w:t>is</w:t>
            </w:r>
            <w:proofErr w:type="spellEnd"/>
            <w:r w:rsidRPr="002414CB">
              <w:rPr>
                <w:rFonts w:ascii="Arial" w:hAnsi="Arial" w:cs="Arial"/>
                <w:sz w:val="16"/>
                <w:szCs w:val="16"/>
              </w:rPr>
              <w:t xml:space="preserve"> </w:t>
            </w:r>
            <w:proofErr w:type="spellStart"/>
            <w:r w:rsidRPr="002414CB">
              <w:rPr>
                <w:rFonts w:ascii="Arial" w:hAnsi="Arial" w:cs="Arial"/>
                <w:sz w:val="16"/>
                <w:szCs w:val="16"/>
              </w:rPr>
              <w:t>fully</w:t>
            </w:r>
            <w:proofErr w:type="spellEnd"/>
            <w:r w:rsidRPr="002414CB">
              <w:rPr>
                <w:rFonts w:ascii="Arial" w:hAnsi="Arial" w:cs="Arial"/>
                <w:sz w:val="16"/>
                <w:szCs w:val="16"/>
              </w:rPr>
              <w:t xml:space="preserve"> </w:t>
            </w:r>
            <w:proofErr w:type="spellStart"/>
            <w:r w:rsidRPr="002414CB">
              <w:rPr>
                <w:rFonts w:ascii="Arial" w:hAnsi="Arial" w:cs="Arial"/>
                <w:sz w:val="16"/>
                <w:szCs w:val="16"/>
              </w:rPr>
              <w:t>supported</w:t>
            </w:r>
            <w:proofErr w:type="spellEnd"/>
            <w:r w:rsidRPr="002414CB">
              <w:rPr>
                <w:rFonts w:ascii="Arial" w:hAnsi="Arial" w:cs="Arial"/>
                <w:sz w:val="16"/>
                <w:szCs w:val="16"/>
              </w:rPr>
              <w:t xml:space="preserve"> by a sponsor. </w:t>
            </w:r>
          </w:p>
          <w:p w:rsidR="002414CB" w:rsidRPr="002414CB" w:rsidRDefault="002414CB" w:rsidP="00394CE6">
            <w:pPr>
              <w:rPr>
                <w:rFonts w:cs="Arial"/>
                <w:sz w:val="16"/>
                <w:szCs w:val="16"/>
              </w:rPr>
            </w:pPr>
          </w:p>
        </w:tc>
        <w:tc>
          <w:tcPr>
            <w:tcW w:w="797" w:type="dxa"/>
          </w:tcPr>
          <w:p w:rsidR="002414CB" w:rsidRPr="002414CB" w:rsidRDefault="002414CB" w:rsidP="00394CE6">
            <w:pPr>
              <w:rPr>
                <w:rFonts w:cs="Arial"/>
                <w:sz w:val="16"/>
                <w:szCs w:val="16"/>
              </w:rPr>
            </w:pPr>
            <w:r w:rsidRPr="002414CB">
              <w:rPr>
                <w:rFonts w:cs="Arial"/>
                <w:sz w:val="16"/>
                <w:szCs w:val="16"/>
              </w:rPr>
              <w:t>Yes/No</w:t>
            </w:r>
          </w:p>
        </w:tc>
      </w:tr>
    </w:tbl>
    <w:p w:rsidR="00CD0C65" w:rsidRDefault="00CD0C65" w:rsidP="00394CE6">
      <w:pPr>
        <w:rPr>
          <w:rFonts w:cs="Arial"/>
        </w:rPr>
      </w:pPr>
    </w:p>
    <w:p w:rsidR="002414CB" w:rsidRDefault="002414CB" w:rsidP="00394CE6">
      <w:pPr>
        <w:rPr>
          <w:rFonts w:cs="Arial"/>
        </w:rPr>
      </w:pPr>
      <w:r>
        <w:rPr>
          <w:rFonts w:cs="Arial"/>
        </w:rPr>
        <w:t xml:space="preserve">Furthermore, one item is redundant and </w:t>
      </w:r>
      <w:proofErr w:type="gramStart"/>
      <w:r>
        <w:rPr>
          <w:rFonts w:cs="Arial"/>
        </w:rPr>
        <w:t>should be deleted</w:t>
      </w:r>
      <w:proofErr w:type="gramEnd"/>
      <w:r>
        <w:rPr>
          <w:rFonts w:cs="Arial"/>
        </w:rPr>
        <w:t xml:space="preserve"> from the list:</w:t>
      </w:r>
    </w:p>
    <w:p w:rsidR="002414CB" w:rsidRDefault="002414CB" w:rsidP="00394CE6">
      <w:pPr>
        <w:rPr>
          <w:rFonts w:cs="Arial"/>
        </w:rPr>
      </w:pPr>
    </w:p>
    <w:tbl>
      <w:tblPr>
        <w:tblStyle w:val="Tabellenraster"/>
        <w:tblW w:w="0" w:type="auto"/>
        <w:tblLayout w:type="fixed"/>
        <w:tblLook w:val="04A0" w:firstRow="1" w:lastRow="0" w:firstColumn="1" w:lastColumn="0" w:noHBand="0" w:noVBand="1"/>
      </w:tblPr>
      <w:tblGrid>
        <w:gridCol w:w="2518"/>
        <w:gridCol w:w="709"/>
        <w:gridCol w:w="709"/>
        <w:gridCol w:w="708"/>
        <w:gridCol w:w="709"/>
        <w:gridCol w:w="2977"/>
        <w:gridCol w:w="1222"/>
      </w:tblGrid>
      <w:tr w:rsidR="002414CB" w:rsidTr="002414CB">
        <w:tc>
          <w:tcPr>
            <w:tcW w:w="2518" w:type="dxa"/>
          </w:tcPr>
          <w:p w:rsidR="002414CB" w:rsidRPr="002414CB" w:rsidRDefault="002414CB" w:rsidP="00B53E08">
            <w:pPr>
              <w:pStyle w:val="Default"/>
              <w:rPr>
                <w:rFonts w:ascii="Arial" w:hAnsi="Arial" w:cs="Arial"/>
                <w:sz w:val="16"/>
                <w:szCs w:val="16"/>
              </w:rPr>
            </w:pPr>
            <w:r w:rsidRPr="002414CB">
              <w:rPr>
                <w:rFonts w:ascii="Arial" w:hAnsi="Arial" w:cs="Arial"/>
                <w:sz w:val="16"/>
                <w:szCs w:val="16"/>
              </w:rPr>
              <w:t xml:space="preserve">The seller (at transaction </w:t>
            </w:r>
            <w:proofErr w:type="spellStart"/>
            <w:r w:rsidRPr="002414CB">
              <w:rPr>
                <w:rFonts w:ascii="Arial" w:hAnsi="Arial" w:cs="Arial"/>
                <w:sz w:val="16"/>
                <w:szCs w:val="16"/>
              </w:rPr>
              <w:t>level</w:t>
            </w:r>
            <w:proofErr w:type="spellEnd"/>
            <w:r w:rsidRPr="002414CB">
              <w:rPr>
                <w:rFonts w:ascii="Arial" w:hAnsi="Arial" w:cs="Arial"/>
                <w:sz w:val="16"/>
                <w:szCs w:val="16"/>
              </w:rPr>
              <w:t xml:space="preserve">) or the sponsor (at the </w:t>
            </w:r>
            <w:proofErr w:type="spellStart"/>
            <w:r w:rsidRPr="002414CB">
              <w:rPr>
                <w:rFonts w:ascii="Arial" w:hAnsi="Arial" w:cs="Arial"/>
                <w:sz w:val="16"/>
                <w:szCs w:val="16"/>
              </w:rPr>
              <w:t>level</w:t>
            </w:r>
            <w:proofErr w:type="spellEnd"/>
            <w:r w:rsidRPr="002414CB">
              <w:rPr>
                <w:rFonts w:ascii="Arial" w:hAnsi="Arial" w:cs="Arial"/>
                <w:sz w:val="16"/>
                <w:szCs w:val="16"/>
              </w:rPr>
              <w:t xml:space="preserve"> of the ABCP programme) </w:t>
            </w:r>
            <w:proofErr w:type="spellStart"/>
            <w:r w:rsidRPr="002414CB">
              <w:rPr>
                <w:rFonts w:ascii="Arial" w:hAnsi="Arial" w:cs="Arial"/>
                <w:sz w:val="16"/>
                <w:szCs w:val="16"/>
              </w:rPr>
              <w:t>shall</w:t>
            </w:r>
            <w:proofErr w:type="spellEnd"/>
            <w:r w:rsidRPr="002414CB">
              <w:rPr>
                <w:rFonts w:ascii="Arial" w:hAnsi="Arial" w:cs="Arial"/>
                <w:sz w:val="16"/>
                <w:szCs w:val="16"/>
              </w:rPr>
              <w:t xml:space="preserve"> </w:t>
            </w:r>
            <w:proofErr w:type="spellStart"/>
            <w:r w:rsidRPr="002414CB">
              <w:rPr>
                <w:rFonts w:ascii="Arial" w:hAnsi="Arial" w:cs="Arial"/>
                <w:sz w:val="16"/>
                <w:szCs w:val="16"/>
              </w:rPr>
              <w:t>satisfy</w:t>
            </w:r>
            <w:proofErr w:type="spellEnd"/>
            <w:r w:rsidRPr="002414CB">
              <w:rPr>
                <w:rFonts w:ascii="Arial" w:hAnsi="Arial" w:cs="Arial"/>
                <w:sz w:val="16"/>
                <w:szCs w:val="16"/>
              </w:rPr>
              <w:t xml:space="preserve"> </w:t>
            </w:r>
            <w:proofErr w:type="spellStart"/>
            <w:r w:rsidRPr="002414CB">
              <w:rPr>
                <w:rFonts w:ascii="Arial" w:hAnsi="Arial" w:cs="Arial"/>
                <w:sz w:val="16"/>
                <w:szCs w:val="16"/>
              </w:rPr>
              <w:t>with</w:t>
            </w:r>
            <w:proofErr w:type="spellEnd"/>
            <w:r w:rsidRPr="002414CB">
              <w:rPr>
                <w:rFonts w:ascii="Arial" w:hAnsi="Arial" w:cs="Arial"/>
                <w:sz w:val="16"/>
                <w:szCs w:val="16"/>
              </w:rPr>
              <w:t xml:space="preserve"> the </w:t>
            </w:r>
            <w:proofErr w:type="spellStart"/>
            <w:r w:rsidRPr="002414CB">
              <w:rPr>
                <w:rFonts w:ascii="Arial" w:hAnsi="Arial" w:cs="Arial"/>
                <w:sz w:val="16"/>
                <w:szCs w:val="16"/>
              </w:rPr>
              <w:t>risk</w:t>
            </w:r>
            <w:proofErr w:type="spellEnd"/>
            <w:r w:rsidRPr="002414CB">
              <w:rPr>
                <w:rFonts w:ascii="Arial" w:hAnsi="Arial" w:cs="Arial"/>
                <w:sz w:val="16"/>
                <w:szCs w:val="16"/>
              </w:rPr>
              <w:t xml:space="preserve"> </w:t>
            </w:r>
            <w:proofErr w:type="spellStart"/>
            <w:r w:rsidRPr="002414CB">
              <w:rPr>
                <w:rFonts w:ascii="Arial" w:hAnsi="Arial" w:cs="Arial"/>
                <w:sz w:val="16"/>
                <w:szCs w:val="16"/>
              </w:rPr>
              <w:t>retention</w:t>
            </w:r>
            <w:proofErr w:type="spellEnd"/>
            <w:r w:rsidRPr="002414CB">
              <w:rPr>
                <w:rFonts w:ascii="Arial" w:hAnsi="Arial" w:cs="Arial"/>
                <w:sz w:val="16"/>
                <w:szCs w:val="16"/>
              </w:rPr>
              <w:t xml:space="preserve"> </w:t>
            </w:r>
            <w:proofErr w:type="spellStart"/>
            <w:r w:rsidRPr="002414CB">
              <w:rPr>
                <w:rFonts w:ascii="Arial" w:hAnsi="Arial" w:cs="Arial"/>
                <w:sz w:val="16"/>
                <w:szCs w:val="16"/>
              </w:rPr>
              <w:t>requirements</w:t>
            </w:r>
            <w:proofErr w:type="spellEnd"/>
            <w:r w:rsidRPr="002414CB">
              <w:rPr>
                <w:rFonts w:ascii="Arial" w:hAnsi="Arial" w:cs="Arial"/>
                <w:sz w:val="16"/>
                <w:szCs w:val="16"/>
              </w:rPr>
              <w:t xml:space="preserve"> </w:t>
            </w:r>
            <w:proofErr w:type="spellStart"/>
            <w:r w:rsidRPr="002414CB">
              <w:rPr>
                <w:rFonts w:ascii="Arial" w:hAnsi="Arial" w:cs="Arial"/>
                <w:sz w:val="16"/>
                <w:szCs w:val="16"/>
              </w:rPr>
              <w:t>referred</w:t>
            </w:r>
            <w:proofErr w:type="spellEnd"/>
            <w:r w:rsidRPr="002414CB">
              <w:rPr>
                <w:rFonts w:ascii="Arial" w:hAnsi="Arial" w:cs="Arial"/>
                <w:sz w:val="16"/>
                <w:szCs w:val="16"/>
              </w:rPr>
              <w:t xml:space="preserve"> to in Article 6 </w:t>
            </w:r>
          </w:p>
        </w:tc>
        <w:tc>
          <w:tcPr>
            <w:tcW w:w="709" w:type="dxa"/>
          </w:tcPr>
          <w:p w:rsidR="002414CB" w:rsidRPr="002414CB" w:rsidRDefault="002414CB" w:rsidP="00B53E08">
            <w:pPr>
              <w:pStyle w:val="Default"/>
              <w:rPr>
                <w:rFonts w:ascii="Arial" w:hAnsi="Arial" w:cs="Arial"/>
                <w:sz w:val="16"/>
                <w:szCs w:val="16"/>
              </w:rPr>
            </w:pPr>
            <w:r w:rsidRPr="002414CB">
              <w:rPr>
                <w:rFonts w:ascii="Arial" w:hAnsi="Arial" w:cs="Arial"/>
                <w:sz w:val="16"/>
                <w:szCs w:val="16"/>
              </w:rPr>
              <w:t xml:space="preserve">N/A </w:t>
            </w:r>
          </w:p>
          <w:p w:rsidR="002414CB" w:rsidRPr="002414CB" w:rsidRDefault="002414CB" w:rsidP="00B53E08">
            <w:pPr>
              <w:rPr>
                <w:rFonts w:cs="Arial"/>
              </w:rPr>
            </w:pPr>
          </w:p>
        </w:tc>
        <w:tc>
          <w:tcPr>
            <w:tcW w:w="709" w:type="dxa"/>
          </w:tcPr>
          <w:p w:rsidR="002414CB" w:rsidRPr="002414CB" w:rsidRDefault="002414CB" w:rsidP="00B53E08">
            <w:pPr>
              <w:pStyle w:val="Default"/>
              <w:rPr>
                <w:rFonts w:ascii="Arial" w:hAnsi="Arial" w:cs="Arial"/>
                <w:sz w:val="16"/>
                <w:szCs w:val="16"/>
              </w:rPr>
            </w:pPr>
            <w:r w:rsidRPr="002414CB">
              <w:rPr>
                <w:rFonts w:ascii="Arial" w:hAnsi="Arial" w:cs="Arial"/>
                <w:sz w:val="16"/>
                <w:szCs w:val="16"/>
              </w:rPr>
              <w:t xml:space="preserve">N/A </w:t>
            </w:r>
          </w:p>
          <w:p w:rsidR="002414CB" w:rsidRPr="002414CB" w:rsidRDefault="002414CB" w:rsidP="00B53E08">
            <w:pPr>
              <w:rPr>
                <w:rFonts w:cs="Arial"/>
              </w:rPr>
            </w:pPr>
          </w:p>
        </w:tc>
        <w:tc>
          <w:tcPr>
            <w:tcW w:w="708" w:type="dxa"/>
          </w:tcPr>
          <w:p w:rsidR="002414CB" w:rsidRPr="002414CB" w:rsidRDefault="002414CB" w:rsidP="00B53E08">
            <w:pPr>
              <w:pStyle w:val="Default"/>
              <w:rPr>
                <w:rFonts w:ascii="Arial" w:hAnsi="Arial" w:cs="Arial"/>
                <w:sz w:val="16"/>
                <w:szCs w:val="16"/>
              </w:rPr>
            </w:pPr>
            <w:r w:rsidRPr="002414CB">
              <w:rPr>
                <w:rFonts w:ascii="Arial" w:hAnsi="Arial" w:cs="Arial"/>
                <w:sz w:val="16"/>
                <w:szCs w:val="16"/>
              </w:rPr>
              <w:t xml:space="preserve">N/A </w:t>
            </w:r>
          </w:p>
          <w:p w:rsidR="002414CB" w:rsidRPr="002414CB" w:rsidRDefault="002414CB" w:rsidP="00B53E08">
            <w:pPr>
              <w:rPr>
                <w:rFonts w:cs="Arial"/>
              </w:rPr>
            </w:pPr>
          </w:p>
        </w:tc>
        <w:tc>
          <w:tcPr>
            <w:tcW w:w="709" w:type="dxa"/>
          </w:tcPr>
          <w:p w:rsidR="002414CB" w:rsidRPr="002414CB" w:rsidRDefault="002414CB" w:rsidP="00B53E08">
            <w:pPr>
              <w:pStyle w:val="Default"/>
              <w:rPr>
                <w:rFonts w:ascii="Arial" w:hAnsi="Arial" w:cs="Arial"/>
                <w:sz w:val="16"/>
                <w:szCs w:val="16"/>
              </w:rPr>
            </w:pPr>
            <w:r w:rsidRPr="002414CB">
              <w:rPr>
                <w:rFonts w:ascii="Arial" w:hAnsi="Arial" w:cs="Arial"/>
                <w:sz w:val="16"/>
                <w:szCs w:val="16"/>
              </w:rPr>
              <w:t xml:space="preserve">Article 25(5) </w:t>
            </w:r>
          </w:p>
          <w:p w:rsidR="002414CB" w:rsidRPr="002414CB" w:rsidRDefault="002414CB" w:rsidP="00B53E08">
            <w:pPr>
              <w:rPr>
                <w:rFonts w:cs="Arial"/>
              </w:rPr>
            </w:pPr>
          </w:p>
        </w:tc>
        <w:tc>
          <w:tcPr>
            <w:tcW w:w="2977" w:type="dxa"/>
          </w:tcPr>
          <w:p w:rsidR="002414CB" w:rsidRPr="002414CB" w:rsidRDefault="002414CB" w:rsidP="002414CB">
            <w:pPr>
              <w:pStyle w:val="Default"/>
              <w:rPr>
                <w:rFonts w:ascii="Arial" w:hAnsi="Arial" w:cs="Arial"/>
              </w:rPr>
            </w:pPr>
            <w:r w:rsidRPr="002414CB">
              <w:rPr>
                <w:rFonts w:ascii="Arial" w:hAnsi="Arial" w:cs="Arial"/>
                <w:sz w:val="16"/>
                <w:szCs w:val="16"/>
              </w:rPr>
              <w:t xml:space="preserve">The STS notification </w:t>
            </w:r>
            <w:proofErr w:type="spellStart"/>
            <w:r w:rsidRPr="002414CB">
              <w:rPr>
                <w:rFonts w:ascii="Arial" w:hAnsi="Arial" w:cs="Arial"/>
                <w:sz w:val="16"/>
                <w:szCs w:val="16"/>
              </w:rPr>
              <w:t>shall</w:t>
            </w:r>
            <w:proofErr w:type="spellEnd"/>
            <w:r w:rsidRPr="002414CB">
              <w:rPr>
                <w:rFonts w:ascii="Arial" w:hAnsi="Arial" w:cs="Arial"/>
                <w:sz w:val="16"/>
                <w:szCs w:val="16"/>
              </w:rPr>
              <w:t xml:space="preserve"> </w:t>
            </w:r>
            <w:proofErr w:type="spellStart"/>
            <w:r w:rsidRPr="002414CB">
              <w:rPr>
                <w:rFonts w:ascii="Arial" w:hAnsi="Arial" w:cs="Arial"/>
                <w:sz w:val="16"/>
                <w:szCs w:val="16"/>
              </w:rPr>
              <w:t>include</w:t>
            </w:r>
            <w:proofErr w:type="spellEnd"/>
            <w:r w:rsidRPr="002414CB">
              <w:rPr>
                <w:rFonts w:ascii="Arial" w:hAnsi="Arial" w:cs="Arial"/>
                <w:sz w:val="16"/>
                <w:szCs w:val="16"/>
              </w:rPr>
              <w:t xml:space="preserve"> a concise </w:t>
            </w:r>
            <w:proofErr w:type="spellStart"/>
            <w:r w:rsidRPr="002414CB">
              <w:rPr>
                <w:rFonts w:ascii="Arial" w:hAnsi="Arial" w:cs="Arial"/>
                <w:sz w:val="16"/>
                <w:szCs w:val="16"/>
              </w:rPr>
              <w:t>explanation</w:t>
            </w:r>
            <w:proofErr w:type="spellEnd"/>
            <w:r w:rsidRPr="002414CB">
              <w:rPr>
                <w:rFonts w:ascii="Arial" w:hAnsi="Arial" w:cs="Arial"/>
                <w:sz w:val="16"/>
                <w:szCs w:val="16"/>
              </w:rPr>
              <w:t xml:space="preserve"> </w:t>
            </w:r>
            <w:proofErr w:type="spellStart"/>
            <w:r w:rsidRPr="002414CB">
              <w:rPr>
                <w:rFonts w:ascii="Arial" w:hAnsi="Arial" w:cs="Arial"/>
                <w:sz w:val="16"/>
                <w:szCs w:val="16"/>
              </w:rPr>
              <w:t>from</w:t>
            </w:r>
            <w:proofErr w:type="spellEnd"/>
            <w:r w:rsidRPr="002414CB">
              <w:rPr>
                <w:rFonts w:ascii="Arial" w:hAnsi="Arial" w:cs="Arial"/>
                <w:sz w:val="16"/>
                <w:szCs w:val="16"/>
              </w:rPr>
              <w:t xml:space="preserve"> the seller (ABCP transaction) or sponsor (ABCP programme) on how </w:t>
            </w:r>
            <w:proofErr w:type="spellStart"/>
            <w:r w:rsidRPr="002414CB">
              <w:rPr>
                <w:rFonts w:ascii="Arial" w:hAnsi="Arial" w:cs="Arial"/>
                <w:sz w:val="16"/>
                <w:szCs w:val="16"/>
              </w:rPr>
              <w:t>each</w:t>
            </w:r>
            <w:proofErr w:type="spellEnd"/>
            <w:r w:rsidRPr="002414CB">
              <w:rPr>
                <w:rFonts w:ascii="Arial" w:hAnsi="Arial" w:cs="Arial"/>
                <w:sz w:val="16"/>
                <w:szCs w:val="16"/>
              </w:rPr>
              <w:t xml:space="preserve"> of </w:t>
            </w:r>
            <w:proofErr w:type="spellStart"/>
            <w:r w:rsidRPr="002414CB">
              <w:rPr>
                <w:rFonts w:ascii="Arial" w:hAnsi="Arial" w:cs="Arial"/>
                <w:sz w:val="16"/>
                <w:szCs w:val="16"/>
              </w:rPr>
              <w:t>them</w:t>
            </w:r>
            <w:proofErr w:type="spellEnd"/>
            <w:r w:rsidRPr="002414CB">
              <w:rPr>
                <w:rFonts w:ascii="Arial" w:hAnsi="Arial" w:cs="Arial"/>
                <w:sz w:val="16"/>
                <w:szCs w:val="16"/>
              </w:rPr>
              <w:t xml:space="preserve"> </w:t>
            </w:r>
            <w:proofErr w:type="spellStart"/>
            <w:r w:rsidRPr="002414CB">
              <w:rPr>
                <w:rFonts w:ascii="Arial" w:hAnsi="Arial" w:cs="Arial"/>
                <w:sz w:val="16"/>
                <w:szCs w:val="16"/>
              </w:rPr>
              <w:t>comply</w:t>
            </w:r>
            <w:proofErr w:type="spellEnd"/>
            <w:r w:rsidRPr="002414CB">
              <w:rPr>
                <w:rFonts w:ascii="Arial" w:hAnsi="Arial" w:cs="Arial"/>
                <w:sz w:val="16"/>
                <w:szCs w:val="16"/>
              </w:rPr>
              <w:t xml:space="preserve"> </w:t>
            </w:r>
            <w:proofErr w:type="spellStart"/>
            <w:r w:rsidRPr="002414CB">
              <w:rPr>
                <w:rFonts w:ascii="Arial" w:hAnsi="Arial" w:cs="Arial"/>
                <w:sz w:val="16"/>
                <w:szCs w:val="16"/>
              </w:rPr>
              <w:t>with</w:t>
            </w:r>
            <w:proofErr w:type="spellEnd"/>
            <w:r w:rsidRPr="002414CB">
              <w:rPr>
                <w:rFonts w:ascii="Arial" w:hAnsi="Arial" w:cs="Arial"/>
                <w:sz w:val="16"/>
                <w:szCs w:val="16"/>
              </w:rPr>
              <w:t xml:space="preserve"> the </w:t>
            </w:r>
            <w:proofErr w:type="spellStart"/>
            <w:r w:rsidRPr="002414CB">
              <w:rPr>
                <w:rFonts w:ascii="Arial" w:hAnsi="Arial" w:cs="Arial"/>
                <w:sz w:val="16"/>
                <w:szCs w:val="16"/>
              </w:rPr>
              <w:t>risk</w:t>
            </w:r>
            <w:proofErr w:type="spellEnd"/>
            <w:r w:rsidRPr="002414CB">
              <w:rPr>
                <w:rFonts w:ascii="Arial" w:hAnsi="Arial" w:cs="Arial"/>
                <w:sz w:val="16"/>
                <w:szCs w:val="16"/>
              </w:rPr>
              <w:t xml:space="preserve"> </w:t>
            </w:r>
            <w:proofErr w:type="spellStart"/>
            <w:r w:rsidRPr="002414CB">
              <w:rPr>
                <w:rFonts w:ascii="Arial" w:hAnsi="Arial" w:cs="Arial"/>
                <w:sz w:val="16"/>
                <w:szCs w:val="16"/>
              </w:rPr>
              <w:t>retention</w:t>
            </w:r>
            <w:proofErr w:type="spellEnd"/>
            <w:r w:rsidRPr="002414CB">
              <w:rPr>
                <w:rFonts w:ascii="Arial" w:hAnsi="Arial" w:cs="Arial"/>
                <w:sz w:val="16"/>
                <w:szCs w:val="16"/>
              </w:rPr>
              <w:t xml:space="preserve"> </w:t>
            </w:r>
            <w:proofErr w:type="spellStart"/>
            <w:r w:rsidRPr="002414CB">
              <w:rPr>
                <w:rFonts w:ascii="Arial" w:hAnsi="Arial" w:cs="Arial"/>
                <w:sz w:val="16"/>
                <w:szCs w:val="16"/>
              </w:rPr>
              <w:t>requirements</w:t>
            </w:r>
            <w:proofErr w:type="spellEnd"/>
            <w:r w:rsidRPr="002414CB">
              <w:rPr>
                <w:rFonts w:ascii="Arial" w:hAnsi="Arial" w:cs="Arial"/>
                <w:sz w:val="16"/>
                <w:szCs w:val="16"/>
              </w:rPr>
              <w:t xml:space="preserve"> </w:t>
            </w:r>
            <w:proofErr w:type="spellStart"/>
            <w:r w:rsidRPr="002414CB">
              <w:rPr>
                <w:rFonts w:ascii="Arial" w:hAnsi="Arial" w:cs="Arial"/>
                <w:sz w:val="16"/>
                <w:szCs w:val="16"/>
              </w:rPr>
              <w:t>along</w:t>
            </w:r>
            <w:proofErr w:type="spellEnd"/>
            <w:r w:rsidRPr="002414CB">
              <w:rPr>
                <w:rFonts w:ascii="Arial" w:hAnsi="Arial" w:cs="Arial"/>
                <w:sz w:val="16"/>
                <w:szCs w:val="16"/>
              </w:rPr>
              <w:t xml:space="preserve"> the </w:t>
            </w:r>
            <w:proofErr w:type="spellStart"/>
            <w:r w:rsidRPr="002414CB">
              <w:rPr>
                <w:rFonts w:ascii="Arial" w:hAnsi="Arial" w:cs="Arial"/>
                <w:sz w:val="16"/>
                <w:szCs w:val="16"/>
              </w:rPr>
              <w:t>lines</w:t>
            </w:r>
            <w:proofErr w:type="spellEnd"/>
            <w:r w:rsidRPr="002414CB">
              <w:rPr>
                <w:rFonts w:ascii="Arial" w:hAnsi="Arial" w:cs="Arial"/>
                <w:sz w:val="16"/>
                <w:szCs w:val="16"/>
              </w:rPr>
              <w:t xml:space="preserve"> </w:t>
            </w:r>
            <w:proofErr w:type="spellStart"/>
            <w:r w:rsidRPr="002414CB">
              <w:rPr>
                <w:rFonts w:ascii="Arial" w:hAnsi="Arial" w:cs="Arial"/>
                <w:sz w:val="16"/>
                <w:szCs w:val="16"/>
              </w:rPr>
              <w:t>described</w:t>
            </w:r>
            <w:proofErr w:type="spellEnd"/>
            <w:r w:rsidRPr="002414CB">
              <w:rPr>
                <w:rFonts w:ascii="Arial" w:hAnsi="Arial" w:cs="Arial"/>
                <w:sz w:val="16"/>
                <w:szCs w:val="16"/>
              </w:rPr>
              <w:t xml:space="preserve"> </w:t>
            </w:r>
            <w:proofErr w:type="spellStart"/>
            <w:r w:rsidRPr="002414CB">
              <w:rPr>
                <w:rFonts w:ascii="Arial" w:hAnsi="Arial" w:cs="Arial"/>
                <w:sz w:val="16"/>
                <w:szCs w:val="16"/>
              </w:rPr>
              <w:t>under</w:t>
            </w:r>
            <w:proofErr w:type="spellEnd"/>
            <w:r w:rsidRPr="002414CB">
              <w:rPr>
                <w:rFonts w:ascii="Arial" w:hAnsi="Arial" w:cs="Arial"/>
                <w:sz w:val="16"/>
                <w:szCs w:val="16"/>
              </w:rPr>
              <w:t xml:space="preserve"> Article 21(1). </w:t>
            </w:r>
          </w:p>
        </w:tc>
        <w:tc>
          <w:tcPr>
            <w:tcW w:w="1222" w:type="dxa"/>
          </w:tcPr>
          <w:p w:rsidR="002414CB" w:rsidRPr="002414CB" w:rsidRDefault="002414CB" w:rsidP="002414CB">
            <w:pPr>
              <w:rPr>
                <w:rFonts w:cs="Arial"/>
                <w:sz w:val="16"/>
                <w:szCs w:val="16"/>
              </w:rPr>
            </w:pPr>
            <w:r w:rsidRPr="002414CB">
              <w:rPr>
                <w:rFonts w:cs="Arial"/>
                <w:sz w:val="16"/>
                <w:szCs w:val="16"/>
              </w:rPr>
              <w:t>delete, already covered by item “comp</w:t>
            </w:r>
            <w:r>
              <w:rPr>
                <w:rFonts w:cs="Arial"/>
                <w:sz w:val="16"/>
                <w:szCs w:val="16"/>
              </w:rPr>
              <w:t>l</w:t>
            </w:r>
            <w:r w:rsidRPr="002414CB">
              <w:rPr>
                <w:rFonts w:cs="Arial"/>
                <w:sz w:val="16"/>
                <w:szCs w:val="16"/>
              </w:rPr>
              <w:t>iance with risk retention requirements</w:t>
            </w:r>
            <w:r w:rsidR="00EA71F8">
              <w:rPr>
                <w:rFonts w:cs="Arial"/>
                <w:sz w:val="16"/>
                <w:szCs w:val="16"/>
              </w:rPr>
              <w:t>”</w:t>
            </w:r>
          </w:p>
        </w:tc>
      </w:tr>
    </w:tbl>
    <w:permEnd w:id="2096058276"/>
    <w:p w:rsidR="00394CE6" w:rsidRDefault="00394CE6" w:rsidP="00394CE6">
      <w:pPr>
        <w:rPr>
          <w:rFonts w:cs="Arial"/>
        </w:rPr>
      </w:pPr>
      <w:r>
        <w:rPr>
          <w:rFonts w:cs="Arial"/>
        </w:rPr>
        <w:t>&lt;ESMA_QUESTION_STS_7&gt;</w:t>
      </w:r>
    </w:p>
    <w:p w:rsidR="00394CE6" w:rsidRDefault="00394CE6" w:rsidP="00394CE6">
      <w:pPr>
        <w:rPr>
          <w:rFonts w:cs="Arial"/>
        </w:rPr>
      </w:pPr>
    </w:p>
    <w:p w:rsidR="00394CE6" w:rsidRDefault="00394CE6" w:rsidP="00394CE6">
      <w:pPr>
        <w:pStyle w:val="Questionstyle"/>
        <w:numPr>
          <w:ilvl w:val="0"/>
          <w:numId w:val="39"/>
        </w:numPr>
      </w:pPr>
      <w:r>
        <w:lastRenderedPageBreak/>
        <w:t xml:space="preserve">: </w:t>
      </w:r>
      <w:r w:rsidRPr="000A5F37">
        <w:t>Do you agree that for the list of items in table 4 a detailed explanation shall be required in the STS notification, accompanied by the cross reference to the relevant section in prospectus or other securitisation documentation? If not, please state your reason and any further suggestion.</w:t>
      </w:r>
    </w:p>
    <w:p w:rsidR="00394CE6" w:rsidRDefault="00394CE6" w:rsidP="00394CE6">
      <w:pPr>
        <w:rPr>
          <w:rFonts w:cs="Arial"/>
        </w:rPr>
      </w:pPr>
      <w:r>
        <w:rPr>
          <w:rFonts w:cs="Arial"/>
        </w:rPr>
        <w:t>&lt;ESMA_QUESTION_STS_8&gt;</w:t>
      </w:r>
    </w:p>
    <w:p w:rsidR="00394CE6" w:rsidRDefault="00EA71F8" w:rsidP="00394CE6">
      <w:pPr>
        <w:rPr>
          <w:rFonts w:cs="Arial"/>
        </w:rPr>
      </w:pPr>
      <w:permStart w:id="576273669" w:edGrp="everyone"/>
      <w:r>
        <w:rPr>
          <w:rFonts w:cs="Arial"/>
        </w:rPr>
        <w:t xml:space="preserve">With regard to cross-reference to securitisation </w:t>
      </w:r>
      <w:proofErr w:type="gramStart"/>
      <w:r>
        <w:rPr>
          <w:rFonts w:cs="Arial"/>
        </w:rPr>
        <w:t>documentation</w:t>
      </w:r>
      <w:proofErr w:type="gramEnd"/>
      <w:r>
        <w:rPr>
          <w:rFonts w:cs="Arial"/>
        </w:rPr>
        <w:t xml:space="preserve"> please see Q 6.</w:t>
      </w:r>
    </w:p>
    <w:p w:rsidR="00FC79E8" w:rsidRDefault="00FC79E8" w:rsidP="00394CE6">
      <w:pPr>
        <w:rPr>
          <w:rFonts w:cs="Arial"/>
        </w:rPr>
      </w:pPr>
    </w:p>
    <w:p w:rsidR="00FC79E8" w:rsidRDefault="00FC79E8" w:rsidP="00394CE6">
      <w:pPr>
        <w:rPr>
          <w:rFonts w:cs="Arial"/>
        </w:rPr>
      </w:pPr>
      <w:r>
        <w:rPr>
          <w:rFonts w:cs="Arial"/>
        </w:rPr>
        <w:t>Furthermore the following items should be transferred in table 3 (concise explanation)</w:t>
      </w:r>
      <w:r w:rsidR="00F84488">
        <w:rPr>
          <w:rFonts w:cs="Arial"/>
        </w:rPr>
        <w:t xml:space="preserve"> because they can be answered either with Y/N and/or by cross-reference to the securitisation documentation.</w:t>
      </w:r>
    </w:p>
    <w:p w:rsidR="00EA71F8" w:rsidRDefault="00EA71F8" w:rsidP="00394CE6">
      <w:pPr>
        <w:rPr>
          <w:rFonts w:cs="Arial"/>
        </w:rPr>
      </w:pPr>
    </w:p>
    <w:tbl>
      <w:tblPr>
        <w:tblStyle w:val="Tabellenraster"/>
        <w:tblW w:w="0" w:type="auto"/>
        <w:tblLayout w:type="fixed"/>
        <w:tblLook w:val="04A0" w:firstRow="1" w:lastRow="0" w:firstColumn="1" w:lastColumn="0" w:noHBand="0" w:noVBand="1"/>
      </w:tblPr>
      <w:tblGrid>
        <w:gridCol w:w="1668"/>
        <w:gridCol w:w="708"/>
        <w:gridCol w:w="709"/>
        <w:gridCol w:w="709"/>
        <w:gridCol w:w="709"/>
        <w:gridCol w:w="3685"/>
        <w:gridCol w:w="1364"/>
      </w:tblGrid>
      <w:tr w:rsidR="00FC79E8" w:rsidRPr="00FC79E8" w:rsidTr="00FC79E8">
        <w:tc>
          <w:tcPr>
            <w:tcW w:w="1668" w:type="dxa"/>
          </w:tcPr>
          <w:p w:rsidR="00FC79E8" w:rsidRPr="00FC79E8" w:rsidRDefault="00FC79E8" w:rsidP="00EA71F8">
            <w:pPr>
              <w:pStyle w:val="Default"/>
              <w:rPr>
                <w:rFonts w:ascii="Arial" w:hAnsi="Arial" w:cs="Arial"/>
                <w:sz w:val="16"/>
                <w:szCs w:val="16"/>
              </w:rPr>
            </w:pPr>
            <w:proofErr w:type="spellStart"/>
            <w:r w:rsidRPr="00FC79E8">
              <w:rPr>
                <w:rFonts w:ascii="Arial" w:hAnsi="Arial" w:cs="Arial"/>
                <w:b/>
                <w:bCs/>
                <w:sz w:val="16"/>
                <w:szCs w:val="16"/>
                <w:lang w:val="de-DE"/>
              </w:rPr>
              <w:t>Subject</w:t>
            </w:r>
            <w:proofErr w:type="spellEnd"/>
            <w:r w:rsidRPr="00FC79E8">
              <w:rPr>
                <w:rFonts w:ascii="Arial" w:hAnsi="Arial" w:cs="Arial"/>
                <w:b/>
                <w:bCs/>
                <w:sz w:val="16"/>
                <w:szCs w:val="16"/>
                <w:lang w:val="de-DE"/>
              </w:rPr>
              <w:t xml:space="preserve"> matter</w:t>
            </w:r>
          </w:p>
        </w:tc>
        <w:tc>
          <w:tcPr>
            <w:tcW w:w="708" w:type="dxa"/>
          </w:tcPr>
          <w:p w:rsidR="00FC79E8" w:rsidRPr="00FC79E8" w:rsidRDefault="00FC79E8" w:rsidP="00EA71F8">
            <w:pPr>
              <w:pStyle w:val="Default"/>
              <w:rPr>
                <w:rFonts w:ascii="Arial" w:hAnsi="Arial" w:cs="Arial"/>
                <w:sz w:val="16"/>
                <w:szCs w:val="16"/>
              </w:rPr>
            </w:pPr>
            <w:r w:rsidRPr="00FC79E8">
              <w:rPr>
                <w:rFonts w:ascii="Arial" w:hAnsi="Arial" w:cs="Arial"/>
                <w:b/>
                <w:bCs/>
                <w:sz w:val="16"/>
                <w:szCs w:val="16"/>
                <w:lang w:val="de-DE"/>
              </w:rPr>
              <w:t>Non-ABCP</w:t>
            </w:r>
          </w:p>
        </w:tc>
        <w:tc>
          <w:tcPr>
            <w:tcW w:w="709" w:type="dxa"/>
          </w:tcPr>
          <w:p w:rsidR="00FC79E8" w:rsidRPr="00FC79E8" w:rsidRDefault="00FC79E8" w:rsidP="00EA71F8">
            <w:pPr>
              <w:pStyle w:val="Default"/>
              <w:rPr>
                <w:rFonts w:ascii="Arial" w:hAnsi="Arial" w:cs="Arial"/>
                <w:sz w:val="16"/>
                <w:szCs w:val="16"/>
              </w:rPr>
            </w:pPr>
            <w:r w:rsidRPr="00FC79E8">
              <w:rPr>
                <w:rFonts w:ascii="Arial" w:hAnsi="Arial" w:cs="Arial"/>
                <w:b/>
                <w:bCs/>
                <w:sz w:val="16"/>
                <w:szCs w:val="16"/>
                <w:lang w:val="de-DE"/>
              </w:rPr>
              <w:t xml:space="preserve">ABCP Trans-action </w:t>
            </w:r>
            <w:proofErr w:type="spellStart"/>
            <w:r w:rsidRPr="00FC79E8">
              <w:rPr>
                <w:rFonts w:ascii="Arial" w:hAnsi="Arial" w:cs="Arial"/>
                <w:b/>
                <w:bCs/>
                <w:sz w:val="16"/>
                <w:szCs w:val="16"/>
                <w:lang w:val="de-DE"/>
              </w:rPr>
              <w:t>article</w:t>
            </w:r>
            <w:proofErr w:type="spellEnd"/>
          </w:p>
        </w:tc>
        <w:tc>
          <w:tcPr>
            <w:tcW w:w="709" w:type="dxa"/>
          </w:tcPr>
          <w:p w:rsidR="00FC79E8" w:rsidRPr="00FC79E8" w:rsidRDefault="00FC79E8" w:rsidP="00CE6E87">
            <w:pPr>
              <w:pStyle w:val="Default"/>
              <w:rPr>
                <w:rFonts w:ascii="Arial" w:hAnsi="Arial" w:cs="Arial"/>
                <w:sz w:val="16"/>
                <w:szCs w:val="16"/>
              </w:rPr>
            </w:pPr>
            <w:r w:rsidRPr="00FC79E8">
              <w:rPr>
                <w:rFonts w:ascii="Arial" w:hAnsi="Arial" w:cs="Arial"/>
                <w:b/>
                <w:bCs/>
                <w:sz w:val="16"/>
                <w:szCs w:val="16"/>
                <w:lang w:val="de-DE"/>
              </w:rPr>
              <w:t xml:space="preserve">ABCP Programme </w:t>
            </w:r>
            <w:proofErr w:type="spellStart"/>
            <w:r w:rsidRPr="00FC79E8">
              <w:rPr>
                <w:rFonts w:ascii="Arial" w:hAnsi="Arial" w:cs="Arial"/>
                <w:b/>
                <w:bCs/>
                <w:sz w:val="16"/>
                <w:szCs w:val="16"/>
                <w:lang w:val="de-DE"/>
              </w:rPr>
              <w:t>article</w:t>
            </w:r>
            <w:proofErr w:type="spellEnd"/>
          </w:p>
        </w:tc>
        <w:tc>
          <w:tcPr>
            <w:tcW w:w="709" w:type="dxa"/>
          </w:tcPr>
          <w:p w:rsidR="00FC79E8" w:rsidRPr="00FC79E8" w:rsidRDefault="00FC79E8" w:rsidP="00CE6E87">
            <w:pPr>
              <w:autoSpaceDE w:val="0"/>
              <w:autoSpaceDN w:val="0"/>
              <w:adjustRightInd w:val="0"/>
              <w:rPr>
                <w:rFonts w:cs="Arial"/>
                <w:color w:val="000000"/>
                <w:sz w:val="16"/>
                <w:szCs w:val="16"/>
                <w:lang w:val="de-DE" w:eastAsia="en-GB"/>
              </w:rPr>
            </w:pPr>
            <w:r w:rsidRPr="00FC79E8">
              <w:rPr>
                <w:rFonts w:cs="Arial"/>
                <w:b/>
                <w:bCs/>
                <w:color w:val="000000"/>
                <w:sz w:val="16"/>
                <w:szCs w:val="16"/>
                <w:lang w:val="de-DE" w:eastAsia="en-GB"/>
              </w:rPr>
              <w:t xml:space="preserve">ABCP </w:t>
            </w:r>
            <w:proofErr w:type="spellStart"/>
            <w:r w:rsidRPr="00FC79E8">
              <w:rPr>
                <w:rFonts w:cs="Arial"/>
                <w:b/>
                <w:bCs/>
                <w:color w:val="000000"/>
                <w:sz w:val="16"/>
                <w:szCs w:val="16"/>
                <w:lang w:val="de-DE" w:eastAsia="en-GB"/>
              </w:rPr>
              <w:t>Spon</w:t>
            </w:r>
            <w:r>
              <w:rPr>
                <w:rFonts w:cs="Arial"/>
                <w:b/>
                <w:bCs/>
                <w:color w:val="000000"/>
                <w:sz w:val="16"/>
                <w:szCs w:val="16"/>
                <w:lang w:val="de-DE" w:eastAsia="en-GB"/>
              </w:rPr>
              <w:t>-</w:t>
            </w:r>
            <w:r w:rsidRPr="00FC79E8">
              <w:rPr>
                <w:rFonts w:cs="Arial"/>
                <w:b/>
                <w:bCs/>
                <w:color w:val="000000"/>
                <w:sz w:val="16"/>
                <w:szCs w:val="16"/>
                <w:lang w:val="de-DE" w:eastAsia="en-GB"/>
              </w:rPr>
              <w:t>sor</w:t>
            </w:r>
            <w:proofErr w:type="spellEnd"/>
            <w:r w:rsidRPr="00FC79E8">
              <w:rPr>
                <w:rFonts w:cs="Arial"/>
                <w:b/>
                <w:bCs/>
                <w:color w:val="000000"/>
                <w:sz w:val="16"/>
                <w:szCs w:val="16"/>
                <w:lang w:val="de-DE" w:eastAsia="en-GB"/>
              </w:rPr>
              <w:t xml:space="preserve"> </w:t>
            </w:r>
          </w:p>
          <w:p w:rsidR="00FC79E8" w:rsidRPr="00FC79E8" w:rsidRDefault="00FC79E8" w:rsidP="00CE6E87">
            <w:pPr>
              <w:pStyle w:val="Default"/>
              <w:rPr>
                <w:rFonts w:ascii="Arial" w:hAnsi="Arial" w:cs="Arial"/>
                <w:sz w:val="16"/>
                <w:szCs w:val="16"/>
              </w:rPr>
            </w:pPr>
            <w:proofErr w:type="spellStart"/>
            <w:r w:rsidRPr="00FC79E8">
              <w:rPr>
                <w:rFonts w:ascii="Arial" w:hAnsi="Arial" w:cs="Arial"/>
                <w:b/>
                <w:bCs/>
                <w:sz w:val="16"/>
                <w:szCs w:val="16"/>
                <w:lang w:val="de-DE"/>
              </w:rPr>
              <w:t>article</w:t>
            </w:r>
            <w:proofErr w:type="spellEnd"/>
          </w:p>
        </w:tc>
        <w:tc>
          <w:tcPr>
            <w:tcW w:w="3685" w:type="dxa"/>
          </w:tcPr>
          <w:p w:rsidR="00FC79E8" w:rsidRPr="00FC79E8" w:rsidRDefault="00FC79E8" w:rsidP="00EA71F8">
            <w:pPr>
              <w:pStyle w:val="Default"/>
              <w:rPr>
                <w:rFonts w:ascii="Arial" w:hAnsi="Arial" w:cs="Arial"/>
                <w:sz w:val="16"/>
                <w:szCs w:val="16"/>
              </w:rPr>
            </w:pPr>
            <w:r w:rsidRPr="001457C7">
              <w:rPr>
                <w:rFonts w:ascii="Arial" w:hAnsi="Arial" w:cs="Arial"/>
                <w:b/>
                <w:bCs/>
                <w:sz w:val="16"/>
                <w:szCs w:val="16"/>
                <w:lang w:val="en-GB"/>
              </w:rPr>
              <w:t>ESMA comments regarding the expected content of the STS notification</w:t>
            </w:r>
          </w:p>
        </w:tc>
        <w:tc>
          <w:tcPr>
            <w:tcW w:w="1364" w:type="dxa"/>
          </w:tcPr>
          <w:p w:rsidR="00FC79E8" w:rsidRPr="00FC79E8" w:rsidRDefault="00FC79E8" w:rsidP="00CE6E87">
            <w:pPr>
              <w:rPr>
                <w:rFonts w:cs="Arial"/>
                <w:sz w:val="16"/>
                <w:szCs w:val="16"/>
              </w:rPr>
            </w:pPr>
            <w:proofErr w:type="spellStart"/>
            <w:r w:rsidRPr="00FC79E8">
              <w:rPr>
                <w:rFonts w:cs="Arial"/>
                <w:b/>
                <w:bCs/>
                <w:color w:val="000000"/>
                <w:sz w:val="16"/>
                <w:szCs w:val="16"/>
                <w:lang w:val="de-DE" w:eastAsia="en-GB"/>
              </w:rPr>
              <w:t>reason</w:t>
            </w:r>
            <w:proofErr w:type="spellEnd"/>
          </w:p>
        </w:tc>
      </w:tr>
      <w:tr w:rsidR="00FC79E8" w:rsidRPr="00EA71F8" w:rsidTr="00FC79E8">
        <w:tc>
          <w:tcPr>
            <w:tcW w:w="1668" w:type="dxa"/>
          </w:tcPr>
          <w:p w:rsidR="00FC79E8" w:rsidRPr="00EA71F8" w:rsidRDefault="00FC79E8" w:rsidP="00EA71F8">
            <w:pPr>
              <w:pStyle w:val="Default"/>
              <w:rPr>
                <w:rFonts w:ascii="Arial" w:hAnsi="Arial" w:cs="Arial"/>
                <w:sz w:val="16"/>
                <w:szCs w:val="16"/>
              </w:rPr>
            </w:pPr>
            <w:proofErr w:type="spellStart"/>
            <w:r w:rsidRPr="00EA71F8">
              <w:rPr>
                <w:rFonts w:ascii="Arial" w:hAnsi="Arial" w:cs="Arial"/>
                <w:sz w:val="16"/>
                <w:szCs w:val="16"/>
              </w:rPr>
              <w:t>Soundness</w:t>
            </w:r>
            <w:proofErr w:type="spellEnd"/>
            <w:r w:rsidRPr="00EA71F8">
              <w:rPr>
                <w:rFonts w:ascii="Arial" w:hAnsi="Arial" w:cs="Arial"/>
                <w:sz w:val="16"/>
                <w:szCs w:val="16"/>
              </w:rPr>
              <w:t xml:space="preserve"> of the </w:t>
            </w:r>
            <w:proofErr w:type="spellStart"/>
            <w:r w:rsidRPr="00EA71F8">
              <w:rPr>
                <w:rFonts w:ascii="Arial" w:hAnsi="Arial" w:cs="Arial"/>
                <w:sz w:val="16"/>
                <w:szCs w:val="16"/>
              </w:rPr>
              <w:t>underwriting</w:t>
            </w:r>
            <w:proofErr w:type="spellEnd"/>
            <w:r w:rsidRPr="00EA71F8">
              <w:rPr>
                <w:rFonts w:ascii="Arial" w:hAnsi="Arial" w:cs="Arial"/>
                <w:sz w:val="16"/>
                <w:szCs w:val="16"/>
              </w:rPr>
              <w:t xml:space="preserve"> standard </w:t>
            </w:r>
          </w:p>
          <w:p w:rsidR="00FC79E8" w:rsidRPr="00EA71F8" w:rsidRDefault="00FC79E8" w:rsidP="00CE6E87">
            <w:pPr>
              <w:rPr>
                <w:rFonts w:cs="Arial"/>
                <w:sz w:val="16"/>
                <w:szCs w:val="16"/>
              </w:rPr>
            </w:pPr>
          </w:p>
        </w:tc>
        <w:tc>
          <w:tcPr>
            <w:tcW w:w="708" w:type="dxa"/>
          </w:tcPr>
          <w:p w:rsidR="00FC79E8" w:rsidRPr="00EA71F8" w:rsidRDefault="00FC79E8" w:rsidP="00EA71F8">
            <w:pPr>
              <w:pStyle w:val="Default"/>
              <w:rPr>
                <w:rFonts w:ascii="Arial" w:hAnsi="Arial" w:cs="Arial"/>
                <w:sz w:val="16"/>
                <w:szCs w:val="16"/>
              </w:rPr>
            </w:pPr>
            <w:r w:rsidRPr="00EA71F8">
              <w:rPr>
                <w:rFonts w:ascii="Arial" w:hAnsi="Arial" w:cs="Arial"/>
                <w:sz w:val="16"/>
                <w:szCs w:val="16"/>
              </w:rPr>
              <w:t>Article 20(10)</w:t>
            </w:r>
          </w:p>
        </w:tc>
        <w:tc>
          <w:tcPr>
            <w:tcW w:w="709" w:type="dxa"/>
          </w:tcPr>
          <w:p w:rsidR="00FC79E8" w:rsidRPr="00EA71F8" w:rsidRDefault="00FC79E8" w:rsidP="00EA71F8">
            <w:pPr>
              <w:pStyle w:val="Default"/>
              <w:rPr>
                <w:rFonts w:ascii="Arial" w:hAnsi="Arial" w:cs="Arial"/>
                <w:sz w:val="16"/>
                <w:szCs w:val="16"/>
              </w:rPr>
            </w:pPr>
            <w:r w:rsidRPr="00EA71F8">
              <w:rPr>
                <w:rFonts w:ascii="Arial" w:hAnsi="Arial" w:cs="Arial"/>
                <w:sz w:val="16"/>
                <w:szCs w:val="16"/>
              </w:rPr>
              <w:t xml:space="preserve">Article 24(18) </w:t>
            </w:r>
          </w:p>
          <w:p w:rsidR="00FC79E8" w:rsidRPr="00EA71F8" w:rsidRDefault="00FC79E8" w:rsidP="00CE6E87">
            <w:pPr>
              <w:rPr>
                <w:rFonts w:cs="Arial"/>
                <w:sz w:val="16"/>
                <w:szCs w:val="16"/>
              </w:rPr>
            </w:pPr>
          </w:p>
        </w:tc>
        <w:tc>
          <w:tcPr>
            <w:tcW w:w="709" w:type="dxa"/>
          </w:tcPr>
          <w:p w:rsidR="00FC79E8" w:rsidRPr="00EA71F8" w:rsidRDefault="00FC79E8" w:rsidP="00CE6E87">
            <w:pPr>
              <w:pStyle w:val="Default"/>
              <w:rPr>
                <w:rFonts w:ascii="Arial" w:hAnsi="Arial" w:cs="Arial"/>
                <w:sz w:val="16"/>
                <w:szCs w:val="16"/>
              </w:rPr>
            </w:pPr>
            <w:r w:rsidRPr="00EA71F8">
              <w:rPr>
                <w:rFonts w:ascii="Arial" w:hAnsi="Arial" w:cs="Arial"/>
                <w:sz w:val="16"/>
                <w:szCs w:val="16"/>
              </w:rPr>
              <w:t xml:space="preserve">Article 26(1) </w:t>
            </w:r>
          </w:p>
          <w:p w:rsidR="00FC79E8" w:rsidRPr="00EA71F8" w:rsidRDefault="00FC79E8" w:rsidP="00CE6E87">
            <w:pPr>
              <w:rPr>
                <w:rFonts w:cs="Arial"/>
                <w:sz w:val="16"/>
                <w:szCs w:val="16"/>
              </w:rPr>
            </w:pPr>
          </w:p>
        </w:tc>
        <w:tc>
          <w:tcPr>
            <w:tcW w:w="709" w:type="dxa"/>
          </w:tcPr>
          <w:p w:rsidR="00FC79E8" w:rsidRPr="00EA71F8" w:rsidRDefault="00FC79E8" w:rsidP="00CE6E87">
            <w:pPr>
              <w:pStyle w:val="Default"/>
              <w:rPr>
                <w:rFonts w:ascii="Arial" w:hAnsi="Arial" w:cs="Arial"/>
                <w:sz w:val="16"/>
                <w:szCs w:val="16"/>
              </w:rPr>
            </w:pPr>
            <w:r w:rsidRPr="00EA71F8">
              <w:rPr>
                <w:rFonts w:ascii="Arial" w:hAnsi="Arial" w:cs="Arial"/>
                <w:sz w:val="16"/>
                <w:szCs w:val="16"/>
              </w:rPr>
              <w:t xml:space="preserve">N/A </w:t>
            </w:r>
          </w:p>
          <w:p w:rsidR="00FC79E8" w:rsidRPr="00EA71F8" w:rsidRDefault="00FC79E8" w:rsidP="00CE6E87">
            <w:pPr>
              <w:rPr>
                <w:rFonts w:cs="Arial"/>
                <w:sz w:val="16"/>
                <w:szCs w:val="16"/>
              </w:rPr>
            </w:pPr>
          </w:p>
        </w:tc>
        <w:tc>
          <w:tcPr>
            <w:tcW w:w="3685" w:type="dxa"/>
          </w:tcPr>
          <w:p w:rsidR="00FC79E8" w:rsidRPr="00EA71F8" w:rsidRDefault="00FC79E8" w:rsidP="00FC79E8">
            <w:pPr>
              <w:pStyle w:val="Default"/>
              <w:rPr>
                <w:rFonts w:ascii="Arial" w:hAnsi="Arial" w:cs="Arial"/>
                <w:sz w:val="16"/>
                <w:szCs w:val="16"/>
              </w:rPr>
            </w:pPr>
            <w:r w:rsidRPr="00EA71F8">
              <w:rPr>
                <w:rFonts w:ascii="Arial" w:hAnsi="Arial" w:cs="Arial"/>
                <w:sz w:val="16"/>
                <w:szCs w:val="16"/>
              </w:rPr>
              <w:t xml:space="preserve">The STS notification </w:t>
            </w:r>
            <w:proofErr w:type="spellStart"/>
            <w:r w:rsidRPr="00EA71F8">
              <w:rPr>
                <w:rFonts w:ascii="Arial" w:hAnsi="Arial" w:cs="Arial"/>
                <w:sz w:val="16"/>
                <w:szCs w:val="16"/>
              </w:rPr>
              <w:t>shall</w:t>
            </w:r>
            <w:proofErr w:type="spellEnd"/>
            <w:r w:rsidRPr="00EA71F8">
              <w:rPr>
                <w:rFonts w:ascii="Arial" w:hAnsi="Arial" w:cs="Arial"/>
                <w:sz w:val="16"/>
                <w:szCs w:val="16"/>
              </w:rPr>
              <w:t xml:space="preserve"> </w:t>
            </w:r>
            <w:proofErr w:type="spellStart"/>
            <w:r w:rsidRPr="00EA71F8">
              <w:rPr>
                <w:rFonts w:ascii="Arial" w:hAnsi="Arial" w:cs="Arial"/>
                <w:sz w:val="16"/>
                <w:szCs w:val="16"/>
              </w:rPr>
              <w:t>confirm</w:t>
            </w:r>
            <w:proofErr w:type="spellEnd"/>
            <w:r w:rsidRPr="00EA71F8">
              <w:rPr>
                <w:rFonts w:ascii="Arial" w:hAnsi="Arial" w:cs="Arial"/>
                <w:sz w:val="16"/>
                <w:szCs w:val="16"/>
              </w:rPr>
              <w:t xml:space="preserve"> and </w:t>
            </w:r>
            <w:proofErr w:type="spellStart"/>
            <w:r w:rsidRPr="00EA71F8">
              <w:rPr>
                <w:rFonts w:ascii="Arial" w:hAnsi="Arial" w:cs="Arial"/>
                <w:sz w:val="16"/>
                <w:szCs w:val="16"/>
              </w:rPr>
              <w:t>provide</w:t>
            </w:r>
            <w:proofErr w:type="spellEnd"/>
            <w:r w:rsidRPr="00EA71F8">
              <w:rPr>
                <w:rFonts w:ascii="Arial" w:hAnsi="Arial" w:cs="Arial"/>
                <w:sz w:val="16"/>
                <w:szCs w:val="16"/>
              </w:rPr>
              <w:t xml:space="preserve"> a </w:t>
            </w:r>
            <w:proofErr w:type="spellStart"/>
            <w:r w:rsidRPr="00EA71F8">
              <w:rPr>
                <w:rFonts w:ascii="Arial" w:hAnsi="Arial" w:cs="Arial"/>
                <w:sz w:val="16"/>
                <w:szCs w:val="16"/>
              </w:rPr>
              <w:t>detailed</w:t>
            </w:r>
            <w:proofErr w:type="spellEnd"/>
            <w:r w:rsidRPr="00EA71F8">
              <w:rPr>
                <w:rFonts w:ascii="Arial" w:hAnsi="Arial" w:cs="Arial"/>
                <w:sz w:val="16"/>
                <w:szCs w:val="16"/>
              </w:rPr>
              <w:t xml:space="preserve"> </w:t>
            </w:r>
            <w:proofErr w:type="spellStart"/>
            <w:r w:rsidRPr="00EA71F8">
              <w:rPr>
                <w:rFonts w:ascii="Arial" w:hAnsi="Arial" w:cs="Arial"/>
                <w:sz w:val="16"/>
                <w:szCs w:val="16"/>
              </w:rPr>
              <w:t>explanation</w:t>
            </w:r>
            <w:proofErr w:type="spellEnd"/>
            <w:r w:rsidRPr="00EA71F8">
              <w:rPr>
                <w:rFonts w:ascii="Arial" w:hAnsi="Arial" w:cs="Arial"/>
                <w:sz w:val="16"/>
                <w:szCs w:val="16"/>
              </w:rPr>
              <w:t xml:space="preserve"> as to </w:t>
            </w:r>
            <w:proofErr w:type="spellStart"/>
            <w:r w:rsidRPr="00EA71F8">
              <w:rPr>
                <w:rFonts w:ascii="Arial" w:hAnsi="Arial" w:cs="Arial"/>
                <w:sz w:val="16"/>
                <w:szCs w:val="16"/>
              </w:rPr>
              <w:t>whether</w:t>
            </w:r>
            <w:proofErr w:type="spellEnd"/>
            <w:r w:rsidRPr="00EA71F8">
              <w:rPr>
                <w:rFonts w:ascii="Arial" w:hAnsi="Arial" w:cs="Arial"/>
                <w:sz w:val="16"/>
                <w:szCs w:val="16"/>
              </w:rPr>
              <w:t xml:space="preserve"> the </w:t>
            </w:r>
            <w:proofErr w:type="spellStart"/>
            <w:r w:rsidRPr="00EA71F8">
              <w:rPr>
                <w:rFonts w:ascii="Arial" w:hAnsi="Arial" w:cs="Arial"/>
                <w:sz w:val="16"/>
                <w:szCs w:val="16"/>
              </w:rPr>
              <w:t>underlying</w:t>
            </w:r>
            <w:proofErr w:type="spellEnd"/>
            <w:r w:rsidRPr="00EA71F8">
              <w:rPr>
                <w:rFonts w:ascii="Arial" w:hAnsi="Arial" w:cs="Arial"/>
                <w:sz w:val="16"/>
                <w:szCs w:val="16"/>
              </w:rPr>
              <w:t xml:space="preserve"> </w:t>
            </w:r>
            <w:proofErr w:type="spellStart"/>
            <w:r w:rsidRPr="00EA71F8">
              <w:rPr>
                <w:rFonts w:ascii="Arial" w:hAnsi="Arial" w:cs="Arial"/>
                <w:sz w:val="16"/>
                <w:szCs w:val="16"/>
              </w:rPr>
              <w:t>exposures</w:t>
            </w:r>
            <w:proofErr w:type="spellEnd"/>
            <w:r w:rsidRPr="00EA71F8">
              <w:rPr>
                <w:rFonts w:ascii="Arial" w:hAnsi="Arial" w:cs="Arial"/>
                <w:sz w:val="16"/>
                <w:szCs w:val="16"/>
              </w:rPr>
              <w:t xml:space="preserve"> </w:t>
            </w:r>
            <w:proofErr w:type="spellStart"/>
            <w:r w:rsidRPr="00EA71F8">
              <w:rPr>
                <w:rFonts w:ascii="Arial" w:hAnsi="Arial" w:cs="Arial"/>
                <w:sz w:val="16"/>
                <w:szCs w:val="16"/>
              </w:rPr>
              <w:t>were</w:t>
            </w:r>
            <w:proofErr w:type="spellEnd"/>
            <w:r w:rsidRPr="00EA71F8">
              <w:rPr>
                <w:rFonts w:ascii="Arial" w:hAnsi="Arial" w:cs="Arial"/>
                <w:sz w:val="16"/>
                <w:szCs w:val="16"/>
              </w:rPr>
              <w:t xml:space="preserve"> </w:t>
            </w:r>
            <w:proofErr w:type="spellStart"/>
            <w:r w:rsidRPr="00EA71F8">
              <w:rPr>
                <w:rFonts w:ascii="Arial" w:hAnsi="Arial" w:cs="Arial"/>
                <w:sz w:val="16"/>
                <w:szCs w:val="16"/>
              </w:rPr>
              <w:t>originated</w:t>
            </w:r>
            <w:proofErr w:type="spellEnd"/>
            <w:r w:rsidRPr="00EA71F8">
              <w:rPr>
                <w:rFonts w:ascii="Arial" w:hAnsi="Arial" w:cs="Arial"/>
                <w:sz w:val="16"/>
                <w:szCs w:val="16"/>
              </w:rPr>
              <w:t xml:space="preserve"> in the </w:t>
            </w:r>
            <w:proofErr w:type="spellStart"/>
            <w:r w:rsidRPr="00EA71F8">
              <w:rPr>
                <w:rFonts w:ascii="Arial" w:hAnsi="Arial" w:cs="Arial"/>
                <w:sz w:val="16"/>
                <w:szCs w:val="16"/>
              </w:rPr>
              <w:t>lender’s</w:t>
            </w:r>
            <w:proofErr w:type="spellEnd"/>
            <w:r w:rsidRPr="00EA71F8">
              <w:rPr>
                <w:rFonts w:ascii="Arial" w:hAnsi="Arial" w:cs="Arial"/>
                <w:sz w:val="16"/>
                <w:szCs w:val="16"/>
              </w:rPr>
              <w:t xml:space="preserve"> </w:t>
            </w:r>
            <w:proofErr w:type="spellStart"/>
            <w:r w:rsidRPr="00EA71F8">
              <w:rPr>
                <w:rFonts w:ascii="Arial" w:hAnsi="Arial" w:cs="Arial"/>
                <w:sz w:val="16"/>
                <w:szCs w:val="16"/>
              </w:rPr>
              <w:t>ordinary</w:t>
            </w:r>
            <w:proofErr w:type="spellEnd"/>
            <w:r w:rsidRPr="00EA71F8">
              <w:rPr>
                <w:rFonts w:ascii="Arial" w:hAnsi="Arial" w:cs="Arial"/>
                <w:sz w:val="16"/>
                <w:szCs w:val="16"/>
              </w:rPr>
              <w:t xml:space="preserve"> course of business and </w:t>
            </w:r>
            <w:proofErr w:type="spellStart"/>
            <w:r w:rsidRPr="00EA71F8">
              <w:rPr>
                <w:rFonts w:ascii="Arial" w:hAnsi="Arial" w:cs="Arial"/>
                <w:sz w:val="16"/>
                <w:szCs w:val="16"/>
              </w:rPr>
              <w:t>include</w:t>
            </w:r>
            <w:proofErr w:type="spellEnd"/>
            <w:r w:rsidRPr="00EA71F8">
              <w:rPr>
                <w:rFonts w:ascii="Arial" w:hAnsi="Arial" w:cs="Arial"/>
                <w:sz w:val="16"/>
                <w:szCs w:val="16"/>
              </w:rPr>
              <w:t xml:space="preserve"> a description of </w:t>
            </w:r>
            <w:proofErr w:type="spellStart"/>
            <w:r w:rsidRPr="00EA71F8">
              <w:rPr>
                <w:rFonts w:ascii="Arial" w:hAnsi="Arial" w:cs="Arial"/>
                <w:sz w:val="16"/>
                <w:szCs w:val="16"/>
              </w:rPr>
              <w:t>any</w:t>
            </w:r>
            <w:proofErr w:type="spellEnd"/>
            <w:r w:rsidRPr="00EA71F8">
              <w:rPr>
                <w:rFonts w:ascii="Arial" w:hAnsi="Arial" w:cs="Arial"/>
                <w:sz w:val="16"/>
                <w:szCs w:val="16"/>
              </w:rPr>
              <w:t xml:space="preserve"> </w:t>
            </w:r>
            <w:proofErr w:type="spellStart"/>
            <w:r w:rsidRPr="00EA71F8">
              <w:rPr>
                <w:rFonts w:ascii="Arial" w:hAnsi="Arial" w:cs="Arial"/>
                <w:sz w:val="16"/>
                <w:szCs w:val="16"/>
              </w:rPr>
              <w:t>material</w:t>
            </w:r>
            <w:proofErr w:type="spellEnd"/>
            <w:r w:rsidRPr="00EA71F8">
              <w:rPr>
                <w:rFonts w:ascii="Arial" w:hAnsi="Arial" w:cs="Arial"/>
                <w:sz w:val="16"/>
                <w:szCs w:val="16"/>
              </w:rPr>
              <w:t xml:space="preserve"> changes </w:t>
            </w:r>
            <w:proofErr w:type="spellStart"/>
            <w:r w:rsidRPr="00EA71F8">
              <w:rPr>
                <w:rFonts w:ascii="Arial" w:hAnsi="Arial" w:cs="Arial"/>
                <w:sz w:val="16"/>
                <w:szCs w:val="16"/>
              </w:rPr>
              <w:t>from</w:t>
            </w:r>
            <w:proofErr w:type="spellEnd"/>
            <w:r w:rsidRPr="00EA71F8">
              <w:rPr>
                <w:rFonts w:ascii="Arial" w:hAnsi="Arial" w:cs="Arial"/>
                <w:sz w:val="16"/>
                <w:szCs w:val="16"/>
              </w:rPr>
              <w:t xml:space="preserve"> </w:t>
            </w:r>
            <w:proofErr w:type="spellStart"/>
            <w:r w:rsidRPr="00EA71F8">
              <w:rPr>
                <w:rFonts w:ascii="Arial" w:hAnsi="Arial" w:cs="Arial"/>
                <w:sz w:val="16"/>
                <w:szCs w:val="16"/>
              </w:rPr>
              <w:t>prior</w:t>
            </w:r>
            <w:proofErr w:type="spellEnd"/>
            <w:r w:rsidRPr="00EA71F8">
              <w:rPr>
                <w:rFonts w:ascii="Arial" w:hAnsi="Arial" w:cs="Arial"/>
                <w:sz w:val="16"/>
                <w:szCs w:val="16"/>
              </w:rPr>
              <w:t xml:space="preserve"> </w:t>
            </w:r>
            <w:proofErr w:type="spellStart"/>
            <w:r w:rsidRPr="00EA71F8">
              <w:rPr>
                <w:rFonts w:ascii="Arial" w:hAnsi="Arial" w:cs="Arial"/>
                <w:sz w:val="16"/>
                <w:szCs w:val="16"/>
              </w:rPr>
              <w:t>underwriting</w:t>
            </w:r>
            <w:proofErr w:type="spellEnd"/>
            <w:r w:rsidRPr="00EA71F8">
              <w:rPr>
                <w:rFonts w:ascii="Arial" w:hAnsi="Arial" w:cs="Arial"/>
                <w:sz w:val="16"/>
                <w:szCs w:val="16"/>
              </w:rPr>
              <w:t xml:space="preserve"> standards. </w:t>
            </w:r>
            <w:proofErr w:type="spellStart"/>
            <w:r w:rsidRPr="00EA71F8">
              <w:rPr>
                <w:rFonts w:ascii="Arial" w:hAnsi="Arial" w:cs="Arial"/>
                <w:sz w:val="16"/>
                <w:szCs w:val="16"/>
              </w:rPr>
              <w:t>Such</w:t>
            </w:r>
            <w:proofErr w:type="spellEnd"/>
            <w:r w:rsidRPr="00EA71F8">
              <w:rPr>
                <w:rFonts w:ascii="Arial" w:hAnsi="Arial" w:cs="Arial"/>
                <w:sz w:val="16"/>
                <w:szCs w:val="16"/>
              </w:rPr>
              <w:t xml:space="preserve"> </w:t>
            </w:r>
            <w:proofErr w:type="spellStart"/>
            <w:r w:rsidRPr="00EA71F8">
              <w:rPr>
                <w:rFonts w:ascii="Arial" w:hAnsi="Arial" w:cs="Arial"/>
                <w:sz w:val="16"/>
                <w:szCs w:val="16"/>
              </w:rPr>
              <w:t>explanation</w:t>
            </w:r>
            <w:proofErr w:type="spellEnd"/>
            <w:r w:rsidRPr="00EA71F8">
              <w:rPr>
                <w:rFonts w:ascii="Arial" w:hAnsi="Arial" w:cs="Arial"/>
                <w:sz w:val="16"/>
                <w:szCs w:val="16"/>
              </w:rPr>
              <w:t xml:space="preserve"> </w:t>
            </w:r>
            <w:proofErr w:type="spellStart"/>
            <w:r w:rsidRPr="00EA71F8">
              <w:rPr>
                <w:rFonts w:ascii="Arial" w:hAnsi="Arial" w:cs="Arial"/>
                <w:sz w:val="16"/>
                <w:szCs w:val="16"/>
              </w:rPr>
              <w:t>should</w:t>
            </w:r>
            <w:proofErr w:type="spellEnd"/>
            <w:r w:rsidRPr="00EA71F8">
              <w:rPr>
                <w:rFonts w:ascii="Arial" w:hAnsi="Arial" w:cs="Arial"/>
                <w:sz w:val="16"/>
                <w:szCs w:val="16"/>
              </w:rPr>
              <w:t xml:space="preserve"> </w:t>
            </w:r>
            <w:proofErr w:type="spellStart"/>
            <w:r w:rsidRPr="00EA71F8">
              <w:rPr>
                <w:rFonts w:ascii="Arial" w:hAnsi="Arial" w:cs="Arial"/>
                <w:sz w:val="16"/>
                <w:szCs w:val="16"/>
              </w:rPr>
              <w:t>specify</w:t>
            </w:r>
            <w:proofErr w:type="spellEnd"/>
            <w:r w:rsidRPr="00EA71F8">
              <w:rPr>
                <w:rFonts w:ascii="Arial" w:hAnsi="Arial" w:cs="Arial"/>
                <w:sz w:val="16"/>
                <w:szCs w:val="16"/>
              </w:rPr>
              <w:t xml:space="preserve"> </w:t>
            </w:r>
            <w:proofErr w:type="spellStart"/>
            <w:r w:rsidRPr="00EA71F8">
              <w:rPr>
                <w:rFonts w:ascii="Arial" w:hAnsi="Arial" w:cs="Arial"/>
                <w:sz w:val="16"/>
                <w:szCs w:val="16"/>
              </w:rPr>
              <w:t>whether</w:t>
            </w:r>
            <w:proofErr w:type="spellEnd"/>
            <w:r w:rsidRPr="00EA71F8">
              <w:rPr>
                <w:rFonts w:ascii="Arial" w:hAnsi="Arial" w:cs="Arial"/>
                <w:sz w:val="16"/>
                <w:szCs w:val="16"/>
              </w:rPr>
              <w:t xml:space="preserve"> the </w:t>
            </w:r>
            <w:proofErr w:type="spellStart"/>
            <w:r w:rsidRPr="00EA71F8">
              <w:rPr>
                <w:rFonts w:ascii="Arial" w:hAnsi="Arial" w:cs="Arial"/>
                <w:sz w:val="16"/>
                <w:szCs w:val="16"/>
              </w:rPr>
              <w:t>applied</w:t>
            </w:r>
            <w:proofErr w:type="spellEnd"/>
            <w:r w:rsidRPr="00EA71F8">
              <w:rPr>
                <w:rFonts w:ascii="Arial" w:hAnsi="Arial" w:cs="Arial"/>
                <w:sz w:val="16"/>
                <w:szCs w:val="16"/>
              </w:rPr>
              <w:t xml:space="preserve"> </w:t>
            </w:r>
            <w:proofErr w:type="spellStart"/>
            <w:r w:rsidRPr="00EA71F8">
              <w:rPr>
                <w:rFonts w:ascii="Arial" w:hAnsi="Arial" w:cs="Arial"/>
                <w:sz w:val="16"/>
                <w:szCs w:val="16"/>
              </w:rPr>
              <w:t>underwriting</w:t>
            </w:r>
            <w:proofErr w:type="spellEnd"/>
            <w:r w:rsidRPr="00EA71F8">
              <w:rPr>
                <w:rFonts w:ascii="Arial" w:hAnsi="Arial" w:cs="Arial"/>
                <w:sz w:val="16"/>
                <w:szCs w:val="16"/>
              </w:rPr>
              <w:t xml:space="preserve"> standard </w:t>
            </w:r>
            <w:proofErr w:type="spellStart"/>
            <w:r w:rsidRPr="00EA71F8">
              <w:rPr>
                <w:rFonts w:ascii="Arial" w:hAnsi="Arial" w:cs="Arial"/>
                <w:sz w:val="16"/>
                <w:szCs w:val="16"/>
              </w:rPr>
              <w:t>were</w:t>
            </w:r>
            <w:proofErr w:type="spellEnd"/>
            <w:r w:rsidRPr="00EA71F8">
              <w:rPr>
                <w:rFonts w:ascii="Arial" w:hAnsi="Arial" w:cs="Arial"/>
                <w:sz w:val="16"/>
                <w:szCs w:val="16"/>
              </w:rPr>
              <w:t xml:space="preserve"> no </w:t>
            </w:r>
            <w:proofErr w:type="spellStart"/>
            <w:r w:rsidRPr="00EA71F8">
              <w:rPr>
                <w:rFonts w:ascii="Arial" w:hAnsi="Arial" w:cs="Arial"/>
                <w:sz w:val="16"/>
                <w:szCs w:val="16"/>
              </w:rPr>
              <w:t>less</w:t>
            </w:r>
            <w:proofErr w:type="spellEnd"/>
            <w:r w:rsidRPr="00EA71F8">
              <w:rPr>
                <w:rFonts w:ascii="Arial" w:hAnsi="Arial" w:cs="Arial"/>
                <w:sz w:val="16"/>
                <w:szCs w:val="16"/>
              </w:rPr>
              <w:t xml:space="preserve"> </w:t>
            </w:r>
            <w:proofErr w:type="spellStart"/>
            <w:r w:rsidRPr="00FC79E8">
              <w:rPr>
                <w:rFonts w:ascii="Arial" w:hAnsi="Arial" w:cs="Arial"/>
                <w:sz w:val="16"/>
                <w:szCs w:val="16"/>
              </w:rPr>
              <w:t>stringent</w:t>
            </w:r>
            <w:proofErr w:type="spellEnd"/>
            <w:r w:rsidRPr="00FC79E8">
              <w:rPr>
                <w:rFonts w:ascii="Arial" w:hAnsi="Arial" w:cs="Arial"/>
                <w:sz w:val="16"/>
                <w:szCs w:val="16"/>
              </w:rPr>
              <w:t xml:space="preserve"> </w:t>
            </w:r>
            <w:proofErr w:type="spellStart"/>
            <w:r w:rsidRPr="00FC79E8">
              <w:rPr>
                <w:rFonts w:ascii="Arial" w:hAnsi="Arial" w:cs="Arial"/>
                <w:sz w:val="16"/>
                <w:szCs w:val="16"/>
              </w:rPr>
              <w:t>that</w:t>
            </w:r>
            <w:proofErr w:type="spellEnd"/>
            <w:r w:rsidRPr="00FC79E8">
              <w:rPr>
                <w:rFonts w:ascii="Arial" w:hAnsi="Arial" w:cs="Arial"/>
                <w:sz w:val="16"/>
                <w:szCs w:val="16"/>
              </w:rPr>
              <w:t xml:space="preserve"> </w:t>
            </w:r>
            <w:proofErr w:type="spellStart"/>
            <w:r w:rsidRPr="00FC79E8">
              <w:rPr>
                <w:rFonts w:ascii="Arial" w:hAnsi="Arial" w:cs="Arial"/>
                <w:sz w:val="16"/>
                <w:szCs w:val="16"/>
              </w:rPr>
              <w:t>those</w:t>
            </w:r>
            <w:proofErr w:type="spellEnd"/>
            <w:r w:rsidRPr="00FC79E8">
              <w:rPr>
                <w:rFonts w:ascii="Arial" w:hAnsi="Arial" w:cs="Arial"/>
                <w:sz w:val="16"/>
                <w:szCs w:val="16"/>
              </w:rPr>
              <w:t xml:space="preserve"> </w:t>
            </w:r>
            <w:proofErr w:type="spellStart"/>
            <w:r w:rsidRPr="00FC79E8">
              <w:rPr>
                <w:rFonts w:ascii="Arial" w:hAnsi="Arial" w:cs="Arial"/>
                <w:sz w:val="16"/>
                <w:szCs w:val="16"/>
              </w:rPr>
              <w:t>applied</w:t>
            </w:r>
            <w:proofErr w:type="spellEnd"/>
            <w:r w:rsidRPr="00FC79E8">
              <w:rPr>
                <w:rFonts w:ascii="Arial" w:hAnsi="Arial" w:cs="Arial"/>
                <w:sz w:val="16"/>
                <w:szCs w:val="16"/>
              </w:rPr>
              <w:t xml:space="preserve"> to </w:t>
            </w:r>
            <w:proofErr w:type="spellStart"/>
            <w:r w:rsidRPr="00FC79E8">
              <w:rPr>
                <w:rFonts w:ascii="Arial" w:hAnsi="Arial" w:cs="Arial"/>
                <w:sz w:val="16"/>
                <w:szCs w:val="16"/>
              </w:rPr>
              <w:t>exposures</w:t>
            </w:r>
            <w:proofErr w:type="spellEnd"/>
            <w:r w:rsidRPr="00FC79E8">
              <w:rPr>
                <w:rFonts w:ascii="Arial" w:hAnsi="Arial" w:cs="Arial"/>
                <w:sz w:val="16"/>
                <w:szCs w:val="16"/>
              </w:rPr>
              <w:t xml:space="preserve"> </w:t>
            </w:r>
            <w:proofErr w:type="spellStart"/>
            <w:r w:rsidRPr="00FC79E8">
              <w:rPr>
                <w:rFonts w:ascii="Arial" w:hAnsi="Arial" w:cs="Arial"/>
                <w:sz w:val="16"/>
                <w:szCs w:val="16"/>
              </w:rPr>
              <w:t>that</w:t>
            </w:r>
            <w:proofErr w:type="spellEnd"/>
            <w:r w:rsidRPr="00FC79E8">
              <w:rPr>
                <w:rFonts w:ascii="Arial" w:hAnsi="Arial" w:cs="Arial"/>
                <w:sz w:val="16"/>
                <w:szCs w:val="16"/>
              </w:rPr>
              <w:t xml:space="preserve"> </w:t>
            </w:r>
            <w:proofErr w:type="spellStart"/>
            <w:r w:rsidRPr="00FC79E8">
              <w:rPr>
                <w:rFonts w:ascii="Arial" w:hAnsi="Arial" w:cs="Arial"/>
                <w:sz w:val="16"/>
                <w:szCs w:val="16"/>
              </w:rPr>
              <w:t>were</w:t>
            </w:r>
            <w:proofErr w:type="spellEnd"/>
            <w:r w:rsidRPr="00FC79E8">
              <w:rPr>
                <w:rFonts w:ascii="Arial" w:hAnsi="Arial" w:cs="Arial"/>
                <w:sz w:val="16"/>
                <w:szCs w:val="16"/>
              </w:rPr>
              <w:t xml:space="preserve"> not </w:t>
            </w:r>
            <w:proofErr w:type="spellStart"/>
            <w:r w:rsidRPr="00FC79E8">
              <w:rPr>
                <w:rFonts w:ascii="Arial" w:hAnsi="Arial" w:cs="Arial"/>
                <w:sz w:val="16"/>
                <w:szCs w:val="16"/>
              </w:rPr>
              <w:t>securitised</w:t>
            </w:r>
            <w:proofErr w:type="spellEnd"/>
            <w:r w:rsidRPr="00FC79E8">
              <w:rPr>
                <w:rFonts w:ascii="Arial" w:hAnsi="Arial" w:cs="Arial"/>
                <w:sz w:val="16"/>
                <w:szCs w:val="16"/>
              </w:rPr>
              <w:t xml:space="preserve"> (</w:t>
            </w:r>
            <w:proofErr w:type="spellStart"/>
            <w:r w:rsidRPr="00FC79E8">
              <w:rPr>
                <w:rFonts w:ascii="Arial" w:hAnsi="Arial" w:cs="Arial"/>
                <w:sz w:val="16"/>
                <w:szCs w:val="16"/>
              </w:rPr>
              <w:t>expected</w:t>
            </w:r>
            <w:proofErr w:type="spellEnd"/>
            <w:r w:rsidRPr="00FC79E8">
              <w:rPr>
                <w:rFonts w:ascii="Arial" w:hAnsi="Arial" w:cs="Arial"/>
                <w:sz w:val="16"/>
                <w:szCs w:val="16"/>
              </w:rPr>
              <w:t xml:space="preserve"> cross-</w:t>
            </w:r>
            <w:proofErr w:type="spellStart"/>
            <w:r w:rsidRPr="00FC79E8">
              <w:rPr>
                <w:rFonts w:ascii="Arial" w:hAnsi="Arial" w:cs="Arial"/>
                <w:sz w:val="16"/>
                <w:szCs w:val="16"/>
              </w:rPr>
              <w:t>references</w:t>
            </w:r>
            <w:proofErr w:type="spellEnd"/>
            <w:r w:rsidRPr="00FC79E8">
              <w:rPr>
                <w:rFonts w:ascii="Arial" w:hAnsi="Arial" w:cs="Arial"/>
                <w:sz w:val="16"/>
                <w:szCs w:val="16"/>
              </w:rPr>
              <w:t xml:space="preserve"> </w:t>
            </w:r>
            <w:proofErr w:type="spellStart"/>
            <w:r w:rsidRPr="00FC79E8">
              <w:rPr>
                <w:rFonts w:ascii="Arial" w:hAnsi="Arial" w:cs="Arial"/>
                <w:sz w:val="16"/>
                <w:szCs w:val="16"/>
              </w:rPr>
              <w:t>with</w:t>
            </w:r>
            <w:proofErr w:type="spellEnd"/>
            <w:r w:rsidRPr="00FC79E8">
              <w:rPr>
                <w:rFonts w:ascii="Arial" w:hAnsi="Arial" w:cs="Arial"/>
                <w:sz w:val="16"/>
                <w:szCs w:val="16"/>
              </w:rPr>
              <w:t xml:space="preserve"> the </w:t>
            </w:r>
            <w:proofErr w:type="gramStart"/>
            <w:r w:rsidRPr="00FC79E8">
              <w:rPr>
                <w:rFonts w:ascii="Arial" w:hAnsi="Arial" w:cs="Arial"/>
                <w:sz w:val="16"/>
                <w:szCs w:val="16"/>
              </w:rPr>
              <w:t>Prospectus:</w:t>
            </w:r>
            <w:proofErr w:type="gramEnd"/>
            <w:r w:rsidRPr="00FC79E8">
              <w:rPr>
                <w:rFonts w:ascii="Arial" w:hAnsi="Arial" w:cs="Arial"/>
                <w:sz w:val="16"/>
                <w:szCs w:val="16"/>
              </w:rPr>
              <w:t xml:space="preserve"> Item 2.2.7 of </w:t>
            </w:r>
            <w:proofErr w:type="spellStart"/>
            <w:r w:rsidRPr="00FC79E8">
              <w:rPr>
                <w:rFonts w:ascii="Arial" w:hAnsi="Arial" w:cs="Arial"/>
                <w:sz w:val="16"/>
                <w:szCs w:val="16"/>
              </w:rPr>
              <w:t>Annex</w:t>
            </w:r>
            <w:proofErr w:type="spellEnd"/>
            <w:r w:rsidRPr="00FC79E8">
              <w:rPr>
                <w:rFonts w:ascii="Arial" w:hAnsi="Arial" w:cs="Arial"/>
                <w:sz w:val="16"/>
                <w:szCs w:val="16"/>
              </w:rPr>
              <w:t xml:space="preserve"> 11).</w:t>
            </w:r>
            <w:r>
              <w:rPr>
                <w:sz w:val="16"/>
                <w:szCs w:val="16"/>
              </w:rPr>
              <w:t xml:space="preserve"> </w:t>
            </w:r>
          </w:p>
        </w:tc>
        <w:tc>
          <w:tcPr>
            <w:tcW w:w="1364" w:type="dxa"/>
          </w:tcPr>
          <w:p w:rsidR="00FC79E8" w:rsidRPr="00EA71F8" w:rsidRDefault="00FC79E8" w:rsidP="00CE6E87">
            <w:pPr>
              <w:rPr>
                <w:rFonts w:cs="Arial"/>
                <w:sz w:val="16"/>
                <w:szCs w:val="16"/>
              </w:rPr>
            </w:pPr>
            <w:r>
              <w:rPr>
                <w:rFonts w:cs="Arial"/>
                <w:sz w:val="16"/>
                <w:szCs w:val="16"/>
              </w:rPr>
              <w:t>concise with cross reference to docs should suffice</w:t>
            </w:r>
          </w:p>
        </w:tc>
      </w:tr>
      <w:tr w:rsidR="00FC79E8" w:rsidRPr="00FC79E8" w:rsidTr="00FC79E8">
        <w:tc>
          <w:tcPr>
            <w:tcW w:w="1668" w:type="dxa"/>
          </w:tcPr>
          <w:p w:rsidR="00FC79E8" w:rsidRPr="00FC79E8" w:rsidRDefault="00FC79E8" w:rsidP="00FC79E8">
            <w:pPr>
              <w:pStyle w:val="Default"/>
              <w:rPr>
                <w:rFonts w:ascii="Arial" w:hAnsi="Arial" w:cs="Arial"/>
                <w:sz w:val="16"/>
                <w:szCs w:val="16"/>
              </w:rPr>
            </w:pPr>
            <w:proofErr w:type="spellStart"/>
            <w:r w:rsidRPr="00FC79E8">
              <w:rPr>
                <w:rFonts w:ascii="Arial" w:hAnsi="Arial" w:cs="Arial"/>
                <w:sz w:val="16"/>
                <w:szCs w:val="16"/>
              </w:rPr>
              <w:t>Repayment</w:t>
            </w:r>
            <w:proofErr w:type="spellEnd"/>
            <w:r w:rsidRPr="00FC79E8">
              <w:rPr>
                <w:rFonts w:ascii="Arial" w:hAnsi="Arial" w:cs="Arial"/>
                <w:sz w:val="16"/>
                <w:szCs w:val="16"/>
              </w:rPr>
              <w:t xml:space="preserve"> of the </w:t>
            </w:r>
            <w:proofErr w:type="spellStart"/>
            <w:r w:rsidRPr="00FC79E8">
              <w:rPr>
                <w:rFonts w:ascii="Arial" w:hAnsi="Arial" w:cs="Arial"/>
                <w:sz w:val="16"/>
                <w:szCs w:val="16"/>
              </w:rPr>
              <w:t>holders</w:t>
            </w:r>
            <w:proofErr w:type="spellEnd"/>
            <w:r w:rsidRPr="00FC79E8">
              <w:rPr>
                <w:rFonts w:ascii="Arial" w:hAnsi="Arial" w:cs="Arial"/>
                <w:sz w:val="16"/>
                <w:szCs w:val="16"/>
              </w:rPr>
              <w:t xml:space="preserve"> of the </w:t>
            </w:r>
            <w:proofErr w:type="spellStart"/>
            <w:r w:rsidRPr="00FC79E8">
              <w:rPr>
                <w:rFonts w:ascii="Arial" w:hAnsi="Arial" w:cs="Arial"/>
                <w:sz w:val="16"/>
                <w:szCs w:val="16"/>
              </w:rPr>
              <w:t>securitisation</w:t>
            </w:r>
            <w:proofErr w:type="spellEnd"/>
            <w:r w:rsidRPr="00FC79E8">
              <w:rPr>
                <w:rFonts w:ascii="Arial" w:hAnsi="Arial" w:cs="Arial"/>
                <w:sz w:val="16"/>
                <w:szCs w:val="16"/>
              </w:rPr>
              <w:t xml:space="preserve"> positions do not </w:t>
            </w:r>
            <w:proofErr w:type="spellStart"/>
            <w:r w:rsidRPr="00FC79E8">
              <w:rPr>
                <w:rFonts w:ascii="Arial" w:hAnsi="Arial" w:cs="Arial"/>
                <w:sz w:val="16"/>
                <w:szCs w:val="16"/>
              </w:rPr>
              <w:t>depend</w:t>
            </w:r>
            <w:proofErr w:type="spellEnd"/>
            <w:r w:rsidRPr="00FC79E8">
              <w:rPr>
                <w:rFonts w:ascii="Arial" w:hAnsi="Arial" w:cs="Arial"/>
                <w:sz w:val="16"/>
                <w:szCs w:val="16"/>
              </w:rPr>
              <w:t xml:space="preserve"> </w:t>
            </w:r>
            <w:proofErr w:type="spellStart"/>
            <w:r w:rsidRPr="00FC79E8">
              <w:rPr>
                <w:rFonts w:ascii="Arial" w:hAnsi="Arial" w:cs="Arial"/>
                <w:sz w:val="16"/>
                <w:szCs w:val="16"/>
              </w:rPr>
              <w:t>predominantly</w:t>
            </w:r>
            <w:proofErr w:type="spellEnd"/>
            <w:r w:rsidRPr="00FC79E8">
              <w:rPr>
                <w:rFonts w:ascii="Arial" w:hAnsi="Arial" w:cs="Arial"/>
                <w:sz w:val="16"/>
                <w:szCs w:val="16"/>
              </w:rPr>
              <w:t xml:space="preserve"> on sale of </w:t>
            </w:r>
            <w:proofErr w:type="spellStart"/>
            <w:r w:rsidRPr="00FC79E8">
              <w:rPr>
                <w:rFonts w:ascii="Arial" w:hAnsi="Arial" w:cs="Arial"/>
                <w:sz w:val="16"/>
                <w:szCs w:val="16"/>
              </w:rPr>
              <w:t>assets</w:t>
            </w:r>
            <w:proofErr w:type="spellEnd"/>
            <w:r w:rsidRPr="00FC79E8">
              <w:rPr>
                <w:rFonts w:ascii="Arial" w:hAnsi="Arial" w:cs="Arial"/>
                <w:sz w:val="16"/>
                <w:szCs w:val="16"/>
              </w:rPr>
              <w:t xml:space="preserve"> </w:t>
            </w:r>
          </w:p>
          <w:p w:rsidR="00FC79E8" w:rsidRPr="00FC79E8" w:rsidRDefault="00FC79E8" w:rsidP="00FC79E8">
            <w:pPr>
              <w:pStyle w:val="Default"/>
              <w:rPr>
                <w:rFonts w:ascii="Arial" w:hAnsi="Arial" w:cs="Arial"/>
                <w:sz w:val="16"/>
                <w:szCs w:val="16"/>
              </w:rPr>
            </w:pPr>
          </w:p>
        </w:tc>
        <w:tc>
          <w:tcPr>
            <w:tcW w:w="708"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Article 20(13) </w:t>
            </w:r>
          </w:p>
          <w:p w:rsidR="00FC79E8" w:rsidRPr="00FC79E8" w:rsidRDefault="00FC79E8" w:rsidP="00EA71F8">
            <w:pPr>
              <w:pStyle w:val="Default"/>
              <w:rPr>
                <w:rFonts w:ascii="Arial" w:hAnsi="Arial" w:cs="Arial"/>
                <w:sz w:val="16"/>
                <w:szCs w:val="16"/>
              </w:rPr>
            </w:pPr>
          </w:p>
        </w:tc>
        <w:tc>
          <w:tcPr>
            <w:tcW w:w="709"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Article 24(11) </w:t>
            </w:r>
          </w:p>
          <w:p w:rsidR="00FC79E8" w:rsidRPr="00FC79E8" w:rsidRDefault="00FC79E8" w:rsidP="00EA71F8">
            <w:pPr>
              <w:pStyle w:val="Default"/>
              <w:rPr>
                <w:rFonts w:ascii="Arial" w:hAnsi="Arial" w:cs="Arial"/>
                <w:sz w:val="16"/>
                <w:szCs w:val="16"/>
              </w:rPr>
            </w:pPr>
          </w:p>
        </w:tc>
        <w:tc>
          <w:tcPr>
            <w:tcW w:w="709"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N/A </w:t>
            </w:r>
          </w:p>
          <w:p w:rsidR="00FC79E8" w:rsidRPr="00FC79E8" w:rsidRDefault="00FC79E8" w:rsidP="00CE6E87">
            <w:pPr>
              <w:pStyle w:val="Default"/>
              <w:rPr>
                <w:rFonts w:ascii="Arial" w:hAnsi="Arial" w:cs="Arial"/>
                <w:sz w:val="16"/>
                <w:szCs w:val="16"/>
              </w:rPr>
            </w:pPr>
          </w:p>
        </w:tc>
        <w:tc>
          <w:tcPr>
            <w:tcW w:w="709"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N/A </w:t>
            </w:r>
          </w:p>
          <w:p w:rsidR="00FC79E8" w:rsidRPr="00FC79E8" w:rsidRDefault="00FC79E8" w:rsidP="00CE6E87">
            <w:pPr>
              <w:pStyle w:val="Default"/>
              <w:rPr>
                <w:rFonts w:ascii="Arial" w:hAnsi="Arial" w:cs="Arial"/>
                <w:sz w:val="16"/>
                <w:szCs w:val="16"/>
              </w:rPr>
            </w:pPr>
          </w:p>
        </w:tc>
        <w:tc>
          <w:tcPr>
            <w:tcW w:w="3685"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ESMA </w:t>
            </w:r>
            <w:proofErr w:type="spellStart"/>
            <w:r w:rsidRPr="00FC79E8">
              <w:rPr>
                <w:rFonts w:ascii="Arial" w:hAnsi="Arial" w:cs="Arial"/>
                <w:sz w:val="16"/>
                <w:szCs w:val="16"/>
              </w:rPr>
              <w:t>considers</w:t>
            </w:r>
            <w:proofErr w:type="spellEnd"/>
            <w:r w:rsidRPr="00FC79E8">
              <w:rPr>
                <w:rFonts w:ascii="Arial" w:hAnsi="Arial" w:cs="Arial"/>
                <w:sz w:val="16"/>
                <w:szCs w:val="16"/>
              </w:rPr>
              <w:t xml:space="preserve"> </w:t>
            </w:r>
            <w:proofErr w:type="spellStart"/>
            <w:r w:rsidRPr="00FC79E8">
              <w:rPr>
                <w:rFonts w:ascii="Arial" w:hAnsi="Arial" w:cs="Arial"/>
                <w:sz w:val="16"/>
                <w:szCs w:val="16"/>
              </w:rPr>
              <w:t>that</w:t>
            </w:r>
            <w:proofErr w:type="spellEnd"/>
            <w:r w:rsidRPr="00FC79E8">
              <w:rPr>
                <w:rFonts w:ascii="Arial" w:hAnsi="Arial" w:cs="Arial"/>
                <w:sz w:val="16"/>
                <w:szCs w:val="16"/>
              </w:rPr>
              <w:t xml:space="preserve"> the STS notification </w:t>
            </w:r>
            <w:proofErr w:type="spellStart"/>
            <w:r w:rsidRPr="00FC79E8">
              <w:rPr>
                <w:rFonts w:ascii="Arial" w:hAnsi="Arial" w:cs="Arial"/>
                <w:sz w:val="16"/>
                <w:szCs w:val="16"/>
              </w:rPr>
              <w:t>shall</w:t>
            </w:r>
            <w:proofErr w:type="spellEnd"/>
            <w:r w:rsidRPr="00FC79E8">
              <w:rPr>
                <w:rFonts w:ascii="Arial" w:hAnsi="Arial" w:cs="Arial"/>
                <w:sz w:val="16"/>
                <w:szCs w:val="16"/>
              </w:rPr>
              <w:t xml:space="preserve"> </w:t>
            </w:r>
            <w:proofErr w:type="spellStart"/>
            <w:r w:rsidRPr="00FC79E8">
              <w:rPr>
                <w:rFonts w:ascii="Arial" w:hAnsi="Arial" w:cs="Arial"/>
                <w:sz w:val="16"/>
                <w:szCs w:val="16"/>
              </w:rPr>
              <w:t>include</w:t>
            </w:r>
            <w:proofErr w:type="spellEnd"/>
            <w:r w:rsidRPr="00FC79E8">
              <w:rPr>
                <w:rFonts w:ascii="Arial" w:hAnsi="Arial" w:cs="Arial"/>
                <w:sz w:val="16"/>
                <w:szCs w:val="16"/>
              </w:rPr>
              <w:t xml:space="preserve"> a </w:t>
            </w:r>
            <w:proofErr w:type="spellStart"/>
            <w:r w:rsidRPr="00FC79E8">
              <w:rPr>
                <w:rFonts w:ascii="Arial" w:hAnsi="Arial" w:cs="Arial"/>
                <w:sz w:val="16"/>
                <w:szCs w:val="16"/>
              </w:rPr>
              <w:t>detailed</w:t>
            </w:r>
            <w:proofErr w:type="spellEnd"/>
            <w:r w:rsidRPr="00FC79E8">
              <w:rPr>
                <w:rFonts w:ascii="Arial" w:hAnsi="Arial" w:cs="Arial"/>
                <w:sz w:val="16"/>
                <w:szCs w:val="16"/>
              </w:rPr>
              <w:t xml:space="preserve"> </w:t>
            </w:r>
            <w:proofErr w:type="spellStart"/>
            <w:r w:rsidRPr="00FC79E8">
              <w:rPr>
                <w:rFonts w:ascii="Arial" w:hAnsi="Arial" w:cs="Arial"/>
                <w:sz w:val="16"/>
                <w:szCs w:val="16"/>
              </w:rPr>
              <w:t>explanation</w:t>
            </w:r>
            <w:proofErr w:type="spellEnd"/>
            <w:r w:rsidRPr="00FC79E8">
              <w:rPr>
                <w:rFonts w:ascii="Arial" w:hAnsi="Arial" w:cs="Arial"/>
                <w:sz w:val="16"/>
                <w:szCs w:val="16"/>
              </w:rPr>
              <w:t xml:space="preserve"> on </w:t>
            </w:r>
            <w:proofErr w:type="spellStart"/>
            <w:r w:rsidRPr="00FC79E8">
              <w:rPr>
                <w:rFonts w:ascii="Arial" w:hAnsi="Arial" w:cs="Arial"/>
                <w:sz w:val="16"/>
                <w:szCs w:val="16"/>
              </w:rPr>
              <w:t>explain</w:t>
            </w:r>
            <w:proofErr w:type="spellEnd"/>
            <w:r w:rsidRPr="00FC79E8">
              <w:rPr>
                <w:rFonts w:ascii="Arial" w:hAnsi="Arial" w:cs="Arial"/>
                <w:sz w:val="16"/>
                <w:szCs w:val="16"/>
              </w:rPr>
              <w:t xml:space="preserve"> the </w:t>
            </w:r>
            <w:proofErr w:type="spellStart"/>
            <w:r w:rsidRPr="00FC79E8">
              <w:rPr>
                <w:rFonts w:ascii="Arial" w:hAnsi="Arial" w:cs="Arial"/>
                <w:sz w:val="16"/>
                <w:szCs w:val="16"/>
              </w:rPr>
              <w:t>degree</w:t>
            </w:r>
            <w:proofErr w:type="spellEnd"/>
            <w:r w:rsidRPr="00FC79E8">
              <w:rPr>
                <w:rFonts w:ascii="Arial" w:hAnsi="Arial" w:cs="Arial"/>
                <w:sz w:val="16"/>
                <w:szCs w:val="16"/>
              </w:rPr>
              <w:t xml:space="preserve"> of </w:t>
            </w:r>
            <w:proofErr w:type="spellStart"/>
            <w:r w:rsidRPr="00FC79E8">
              <w:rPr>
                <w:rFonts w:ascii="Arial" w:hAnsi="Arial" w:cs="Arial"/>
                <w:sz w:val="16"/>
                <w:szCs w:val="16"/>
              </w:rPr>
              <w:t>dependence</w:t>
            </w:r>
            <w:proofErr w:type="spellEnd"/>
            <w:r w:rsidRPr="00FC79E8">
              <w:rPr>
                <w:rFonts w:ascii="Arial" w:hAnsi="Arial" w:cs="Arial"/>
                <w:sz w:val="16"/>
                <w:szCs w:val="16"/>
              </w:rPr>
              <w:t xml:space="preserve"> of the </w:t>
            </w:r>
            <w:proofErr w:type="spellStart"/>
            <w:r w:rsidRPr="00FC79E8">
              <w:rPr>
                <w:rFonts w:ascii="Arial" w:hAnsi="Arial" w:cs="Arial"/>
                <w:sz w:val="16"/>
                <w:szCs w:val="16"/>
              </w:rPr>
              <w:t>prepayments</w:t>
            </w:r>
            <w:proofErr w:type="spellEnd"/>
            <w:r w:rsidRPr="00FC79E8">
              <w:rPr>
                <w:rFonts w:ascii="Arial" w:hAnsi="Arial" w:cs="Arial"/>
                <w:sz w:val="16"/>
                <w:szCs w:val="16"/>
              </w:rPr>
              <w:t xml:space="preserve"> of the </w:t>
            </w:r>
            <w:proofErr w:type="spellStart"/>
            <w:r w:rsidRPr="00FC79E8">
              <w:rPr>
                <w:rFonts w:ascii="Arial" w:hAnsi="Arial" w:cs="Arial"/>
                <w:sz w:val="16"/>
                <w:szCs w:val="16"/>
              </w:rPr>
              <w:t>holders</w:t>
            </w:r>
            <w:proofErr w:type="spellEnd"/>
            <w:r w:rsidRPr="00FC79E8">
              <w:rPr>
                <w:rFonts w:ascii="Arial" w:hAnsi="Arial" w:cs="Arial"/>
                <w:sz w:val="16"/>
                <w:szCs w:val="16"/>
              </w:rPr>
              <w:t xml:space="preserve"> on the sale of </w:t>
            </w:r>
            <w:proofErr w:type="spellStart"/>
            <w:r w:rsidRPr="00FC79E8">
              <w:rPr>
                <w:rFonts w:ascii="Arial" w:hAnsi="Arial" w:cs="Arial"/>
                <w:sz w:val="16"/>
                <w:szCs w:val="16"/>
              </w:rPr>
              <w:t>assets</w:t>
            </w:r>
            <w:proofErr w:type="spellEnd"/>
            <w:r w:rsidRPr="00FC79E8">
              <w:rPr>
                <w:rFonts w:ascii="Arial" w:hAnsi="Arial" w:cs="Arial"/>
                <w:sz w:val="16"/>
                <w:szCs w:val="16"/>
              </w:rPr>
              <w:t xml:space="preserve"> </w:t>
            </w:r>
            <w:proofErr w:type="spellStart"/>
            <w:r w:rsidRPr="00FC79E8">
              <w:rPr>
                <w:rFonts w:ascii="Arial" w:hAnsi="Arial" w:cs="Arial"/>
                <w:sz w:val="16"/>
                <w:szCs w:val="16"/>
              </w:rPr>
              <w:t>securing</w:t>
            </w:r>
            <w:proofErr w:type="spellEnd"/>
            <w:r w:rsidRPr="00FC79E8">
              <w:rPr>
                <w:rFonts w:ascii="Arial" w:hAnsi="Arial" w:cs="Arial"/>
                <w:sz w:val="16"/>
                <w:szCs w:val="16"/>
              </w:rPr>
              <w:t xml:space="preserve"> the </w:t>
            </w:r>
            <w:proofErr w:type="spellStart"/>
            <w:r w:rsidRPr="00FC79E8">
              <w:rPr>
                <w:rFonts w:ascii="Arial" w:hAnsi="Arial" w:cs="Arial"/>
                <w:sz w:val="16"/>
                <w:szCs w:val="16"/>
              </w:rPr>
              <w:t>underlying</w:t>
            </w:r>
            <w:proofErr w:type="spellEnd"/>
            <w:r w:rsidRPr="00FC79E8">
              <w:rPr>
                <w:rFonts w:ascii="Arial" w:hAnsi="Arial" w:cs="Arial"/>
                <w:sz w:val="16"/>
                <w:szCs w:val="16"/>
              </w:rPr>
              <w:t xml:space="preserve"> </w:t>
            </w:r>
            <w:proofErr w:type="spellStart"/>
            <w:r w:rsidRPr="00FC79E8">
              <w:rPr>
                <w:rFonts w:ascii="Arial" w:hAnsi="Arial" w:cs="Arial"/>
                <w:sz w:val="16"/>
                <w:szCs w:val="16"/>
              </w:rPr>
              <w:t>exposures</w:t>
            </w:r>
            <w:proofErr w:type="spellEnd"/>
            <w:r w:rsidRPr="00FC79E8">
              <w:rPr>
                <w:rFonts w:ascii="Arial" w:hAnsi="Arial" w:cs="Arial"/>
                <w:sz w:val="16"/>
                <w:szCs w:val="16"/>
              </w:rPr>
              <w:t xml:space="preserve">. </w:t>
            </w:r>
            <w:proofErr w:type="spellStart"/>
            <w:r w:rsidRPr="00FC79E8">
              <w:rPr>
                <w:rFonts w:ascii="Arial" w:hAnsi="Arial" w:cs="Arial"/>
                <w:sz w:val="16"/>
                <w:szCs w:val="16"/>
              </w:rPr>
              <w:t>Where</w:t>
            </w:r>
            <w:proofErr w:type="spellEnd"/>
            <w:r w:rsidRPr="00FC79E8">
              <w:rPr>
                <w:rFonts w:ascii="Arial" w:hAnsi="Arial" w:cs="Arial"/>
                <w:sz w:val="16"/>
                <w:szCs w:val="16"/>
              </w:rPr>
              <w:t xml:space="preserve"> applicable </w:t>
            </w:r>
            <w:proofErr w:type="spellStart"/>
            <w:r w:rsidRPr="00FC79E8">
              <w:rPr>
                <w:rFonts w:ascii="Arial" w:hAnsi="Arial" w:cs="Arial"/>
                <w:sz w:val="16"/>
                <w:szCs w:val="16"/>
              </w:rPr>
              <w:t>such</w:t>
            </w:r>
            <w:proofErr w:type="spellEnd"/>
            <w:r w:rsidRPr="00FC79E8">
              <w:rPr>
                <w:rFonts w:ascii="Arial" w:hAnsi="Arial" w:cs="Arial"/>
                <w:sz w:val="16"/>
                <w:szCs w:val="16"/>
              </w:rPr>
              <w:t xml:space="preserve"> </w:t>
            </w:r>
            <w:proofErr w:type="spellStart"/>
            <w:r w:rsidRPr="00FC79E8">
              <w:rPr>
                <w:rFonts w:ascii="Arial" w:hAnsi="Arial" w:cs="Arial"/>
                <w:sz w:val="16"/>
                <w:szCs w:val="16"/>
              </w:rPr>
              <w:t>explanation</w:t>
            </w:r>
            <w:proofErr w:type="spellEnd"/>
            <w:r w:rsidRPr="00FC79E8">
              <w:rPr>
                <w:rFonts w:ascii="Arial" w:hAnsi="Arial" w:cs="Arial"/>
                <w:sz w:val="16"/>
                <w:szCs w:val="16"/>
              </w:rPr>
              <w:t xml:space="preserve"> </w:t>
            </w:r>
            <w:proofErr w:type="spellStart"/>
            <w:r w:rsidRPr="00FC79E8">
              <w:rPr>
                <w:rFonts w:ascii="Arial" w:hAnsi="Arial" w:cs="Arial"/>
                <w:sz w:val="16"/>
                <w:szCs w:val="16"/>
              </w:rPr>
              <w:t>may</w:t>
            </w:r>
            <w:proofErr w:type="spellEnd"/>
            <w:r w:rsidRPr="00FC79E8">
              <w:rPr>
                <w:rFonts w:ascii="Arial" w:hAnsi="Arial" w:cs="Arial"/>
                <w:sz w:val="16"/>
                <w:szCs w:val="16"/>
              </w:rPr>
              <w:t xml:space="preserve"> </w:t>
            </w:r>
            <w:proofErr w:type="spellStart"/>
            <w:r w:rsidRPr="00FC79E8">
              <w:rPr>
                <w:rFonts w:ascii="Arial" w:hAnsi="Arial" w:cs="Arial"/>
                <w:sz w:val="16"/>
                <w:szCs w:val="16"/>
              </w:rPr>
              <w:t>refer</w:t>
            </w:r>
            <w:proofErr w:type="spellEnd"/>
            <w:r w:rsidRPr="00FC79E8">
              <w:rPr>
                <w:rFonts w:ascii="Arial" w:hAnsi="Arial" w:cs="Arial"/>
                <w:sz w:val="16"/>
                <w:szCs w:val="16"/>
              </w:rPr>
              <w:t xml:space="preserve"> to the use of “</w:t>
            </w:r>
            <w:proofErr w:type="spellStart"/>
            <w:r w:rsidRPr="00FC79E8">
              <w:rPr>
                <w:rFonts w:ascii="Arial" w:hAnsi="Arial" w:cs="Arial"/>
                <w:sz w:val="16"/>
                <w:szCs w:val="16"/>
              </w:rPr>
              <w:t>residual</w:t>
            </w:r>
            <w:proofErr w:type="spellEnd"/>
            <w:r w:rsidRPr="00FC79E8">
              <w:rPr>
                <w:rFonts w:ascii="Arial" w:hAnsi="Arial" w:cs="Arial"/>
                <w:sz w:val="16"/>
                <w:szCs w:val="16"/>
              </w:rPr>
              <w:t xml:space="preserve"> values </w:t>
            </w:r>
            <w:proofErr w:type="spellStart"/>
            <w:r w:rsidRPr="00FC79E8">
              <w:rPr>
                <w:rFonts w:ascii="Arial" w:hAnsi="Arial" w:cs="Arial"/>
                <w:sz w:val="16"/>
                <w:szCs w:val="16"/>
              </w:rPr>
              <w:t>limits</w:t>
            </w:r>
            <w:proofErr w:type="spellEnd"/>
            <w:r w:rsidRPr="00FC79E8">
              <w:rPr>
                <w:rFonts w:ascii="Arial" w:hAnsi="Arial" w:cs="Arial"/>
                <w:sz w:val="16"/>
                <w:szCs w:val="16"/>
              </w:rPr>
              <w:t xml:space="preserve">” in the </w:t>
            </w:r>
            <w:proofErr w:type="spellStart"/>
            <w:r w:rsidRPr="00FC79E8">
              <w:rPr>
                <w:rFonts w:ascii="Arial" w:hAnsi="Arial" w:cs="Arial"/>
                <w:sz w:val="16"/>
                <w:szCs w:val="16"/>
              </w:rPr>
              <w:t>securitisation</w:t>
            </w:r>
            <w:proofErr w:type="spellEnd"/>
            <w:r w:rsidRPr="00FC79E8">
              <w:rPr>
                <w:rFonts w:ascii="Arial" w:hAnsi="Arial" w:cs="Arial"/>
                <w:sz w:val="16"/>
                <w:szCs w:val="16"/>
              </w:rPr>
              <w:t xml:space="preserve">, </w:t>
            </w:r>
            <w:proofErr w:type="spellStart"/>
            <w:r w:rsidRPr="00FC79E8">
              <w:rPr>
                <w:rFonts w:ascii="Arial" w:hAnsi="Arial" w:cs="Arial"/>
                <w:sz w:val="16"/>
                <w:szCs w:val="16"/>
              </w:rPr>
              <w:t>which</w:t>
            </w:r>
            <w:proofErr w:type="spellEnd"/>
            <w:r w:rsidRPr="00FC79E8">
              <w:rPr>
                <w:rFonts w:ascii="Arial" w:hAnsi="Arial" w:cs="Arial"/>
                <w:sz w:val="16"/>
                <w:szCs w:val="16"/>
              </w:rPr>
              <w:t xml:space="preserve"> </w:t>
            </w:r>
            <w:proofErr w:type="spellStart"/>
            <w:r w:rsidRPr="00FC79E8">
              <w:rPr>
                <w:rFonts w:ascii="Arial" w:hAnsi="Arial" w:cs="Arial"/>
                <w:sz w:val="16"/>
                <w:szCs w:val="16"/>
              </w:rPr>
              <w:t>may</w:t>
            </w:r>
            <w:proofErr w:type="spellEnd"/>
            <w:r w:rsidRPr="00FC79E8">
              <w:rPr>
                <w:rFonts w:ascii="Arial" w:hAnsi="Arial" w:cs="Arial"/>
                <w:sz w:val="16"/>
                <w:szCs w:val="16"/>
              </w:rPr>
              <w:t xml:space="preserve"> </w:t>
            </w:r>
            <w:proofErr w:type="spellStart"/>
            <w:r w:rsidRPr="00FC79E8">
              <w:rPr>
                <w:rFonts w:ascii="Arial" w:hAnsi="Arial" w:cs="Arial"/>
                <w:sz w:val="16"/>
                <w:szCs w:val="16"/>
              </w:rPr>
              <w:t>vary</w:t>
            </w:r>
            <w:proofErr w:type="spellEnd"/>
            <w:r w:rsidRPr="00FC79E8">
              <w:rPr>
                <w:rFonts w:ascii="Arial" w:hAnsi="Arial" w:cs="Arial"/>
                <w:sz w:val="16"/>
                <w:szCs w:val="16"/>
              </w:rPr>
              <w:t xml:space="preserve"> </w:t>
            </w:r>
            <w:proofErr w:type="spellStart"/>
            <w:r w:rsidRPr="00FC79E8">
              <w:rPr>
                <w:rFonts w:ascii="Arial" w:hAnsi="Arial" w:cs="Arial"/>
                <w:sz w:val="16"/>
                <w:szCs w:val="16"/>
              </w:rPr>
              <w:t>depending</w:t>
            </w:r>
            <w:proofErr w:type="spellEnd"/>
            <w:r w:rsidRPr="00FC79E8">
              <w:rPr>
                <w:rFonts w:ascii="Arial" w:hAnsi="Arial" w:cs="Arial"/>
                <w:sz w:val="16"/>
                <w:szCs w:val="16"/>
              </w:rPr>
              <w:t xml:space="preserve"> on the nature of the </w:t>
            </w:r>
            <w:proofErr w:type="spellStart"/>
            <w:r w:rsidRPr="00FC79E8">
              <w:rPr>
                <w:rFonts w:ascii="Arial" w:hAnsi="Arial" w:cs="Arial"/>
                <w:sz w:val="16"/>
                <w:szCs w:val="16"/>
              </w:rPr>
              <w:t>underlying</w:t>
            </w:r>
            <w:proofErr w:type="spellEnd"/>
            <w:r w:rsidRPr="00FC79E8">
              <w:rPr>
                <w:rFonts w:ascii="Arial" w:hAnsi="Arial" w:cs="Arial"/>
                <w:sz w:val="16"/>
                <w:szCs w:val="16"/>
              </w:rPr>
              <w:t xml:space="preserve"> </w:t>
            </w:r>
            <w:proofErr w:type="spellStart"/>
            <w:r w:rsidRPr="00FC79E8">
              <w:rPr>
                <w:rFonts w:ascii="Arial" w:hAnsi="Arial" w:cs="Arial"/>
                <w:sz w:val="16"/>
                <w:szCs w:val="16"/>
              </w:rPr>
              <w:t>exposures</w:t>
            </w:r>
            <w:proofErr w:type="spellEnd"/>
            <w:r w:rsidRPr="00FC79E8">
              <w:rPr>
                <w:rFonts w:ascii="Arial" w:hAnsi="Arial" w:cs="Arial"/>
                <w:sz w:val="16"/>
                <w:szCs w:val="16"/>
              </w:rPr>
              <w:t xml:space="preserve"> (</w:t>
            </w:r>
            <w:proofErr w:type="spellStart"/>
            <w:r w:rsidRPr="00FC79E8">
              <w:rPr>
                <w:rFonts w:ascii="Arial" w:hAnsi="Arial" w:cs="Arial"/>
                <w:sz w:val="16"/>
                <w:szCs w:val="16"/>
              </w:rPr>
              <w:t>expected</w:t>
            </w:r>
            <w:proofErr w:type="spellEnd"/>
            <w:r w:rsidRPr="00FC79E8">
              <w:rPr>
                <w:rFonts w:ascii="Arial" w:hAnsi="Arial" w:cs="Arial"/>
                <w:sz w:val="16"/>
                <w:szCs w:val="16"/>
              </w:rPr>
              <w:t xml:space="preserve"> cross-</w:t>
            </w:r>
            <w:proofErr w:type="spellStart"/>
            <w:r w:rsidRPr="00FC79E8">
              <w:rPr>
                <w:rFonts w:ascii="Arial" w:hAnsi="Arial" w:cs="Arial"/>
                <w:sz w:val="16"/>
                <w:szCs w:val="16"/>
              </w:rPr>
              <w:t>references</w:t>
            </w:r>
            <w:proofErr w:type="spellEnd"/>
            <w:r w:rsidRPr="00FC79E8">
              <w:rPr>
                <w:rFonts w:ascii="Arial" w:hAnsi="Arial" w:cs="Arial"/>
                <w:sz w:val="16"/>
                <w:szCs w:val="16"/>
              </w:rPr>
              <w:t xml:space="preserve"> </w:t>
            </w:r>
            <w:proofErr w:type="spellStart"/>
            <w:r w:rsidRPr="00FC79E8">
              <w:rPr>
                <w:rFonts w:ascii="Arial" w:hAnsi="Arial" w:cs="Arial"/>
                <w:sz w:val="16"/>
                <w:szCs w:val="16"/>
              </w:rPr>
              <w:t>with</w:t>
            </w:r>
            <w:proofErr w:type="spellEnd"/>
            <w:r w:rsidRPr="00FC79E8">
              <w:rPr>
                <w:rFonts w:ascii="Arial" w:hAnsi="Arial" w:cs="Arial"/>
                <w:sz w:val="16"/>
                <w:szCs w:val="16"/>
              </w:rPr>
              <w:t xml:space="preserve"> the </w:t>
            </w:r>
            <w:proofErr w:type="gramStart"/>
            <w:r w:rsidRPr="00FC79E8">
              <w:rPr>
                <w:rFonts w:ascii="Arial" w:hAnsi="Arial" w:cs="Arial"/>
                <w:sz w:val="16"/>
                <w:szCs w:val="16"/>
              </w:rPr>
              <w:t>Prospectus:</w:t>
            </w:r>
            <w:proofErr w:type="gramEnd"/>
            <w:r w:rsidRPr="00FC79E8">
              <w:rPr>
                <w:rFonts w:ascii="Arial" w:hAnsi="Arial" w:cs="Arial"/>
                <w:sz w:val="16"/>
                <w:szCs w:val="16"/>
              </w:rPr>
              <w:t xml:space="preserve"> Item 3.4.1 of </w:t>
            </w:r>
            <w:proofErr w:type="spellStart"/>
            <w:r w:rsidRPr="00FC79E8">
              <w:rPr>
                <w:rFonts w:ascii="Arial" w:hAnsi="Arial" w:cs="Arial"/>
                <w:sz w:val="16"/>
                <w:szCs w:val="16"/>
              </w:rPr>
              <w:t>Annex</w:t>
            </w:r>
            <w:proofErr w:type="spellEnd"/>
            <w:r w:rsidRPr="00FC79E8">
              <w:rPr>
                <w:rFonts w:ascii="Arial" w:hAnsi="Arial" w:cs="Arial"/>
                <w:sz w:val="16"/>
                <w:szCs w:val="16"/>
              </w:rPr>
              <w:t xml:space="preserve"> 11</w:t>
            </w:r>
            <w:r>
              <w:rPr>
                <w:rFonts w:ascii="Arial" w:hAnsi="Arial" w:cs="Arial"/>
                <w:sz w:val="16"/>
                <w:szCs w:val="16"/>
              </w:rPr>
              <w:t>.</w:t>
            </w:r>
          </w:p>
        </w:tc>
        <w:tc>
          <w:tcPr>
            <w:tcW w:w="1364" w:type="dxa"/>
          </w:tcPr>
          <w:p w:rsidR="00FC79E8" w:rsidRPr="00FC79E8" w:rsidRDefault="00FC79E8" w:rsidP="00CE6E87">
            <w:pPr>
              <w:rPr>
                <w:rFonts w:cs="Arial"/>
                <w:sz w:val="16"/>
                <w:szCs w:val="16"/>
              </w:rPr>
            </w:pPr>
            <w:r>
              <w:rPr>
                <w:rFonts w:cs="Arial"/>
                <w:sz w:val="16"/>
                <w:szCs w:val="16"/>
              </w:rPr>
              <w:t>concise with cross reference to docs should suffice</w:t>
            </w:r>
          </w:p>
        </w:tc>
      </w:tr>
      <w:tr w:rsidR="00FC79E8" w:rsidRPr="00FC79E8" w:rsidTr="00FC79E8">
        <w:tc>
          <w:tcPr>
            <w:tcW w:w="1668"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Revolving </w:t>
            </w:r>
            <w:proofErr w:type="spellStart"/>
            <w:r w:rsidRPr="00FC79E8">
              <w:rPr>
                <w:rFonts w:ascii="Arial" w:hAnsi="Arial" w:cs="Arial"/>
                <w:sz w:val="16"/>
                <w:szCs w:val="16"/>
              </w:rPr>
              <w:t>securitisation</w:t>
            </w:r>
            <w:proofErr w:type="spellEnd"/>
            <w:r w:rsidRPr="00FC79E8">
              <w:rPr>
                <w:rFonts w:ascii="Arial" w:hAnsi="Arial" w:cs="Arial"/>
                <w:sz w:val="16"/>
                <w:szCs w:val="16"/>
              </w:rPr>
              <w:t xml:space="preserve"> </w:t>
            </w:r>
            <w:proofErr w:type="spellStart"/>
            <w:r w:rsidRPr="00FC79E8">
              <w:rPr>
                <w:rFonts w:ascii="Arial" w:hAnsi="Arial" w:cs="Arial"/>
                <w:sz w:val="16"/>
                <w:szCs w:val="16"/>
              </w:rPr>
              <w:t>with</w:t>
            </w:r>
            <w:proofErr w:type="spellEnd"/>
            <w:r w:rsidRPr="00FC79E8">
              <w:rPr>
                <w:rFonts w:ascii="Arial" w:hAnsi="Arial" w:cs="Arial"/>
                <w:sz w:val="16"/>
                <w:szCs w:val="16"/>
              </w:rPr>
              <w:t xml:space="preserve"> </w:t>
            </w:r>
            <w:proofErr w:type="spellStart"/>
            <w:r w:rsidRPr="00FC79E8">
              <w:rPr>
                <w:rFonts w:ascii="Arial" w:hAnsi="Arial" w:cs="Arial"/>
                <w:sz w:val="16"/>
                <w:szCs w:val="16"/>
              </w:rPr>
              <w:t>early</w:t>
            </w:r>
            <w:proofErr w:type="spellEnd"/>
            <w:r w:rsidRPr="00FC79E8">
              <w:rPr>
                <w:rFonts w:ascii="Arial" w:hAnsi="Arial" w:cs="Arial"/>
                <w:sz w:val="16"/>
                <w:szCs w:val="16"/>
              </w:rPr>
              <w:t xml:space="preserve"> </w:t>
            </w:r>
            <w:proofErr w:type="spellStart"/>
            <w:r w:rsidRPr="00FC79E8">
              <w:rPr>
                <w:rFonts w:ascii="Arial" w:hAnsi="Arial" w:cs="Arial"/>
                <w:sz w:val="16"/>
                <w:szCs w:val="16"/>
              </w:rPr>
              <w:t>amortisation</w:t>
            </w:r>
            <w:proofErr w:type="spellEnd"/>
            <w:r w:rsidRPr="00FC79E8">
              <w:rPr>
                <w:rFonts w:ascii="Arial" w:hAnsi="Arial" w:cs="Arial"/>
                <w:sz w:val="16"/>
                <w:szCs w:val="16"/>
              </w:rPr>
              <w:t xml:space="preserve"> </w:t>
            </w:r>
            <w:proofErr w:type="spellStart"/>
            <w:r w:rsidRPr="00FC79E8">
              <w:rPr>
                <w:rFonts w:ascii="Arial" w:hAnsi="Arial" w:cs="Arial"/>
                <w:sz w:val="16"/>
                <w:szCs w:val="16"/>
              </w:rPr>
              <w:t>events</w:t>
            </w:r>
            <w:proofErr w:type="spellEnd"/>
            <w:r w:rsidRPr="00FC79E8">
              <w:rPr>
                <w:rFonts w:ascii="Arial" w:hAnsi="Arial" w:cs="Arial"/>
                <w:sz w:val="16"/>
                <w:szCs w:val="16"/>
              </w:rPr>
              <w:t xml:space="preserve"> for </w:t>
            </w:r>
            <w:proofErr w:type="spellStart"/>
            <w:r w:rsidRPr="00FC79E8">
              <w:rPr>
                <w:rFonts w:ascii="Arial" w:hAnsi="Arial" w:cs="Arial"/>
                <w:sz w:val="16"/>
                <w:szCs w:val="16"/>
              </w:rPr>
              <w:t>termination</w:t>
            </w:r>
            <w:proofErr w:type="spellEnd"/>
            <w:r w:rsidRPr="00FC79E8">
              <w:rPr>
                <w:rFonts w:ascii="Arial" w:hAnsi="Arial" w:cs="Arial"/>
                <w:sz w:val="16"/>
                <w:szCs w:val="16"/>
              </w:rPr>
              <w:t xml:space="preserve"> of revolving </w:t>
            </w:r>
            <w:proofErr w:type="spellStart"/>
            <w:r w:rsidRPr="00FC79E8">
              <w:rPr>
                <w:rFonts w:ascii="Arial" w:hAnsi="Arial" w:cs="Arial"/>
                <w:sz w:val="16"/>
                <w:szCs w:val="16"/>
              </w:rPr>
              <w:t>period</w:t>
            </w:r>
            <w:proofErr w:type="spellEnd"/>
            <w:r w:rsidRPr="00FC79E8">
              <w:rPr>
                <w:rFonts w:ascii="Arial" w:hAnsi="Arial" w:cs="Arial"/>
                <w:sz w:val="16"/>
                <w:szCs w:val="16"/>
              </w:rPr>
              <w:t xml:space="preserve"> </w:t>
            </w:r>
          </w:p>
          <w:p w:rsidR="00FC79E8" w:rsidRPr="00FC79E8" w:rsidRDefault="00FC79E8" w:rsidP="00FC79E8">
            <w:pPr>
              <w:pStyle w:val="Default"/>
              <w:rPr>
                <w:rFonts w:ascii="Arial" w:hAnsi="Arial" w:cs="Arial"/>
                <w:sz w:val="16"/>
                <w:szCs w:val="16"/>
              </w:rPr>
            </w:pPr>
            <w:proofErr w:type="spellStart"/>
            <w:r w:rsidRPr="00FC79E8">
              <w:rPr>
                <w:rFonts w:ascii="Arial" w:hAnsi="Arial" w:cs="Arial"/>
                <w:sz w:val="16"/>
                <w:szCs w:val="16"/>
              </w:rPr>
              <w:t>based</w:t>
            </w:r>
            <w:proofErr w:type="spellEnd"/>
            <w:r w:rsidRPr="00FC79E8">
              <w:rPr>
                <w:rFonts w:ascii="Arial" w:hAnsi="Arial" w:cs="Arial"/>
                <w:sz w:val="16"/>
                <w:szCs w:val="16"/>
              </w:rPr>
              <w:t xml:space="preserve"> on </w:t>
            </w:r>
            <w:proofErr w:type="spellStart"/>
            <w:r w:rsidRPr="00FC79E8">
              <w:rPr>
                <w:rFonts w:ascii="Arial" w:hAnsi="Arial" w:cs="Arial"/>
                <w:sz w:val="16"/>
                <w:szCs w:val="16"/>
              </w:rPr>
              <w:t>prescribed</w:t>
            </w:r>
            <w:proofErr w:type="spellEnd"/>
            <w:r w:rsidRPr="00FC79E8">
              <w:rPr>
                <w:rFonts w:ascii="Arial" w:hAnsi="Arial" w:cs="Arial"/>
                <w:sz w:val="16"/>
                <w:szCs w:val="16"/>
              </w:rPr>
              <w:t xml:space="preserve"> triggers </w:t>
            </w:r>
          </w:p>
          <w:p w:rsidR="00FC79E8" w:rsidRPr="00FC79E8" w:rsidRDefault="00FC79E8" w:rsidP="00FC79E8">
            <w:pPr>
              <w:pStyle w:val="Default"/>
              <w:rPr>
                <w:rFonts w:ascii="Arial" w:hAnsi="Arial" w:cs="Arial"/>
                <w:sz w:val="16"/>
                <w:szCs w:val="16"/>
              </w:rPr>
            </w:pPr>
          </w:p>
          <w:p w:rsidR="00FC79E8" w:rsidRPr="00FC79E8" w:rsidRDefault="00FC79E8" w:rsidP="00EA71F8">
            <w:pPr>
              <w:pStyle w:val="Default"/>
              <w:rPr>
                <w:rFonts w:ascii="Arial" w:hAnsi="Arial" w:cs="Arial"/>
                <w:sz w:val="16"/>
                <w:szCs w:val="16"/>
              </w:rPr>
            </w:pPr>
          </w:p>
        </w:tc>
        <w:tc>
          <w:tcPr>
            <w:tcW w:w="708"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Article 21(6) </w:t>
            </w:r>
          </w:p>
          <w:p w:rsidR="00FC79E8" w:rsidRPr="00FC79E8" w:rsidRDefault="00FC79E8" w:rsidP="00EA71F8">
            <w:pPr>
              <w:pStyle w:val="Default"/>
              <w:rPr>
                <w:rFonts w:ascii="Arial" w:hAnsi="Arial" w:cs="Arial"/>
                <w:sz w:val="16"/>
                <w:szCs w:val="16"/>
              </w:rPr>
            </w:pPr>
          </w:p>
        </w:tc>
        <w:tc>
          <w:tcPr>
            <w:tcW w:w="709"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Article 24(19) </w:t>
            </w:r>
          </w:p>
          <w:p w:rsidR="00FC79E8" w:rsidRPr="00FC79E8" w:rsidRDefault="00FC79E8" w:rsidP="00EA71F8">
            <w:pPr>
              <w:pStyle w:val="Default"/>
              <w:rPr>
                <w:rFonts w:ascii="Arial" w:hAnsi="Arial" w:cs="Arial"/>
                <w:sz w:val="16"/>
                <w:szCs w:val="16"/>
              </w:rPr>
            </w:pPr>
          </w:p>
        </w:tc>
        <w:tc>
          <w:tcPr>
            <w:tcW w:w="709"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Article 26(1) </w:t>
            </w:r>
          </w:p>
          <w:p w:rsidR="00FC79E8" w:rsidRPr="00FC79E8" w:rsidRDefault="00FC79E8" w:rsidP="00CE6E87">
            <w:pPr>
              <w:pStyle w:val="Default"/>
              <w:rPr>
                <w:rFonts w:ascii="Arial" w:hAnsi="Arial" w:cs="Arial"/>
                <w:sz w:val="16"/>
                <w:szCs w:val="16"/>
              </w:rPr>
            </w:pPr>
          </w:p>
        </w:tc>
        <w:tc>
          <w:tcPr>
            <w:tcW w:w="709"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N/A </w:t>
            </w:r>
          </w:p>
          <w:p w:rsidR="00FC79E8" w:rsidRPr="00FC79E8" w:rsidRDefault="00FC79E8" w:rsidP="00CE6E87">
            <w:pPr>
              <w:pStyle w:val="Default"/>
              <w:rPr>
                <w:rFonts w:ascii="Arial" w:hAnsi="Arial" w:cs="Arial"/>
                <w:sz w:val="16"/>
                <w:szCs w:val="16"/>
              </w:rPr>
            </w:pPr>
          </w:p>
        </w:tc>
        <w:tc>
          <w:tcPr>
            <w:tcW w:w="3685" w:type="dxa"/>
          </w:tcPr>
          <w:p w:rsidR="00FC79E8" w:rsidRPr="00FC79E8" w:rsidRDefault="00FC79E8" w:rsidP="00FC79E8">
            <w:pPr>
              <w:pStyle w:val="Default"/>
              <w:rPr>
                <w:rFonts w:ascii="Arial" w:hAnsi="Arial" w:cs="Arial"/>
                <w:sz w:val="16"/>
                <w:szCs w:val="16"/>
              </w:rPr>
            </w:pPr>
            <w:r w:rsidRPr="00FC79E8">
              <w:rPr>
                <w:rFonts w:ascii="Arial" w:hAnsi="Arial" w:cs="Arial"/>
                <w:sz w:val="16"/>
                <w:szCs w:val="16"/>
              </w:rPr>
              <w:t xml:space="preserve">ESMA </w:t>
            </w:r>
            <w:proofErr w:type="spellStart"/>
            <w:r w:rsidRPr="00FC79E8">
              <w:rPr>
                <w:rFonts w:ascii="Arial" w:hAnsi="Arial" w:cs="Arial"/>
                <w:sz w:val="16"/>
                <w:szCs w:val="16"/>
              </w:rPr>
              <w:t>is</w:t>
            </w:r>
            <w:proofErr w:type="spellEnd"/>
            <w:r w:rsidRPr="00FC79E8">
              <w:rPr>
                <w:rFonts w:ascii="Arial" w:hAnsi="Arial" w:cs="Arial"/>
                <w:sz w:val="16"/>
                <w:szCs w:val="16"/>
              </w:rPr>
              <w:t xml:space="preserve"> of the </w:t>
            </w:r>
            <w:proofErr w:type="spellStart"/>
            <w:r w:rsidRPr="00FC79E8">
              <w:rPr>
                <w:rFonts w:ascii="Arial" w:hAnsi="Arial" w:cs="Arial"/>
                <w:sz w:val="16"/>
                <w:szCs w:val="16"/>
              </w:rPr>
              <w:t>view</w:t>
            </w:r>
            <w:proofErr w:type="spellEnd"/>
            <w:r w:rsidRPr="00FC79E8">
              <w:rPr>
                <w:rFonts w:ascii="Arial" w:hAnsi="Arial" w:cs="Arial"/>
                <w:sz w:val="16"/>
                <w:szCs w:val="16"/>
              </w:rPr>
              <w:t xml:space="preserve"> </w:t>
            </w:r>
            <w:proofErr w:type="spellStart"/>
            <w:r w:rsidRPr="00FC79E8">
              <w:rPr>
                <w:rFonts w:ascii="Arial" w:hAnsi="Arial" w:cs="Arial"/>
                <w:sz w:val="16"/>
                <w:szCs w:val="16"/>
              </w:rPr>
              <w:t>that</w:t>
            </w:r>
            <w:proofErr w:type="spellEnd"/>
            <w:r w:rsidRPr="00FC79E8">
              <w:rPr>
                <w:rFonts w:ascii="Arial" w:hAnsi="Arial" w:cs="Arial"/>
                <w:sz w:val="16"/>
                <w:szCs w:val="16"/>
              </w:rPr>
              <w:t xml:space="preserve">, </w:t>
            </w:r>
            <w:proofErr w:type="spellStart"/>
            <w:r w:rsidRPr="00FC79E8">
              <w:rPr>
                <w:rFonts w:ascii="Arial" w:hAnsi="Arial" w:cs="Arial"/>
                <w:sz w:val="16"/>
                <w:szCs w:val="16"/>
              </w:rPr>
              <w:t>where</w:t>
            </w:r>
            <w:proofErr w:type="spellEnd"/>
            <w:r w:rsidRPr="00FC79E8">
              <w:rPr>
                <w:rFonts w:ascii="Arial" w:hAnsi="Arial" w:cs="Arial"/>
                <w:sz w:val="16"/>
                <w:szCs w:val="16"/>
              </w:rPr>
              <w:t xml:space="preserve"> applicable, the STS notification </w:t>
            </w:r>
            <w:proofErr w:type="spellStart"/>
            <w:r w:rsidRPr="00FC79E8">
              <w:rPr>
                <w:rFonts w:ascii="Arial" w:hAnsi="Arial" w:cs="Arial"/>
                <w:sz w:val="16"/>
                <w:szCs w:val="16"/>
              </w:rPr>
              <w:t>shall</w:t>
            </w:r>
            <w:proofErr w:type="spellEnd"/>
            <w:r w:rsidRPr="00FC79E8">
              <w:rPr>
                <w:rFonts w:ascii="Arial" w:hAnsi="Arial" w:cs="Arial"/>
                <w:sz w:val="16"/>
                <w:szCs w:val="16"/>
              </w:rPr>
              <w:t xml:space="preserve"> </w:t>
            </w:r>
            <w:proofErr w:type="spellStart"/>
            <w:r w:rsidRPr="00FC79E8">
              <w:rPr>
                <w:rFonts w:ascii="Arial" w:hAnsi="Arial" w:cs="Arial"/>
                <w:sz w:val="16"/>
                <w:szCs w:val="16"/>
              </w:rPr>
              <w:t>include</w:t>
            </w:r>
            <w:proofErr w:type="spellEnd"/>
            <w:r w:rsidRPr="00FC79E8">
              <w:rPr>
                <w:rFonts w:ascii="Arial" w:hAnsi="Arial" w:cs="Arial"/>
                <w:sz w:val="16"/>
                <w:szCs w:val="16"/>
              </w:rPr>
              <w:t xml:space="preserve"> a </w:t>
            </w:r>
            <w:proofErr w:type="spellStart"/>
            <w:r w:rsidRPr="00FC79E8">
              <w:rPr>
                <w:rFonts w:ascii="Arial" w:hAnsi="Arial" w:cs="Arial"/>
                <w:sz w:val="16"/>
                <w:szCs w:val="16"/>
              </w:rPr>
              <w:t>detailed</w:t>
            </w:r>
            <w:proofErr w:type="spellEnd"/>
            <w:r w:rsidRPr="00FC79E8">
              <w:rPr>
                <w:rFonts w:ascii="Arial" w:hAnsi="Arial" w:cs="Arial"/>
                <w:sz w:val="16"/>
                <w:szCs w:val="16"/>
              </w:rPr>
              <w:t xml:space="preserve"> </w:t>
            </w:r>
            <w:proofErr w:type="spellStart"/>
            <w:r w:rsidRPr="00FC79E8">
              <w:rPr>
                <w:rFonts w:ascii="Arial" w:hAnsi="Arial" w:cs="Arial"/>
                <w:sz w:val="16"/>
                <w:szCs w:val="16"/>
              </w:rPr>
              <w:t>explanation</w:t>
            </w:r>
            <w:proofErr w:type="spellEnd"/>
            <w:r w:rsidRPr="00FC79E8">
              <w:rPr>
                <w:rFonts w:ascii="Arial" w:hAnsi="Arial" w:cs="Arial"/>
                <w:sz w:val="16"/>
                <w:szCs w:val="16"/>
              </w:rPr>
              <w:t xml:space="preserve"> on how </w:t>
            </w:r>
            <w:proofErr w:type="spellStart"/>
            <w:r w:rsidRPr="00FC79E8">
              <w:rPr>
                <w:rFonts w:ascii="Arial" w:hAnsi="Arial" w:cs="Arial"/>
                <w:sz w:val="16"/>
                <w:szCs w:val="16"/>
              </w:rPr>
              <w:t>each</w:t>
            </w:r>
            <w:proofErr w:type="spellEnd"/>
            <w:r w:rsidRPr="00FC79E8">
              <w:rPr>
                <w:rFonts w:ascii="Arial" w:hAnsi="Arial" w:cs="Arial"/>
                <w:sz w:val="16"/>
                <w:szCs w:val="16"/>
              </w:rPr>
              <w:t xml:space="preserve"> of the </w:t>
            </w:r>
            <w:proofErr w:type="spellStart"/>
            <w:r w:rsidRPr="00FC79E8">
              <w:rPr>
                <w:rFonts w:ascii="Arial" w:hAnsi="Arial" w:cs="Arial"/>
                <w:sz w:val="16"/>
                <w:szCs w:val="16"/>
              </w:rPr>
              <w:t>early</w:t>
            </w:r>
            <w:proofErr w:type="spellEnd"/>
            <w:r w:rsidRPr="00FC79E8">
              <w:rPr>
                <w:rFonts w:ascii="Arial" w:hAnsi="Arial" w:cs="Arial"/>
                <w:sz w:val="16"/>
                <w:szCs w:val="16"/>
              </w:rPr>
              <w:t xml:space="preserve"> </w:t>
            </w:r>
            <w:proofErr w:type="spellStart"/>
            <w:r w:rsidRPr="00FC79E8">
              <w:rPr>
                <w:rFonts w:ascii="Arial" w:hAnsi="Arial" w:cs="Arial"/>
                <w:sz w:val="16"/>
                <w:szCs w:val="16"/>
              </w:rPr>
              <w:t>amortisation</w:t>
            </w:r>
            <w:proofErr w:type="spellEnd"/>
            <w:r w:rsidRPr="00FC79E8">
              <w:rPr>
                <w:rFonts w:ascii="Arial" w:hAnsi="Arial" w:cs="Arial"/>
                <w:sz w:val="16"/>
                <w:szCs w:val="16"/>
              </w:rPr>
              <w:t xml:space="preserve"> provisions or </w:t>
            </w:r>
            <w:proofErr w:type="spellStart"/>
            <w:r w:rsidRPr="00FC79E8">
              <w:rPr>
                <w:rFonts w:ascii="Arial" w:hAnsi="Arial" w:cs="Arial"/>
                <w:sz w:val="16"/>
                <w:szCs w:val="16"/>
              </w:rPr>
              <w:t>listed</w:t>
            </w:r>
            <w:proofErr w:type="spellEnd"/>
            <w:r w:rsidRPr="00FC79E8">
              <w:rPr>
                <w:rFonts w:ascii="Arial" w:hAnsi="Arial" w:cs="Arial"/>
                <w:sz w:val="16"/>
                <w:szCs w:val="16"/>
              </w:rPr>
              <w:t xml:space="preserve"> triggers </w:t>
            </w:r>
            <w:proofErr w:type="spellStart"/>
            <w:r w:rsidRPr="00FC79E8">
              <w:rPr>
                <w:rFonts w:ascii="Arial" w:hAnsi="Arial" w:cs="Arial"/>
                <w:sz w:val="16"/>
                <w:szCs w:val="16"/>
              </w:rPr>
              <w:t>under</w:t>
            </w:r>
            <w:proofErr w:type="spellEnd"/>
            <w:r w:rsidRPr="00FC79E8">
              <w:rPr>
                <w:rFonts w:ascii="Arial" w:hAnsi="Arial" w:cs="Arial"/>
                <w:sz w:val="16"/>
                <w:szCs w:val="16"/>
              </w:rPr>
              <w:t xml:space="preserve"> the Article 21(6) and Article 24(19) of the Securitisation </w:t>
            </w:r>
            <w:proofErr w:type="spellStart"/>
            <w:r w:rsidRPr="00FC79E8">
              <w:rPr>
                <w:rFonts w:ascii="Arial" w:hAnsi="Arial" w:cs="Arial"/>
                <w:sz w:val="16"/>
                <w:szCs w:val="16"/>
              </w:rPr>
              <w:t>Regulation</w:t>
            </w:r>
            <w:proofErr w:type="spellEnd"/>
            <w:r w:rsidRPr="00FC79E8">
              <w:rPr>
                <w:rFonts w:ascii="Arial" w:hAnsi="Arial" w:cs="Arial"/>
                <w:sz w:val="16"/>
                <w:szCs w:val="16"/>
              </w:rPr>
              <w:t xml:space="preserve"> are met (</w:t>
            </w:r>
            <w:proofErr w:type="spellStart"/>
            <w:r w:rsidRPr="00FC79E8">
              <w:rPr>
                <w:rFonts w:ascii="Arial" w:hAnsi="Arial" w:cs="Arial"/>
                <w:sz w:val="16"/>
                <w:szCs w:val="16"/>
              </w:rPr>
              <w:t>expected</w:t>
            </w:r>
            <w:proofErr w:type="spellEnd"/>
            <w:r w:rsidRPr="00FC79E8">
              <w:rPr>
                <w:rFonts w:ascii="Arial" w:hAnsi="Arial" w:cs="Arial"/>
                <w:sz w:val="16"/>
                <w:szCs w:val="16"/>
              </w:rPr>
              <w:t xml:space="preserve"> cross-</w:t>
            </w:r>
            <w:proofErr w:type="spellStart"/>
            <w:r w:rsidRPr="00FC79E8">
              <w:rPr>
                <w:rFonts w:ascii="Arial" w:hAnsi="Arial" w:cs="Arial"/>
                <w:sz w:val="16"/>
                <w:szCs w:val="16"/>
              </w:rPr>
              <w:t>references</w:t>
            </w:r>
            <w:proofErr w:type="spellEnd"/>
            <w:r w:rsidRPr="00FC79E8">
              <w:rPr>
                <w:rFonts w:ascii="Arial" w:hAnsi="Arial" w:cs="Arial"/>
                <w:sz w:val="16"/>
                <w:szCs w:val="16"/>
              </w:rPr>
              <w:t xml:space="preserve"> </w:t>
            </w:r>
            <w:proofErr w:type="spellStart"/>
            <w:r w:rsidRPr="00FC79E8">
              <w:rPr>
                <w:rFonts w:ascii="Arial" w:hAnsi="Arial" w:cs="Arial"/>
                <w:sz w:val="16"/>
                <w:szCs w:val="16"/>
              </w:rPr>
              <w:t>with</w:t>
            </w:r>
            <w:proofErr w:type="spellEnd"/>
            <w:r w:rsidRPr="00FC79E8">
              <w:rPr>
                <w:rFonts w:ascii="Arial" w:hAnsi="Arial" w:cs="Arial"/>
                <w:sz w:val="16"/>
                <w:szCs w:val="16"/>
              </w:rPr>
              <w:t xml:space="preserve"> the </w:t>
            </w:r>
            <w:proofErr w:type="gramStart"/>
            <w:r w:rsidRPr="00FC79E8">
              <w:rPr>
                <w:rFonts w:ascii="Arial" w:hAnsi="Arial" w:cs="Arial"/>
                <w:sz w:val="16"/>
                <w:szCs w:val="16"/>
              </w:rPr>
              <w:t>Prospectus:</w:t>
            </w:r>
            <w:proofErr w:type="gramEnd"/>
            <w:r w:rsidRPr="00FC79E8">
              <w:rPr>
                <w:rFonts w:ascii="Arial" w:hAnsi="Arial" w:cs="Arial"/>
                <w:sz w:val="16"/>
                <w:szCs w:val="16"/>
              </w:rPr>
              <w:t xml:space="preserve"> Item 3.1 of </w:t>
            </w:r>
            <w:proofErr w:type="spellStart"/>
            <w:r w:rsidRPr="00FC79E8">
              <w:rPr>
                <w:rFonts w:ascii="Arial" w:hAnsi="Arial" w:cs="Arial"/>
                <w:sz w:val="16"/>
                <w:szCs w:val="16"/>
              </w:rPr>
              <w:t>Annex</w:t>
            </w:r>
            <w:proofErr w:type="spellEnd"/>
            <w:r w:rsidRPr="00FC79E8">
              <w:rPr>
                <w:rFonts w:ascii="Arial" w:hAnsi="Arial" w:cs="Arial"/>
                <w:sz w:val="16"/>
                <w:szCs w:val="16"/>
              </w:rPr>
              <w:t xml:space="preserve"> 10 and Items 2.3 and 2.4 of </w:t>
            </w:r>
            <w:proofErr w:type="spellStart"/>
            <w:r w:rsidRPr="00FC79E8">
              <w:rPr>
                <w:rFonts w:ascii="Arial" w:hAnsi="Arial" w:cs="Arial"/>
                <w:sz w:val="16"/>
                <w:szCs w:val="16"/>
              </w:rPr>
              <w:t>Annex</w:t>
            </w:r>
            <w:proofErr w:type="spellEnd"/>
            <w:r w:rsidRPr="00FC79E8">
              <w:rPr>
                <w:rFonts w:ascii="Arial" w:hAnsi="Arial" w:cs="Arial"/>
                <w:sz w:val="16"/>
                <w:szCs w:val="16"/>
              </w:rPr>
              <w:t xml:space="preserve"> 11). </w:t>
            </w:r>
            <w:proofErr w:type="spellStart"/>
            <w:r w:rsidRPr="00FC79E8">
              <w:rPr>
                <w:rFonts w:ascii="Arial" w:hAnsi="Arial" w:cs="Arial"/>
                <w:sz w:val="16"/>
                <w:szCs w:val="16"/>
              </w:rPr>
              <w:t>Should</w:t>
            </w:r>
            <w:proofErr w:type="spellEnd"/>
            <w:r w:rsidRPr="00FC79E8">
              <w:rPr>
                <w:rFonts w:ascii="Arial" w:hAnsi="Arial" w:cs="Arial"/>
                <w:sz w:val="16"/>
                <w:szCs w:val="16"/>
              </w:rPr>
              <w:t xml:space="preserve"> the </w:t>
            </w:r>
            <w:proofErr w:type="spellStart"/>
            <w:r w:rsidRPr="00FC79E8">
              <w:rPr>
                <w:rFonts w:ascii="Arial" w:hAnsi="Arial" w:cs="Arial"/>
                <w:sz w:val="16"/>
                <w:szCs w:val="16"/>
              </w:rPr>
              <w:t>explanation</w:t>
            </w:r>
            <w:proofErr w:type="spellEnd"/>
            <w:r w:rsidRPr="00FC79E8">
              <w:rPr>
                <w:rFonts w:ascii="Arial" w:hAnsi="Arial" w:cs="Arial"/>
                <w:sz w:val="16"/>
                <w:szCs w:val="16"/>
              </w:rPr>
              <w:t xml:space="preserve"> </w:t>
            </w:r>
            <w:proofErr w:type="spellStart"/>
            <w:r w:rsidRPr="00FC79E8">
              <w:rPr>
                <w:rFonts w:ascii="Arial" w:hAnsi="Arial" w:cs="Arial"/>
                <w:sz w:val="16"/>
                <w:szCs w:val="16"/>
              </w:rPr>
              <w:t>be</w:t>
            </w:r>
            <w:proofErr w:type="spellEnd"/>
            <w:r w:rsidRPr="00FC79E8">
              <w:rPr>
                <w:rFonts w:ascii="Arial" w:hAnsi="Arial" w:cs="Arial"/>
                <w:sz w:val="16"/>
                <w:szCs w:val="16"/>
              </w:rPr>
              <w:t xml:space="preserve"> </w:t>
            </w:r>
            <w:proofErr w:type="spellStart"/>
            <w:r w:rsidRPr="00FC79E8">
              <w:rPr>
                <w:rFonts w:ascii="Arial" w:hAnsi="Arial" w:cs="Arial"/>
                <w:sz w:val="16"/>
                <w:szCs w:val="16"/>
              </w:rPr>
              <w:t>available</w:t>
            </w:r>
            <w:proofErr w:type="spellEnd"/>
            <w:r w:rsidRPr="00FC79E8">
              <w:rPr>
                <w:rFonts w:ascii="Arial" w:hAnsi="Arial" w:cs="Arial"/>
                <w:sz w:val="16"/>
                <w:szCs w:val="16"/>
              </w:rPr>
              <w:t xml:space="preserve"> in </w:t>
            </w:r>
            <w:proofErr w:type="spellStart"/>
            <w:r w:rsidRPr="00FC79E8">
              <w:rPr>
                <w:rFonts w:ascii="Arial" w:hAnsi="Arial" w:cs="Arial"/>
                <w:sz w:val="16"/>
                <w:szCs w:val="16"/>
              </w:rPr>
              <w:t>other</w:t>
            </w:r>
            <w:proofErr w:type="spellEnd"/>
            <w:r w:rsidRPr="00FC79E8">
              <w:rPr>
                <w:rFonts w:ascii="Arial" w:hAnsi="Arial" w:cs="Arial"/>
                <w:sz w:val="16"/>
                <w:szCs w:val="16"/>
              </w:rPr>
              <w:t xml:space="preserve"> </w:t>
            </w:r>
            <w:proofErr w:type="spellStart"/>
            <w:r w:rsidRPr="00FC79E8">
              <w:rPr>
                <w:rFonts w:ascii="Arial" w:hAnsi="Arial" w:cs="Arial"/>
                <w:sz w:val="16"/>
                <w:szCs w:val="16"/>
              </w:rPr>
              <w:t>publicly</w:t>
            </w:r>
            <w:proofErr w:type="spellEnd"/>
            <w:r w:rsidRPr="00FC79E8">
              <w:rPr>
                <w:rFonts w:ascii="Arial" w:hAnsi="Arial" w:cs="Arial"/>
                <w:sz w:val="16"/>
                <w:szCs w:val="16"/>
              </w:rPr>
              <w:t xml:space="preserve"> </w:t>
            </w:r>
            <w:proofErr w:type="spellStart"/>
            <w:r w:rsidRPr="00FC79E8">
              <w:rPr>
                <w:rFonts w:ascii="Arial" w:hAnsi="Arial" w:cs="Arial"/>
                <w:sz w:val="16"/>
                <w:szCs w:val="16"/>
              </w:rPr>
              <w:t>available</w:t>
            </w:r>
            <w:proofErr w:type="spellEnd"/>
            <w:r w:rsidRPr="00FC79E8">
              <w:rPr>
                <w:rFonts w:ascii="Arial" w:hAnsi="Arial" w:cs="Arial"/>
                <w:sz w:val="16"/>
                <w:szCs w:val="16"/>
              </w:rPr>
              <w:t xml:space="preserve"> </w:t>
            </w:r>
            <w:proofErr w:type="spellStart"/>
            <w:r w:rsidRPr="00FC79E8">
              <w:rPr>
                <w:rFonts w:ascii="Arial" w:hAnsi="Arial" w:cs="Arial"/>
                <w:sz w:val="16"/>
                <w:szCs w:val="16"/>
              </w:rPr>
              <w:t>underlying</w:t>
            </w:r>
            <w:proofErr w:type="spellEnd"/>
            <w:r w:rsidRPr="00FC79E8">
              <w:rPr>
                <w:rFonts w:ascii="Arial" w:hAnsi="Arial" w:cs="Arial"/>
                <w:sz w:val="16"/>
                <w:szCs w:val="16"/>
              </w:rPr>
              <w:t xml:space="preserve"> documentation, </w:t>
            </w:r>
            <w:proofErr w:type="spellStart"/>
            <w:r w:rsidRPr="00FC79E8">
              <w:rPr>
                <w:rFonts w:ascii="Arial" w:hAnsi="Arial" w:cs="Arial"/>
                <w:sz w:val="16"/>
                <w:szCs w:val="16"/>
              </w:rPr>
              <w:t>then</w:t>
            </w:r>
            <w:proofErr w:type="spellEnd"/>
            <w:r w:rsidRPr="00FC79E8">
              <w:rPr>
                <w:rFonts w:ascii="Arial" w:hAnsi="Arial" w:cs="Arial"/>
                <w:sz w:val="16"/>
                <w:szCs w:val="16"/>
              </w:rPr>
              <w:t xml:space="preserve"> the STS notification </w:t>
            </w:r>
            <w:proofErr w:type="spellStart"/>
            <w:r w:rsidRPr="00FC79E8">
              <w:rPr>
                <w:rFonts w:ascii="Arial" w:hAnsi="Arial" w:cs="Arial"/>
                <w:sz w:val="16"/>
                <w:szCs w:val="16"/>
              </w:rPr>
              <w:t>shall</w:t>
            </w:r>
            <w:proofErr w:type="spellEnd"/>
            <w:r w:rsidRPr="00FC79E8">
              <w:rPr>
                <w:rFonts w:ascii="Arial" w:hAnsi="Arial" w:cs="Arial"/>
                <w:sz w:val="16"/>
                <w:szCs w:val="16"/>
              </w:rPr>
              <w:t xml:space="preserve"> </w:t>
            </w:r>
            <w:proofErr w:type="spellStart"/>
            <w:r w:rsidRPr="00FC79E8">
              <w:rPr>
                <w:rFonts w:ascii="Arial" w:hAnsi="Arial" w:cs="Arial"/>
                <w:sz w:val="16"/>
                <w:szCs w:val="16"/>
              </w:rPr>
              <w:t>indicate</w:t>
            </w:r>
            <w:proofErr w:type="spellEnd"/>
            <w:r w:rsidRPr="00FC79E8">
              <w:rPr>
                <w:rFonts w:ascii="Arial" w:hAnsi="Arial" w:cs="Arial"/>
                <w:sz w:val="16"/>
                <w:szCs w:val="16"/>
              </w:rPr>
              <w:t xml:space="preserve"> how </w:t>
            </w:r>
            <w:proofErr w:type="spellStart"/>
            <w:r w:rsidRPr="00FC79E8">
              <w:rPr>
                <w:rFonts w:ascii="Arial" w:hAnsi="Arial" w:cs="Arial"/>
                <w:sz w:val="16"/>
                <w:szCs w:val="16"/>
              </w:rPr>
              <w:t>such</w:t>
            </w:r>
            <w:proofErr w:type="spellEnd"/>
            <w:r w:rsidRPr="00FC79E8">
              <w:rPr>
                <w:rFonts w:ascii="Arial" w:hAnsi="Arial" w:cs="Arial"/>
                <w:sz w:val="16"/>
                <w:szCs w:val="16"/>
              </w:rPr>
              <w:t xml:space="preserve"> documentation </w:t>
            </w:r>
            <w:proofErr w:type="spellStart"/>
            <w:r w:rsidRPr="00FC79E8">
              <w:rPr>
                <w:rFonts w:ascii="Arial" w:hAnsi="Arial" w:cs="Arial"/>
                <w:sz w:val="16"/>
                <w:szCs w:val="16"/>
              </w:rPr>
              <w:t>could</w:t>
            </w:r>
            <w:proofErr w:type="spellEnd"/>
            <w:r w:rsidRPr="00FC79E8">
              <w:rPr>
                <w:rFonts w:ascii="Arial" w:hAnsi="Arial" w:cs="Arial"/>
                <w:sz w:val="16"/>
                <w:szCs w:val="16"/>
              </w:rPr>
              <w:t xml:space="preserve"> </w:t>
            </w:r>
            <w:proofErr w:type="spellStart"/>
            <w:r w:rsidRPr="00FC79E8">
              <w:rPr>
                <w:rFonts w:ascii="Arial" w:hAnsi="Arial" w:cs="Arial"/>
                <w:sz w:val="16"/>
                <w:szCs w:val="16"/>
              </w:rPr>
              <w:t>be</w:t>
            </w:r>
            <w:proofErr w:type="spellEnd"/>
            <w:r w:rsidRPr="00FC79E8">
              <w:rPr>
                <w:rFonts w:ascii="Arial" w:hAnsi="Arial" w:cs="Arial"/>
                <w:sz w:val="16"/>
                <w:szCs w:val="16"/>
              </w:rPr>
              <w:t xml:space="preserve"> </w:t>
            </w:r>
            <w:proofErr w:type="spellStart"/>
            <w:r w:rsidRPr="00FC79E8">
              <w:rPr>
                <w:rFonts w:ascii="Arial" w:hAnsi="Arial" w:cs="Arial"/>
                <w:sz w:val="16"/>
                <w:szCs w:val="16"/>
              </w:rPr>
              <w:t>obtained</w:t>
            </w:r>
            <w:proofErr w:type="spellEnd"/>
            <w:r w:rsidRPr="00FC79E8">
              <w:rPr>
                <w:rFonts w:ascii="Arial" w:hAnsi="Arial" w:cs="Arial"/>
                <w:sz w:val="16"/>
                <w:szCs w:val="16"/>
              </w:rPr>
              <w:t xml:space="preserve">. </w:t>
            </w:r>
          </w:p>
          <w:p w:rsidR="00FC79E8" w:rsidRPr="00FC79E8" w:rsidRDefault="00FC79E8" w:rsidP="00FC79E8">
            <w:pPr>
              <w:pStyle w:val="Default"/>
              <w:rPr>
                <w:rFonts w:ascii="Arial" w:hAnsi="Arial" w:cs="Arial"/>
                <w:sz w:val="16"/>
                <w:szCs w:val="16"/>
              </w:rPr>
            </w:pPr>
          </w:p>
          <w:p w:rsidR="00FC79E8" w:rsidRPr="00FC79E8" w:rsidRDefault="00FC79E8" w:rsidP="00FC79E8">
            <w:pPr>
              <w:pStyle w:val="Default"/>
              <w:rPr>
                <w:rFonts w:ascii="Arial" w:hAnsi="Arial" w:cs="Arial"/>
                <w:sz w:val="16"/>
                <w:szCs w:val="16"/>
              </w:rPr>
            </w:pPr>
          </w:p>
        </w:tc>
        <w:tc>
          <w:tcPr>
            <w:tcW w:w="1364" w:type="dxa"/>
          </w:tcPr>
          <w:p w:rsidR="00FC79E8" w:rsidRPr="00FC79E8" w:rsidRDefault="00FC79E8" w:rsidP="00CE6E87">
            <w:pPr>
              <w:rPr>
                <w:rFonts w:cs="Arial"/>
                <w:sz w:val="16"/>
                <w:szCs w:val="16"/>
              </w:rPr>
            </w:pPr>
            <w:r w:rsidRPr="00FC79E8">
              <w:rPr>
                <w:rFonts w:cs="Arial"/>
                <w:sz w:val="16"/>
                <w:szCs w:val="16"/>
              </w:rPr>
              <w:t>concise with cross reference to docs should suffice</w:t>
            </w:r>
          </w:p>
        </w:tc>
      </w:tr>
    </w:tbl>
    <w:p w:rsidR="00EA71F8" w:rsidRDefault="00EA71F8" w:rsidP="00394CE6">
      <w:pPr>
        <w:rPr>
          <w:rFonts w:cs="Arial"/>
        </w:rPr>
      </w:pPr>
    </w:p>
    <w:permEnd w:id="576273669"/>
    <w:p w:rsidR="00394CE6" w:rsidRDefault="00394CE6" w:rsidP="00394CE6">
      <w:pPr>
        <w:rPr>
          <w:rFonts w:cs="Arial"/>
        </w:rPr>
      </w:pPr>
      <w:r>
        <w:rPr>
          <w:rFonts w:cs="Arial"/>
        </w:rPr>
        <w:t>&lt;ESMA_QUESTION_STS_8&gt;</w:t>
      </w:r>
    </w:p>
    <w:p w:rsidR="00394CE6" w:rsidRDefault="00394CE6" w:rsidP="00394CE6">
      <w:pPr>
        <w:rPr>
          <w:rFonts w:cs="Arial"/>
        </w:rPr>
      </w:pPr>
    </w:p>
    <w:p w:rsidR="00394CE6" w:rsidRPr="000A5F37" w:rsidRDefault="00394CE6" w:rsidP="00394CE6">
      <w:pPr>
        <w:pStyle w:val="Questionstyle"/>
        <w:numPr>
          <w:ilvl w:val="0"/>
          <w:numId w:val="39"/>
        </w:numPr>
      </w:pPr>
      <w:r>
        <w:t xml:space="preserve">: </w:t>
      </w:r>
      <w:r w:rsidRPr="000A5F37">
        <w:t>Do you agree with the proposal to require the use of XML templates for the STS notification notified to the ESMA?</w:t>
      </w:r>
    </w:p>
    <w:p w:rsidR="00394CE6" w:rsidRDefault="00394CE6" w:rsidP="00394CE6">
      <w:pPr>
        <w:rPr>
          <w:rFonts w:cs="Arial"/>
        </w:rPr>
      </w:pPr>
      <w:r>
        <w:rPr>
          <w:rFonts w:cs="Arial"/>
        </w:rPr>
        <w:t>&lt;ESMA_QUESTION_STS_9&gt;</w:t>
      </w:r>
    </w:p>
    <w:p w:rsidR="00394CE6" w:rsidRDefault="006D5B0B" w:rsidP="00394CE6">
      <w:pPr>
        <w:rPr>
          <w:rFonts w:cs="Arial"/>
        </w:rPr>
      </w:pPr>
      <w:permStart w:id="1744007848" w:edGrp="everyone"/>
      <w:r>
        <w:rPr>
          <w:rFonts w:cs="Arial"/>
        </w:rPr>
        <w:t xml:space="preserve">We assume that STS notifications have to </w:t>
      </w:r>
      <w:proofErr w:type="gramStart"/>
      <w:r>
        <w:rPr>
          <w:rFonts w:cs="Arial"/>
        </w:rPr>
        <w:t>be compiled</w:t>
      </w:r>
      <w:proofErr w:type="gramEnd"/>
      <w:r>
        <w:rPr>
          <w:rFonts w:cs="Arial"/>
        </w:rPr>
        <w:t xml:space="preserve"> manually. Originators and sponsors need to </w:t>
      </w:r>
      <w:r w:rsidR="00D96D93">
        <w:rPr>
          <w:rFonts w:cs="Arial"/>
        </w:rPr>
        <w:t>convert their usual format (e.g. MS Excel or Word) into XML. This may cause additional effort.</w:t>
      </w:r>
    </w:p>
    <w:p w:rsidR="00D96D93" w:rsidRDefault="00D96D93" w:rsidP="00394CE6">
      <w:pPr>
        <w:rPr>
          <w:rFonts w:cs="Arial"/>
        </w:rPr>
      </w:pPr>
    </w:p>
    <w:p w:rsidR="00D96D93" w:rsidRDefault="00D96D93" w:rsidP="00394CE6">
      <w:pPr>
        <w:rPr>
          <w:rFonts w:cs="Arial"/>
        </w:rPr>
      </w:pPr>
      <w:r>
        <w:rPr>
          <w:rFonts w:cs="Arial"/>
        </w:rPr>
        <w:t xml:space="preserve">Therefore, for private transactions and the version of the STS </w:t>
      </w:r>
      <w:proofErr w:type="gramStart"/>
      <w:r>
        <w:rPr>
          <w:rFonts w:cs="Arial"/>
        </w:rPr>
        <w:t>notification which</w:t>
      </w:r>
      <w:proofErr w:type="gramEnd"/>
      <w:r>
        <w:rPr>
          <w:rFonts w:cs="Arial"/>
        </w:rPr>
        <w:t xml:space="preserve"> will not be published via ESMA´s website, ESMA might consider to accept other formats as well</w:t>
      </w:r>
    </w:p>
    <w:permEnd w:id="1744007848"/>
    <w:p w:rsidR="00394CE6" w:rsidRDefault="00394CE6" w:rsidP="00394CE6">
      <w:pPr>
        <w:rPr>
          <w:rFonts w:cs="Arial"/>
        </w:rPr>
      </w:pPr>
      <w:r>
        <w:rPr>
          <w:rFonts w:cs="Arial"/>
        </w:rPr>
        <w:lastRenderedPageBreak/>
        <w:t>&lt;ESMA_QUESTION_STS_9&gt;</w:t>
      </w:r>
    </w:p>
    <w:p w:rsidR="00394CE6" w:rsidRDefault="00394CE6" w:rsidP="00394CE6">
      <w:pPr>
        <w:rPr>
          <w:rFonts w:cs="Arial"/>
        </w:rPr>
      </w:pPr>
    </w:p>
    <w:p w:rsidR="00394CE6" w:rsidRDefault="00394CE6" w:rsidP="00394CE6">
      <w:pPr>
        <w:pStyle w:val="Questionstyle"/>
        <w:numPr>
          <w:ilvl w:val="0"/>
          <w:numId w:val="39"/>
        </w:numPr>
      </w:pPr>
      <w:r>
        <w:t xml:space="preserve">: </w:t>
      </w:r>
      <w:r w:rsidRPr="000A5F37">
        <w:t>Do you agree with the format of the proposed notification templates as described in Annexes I and II of the draft ITS?</w:t>
      </w:r>
    </w:p>
    <w:p w:rsidR="00394CE6" w:rsidRDefault="00394CE6" w:rsidP="00394CE6">
      <w:pPr>
        <w:rPr>
          <w:rFonts w:cs="Arial"/>
        </w:rPr>
      </w:pPr>
      <w:r>
        <w:rPr>
          <w:rFonts w:cs="Arial"/>
        </w:rPr>
        <w:t>&lt;ESMA_QUESTION_STS_10&gt;</w:t>
      </w:r>
    </w:p>
    <w:p w:rsidR="00394CE6" w:rsidRDefault="00D96D93" w:rsidP="00394CE6">
      <w:pPr>
        <w:rPr>
          <w:rFonts w:cs="Arial"/>
        </w:rPr>
      </w:pPr>
      <w:permStart w:id="255532217" w:edGrp="everyone"/>
      <w:r>
        <w:rPr>
          <w:rFonts w:cs="Arial"/>
        </w:rPr>
        <w:t xml:space="preserve">As in Q9 above, the notification </w:t>
      </w:r>
      <w:proofErr w:type="gramStart"/>
      <w:r>
        <w:rPr>
          <w:rFonts w:cs="Arial"/>
        </w:rPr>
        <w:t>version which is not published</w:t>
      </w:r>
      <w:proofErr w:type="gramEnd"/>
      <w:r>
        <w:rPr>
          <w:rFonts w:cs="Arial"/>
        </w:rPr>
        <w:t xml:space="preserve"> should not require the field format of Annex I.</w:t>
      </w:r>
    </w:p>
    <w:permEnd w:id="255532217"/>
    <w:p w:rsidR="00394CE6" w:rsidRDefault="00394CE6" w:rsidP="00394CE6">
      <w:pPr>
        <w:rPr>
          <w:rFonts w:cs="Arial"/>
        </w:rPr>
      </w:pPr>
      <w:r>
        <w:rPr>
          <w:rFonts w:cs="Arial"/>
        </w:rPr>
        <w:t>&lt;ESMA_QUESTION_STS_10&gt;</w:t>
      </w:r>
    </w:p>
    <w:p w:rsidR="00394CE6" w:rsidRDefault="00394CE6" w:rsidP="00394CE6">
      <w:pPr>
        <w:rPr>
          <w:rFonts w:cs="Arial"/>
        </w:rPr>
      </w:pPr>
    </w:p>
    <w:p w:rsidR="00394CE6" w:rsidRDefault="00394CE6" w:rsidP="00394CE6">
      <w:pPr>
        <w:pStyle w:val="Questionstyle"/>
        <w:numPr>
          <w:ilvl w:val="0"/>
          <w:numId w:val="39"/>
        </w:numPr>
      </w:pPr>
      <w:r>
        <w:t xml:space="preserve">: </w:t>
      </w:r>
      <w:r w:rsidRPr="000A5F37">
        <w:t>Do you agree with the arguments set out in the preliminary CBA? Do you think that other items should be factored into the CBA and if so, for what reasons?</w:t>
      </w:r>
    </w:p>
    <w:p w:rsidR="00394CE6" w:rsidRDefault="00394CE6" w:rsidP="00394CE6">
      <w:pPr>
        <w:rPr>
          <w:rFonts w:cs="Arial"/>
        </w:rPr>
      </w:pPr>
      <w:r>
        <w:rPr>
          <w:rFonts w:cs="Arial"/>
        </w:rPr>
        <w:t>&lt;ESMA_QUESTION_STS_11&gt;</w:t>
      </w:r>
    </w:p>
    <w:p w:rsidR="001B6337" w:rsidRDefault="001B6337" w:rsidP="00394CE6">
      <w:pPr>
        <w:rPr>
          <w:rFonts w:cs="Arial"/>
        </w:rPr>
      </w:pPr>
      <w:permStart w:id="695140952" w:edGrp="everyone"/>
      <w:r>
        <w:rPr>
          <w:rFonts w:cs="Arial"/>
        </w:rPr>
        <w:t>We do not share ESMA´s view that the costs generated by the RTS/</w:t>
      </w:r>
      <w:proofErr w:type="gramStart"/>
      <w:r>
        <w:rPr>
          <w:rFonts w:cs="Arial"/>
        </w:rPr>
        <w:t>ITS</w:t>
      </w:r>
      <w:proofErr w:type="gramEnd"/>
      <w:r>
        <w:rPr>
          <w:rFonts w:cs="Arial"/>
        </w:rPr>
        <w:t xml:space="preserve"> remain very limited for the originators and sponsors. </w:t>
      </w:r>
    </w:p>
    <w:p w:rsidR="001B6337" w:rsidRDefault="001B6337" w:rsidP="00394CE6">
      <w:pPr>
        <w:rPr>
          <w:rFonts w:cs="Arial"/>
        </w:rPr>
      </w:pPr>
    </w:p>
    <w:p w:rsidR="00394CE6" w:rsidRDefault="001B6337" w:rsidP="00394CE6">
      <w:pPr>
        <w:rPr>
          <w:rFonts w:cs="Arial"/>
        </w:rPr>
      </w:pPr>
      <w:r>
        <w:rPr>
          <w:rFonts w:cs="Arial"/>
        </w:rPr>
        <w:t>Although we strongly support the proportional approach we believe that more item can be shifted from detailed to concise and from con</w:t>
      </w:r>
      <w:r w:rsidR="00105A36">
        <w:rPr>
          <w:rFonts w:cs="Arial"/>
        </w:rPr>
        <w:t>c</w:t>
      </w:r>
      <w:r>
        <w:rPr>
          <w:rFonts w:cs="Arial"/>
        </w:rPr>
        <w:t>i</w:t>
      </w:r>
      <w:r w:rsidR="00105A36">
        <w:rPr>
          <w:rFonts w:cs="Arial"/>
        </w:rPr>
        <w:t>s</w:t>
      </w:r>
      <w:r>
        <w:rPr>
          <w:rFonts w:cs="Arial"/>
        </w:rPr>
        <w:t xml:space="preserve">e to confirmation (see Q7 and </w:t>
      </w:r>
      <w:proofErr w:type="gramStart"/>
      <w:r>
        <w:rPr>
          <w:rFonts w:cs="Arial"/>
        </w:rPr>
        <w:t>8</w:t>
      </w:r>
      <w:proofErr w:type="gramEnd"/>
      <w:r>
        <w:rPr>
          <w:rFonts w:cs="Arial"/>
        </w:rPr>
        <w:t xml:space="preserve"> above).</w:t>
      </w:r>
    </w:p>
    <w:p w:rsidR="001B6337" w:rsidRDefault="001B6337" w:rsidP="00394CE6">
      <w:pPr>
        <w:rPr>
          <w:rFonts w:cs="Arial"/>
        </w:rPr>
      </w:pPr>
    </w:p>
    <w:p w:rsidR="001B6337" w:rsidRDefault="001B6337" w:rsidP="00394CE6">
      <w:pPr>
        <w:rPr>
          <w:rFonts w:cs="Arial"/>
        </w:rPr>
      </w:pPr>
      <w:r>
        <w:rPr>
          <w:rFonts w:cs="Arial"/>
        </w:rPr>
        <w:t xml:space="preserve">Especially for ABCP sponsors extra costs can be quite significant, since </w:t>
      </w:r>
      <w:r w:rsidR="00105A36">
        <w:rPr>
          <w:rFonts w:cs="Arial"/>
        </w:rPr>
        <w:t xml:space="preserve">STS </w:t>
      </w:r>
      <w:r>
        <w:rPr>
          <w:rFonts w:cs="Arial"/>
        </w:rPr>
        <w:t xml:space="preserve">notifications have to be prepared for each </w:t>
      </w:r>
      <w:r w:rsidR="00105A36">
        <w:rPr>
          <w:rFonts w:cs="Arial"/>
        </w:rPr>
        <w:t xml:space="preserve">STS compliant </w:t>
      </w:r>
      <w:r>
        <w:rPr>
          <w:rFonts w:cs="Arial"/>
        </w:rPr>
        <w:t xml:space="preserve">liquidity </w:t>
      </w:r>
      <w:r w:rsidR="00105A36">
        <w:rPr>
          <w:rFonts w:cs="Arial"/>
        </w:rPr>
        <w:t xml:space="preserve">facility plus, if applicable, for the programme. Given the fact that ABCP liquidity facilities and ABCP are of private nature and the published information is extremely limited (notwithstanding the point that the regular ABCP reporting anyways points out which transaction is STS compliant), the additional effect of the STS notification for investors is nil. </w:t>
      </w:r>
      <w:proofErr w:type="gramStart"/>
      <w:r w:rsidR="00105A36">
        <w:rPr>
          <w:rFonts w:cs="Arial"/>
        </w:rPr>
        <w:t>Therefore</w:t>
      </w:r>
      <w:proofErr w:type="gramEnd"/>
      <w:r w:rsidR="00105A36">
        <w:rPr>
          <w:rFonts w:cs="Arial"/>
        </w:rPr>
        <w:t xml:space="preserve"> the costs involved to prepare the STS notification in a fixed format should not be underestimated.</w:t>
      </w:r>
    </w:p>
    <w:permEnd w:id="695140952"/>
    <w:p w:rsidR="00394CE6" w:rsidRDefault="00394CE6" w:rsidP="00394CE6">
      <w:pPr>
        <w:rPr>
          <w:rFonts w:cs="Arial"/>
        </w:rPr>
      </w:pPr>
      <w:r>
        <w:rPr>
          <w:rFonts w:cs="Arial"/>
        </w:rPr>
        <w:t>&lt;ESMA_QUESTION_STS_11&gt;</w:t>
      </w:r>
    </w:p>
    <w:p w:rsidR="00394CE6" w:rsidRDefault="00394CE6" w:rsidP="00394CE6">
      <w:pPr>
        <w:rPr>
          <w:rFonts w:cs="Arial"/>
        </w:rPr>
      </w:pPr>
    </w:p>
    <w:p w:rsidR="00394CE6" w:rsidRPr="007B52B2" w:rsidRDefault="00394CE6" w:rsidP="00394CE6">
      <w:pPr>
        <w:rPr>
          <w:rFonts w:cs="Arial"/>
        </w:rPr>
      </w:pPr>
    </w:p>
    <w:p w:rsidR="000A58BE" w:rsidRDefault="000A58BE" w:rsidP="00394CE6">
      <w:pPr>
        <w:pStyle w:val="Questionstyle"/>
        <w:ind w:left="720"/>
        <w:rPr>
          <w:rFonts w:cs="Arial"/>
        </w:rPr>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470" w:rsidRDefault="005B5470">
      <w:r>
        <w:separator/>
      </w:r>
    </w:p>
    <w:p w:rsidR="005B5470" w:rsidRDefault="005B5470"/>
  </w:endnote>
  <w:endnote w:type="continuationSeparator" w:id="0">
    <w:p w:rsidR="005B5470" w:rsidRDefault="005B5470">
      <w:r>
        <w:continuationSeparator/>
      </w:r>
    </w:p>
    <w:p w:rsidR="005B5470" w:rsidRDefault="005B5470"/>
  </w:endnote>
  <w:endnote w:type="continuationNotice" w:id="1">
    <w:p w:rsidR="005B5470" w:rsidRDefault="005B5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D1A0A">
            <w:rPr>
              <w:rFonts w:cs="Arial"/>
              <w:noProof/>
              <w:sz w:val="22"/>
              <w:szCs w:val="22"/>
            </w:rPr>
            <w:t>10</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470" w:rsidRDefault="005B5470">
      <w:r>
        <w:separator/>
      </w:r>
    </w:p>
    <w:p w:rsidR="005B5470" w:rsidRDefault="005B5470"/>
  </w:footnote>
  <w:footnote w:type="continuationSeparator" w:id="0">
    <w:p w:rsidR="005B5470" w:rsidRDefault="005B5470">
      <w:r>
        <w:continuationSeparator/>
      </w:r>
    </w:p>
    <w:p w:rsidR="005B5470" w:rsidRDefault="005B5470"/>
  </w:footnote>
  <w:footnote w:type="continuationNotice" w:id="1">
    <w:p w:rsidR="005B5470" w:rsidRDefault="005B54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4FFA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B825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aqN4talYsb76SZMhprWtKLaI8+LqDNCpvRoELF4U+DwsYjxFNaDBfOWH8KPq0gjkJYayGCAuaP85DRnXZ+3DQ==" w:salt="dKPmsW40mB1IzKnquDWQ3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1371"/>
    <w:rsid w:val="000314FF"/>
    <w:rsid w:val="000321C9"/>
    <w:rsid w:val="000344D6"/>
    <w:rsid w:val="00034960"/>
    <w:rsid w:val="00036FAE"/>
    <w:rsid w:val="00041858"/>
    <w:rsid w:val="0004389E"/>
    <w:rsid w:val="00045C2F"/>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29D0"/>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A36"/>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7C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3DE4"/>
    <w:rsid w:val="001B4E4B"/>
    <w:rsid w:val="001B50AC"/>
    <w:rsid w:val="001B55FB"/>
    <w:rsid w:val="001B5E05"/>
    <w:rsid w:val="001B6337"/>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70"/>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14CB"/>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1DA1"/>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1A0A"/>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555"/>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97E5C"/>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470"/>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5B0B"/>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14F"/>
    <w:rsid w:val="00724391"/>
    <w:rsid w:val="00724C18"/>
    <w:rsid w:val="00726630"/>
    <w:rsid w:val="00727F73"/>
    <w:rsid w:val="00730705"/>
    <w:rsid w:val="00730944"/>
    <w:rsid w:val="0073248E"/>
    <w:rsid w:val="007334FD"/>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04F"/>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871"/>
    <w:rsid w:val="00964C32"/>
    <w:rsid w:val="0096528F"/>
    <w:rsid w:val="009653F2"/>
    <w:rsid w:val="009661DF"/>
    <w:rsid w:val="009667BD"/>
    <w:rsid w:val="00967674"/>
    <w:rsid w:val="00967CE2"/>
    <w:rsid w:val="00971301"/>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0F04"/>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7F5"/>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42DC"/>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13F"/>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195A"/>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6314"/>
    <w:rsid w:val="00CC76AA"/>
    <w:rsid w:val="00CC7CD2"/>
    <w:rsid w:val="00CD05CF"/>
    <w:rsid w:val="00CD06AB"/>
    <w:rsid w:val="00CD0C65"/>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18EC"/>
    <w:rsid w:val="00D96D93"/>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0E4C"/>
    <w:rsid w:val="00DF12E3"/>
    <w:rsid w:val="00DF39C9"/>
    <w:rsid w:val="00DF3F1D"/>
    <w:rsid w:val="00DF595C"/>
    <w:rsid w:val="00DF69ED"/>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1C0"/>
    <w:rsid w:val="00E56715"/>
    <w:rsid w:val="00E56C2C"/>
    <w:rsid w:val="00E57F8E"/>
    <w:rsid w:val="00E611C8"/>
    <w:rsid w:val="00E63256"/>
    <w:rsid w:val="00E6344A"/>
    <w:rsid w:val="00E64E69"/>
    <w:rsid w:val="00E64FB7"/>
    <w:rsid w:val="00E669A1"/>
    <w:rsid w:val="00E67061"/>
    <w:rsid w:val="00E679BA"/>
    <w:rsid w:val="00E70243"/>
    <w:rsid w:val="00E70D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1F8"/>
    <w:rsid w:val="00EB018B"/>
    <w:rsid w:val="00EB1003"/>
    <w:rsid w:val="00EB167E"/>
    <w:rsid w:val="00EB24ED"/>
    <w:rsid w:val="00EB2A00"/>
    <w:rsid w:val="00EB2A3F"/>
    <w:rsid w:val="00EB309B"/>
    <w:rsid w:val="00EB3AA2"/>
    <w:rsid w:val="00EB4763"/>
    <w:rsid w:val="00EB6CB7"/>
    <w:rsid w:val="00EC077D"/>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360D"/>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488"/>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C79E8"/>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3BD22C0D-324F-4DD2-8898-614D964C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301644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ESMA33-128-185</_dlc_DocId>
    <_dlc_DocIdUrl xmlns="a090d947-cb5a-4e71-a094-4f979ca4aec0">
      <Url>http://sherpa.esma.europa.eu/sites/INICRA/_layouts/15/DocIdRedir.aspx?ID=ESMA33-128-185</Url>
      <Description>ESMA33-128-185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BE73-702B-493D-84BA-F18D250D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www.w3.org/XML/1998/namespace"/>
    <ds:schemaRef ds:uri="http://purl.org/dc/terms/"/>
    <ds:schemaRef ds:uri="http://schemas.microsoft.com/office/2006/documentManagement/types"/>
    <ds:schemaRef ds:uri="http://purl.org/dc/elements/1.1/"/>
    <ds:schemaRef ds:uri="a090d947-cb5a-4e71-a094-4f979ca4aec0"/>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B1120B81-7A25-4292-A44B-3B21B74985A4}">
  <ds:schemaRefs>
    <ds:schemaRef ds:uri="http://schemas.openxmlformats.org/officeDocument/2006/bibliography"/>
  </ds:schemaRefs>
</ds:datastoreItem>
</file>

<file path=customXml/itemProps6.xml><?xml version="1.0" encoding="utf-8"?>
<ds:datastoreItem xmlns:ds="http://schemas.openxmlformats.org/officeDocument/2006/customXml" ds:itemID="{D2F03FBE-743B-429C-B614-656302F9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2712</Words>
  <Characters>15272</Characters>
  <Application>Microsoft Office Word</Application>
  <DocSecurity>8</DocSecurity>
  <Lines>127</Lines>
  <Paragraphs>35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17949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Mario Uhrmacher</cp:lastModifiedBy>
  <cp:revision>3</cp:revision>
  <cp:lastPrinted>2018-02-21T11:20:00Z</cp:lastPrinted>
  <dcterms:created xsi:type="dcterms:W3CDTF">2018-03-13T10:40:00Z</dcterms:created>
  <dcterms:modified xsi:type="dcterms:W3CDTF">2018-03-13T10:41:00Z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8757f4a6-6021-4cc0-a799-d4899d3a91b5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