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678393C6" w:rsidR="00C2094B" w:rsidRPr="004E49B0" w:rsidRDefault="005C6485" w:rsidP="00394CE6">
            <w:pPr>
              <w:pStyle w:val="00bDBInfo"/>
              <w:rPr>
                <w:rFonts w:cs="Arial"/>
              </w:rPr>
            </w:pPr>
            <w:r>
              <w:rPr>
                <w:rFonts w:cs="Arial"/>
              </w:rPr>
              <w:t>1</w:t>
            </w:r>
            <w:r w:rsidR="00394CE6">
              <w:rPr>
                <w:rFonts w:cs="Arial"/>
              </w:rPr>
              <w:t>9</w:t>
            </w:r>
            <w:r>
              <w:rPr>
                <w:rFonts w:cs="Arial"/>
              </w:rPr>
              <w:t xml:space="preserve">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48B3FA3A"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96770">
              <w:rPr>
                <w:rFonts w:cs="Arial"/>
                <w:szCs w:val="56"/>
              </w:rPr>
              <w:t>Third Party Firm</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0DEACFB8" w:rsidR="00620D7C" w:rsidRPr="004E49B0" w:rsidRDefault="00620D7C" w:rsidP="00394CE6">
            <w:pPr>
              <w:pStyle w:val="02Date"/>
              <w:rPr>
                <w:rFonts w:cs="Arial"/>
              </w:rPr>
            </w:pPr>
            <w:r w:rsidRPr="004E49B0">
              <w:rPr>
                <w:rFonts w:cs="Arial"/>
              </w:rPr>
              <w:lastRenderedPageBreak/>
              <w:t xml:space="preserve">Date: </w:t>
            </w:r>
            <w:r w:rsidR="005C6485">
              <w:rPr>
                <w:rFonts w:cs="Arial"/>
              </w:rPr>
              <w:t>1</w:t>
            </w:r>
            <w:r w:rsidR="00394CE6">
              <w:rPr>
                <w:rFonts w:cs="Arial"/>
              </w:rPr>
              <w:t>9</w:t>
            </w:r>
            <w:r w:rsidR="005C6485">
              <w:rPr>
                <w:rFonts w:cs="Arial"/>
              </w:rPr>
              <w:t xml:space="preserve">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3524CF4"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Pr="00E40A5C">
        <w:rPr>
          <w:rStyle w:val="SubtleEmphasis"/>
          <w:b w:val="0"/>
          <w:sz w:val="22"/>
        </w:rPr>
        <w:t>Consultation Paper</w:t>
      </w:r>
      <w:r w:rsidR="00963D60">
        <w:rPr>
          <w:rStyle w:val="SubtleEmphasis"/>
          <w:b w:val="0"/>
          <w:sz w:val="22"/>
        </w:rPr>
        <w:t xml:space="preserve"> on </w:t>
      </w:r>
      <w:r w:rsidR="00996770">
        <w:rPr>
          <w:rStyle w:val="SubtleEmphasis"/>
          <w:b w:val="0"/>
          <w:sz w:val="22"/>
        </w:rPr>
        <w:t xml:space="preserve">Third Party </w:t>
      </w:r>
      <w:r w:rsidR="00996770" w:rsidRPr="001D5360">
        <w:rPr>
          <w:rStyle w:val="SubtleEmphasis"/>
          <w:b w:val="0"/>
          <w:sz w:val="22"/>
        </w:rPr>
        <w:t>Firm</w:t>
      </w:r>
      <w:r w:rsidR="00963D60" w:rsidRPr="001D5360">
        <w:rPr>
          <w:rStyle w:val="SubtleEmphasis"/>
          <w:b w:val="0"/>
          <w:sz w:val="22"/>
        </w:rPr>
        <w:t xml:space="preserve"> (ESMA</w:t>
      </w:r>
      <w:r w:rsidR="001D5360" w:rsidRPr="001D5360">
        <w:rPr>
          <w:rStyle w:val="SubtleEmphasis"/>
          <w:b w:val="0"/>
          <w:sz w:val="22"/>
        </w:rPr>
        <w:t>33-128-108</w:t>
      </w:r>
      <w:r w:rsidR="00963D60" w:rsidRPr="001D5360">
        <w:rPr>
          <w:rStyle w:val="SubtleEmphasis"/>
          <w:b w:val="0"/>
          <w:sz w:val="22"/>
        </w:rPr>
        <w:t>)</w:t>
      </w:r>
      <w:r w:rsidRPr="001D5360">
        <w:rPr>
          <w:rStyle w:val="SubtleEmphasis"/>
          <w:b w:val="0"/>
          <w:sz w:val="22"/>
        </w:rPr>
        <w:t>.</w:t>
      </w:r>
      <w:r w:rsidRPr="00E40A5C">
        <w:rPr>
          <w:rStyle w:val="SubtleEmphasis"/>
          <w:b w:val="0"/>
          <w:sz w:val="22"/>
        </w:rPr>
        <w:t xml:space="preserve">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02471CEC"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1D5360" w:rsidRPr="001D5360">
        <w:rPr>
          <w:rStyle w:val="SubtleEmphasis"/>
          <w:b w:val="0"/>
          <w:sz w:val="22"/>
        </w:rPr>
        <w:t>1</w:t>
      </w:r>
      <w:r w:rsidR="005C6485" w:rsidRPr="001D5360">
        <w:rPr>
          <w:rStyle w:val="SubtleEmphasis"/>
          <w:b w:val="0"/>
          <w:sz w:val="22"/>
        </w:rPr>
        <w:t>9 March 2018</w:t>
      </w:r>
      <w:r w:rsidRPr="001D5360">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9D53881"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996770">
        <w:rPr>
          <w:rStyle w:val="SubtleEmphasis"/>
          <w:b w:val="0"/>
          <w:sz w:val="22"/>
        </w:rPr>
        <w:t>TPF</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3734B9BD"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996770">
        <w:rPr>
          <w:rStyle w:val="SubtleEmphasis"/>
          <w:b w:val="0"/>
          <w:sz w:val="22"/>
        </w:rPr>
        <w:t>TPF</w:t>
      </w:r>
      <w:r w:rsidRPr="00E40A5C">
        <w:rPr>
          <w:rStyle w:val="SubtleEmphasis"/>
          <w:b w:val="0"/>
          <w:sz w:val="22"/>
        </w:rPr>
        <w:t>_nameofrespondent_RESPONSEFORM. For example, for a respondent named ABCD, the response form would be entitled ESMA_</w:t>
      </w:r>
      <w:r w:rsidR="00996770">
        <w:rPr>
          <w:rStyle w:val="SubtleEmphasis"/>
          <w:b w:val="0"/>
          <w:sz w:val="22"/>
        </w:rPr>
        <w:t>TPF</w:t>
      </w:r>
      <w:r w:rsidRPr="00E40A5C">
        <w:rPr>
          <w:rStyle w:val="SubtleEmphasis"/>
          <w:b w:val="0"/>
          <w:sz w:val="22"/>
        </w:rPr>
        <w:t>_ABCD_RESPONSEFORM.</w:t>
      </w:r>
    </w:p>
    <w:p w14:paraId="08D412C9" w14:textId="69CBC00E"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Pr="001D5360">
        <w:rPr>
          <w:rStyle w:val="SubtleEmphasis"/>
          <w:b w:val="0"/>
          <w:sz w:val="22"/>
          <w:highlight w:val="yellow"/>
        </w:rPr>
        <w:t xml:space="preserve">Consultation on </w:t>
      </w:r>
      <w:r w:rsidR="001D5360" w:rsidRPr="001D5360">
        <w:rPr>
          <w:rStyle w:val="SubtleEmphasis"/>
          <w:b w:val="0"/>
          <w:sz w:val="22"/>
          <w:highlight w:val="yellow"/>
        </w:rPr>
        <w:t>d</w:t>
      </w:r>
      <w:r w:rsidR="001D5360" w:rsidRPr="001D5360">
        <w:rPr>
          <w:iCs/>
          <w:sz w:val="22"/>
          <w:highlight w:val="yellow"/>
        </w:rPr>
        <w:t>raft technical standards on third-party firms providing STS verification services under the Securitisation Regulation</w:t>
      </w:r>
      <w:r w:rsidR="006E0A4F" w:rsidRPr="001D5360">
        <w:rPr>
          <w:rStyle w:val="SubtleEmphasis"/>
          <w:b w:val="0"/>
          <w:sz w:val="22"/>
        </w:rPr>
        <w:t>”</w:t>
      </w:r>
      <w:r w:rsidRPr="001D5360">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113B19D6"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SubtleEmphasis"/>
          <w:sz w:val="22"/>
          <w:lang w:eastAsia="en-GB"/>
        </w:rPr>
      </w:pPr>
      <w:r>
        <w:rPr>
          <w:rStyle w:val="SubtleEmphasis"/>
          <w:sz w:val="22"/>
          <w:lang w:eastAsia="en-GB"/>
        </w:rPr>
        <w:lastRenderedPageBreak/>
        <w:br w:type="page"/>
      </w:r>
    </w:p>
    <w:p w14:paraId="72235BD1" w14:textId="2FB9320F" w:rsidR="009A3017" w:rsidRPr="00E40A5C" w:rsidRDefault="009A3017" w:rsidP="009A3017">
      <w:pPr>
        <w:spacing w:after="120"/>
        <w:jc w:val="both"/>
        <w:rPr>
          <w:rStyle w:val="SubtleEmphasis"/>
          <w:sz w:val="22"/>
          <w:lang w:eastAsia="en-GB"/>
        </w:rPr>
      </w:pPr>
      <w:r w:rsidRPr="00E40A5C">
        <w:rPr>
          <w:rStyle w:val="SubtleEmphasis"/>
          <w:sz w:val="22"/>
          <w:lang w:eastAsia="en-GB"/>
        </w:rPr>
        <w:lastRenderedPageBreak/>
        <w:t>Data protection</w:t>
      </w:r>
    </w:p>
    <w:p w14:paraId="51866686" w14:textId="57C56E90"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p w14:paraId="2C0EF2F3" w14:textId="3177CE14" w:rsidR="00ED4063" w:rsidRPr="00ED4063" w:rsidRDefault="00963D60" w:rsidP="00ED4063">
      <w:pPr>
        <w:spacing w:after="240"/>
        <w:jc w:val="both"/>
        <w:rPr>
          <w:rStyle w:val="SubtleEmphasis"/>
          <w:b w:val="0"/>
          <w:sz w:val="22"/>
          <w:lang w:eastAsia="en-GB"/>
        </w:rPr>
      </w:pPr>
      <w:r w:rsidRPr="001D5360">
        <w:rPr>
          <w:rStyle w:val="SubtleEmphasis"/>
          <w:b w:val="0"/>
          <w:sz w:val="22"/>
          <w:lang w:eastAsia="en-GB"/>
        </w:rPr>
        <w:t xml:space="preserve">The </w:t>
      </w:r>
      <w:r w:rsidR="00ED4063" w:rsidRPr="001D5360">
        <w:rPr>
          <w:rStyle w:val="SubtleEmphasis"/>
          <w:b w:val="0"/>
          <w:sz w:val="22"/>
          <w:lang w:eastAsia="en-GB"/>
        </w:rPr>
        <w:t xml:space="preserve">Consultation Paper may be of particular interest to investors, issuers, offerors or persons asking for admission to trading on a regulated market as well as to any market participant who is affected by the </w:t>
      </w:r>
      <w:r w:rsidR="00996770" w:rsidRPr="001D5360">
        <w:rPr>
          <w:rStyle w:val="SubtleEmphasis"/>
          <w:b w:val="0"/>
          <w:sz w:val="22"/>
          <w:lang w:eastAsia="en-GB"/>
        </w:rPr>
        <w:t>Third Party Firm</w:t>
      </w:r>
      <w:r w:rsidR="00ED4063" w:rsidRPr="001D5360">
        <w:rPr>
          <w:rStyle w:val="SubtleEmphasis"/>
          <w:b w:val="0"/>
          <w:sz w:val="22"/>
          <w:lang w:eastAsia="en-GB"/>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Fonts w:asciiTheme="minorHAnsi" w:hAnsiTheme="minorHAnsi" w:cstheme="minorHAnsi"/>
            </w:rPr>
            <w:id w:val="-1905066999"/>
            <w:text/>
          </w:sdtPr>
          <w:sdtContent>
            <w:tc>
              <w:tcPr>
                <w:tcW w:w="5595" w:type="dxa"/>
                <w:shd w:val="clear" w:color="auto" w:fill="auto"/>
              </w:tcPr>
              <w:p w14:paraId="1D2AEFF4" w14:textId="0A2AC454" w:rsidR="00B327E9" w:rsidRPr="00AB6D88" w:rsidRDefault="003B0F0A" w:rsidP="00F136AD">
                <w:pPr>
                  <w:rPr>
                    <w:rStyle w:val="PlaceholderText"/>
                    <w:rFonts w:cs="Arial"/>
                  </w:rPr>
                </w:pPr>
                <w:r w:rsidRPr="003B0F0A">
                  <w:rPr>
                    <w:rFonts w:asciiTheme="minorHAnsi" w:hAnsiTheme="minorHAnsi" w:cstheme="minorHAnsi"/>
                  </w:rPr>
                  <w:t>Irish Debt Securities Association (IDSA)</w:t>
                </w:r>
                <w:r w:rsidRPr="003B0F0A">
                  <w:rPr>
                    <w:rFonts w:asciiTheme="minorHAnsi" w:hAnsiTheme="minorHAnsi" w:cstheme="minorHAnsi"/>
                  </w:rPr>
                  <w:cr/>
                </w:r>
                <w:r w:rsidRPr="003B0F0A">
                  <w:rPr>
                    <w:rFonts w:asciiTheme="minorHAnsi" w:hAnsiTheme="minorHAnsi" w:cstheme="minorHAnsi"/>
                  </w:rPr>
                  <w:cr/>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47C8DCDE" w:rsidR="00B327E9" w:rsidRPr="00AB6D88" w:rsidRDefault="001C6A40"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B0F0A">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71526D01" w:rsidR="00B327E9" w:rsidRPr="00AB6D88" w:rsidRDefault="003B0F0A"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35205F68" w:rsidR="00B327E9" w:rsidRPr="00AB6D88" w:rsidRDefault="003B0F0A" w:rsidP="00F136AD">
                <w:pPr>
                  <w:rPr>
                    <w:rFonts w:cs="Arial"/>
                  </w:rPr>
                </w:pPr>
                <w:r>
                  <w:rPr>
                    <w:rFonts w:cs="Arial"/>
                  </w:rPr>
                  <w:t>Ireland</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6F70FA2F" w:rsidR="00B327E9" w:rsidRPr="006F4535" w:rsidRDefault="00B327E9" w:rsidP="00B327E9">
      <w:r w:rsidRPr="006F4535">
        <w:t>&lt;ESMA_COMMENT_</w:t>
      </w:r>
      <w:r w:rsidR="00996770">
        <w:rPr>
          <w:rFonts w:cs="Arial"/>
        </w:rPr>
        <w:t>TPF</w:t>
      </w:r>
      <w:r w:rsidRPr="006F4535">
        <w:t>_1&gt;</w:t>
      </w:r>
    </w:p>
    <w:p w14:paraId="7392A026" w14:textId="77777777" w:rsidR="003B0F0A" w:rsidRPr="004B0B20" w:rsidRDefault="003B0F0A" w:rsidP="000E4D38">
      <w:pPr>
        <w:rPr>
          <w:rFonts w:asciiTheme="minorHAnsi" w:hAnsiTheme="minorHAnsi" w:cstheme="minorHAnsi"/>
        </w:rPr>
      </w:pPr>
      <w:permStart w:id="1937050393" w:edGrp="everyone"/>
      <w:r w:rsidRPr="00796052">
        <w:rPr>
          <w:rFonts w:asciiTheme="minorHAnsi" w:hAnsiTheme="minorHAnsi" w:cstheme="minorHAnsi"/>
        </w:rPr>
        <w:t>Th</w:t>
      </w:r>
      <w:r>
        <w:rPr>
          <w:rFonts w:asciiTheme="minorHAnsi" w:hAnsiTheme="minorHAnsi" w:cstheme="minorHAnsi"/>
        </w:rPr>
        <w:t xml:space="preserve">ese responses have </w:t>
      </w:r>
      <w:r w:rsidRPr="00796052">
        <w:rPr>
          <w:rFonts w:asciiTheme="minorHAnsi" w:hAnsiTheme="minorHAnsi" w:cstheme="minorHAnsi"/>
        </w:rPr>
        <w:t xml:space="preserve">been compiled by </w:t>
      </w:r>
      <w:r>
        <w:rPr>
          <w:rFonts w:asciiTheme="minorHAnsi" w:hAnsiTheme="minorHAnsi" w:cstheme="minorHAnsi"/>
        </w:rPr>
        <w:t>the</w:t>
      </w:r>
      <w:r w:rsidRPr="00796052">
        <w:rPr>
          <w:rFonts w:asciiTheme="minorHAnsi" w:hAnsiTheme="minorHAnsi" w:cstheme="minorHAnsi"/>
        </w:rPr>
        <w:t xml:space="preserve"> Irish Debt Securities Association</w:t>
      </w:r>
      <w:r>
        <w:rPr>
          <w:rFonts w:asciiTheme="minorHAnsi" w:hAnsiTheme="minorHAnsi" w:cstheme="minorHAnsi"/>
        </w:rPr>
        <w:t xml:space="preserve"> (IDSA), which </w:t>
      </w:r>
      <w:r w:rsidRPr="004B0B20">
        <w:rPr>
          <w:rFonts w:asciiTheme="minorHAnsi" w:hAnsiTheme="minorHAnsi" w:cstheme="minorHAnsi"/>
        </w:rPr>
        <w:t xml:space="preserve">is an industry organisation, established to promote and develop Ireland as the premier European location for activities to support the global structured finance, debt securities and the specialist securities industries. The membership of the IDSA includes corporate administrators, trustees, audit firms, legal advisors, listing agents, and other parties involved in the structuring and management of Securitisations and SPVs in the industry in Ireland. The IDSA promotes a responsible, sustainable and effective environment within which debt securities and other specialist securities can be used to facilitate transactions, to create investment products and to raise capital funding, </w:t>
      </w:r>
      <w:proofErr w:type="gramStart"/>
      <w:r w:rsidRPr="004B0B20">
        <w:rPr>
          <w:rFonts w:asciiTheme="minorHAnsi" w:hAnsiTheme="minorHAnsi" w:cstheme="minorHAnsi"/>
        </w:rPr>
        <w:t>similar to</w:t>
      </w:r>
      <w:proofErr w:type="gramEnd"/>
      <w:r w:rsidRPr="004B0B20">
        <w:rPr>
          <w:rFonts w:asciiTheme="minorHAnsi" w:hAnsiTheme="minorHAnsi" w:cstheme="minorHAnsi"/>
        </w:rPr>
        <w:t xml:space="preserve"> that of the European Commission’s Capital Markets Union (EC CMU) initiative. </w:t>
      </w:r>
    </w:p>
    <w:p w14:paraId="5B16CE09" w14:textId="77777777" w:rsidR="003B0F0A" w:rsidRPr="004B0B20" w:rsidRDefault="003B0F0A" w:rsidP="000E4D38">
      <w:pPr>
        <w:rPr>
          <w:rFonts w:asciiTheme="minorHAnsi" w:hAnsiTheme="minorHAnsi" w:cstheme="minorHAnsi"/>
        </w:rPr>
      </w:pPr>
    </w:p>
    <w:p w14:paraId="03F5FFC5" w14:textId="14EB0F68" w:rsidR="00B327E9" w:rsidRPr="00BF28DA" w:rsidRDefault="003B0F0A" w:rsidP="00B327E9">
      <w:r>
        <w:rPr>
          <w:rFonts w:asciiTheme="minorHAnsi" w:hAnsiTheme="minorHAnsi" w:cstheme="minorHAnsi"/>
        </w:rPr>
        <w:t xml:space="preserve">The IDSA welcomes the opportunity </w:t>
      </w:r>
      <w:r w:rsidRPr="004B0B20">
        <w:rPr>
          <w:rFonts w:asciiTheme="minorHAnsi" w:hAnsiTheme="minorHAnsi" w:cstheme="minorHAnsi"/>
        </w:rPr>
        <w:t xml:space="preserve">to reflect the views of </w:t>
      </w:r>
      <w:r>
        <w:rPr>
          <w:rFonts w:asciiTheme="minorHAnsi" w:hAnsiTheme="minorHAnsi" w:cstheme="minorHAnsi"/>
        </w:rPr>
        <w:t xml:space="preserve">the industry and to provide input into this consultation process into </w:t>
      </w:r>
      <w:r w:rsidRPr="00E34D66">
        <w:rPr>
          <w:rFonts w:asciiTheme="minorHAnsi" w:hAnsiTheme="minorHAnsi" w:cstheme="minorHAnsi"/>
          <w:sz w:val="22"/>
          <w:szCs w:val="22"/>
        </w:rPr>
        <w:t>ESMA33-128-33</w:t>
      </w:r>
      <w:r w:rsidRPr="004B0B20">
        <w:rPr>
          <w:rFonts w:asciiTheme="minorHAnsi" w:hAnsiTheme="minorHAnsi" w:cstheme="minorHAnsi"/>
        </w:rPr>
        <w:t xml:space="preserve"> </w:t>
      </w:r>
      <w:r w:rsidRPr="00E34D66">
        <w:rPr>
          <w:rFonts w:asciiTheme="minorHAnsi" w:hAnsiTheme="minorHAnsi" w:cstheme="minorHAnsi"/>
        </w:rPr>
        <w:t>Draft technical standards on content and format of the STS notification under the Securitisation Regulation</w:t>
      </w:r>
      <w:permEnd w:id="1937050393"/>
      <w:r w:rsidR="00B327E9" w:rsidRPr="00BF28DA">
        <w:t>&lt;ESMA_COMMENT_</w:t>
      </w:r>
      <w:r w:rsidR="00996770">
        <w:rPr>
          <w:rFonts w:cs="Arial"/>
        </w:rPr>
        <w:t>TPF</w:t>
      </w:r>
      <w:r w:rsidR="000A58BE">
        <w:t>_</w:t>
      </w:r>
      <w:r w:rsidR="00B327E9"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3BF50B4" w14:textId="48127E92" w:rsidR="000A58BE" w:rsidRDefault="00F31E57" w:rsidP="00820CBA">
      <w:pPr>
        <w:pStyle w:val="Questionstyle"/>
        <w:numPr>
          <w:ilvl w:val="0"/>
          <w:numId w:val="39"/>
        </w:numPr>
      </w:pPr>
      <w:r w:rsidRPr="0075015C">
        <w:br w:type="page"/>
      </w:r>
    </w:p>
    <w:p w14:paraId="5A6C590E" w14:textId="77777777" w:rsidR="00820CBA" w:rsidRDefault="00820CBA" w:rsidP="00820CBA">
      <w:pPr>
        <w:pStyle w:val="Questionstyle"/>
        <w:numPr>
          <w:ilvl w:val="0"/>
          <w:numId w:val="40"/>
        </w:numPr>
      </w:pPr>
      <w:r w:rsidRPr="007E23DA">
        <w:lastRenderedPageBreak/>
        <w:fldChar w:fldCharType="begin"/>
      </w:r>
      <w:r w:rsidRPr="007E23DA">
        <w:instrText xml:space="preserve"> REF _Ref491967905 \h  \* MERGEFORMAT </w:instrText>
      </w:r>
      <w:r w:rsidRPr="007E23DA">
        <w:fldChar w:fldCharType="separate"/>
      </w:r>
      <w:r w:rsidRPr="007E23DA">
        <w:t>: Do you agree with the proposed general information required from applicants to provide third-party STS verification services? Are there any other items that should be considered?</w:t>
      </w:r>
      <w:r w:rsidRPr="007E23DA">
        <w:fldChar w:fldCharType="end"/>
      </w:r>
    </w:p>
    <w:p w14:paraId="09A15017" w14:textId="77777777" w:rsidR="00820CBA" w:rsidRDefault="00820CBA" w:rsidP="00820CBA">
      <w:pPr>
        <w:rPr>
          <w:rFonts w:cs="Arial"/>
        </w:rPr>
      </w:pPr>
      <w:r>
        <w:rPr>
          <w:rFonts w:cs="Arial"/>
        </w:rPr>
        <w:t>&lt;ESMA_QUESTION_TPF_1&gt;</w:t>
      </w:r>
    </w:p>
    <w:p w14:paraId="7262F7A9" w14:textId="77777777" w:rsidR="003B0F0A" w:rsidRPr="00A21B5D" w:rsidRDefault="003B0F0A" w:rsidP="003B0F0A">
      <w:pPr>
        <w:ind w:left="426"/>
        <w:jc w:val="both"/>
        <w:rPr>
          <w:rFonts w:ascii="Times New Roman" w:hAnsi="Times New Roman"/>
          <w:sz w:val="24"/>
        </w:rPr>
      </w:pPr>
      <w:permStart w:id="345993390" w:edGrp="everyone"/>
      <w:r w:rsidRPr="008F2FE7">
        <w:rPr>
          <w:rFonts w:ascii="Times New Roman" w:hAnsi="Times New Roman"/>
          <w:sz w:val="24"/>
        </w:rPr>
        <w:t>In developing this proposed regulator</w:t>
      </w:r>
      <w:r>
        <w:rPr>
          <w:rFonts w:ascii="Times New Roman" w:hAnsi="Times New Roman"/>
          <w:sz w:val="24"/>
        </w:rPr>
        <w:t>y</w:t>
      </w:r>
      <w:r w:rsidRPr="008F2FE7">
        <w:rPr>
          <w:rFonts w:ascii="Times New Roman" w:hAnsi="Times New Roman"/>
          <w:sz w:val="24"/>
        </w:rPr>
        <w:t xml:space="preserve"> technical standard, ESMA has </w:t>
      </w:r>
      <w:proofErr w:type="gramStart"/>
      <w:r w:rsidRPr="008F2FE7">
        <w:rPr>
          <w:rFonts w:ascii="Times New Roman" w:hAnsi="Times New Roman"/>
          <w:sz w:val="24"/>
        </w:rPr>
        <w:t>taken into account</w:t>
      </w:r>
      <w:proofErr w:type="gramEnd"/>
      <w:r w:rsidRPr="008F2FE7">
        <w:rPr>
          <w:rFonts w:ascii="Times New Roman" w:hAnsi="Times New Roman"/>
          <w:sz w:val="24"/>
        </w:rPr>
        <w:t xml:space="preserve"> the existing requirements for authorisation of Credit Rating Agencies and statutory auditors. ESMA states that it has applied a proportional approach and considered the specific circumstances and role of the third party applying for authorisation to be able to verify the compliance of the securitisation with the STS criteria as specified in the Article 28 of the </w:t>
      </w:r>
      <w:r>
        <w:rPr>
          <w:rFonts w:ascii="Times New Roman" w:hAnsi="Times New Roman"/>
          <w:sz w:val="24"/>
        </w:rPr>
        <w:t xml:space="preserve">STS </w:t>
      </w:r>
      <w:r w:rsidRPr="008F2FE7">
        <w:rPr>
          <w:rFonts w:ascii="Times New Roman" w:hAnsi="Times New Roman"/>
          <w:sz w:val="24"/>
        </w:rPr>
        <w:t>Regulation.</w:t>
      </w:r>
    </w:p>
    <w:p w14:paraId="59C404A1" w14:textId="77777777" w:rsidR="003B0F0A" w:rsidRPr="00A21B5D" w:rsidRDefault="003B0F0A" w:rsidP="003B0F0A">
      <w:pPr>
        <w:ind w:left="426" w:hanging="426"/>
        <w:jc w:val="both"/>
        <w:rPr>
          <w:rFonts w:ascii="Times New Roman" w:hAnsi="Times New Roman"/>
          <w:sz w:val="24"/>
        </w:rPr>
      </w:pPr>
    </w:p>
    <w:p w14:paraId="4FF2869A"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Recital 34 of STS Regulation states that the involvement of third parties in helping to check compliance of a securitisation with the STS requirements could be useful for investors, originators, sponsors and SSPEs and contribute to increasing confidence in the market for STS securitisations. Originators, sponsors and SSPEs could also use the services of a third party authorised in accordance with this Regulation to assess whether their securitisation complies with the STS criteria. Those third parties should be subject to authorisation by competent authorities. The notification to ESMA and the subsequent publication on ESMA’s website should mention whether STS compliance was confirmed by an authorised third party. However, it is essential that investors make their own assessment, take responsibility for their investment decisions and do not mechanistically rely on such third parties. The involvement of a third party should not in any way shift away from originators, sponsors and institutional investors the ultimate legal responsibility for notifying and treating a securitisation transaction as STS.</w:t>
      </w:r>
    </w:p>
    <w:p w14:paraId="2622B44A" w14:textId="77777777" w:rsidR="003B0F0A" w:rsidRPr="00A21B5D" w:rsidRDefault="003B0F0A" w:rsidP="003B0F0A">
      <w:pPr>
        <w:ind w:left="426" w:hanging="426"/>
        <w:jc w:val="both"/>
        <w:rPr>
          <w:rFonts w:ascii="Times New Roman" w:hAnsi="Times New Roman"/>
          <w:sz w:val="24"/>
        </w:rPr>
      </w:pPr>
    </w:p>
    <w:p w14:paraId="1C6B3568"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Article 27 (2) of the RTS states that “</w:t>
      </w:r>
      <w:r w:rsidRPr="005056FB">
        <w:rPr>
          <w:rFonts w:ascii="Times New Roman" w:hAnsi="Times New Roman"/>
          <w:i/>
          <w:sz w:val="24"/>
        </w:rPr>
        <w:t>the originator, sponsor or SSPE may use the service of a third party authorised under Article 28 to check whether a securitisation complies with Articles 19 to 22 or Articles 23 to 26. However, the use of such a service shall not, under any circumstances, affect the liability of the originator, sponsor or SSPE in respect of their legal obligations under this Regulation. The use of such service shall not affect the obligations imposed on institutional investors as set out in Article 5.</w:t>
      </w:r>
      <w:r w:rsidRPr="00A21B5D">
        <w:rPr>
          <w:rFonts w:ascii="Times New Roman" w:hAnsi="Times New Roman"/>
          <w:sz w:val="24"/>
        </w:rPr>
        <w:t>”</w:t>
      </w:r>
    </w:p>
    <w:p w14:paraId="57EC84F0" w14:textId="77777777" w:rsidR="003B0F0A" w:rsidRPr="00A21B5D" w:rsidRDefault="003B0F0A" w:rsidP="003B0F0A">
      <w:pPr>
        <w:ind w:left="426" w:hanging="426"/>
        <w:jc w:val="both"/>
        <w:rPr>
          <w:rFonts w:ascii="Times New Roman" w:hAnsi="Times New Roman"/>
          <w:sz w:val="24"/>
        </w:rPr>
      </w:pPr>
    </w:p>
    <w:p w14:paraId="27B4C0D5"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 xml:space="preserve">In relation to </w:t>
      </w:r>
      <w:r w:rsidRPr="00C63606">
        <w:rPr>
          <w:rFonts w:ascii="Times New Roman" w:hAnsi="Times New Roman"/>
          <w:noProof/>
          <w:sz w:val="24"/>
        </w:rPr>
        <w:t>investors</w:t>
      </w:r>
      <w:r>
        <w:rPr>
          <w:rFonts w:ascii="Times New Roman" w:hAnsi="Times New Roman"/>
          <w:noProof/>
          <w:sz w:val="24"/>
        </w:rPr>
        <w:t>,</w:t>
      </w:r>
      <w:r w:rsidRPr="00A21B5D">
        <w:rPr>
          <w:rFonts w:ascii="Times New Roman" w:hAnsi="Times New Roman"/>
          <w:sz w:val="24"/>
        </w:rPr>
        <w:t xml:space="preserve"> the RTS states that “</w:t>
      </w:r>
      <w:r w:rsidRPr="005056FB">
        <w:rPr>
          <w:rFonts w:ascii="Times New Roman" w:hAnsi="Times New Roman"/>
          <w:i/>
          <w:sz w:val="24"/>
        </w:rPr>
        <w:t xml:space="preserve">It is necessary that investors also exercise appropriate due diligence </w:t>
      </w:r>
      <w:proofErr w:type="gramStart"/>
      <w:r w:rsidRPr="005056FB">
        <w:rPr>
          <w:rFonts w:ascii="Times New Roman" w:hAnsi="Times New Roman"/>
          <w:i/>
          <w:sz w:val="24"/>
        </w:rPr>
        <w:t>with regard to</w:t>
      </w:r>
      <w:proofErr w:type="gramEnd"/>
      <w:r w:rsidRPr="005056FB">
        <w:rPr>
          <w:rFonts w:ascii="Times New Roman" w:hAnsi="Times New Roman"/>
          <w:i/>
          <w:sz w:val="24"/>
        </w:rPr>
        <w:t xml:space="preserve"> STS securitisations. They can inform themselves with the information disclosed by the securitising parties, </w:t>
      </w:r>
      <w:proofErr w:type="gramStart"/>
      <w:r w:rsidRPr="005056FB">
        <w:rPr>
          <w:rFonts w:ascii="Times New Roman" w:hAnsi="Times New Roman"/>
          <w:i/>
          <w:sz w:val="24"/>
        </w:rPr>
        <w:t xml:space="preserve">in </w:t>
      </w:r>
      <w:r w:rsidRPr="003E7E8E">
        <w:rPr>
          <w:rFonts w:ascii="Times New Roman" w:hAnsi="Times New Roman"/>
          <w:i/>
          <w:noProof/>
          <w:sz w:val="24"/>
        </w:rPr>
        <w:t>particular</w:t>
      </w:r>
      <w:r w:rsidRPr="005056FB">
        <w:rPr>
          <w:rFonts w:ascii="Times New Roman" w:hAnsi="Times New Roman"/>
          <w:i/>
          <w:sz w:val="24"/>
        </w:rPr>
        <w:t xml:space="preserve"> the</w:t>
      </w:r>
      <w:proofErr w:type="gramEnd"/>
      <w:r w:rsidRPr="005056FB">
        <w:rPr>
          <w:rFonts w:ascii="Times New Roman" w:hAnsi="Times New Roman"/>
          <w:i/>
          <w:sz w:val="24"/>
        </w:rPr>
        <w:t xml:space="preserve"> STS notification and the related information disclosed in this context, which should provide investors with all the relevant information on the way STS criteria are met. Institutional investors should be able to place appropriate reliance on the STS notification and the information disclosed by the originator, sponsor and securitisation special purpose entity (SSPE) on whether a securitisation meets the STS requirements. However, they should not rely solely and mechanistically on such a notification and such information.</w:t>
      </w:r>
      <w:r w:rsidRPr="00A21B5D">
        <w:rPr>
          <w:rFonts w:ascii="Times New Roman" w:hAnsi="Times New Roman"/>
          <w:sz w:val="24"/>
        </w:rPr>
        <w:t>”</w:t>
      </w:r>
    </w:p>
    <w:p w14:paraId="5C567675" w14:textId="77777777" w:rsidR="003B0F0A" w:rsidRPr="00A21B5D" w:rsidRDefault="003B0F0A" w:rsidP="003B0F0A">
      <w:pPr>
        <w:ind w:left="426" w:hanging="426"/>
        <w:jc w:val="both"/>
        <w:rPr>
          <w:rFonts w:ascii="Times New Roman" w:hAnsi="Times New Roman"/>
          <w:sz w:val="24"/>
        </w:rPr>
      </w:pPr>
    </w:p>
    <w:p w14:paraId="7C0B407D"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It is clear from the RTS that the third-party verification of the STS status for a securitisation is a useful task</w:t>
      </w:r>
      <w:r>
        <w:rPr>
          <w:rFonts w:ascii="Times New Roman" w:hAnsi="Times New Roman"/>
          <w:sz w:val="24"/>
        </w:rPr>
        <w:t xml:space="preserve">, though </w:t>
      </w:r>
      <w:r w:rsidRPr="00A21B5D">
        <w:rPr>
          <w:rFonts w:ascii="Times New Roman" w:hAnsi="Times New Roman"/>
          <w:sz w:val="24"/>
        </w:rPr>
        <w:t xml:space="preserve">it does not affect the liability of the originator, sponsor or SSPE in respect of their legal obligations under the </w:t>
      </w:r>
      <w:r>
        <w:rPr>
          <w:rFonts w:ascii="Times New Roman" w:hAnsi="Times New Roman"/>
          <w:sz w:val="24"/>
        </w:rPr>
        <w:t xml:space="preserve">STS </w:t>
      </w:r>
      <w:r w:rsidRPr="00A21B5D">
        <w:rPr>
          <w:rFonts w:ascii="Times New Roman" w:hAnsi="Times New Roman"/>
          <w:sz w:val="24"/>
        </w:rPr>
        <w:t>Regulation or for investors who may not rely solely and mechanistically on this notification.</w:t>
      </w:r>
    </w:p>
    <w:p w14:paraId="56B60162" w14:textId="77777777" w:rsidR="003B0F0A" w:rsidRPr="00A21B5D" w:rsidRDefault="003B0F0A" w:rsidP="003B0F0A">
      <w:pPr>
        <w:ind w:left="426" w:hanging="426"/>
        <w:jc w:val="both"/>
        <w:rPr>
          <w:rFonts w:ascii="Times New Roman" w:hAnsi="Times New Roman"/>
          <w:sz w:val="24"/>
        </w:rPr>
      </w:pPr>
    </w:p>
    <w:p w14:paraId="1F5FDDC0" w14:textId="77777777" w:rsidR="003B0F0A" w:rsidRPr="008F2FE7" w:rsidRDefault="003B0F0A" w:rsidP="003B0F0A">
      <w:pPr>
        <w:ind w:left="426"/>
        <w:jc w:val="both"/>
        <w:rPr>
          <w:rFonts w:ascii="Times New Roman" w:hAnsi="Times New Roman"/>
          <w:sz w:val="24"/>
        </w:rPr>
      </w:pPr>
      <w:r w:rsidRPr="008F2FE7">
        <w:rPr>
          <w:rFonts w:ascii="Times New Roman" w:hAnsi="Times New Roman"/>
          <w:sz w:val="24"/>
        </w:rPr>
        <w:t>Credit Ratings Agenc</w:t>
      </w:r>
      <w:r>
        <w:rPr>
          <w:rFonts w:ascii="Times New Roman" w:hAnsi="Times New Roman"/>
          <w:sz w:val="24"/>
        </w:rPr>
        <w:t>ies</w:t>
      </w:r>
      <w:r w:rsidRPr="008F2FE7">
        <w:rPr>
          <w:rFonts w:ascii="Times New Roman" w:hAnsi="Times New Roman"/>
          <w:sz w:val="24"/>
        </w:rPr>
        <w:t xml:space="preserve"> and auditor</w:t>
      </w:r>
      <w:r>
        <w:rPr>
          <w:rFonts w:ascii="Times New Roman" w:hAnsi="Times New Roman"/>
          <w:sz w:val="24"/>
        </w:rPr>
        <w:t>s</w:t>
      </w:r>
      <w:r w:rsidRPr="008F2FE7">
        <w:rPr>
          <w:rFonts w:ascii="Times New Roman" w:hAnsi="Times New Roman"/>
          <w:sz w:val="24"/>
        </w:rPr>
        <w:t xml:space="preserve"> have a much more onerous role in producing credit ratings which can have a big impact on capital a risk-weightings for regulated institutions and </w:t>
      </w:r>
      <w:r w:rsidRPr="008F2FE7">
        <w:rPr>
          <w:rFonts w:ascii="Times New Roman" w:hAnsi="Times New Roman"/>
          <w:sz w:val="24"/>
        </w:rPr>
        <w:lastRenderedPageBreak/>
        <w:t xml:space="preserve">statutory accounts.  Yet the information requirements for third-party firms providing STS verification look to be </w:t>
      </w:r>
      <w:proofErr w:type="gramStart"/>
      <w:r w:rsidRPr="008F2FE7">
        <w:rPr>
          <w:rFonts w:ascii="Times New Roman" w:hAnsi="Times New Roman"/>
          <w:sz w:val="24"/>
        </w:rPr>
        <w:t>similar</w:t>
      </w:r>
      <w:r>
        <w:rPr>
          <w:rFonts w:ascii="Times New Roman" w:hAnsi="Times New Roman"/>
          <w:sz w:val="24"/>
        </w:rPr>
        <w:t xml:space="preserve"> to</w:t>
      </w:r>
      <w:proofErr w:type="gramEnd"/>
      <w:r>
        <w:rPr>
          <w:rFonts w:ascii="Times New Roman" w:hAnsi="Times New Roman"/>
          <w:sz w:val="24"/>
        </w:rPr>
        <w:t xml:space="preserve"> those required for Credit Rating Agencies and auditors</w:t>
      </w:r>
      <w:r w:rsidRPr="008F2FE7">
        <w:rPr>
          <w:rFonts w:ascii="Times New Roman" w:hAnsi="Times New Roman"/>
          <w:sz w:val="24"/>
        </w:rPr>
        <w:t xml:space="preserve">. </w:t>
      </w:r>
    </w:p>
    <w:p w14:paraId="3BCADDBA" w14:textId="77777777" w:rsidR="003B0F0A" w:rsidRPr="008F2FE7" w:rsidRDefault="003B0F0A" w:rsidP="003B0F0A">
      <w:pPr>
        <w:ind w:left="426"/>
        <w:jc w:val="both"/>
        <w:rPr>
          <w:rFonts w:ascii="Times New Roman" w:hAnsi="Times New Roman"/>
          <w:sz w:val="24"/>
        </w:rPr>
      </w:pPr>
    </w:p>
    <w:p w14:paraId="70A8ED47" w14:textId="77777777" w:rsidR="003B0F0A" w:rsidRDefault="003B0F0A" w:rsidP="003B0F0A">
      <w:pPr>
        <w:ind w:left="426"/>
        <w:jc w:val="both"/>
        <w:rPr>
          <w:rFonts w:ascii="Times New Roman" w:hAnsi="Times New Roman"/>
          <w:sz w:val="24"/>
        </w:rPr>
      </w:pPr>
      <w:r w:rsidRPr="008F2FE7">
        <w:rPr>
          <w:rFonts w:ascii="Times New Roman" w:hAnsi="Times New Roman"/>
          <w:sz w:val="24"/>
        </w:rPr>
        <w:t xml:space="preserve">The information requirements are onerous in terms of the level of detail that needs to be supplied to the competent </w:t>
      </w:r>
      <w:proofErr w:type="gramStart"/>
      <w:r w:rsidRPr="008F2FE7">
        <w:rPr>
          <w:rFonts w:ascii="Times New Roman" w:hAnsi="Times New Roman"/>
          <w:sz w:val="24"/>
        </w:rPr>
        <w:t xml:space="preserve">authority, </w:t>
      </w:r>
      <w:r>
        <w:rPr>
          <w:rFonts w:ascii="Times New Roman" w:hAnsi="Times New Roman"/>
          <w:sz w:val="24"/>
        </w:rPr>
        <w:t>and</w:t>
      </w:r>
      <w:proofErr w:type="gramEnd"/>
      <w:r>
        <w:rPr>
          <w:rFonts w:ascii="Times New Roman" w:hAnsi="Times New Roman"/>
          <w:sz w:val="24"/>
        </w:rPr>
        <w:t xml:space="preserve"> cover a wide range of areas including </w:t>
      </w:r>
      <w:r w:rsidRPr="008F2FE7">
        <w:rPr>
          <w:rFonts w:ascii="Times New Roman" w:hAnsi="Times New Roman"/>
          <w:sz w:val="24"/>
        </w:rPr>
        <w:t>the management, ownership and organisational structures, internal controls, corporate governance, policies and procedures to ensure independence and avoidance of conflicts of interest and as well as fee structures.  Finally, there is the necessity to have operational safeguards and internal processes to assess STS compliance.</w:t>
      </w:r>
    </w:p>
    <w:p w14:paraId="1BA3AC4A" w14:textId="77777777" w:rsidR="003B0F0A" w:rsidRPr="00A21B5D" w:rsidRDefault="003B0F0A" w:rsidP="003B0F0A">
      <w:pPr>
        <w:ind w:left="426"/>
        <w:jc w:val="both"/>
        <w:rPr>
          <w:rFonts w:ascii="Times New Roman" w:hAnsi="Times New Roman"/>
          <w:sz w:val="24"/>
        </w:rPr>
      </w:pPr>
    </w:p>
    <w:p w14:paraId="71155125" w14:textId="77777777" w:rsidR="003B0F0A" w:rsidRDefault="003B0F0A" w:rsidP="003B0F0A">
      <w:pPr>
        <w:ind w:left="426"/>
        <w:jc w:val="both"/>
        <w:rPr>
          <w:rFonts w:ascii="Times New Roman" w:hAnsi="Times New Roman"/>
          <w:sz w:val="24"/>
        </w:rPr>
      </w:pPr>
      <w:r w:rsidRPr="008F2FE7">
        <w:rPr>
          <w:rFonts w:ascii="Times New Roman" w:hAnsi="Times New Roman"/>
          <w:sz w:val="24"/>
        </w:rPr>
        <w:t xml:space="preserve">As this is a new market, there is a danger that the lack of clarity on how pricing is to be calculated and the onerous registration process could result in a few firms applying for approval to verify STS transactions which could result in a lack of competition and a concentration in the firms providing verification services. </w:t>
      </w:r>
    </w:p>
    <w:p w14:paraId="59D6F678" w14:textId="77777777" w:rsidR="003B0F0A" w:rsidRDefault="003B0F0A" w:rsidP="003B0F0A">
      <w:pPr>
        <w:ind w:left="426"/>
        <w:jc w:val="both"/>
        <w:rPr>
          <w:rFonts w:ascii="Times New Roman" w:hAnsi="Times New Roman"/>
          <w:sz w:val="24"/>
        </w:rPr>
      </w:pPr>
    </w:p>
    <w:p w14:paraId="442C4E3E" w14:textId="1C5FEB1D" w:rsidR="003B0F0A" w:rsidRPr="00A21B5D" w:rsidRDefault="003B0F0A" w:rsidP="003B0F0A">
      <w:pPr>
        <w:ind w:left="426"/>
        <w:jc w:val="both"/>
        <w:rPr>
          <w:rFonts w:ascii="Times New Roman" w:hAnsi="Times New Roman"/>
          <w:sz w:val="24"/>
        </w:rPr>
      </w:pPr>
      <w:r>
        <w:rPr>
          <w:rFonts w:ascii="Times New Roman" w:hAnsi="Times New Roman"/>
          <w:sz w:val="24"/>
        </w:rPr>
        <w:t>The IDSA is concerned that the onerous information requirements may result in few participants applying for verification status which could lead to an uncompetitive market dominated by one or a small number of firms, at worst a monopoly and at best an oligopoly.</w:t>
      </w:r>
    </w:p>
    <w:permEnd w:id="345993390"/>
    <w:p w14:paraId="2F792472" w14:textId="77777777" w:rsidR="00820CBA" w:rsidRDefault="00820CBA" w:rsidP="00820CBA">
      <w:pPr>
        <w:rPr>
          <w:rFonts w:cs="Arial"/>
        </w:rPr>
      </w:pPr>
      <w:r>
        <w:rPr>
          <w:rFonts w:cs="Arial"/>
        </w:rPr>
        <w:t>&lt;ESMA_QUESTION_TPF_1&gt;</w:t>
      </w:r>
    </w:p>
    <w:p w14:paraId="5577F876" w14:textId="77777777" w:rsidR="00820CBA" w:rsidRDefault="00820CBA" w:rsidP="00820CBA">
      <w:pPr>
        <w:rPr>
          <w:rFonts w:cs="Arial"/>
        </w:rPr>
      </w:pPr>
    </w:p>
    <w:p w14:paraId="7683B8E8" w14:textId="77777777" w:rsidR="00820CBA" w:rsidRDefault="00820CBA" w:rsidP="00820CBA">
      <w:pPr>
        <w:pStyle w:val="Questionstyle"/>
        <w:numPr>
          <w:ilvl w:val="0"/>
          <w:numId w:val="40"/>
        </w:numPr>
      </w:pPr>
      <w:r>
        <w:fldChar w:fldCharType="begin"/>
      </w:r>
      <w:r>
        <w:instrText xml:space="preserve"> REF _Ref491967906 \h  \* MERGEFORMAT </w:instrText>
      </w:r>
      <w:r>
        <w:fldChar w:fldCharType="separate"/>
      </w:r>
      <w:r w:rsidRPr="007E23DA">
        <w:t xml:space="preserve">: </w:t>
      </w:r>
      <w:r w:rsidRPr="00FC6FEE">
        <w:t xml:space="preserve">Do you agree with the </w:t>
      </w:r>
      <w:r>
        <w:t xml:space="preserve">proposed </w:t>
      </w:r>
      <w:r w:rsidRPr="00FC6FEE">
        <w:t>information required from applicants on their pricing policies? Are there any other items that should be considered to determine that fees are non-discriminatory and cost-based, and not differentiated depending on the results of the applicant’s STS assessment?</w:t>
      </w:r>
      <w:r>
        <w:fldChar w:fldCharType="end"/>
      </w:r>
    </w:p>
    <w:p w14:paraId="365987A8" w14:textId="77777777" w:rsidR="00820CBA" w:rsidRDefault="00820CBA" w:rsidP="00820CBA">
      <w:pPr>
        <w:rPr>
          <w:rFonts w:cs="Arial"/>
        </w:rPr>
      </w:pPr>
      <w:r>
        <w:rPr>
          <w:rFonts w:cs="Arial"/>
        </w:rPr>
        <w:t>&lt;ESMA_QUESTION_TPF_2&gt;</w:t>
      </w:r>
    </w:p>
    <w:p w14:paraId="70589204" w14:textId="77777777" w:rsidR="003B0F0A" w:rsidRPr="00A21B5D" w:rsidRDefault="003B0F0A" w:rsidP="003B0F0A">
      <w:pPr>
        <w:ind w:left="426"/>
        <w:jc w:val="both"/>
        <w:rPr>
          <w:rFonts w:ascii="Times New Roman" w:hAnsi="Times New Roman"/>
          <w:sz w:val="24"/>
        </w:rPr>
      </w:pPr>
      <w:permStart w:id="1964593633" w:edGrp="everyone"/>
      <w:r w:rsidRPr="00A21B5D">
        <w:rPr>
          <w:rFonts w:ascii="Times New Roman" w:hAnsi="Times New Roman"/>
          <w:sz w:val="24"/>
        </w:rPr>
        <w:t xml:space="preserve">The proposals have been drafted to enable the competent authorities to assess any application to provide </w:t>
      </w:r>
      <w:r w:rsidRPr="003E7E8E">
        <w:rPr>
          <w:rFonts w:ascii="Times New Roman" w:hAnsi="Times New Roman"/>
          <w:noProof/>
          <w:sz w:val="24"/>
        </w:rPr>
        <w:t>third</w:t>
      </w:r>
      <w:r>
        <w:rPr>
          <w:rFonts w:ascii="Times New Roman" w:hAnsi="Times New Roman"/>
          <w:noProof/>
          <w:sz w:val="24"/>
        </w:rPr>
        <w:t>-</w:t>
      </w:r>
      <w:r w:rsidRPr="003E7E8E">
        <w:rPr>
          <w:rFonts w:ascii="Times New Roman" w:hAnsi="Times New Roman"/>
          <w:noProof/>
          <w:sz w:val="24"/>
        </w:rPr>
        <w:t>party</w:t>
      </w:r>
      <w:r w:rsidRPr="00A21B5D">
        <w:rPr>
          <w:rFonts w:ascii="Times New Roman" w:hAnsi="Times New Roman"/>
          <w:sz w:val="24"/>
        </w:rPr>
        <w:t xml:space="preserve"> verification with the requirement that it </w:t>
      </w:r>
      <w:r w:rsidRPr="003E7E8E">
        <w:rPr>
          <w:rFonts w:ascii="Times New Roman" w:hAnsi="Times New Roman"/>
          <w:noProof/>
          <w:sz w:val="24"/>
        </w:rPr>
        <w:t>charge</w:t>
      </w:r>
      <w:r>
        <w:rPr>
          <w:rFonts w:ascii="Times New Roman" w:hAnsi="Times New Roman"/>
          <w:noProof/>
          <w:sz w:val="24"/>
        </w:rPr>
        <w:t>s</w:t>
      </w:r>
      <w:r w:rsidRPr="00A21B5D">
        <w:rPr>
          <w:rFonts w:ascii="Times New Roman" w:hAnsi="Times New Roman"/>
          <w:sz w:val="24"/>
        </w:rPr>
        <w:t xml:space="preserve"> only non-discriminatory and cost-based fees to the originators, sponsors or SSPEs without differentiating fees depending on, or correlated to, the results of its assessment.</w:t>
      </w:r>
    </w:p>
    <w:p w14:paraId="10E6859D" w14:textId="77777777" w:rsidR="003B0F0A" w:rsidRPr="00A21B5D" w:rsidRDefault="003B0F0A" w:rsidP="003B0F0A">
      <w:pPr>
        <w:ind w:left="426" w:hanging="426"/>
        <w:jc w:val="both"/>
        <w:rPr>
          <w:rFonts w:ascii="Times New Roman" w:hAnsi="Times New Roman"/>
          <w:sz w:val="24"/>
        </w:rPr>
      </w:pPr>
    </w:p>
    <w:p w14:paraId="76A089B6"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T</w:t>
      </w:r>
      <w:r w:rsidRPr="008F2FE7">
        <w:rPr>
          <w:rFonts w:ascii="Times New Roman" w:hAnsi="Times New Roman"/>
          <w:sz w:val="24"/>
        </w:rPr>
        <w:t>here is little discussion in the RTS on how to determine cost-based fee</w:t>
      </w:r>
      <w:r w:rsidRPr="00A21B5D">
        <w:rPr>
          <w:rFonts w:ascii="Times New Roman" w:hAnsi="Times New Roman"/>
          <w:sz w:val="24"/>
        </w:rPr>
        <w:t xml:space="preserve">s. Some guidance </w:t>
      </w:r>
      <w:r>
        <w:rPr>
          <w:rFonts w:ascii="Times New Roman" w:hAnsi="Times New Roman"/>
          <w:sz w:val="24"/>
        </w:rPr>
        <w:t>c</w:t>
      </w:r>
      <w:r w:rsidRPr="00A21B5D">
        <w:rPr>
          <w:rFonts w:ascii="Times New Roman" w:hAnsi="Times New Roman"/>
          <w:sz w:val="24"/>
        </w:rPr>
        <w:t xml:space="preserve">an be found in a recent ESMA publication, </w:t>
      </w:r>
      <w:r w:rsidRPr="00A21B5D">
        <w:rPr>
          <w:rFonts w:ascii="Times New Roman" w:hAnsi="Times New Roman"/>
          <w:i/>
          <w:sz w:val="24"/>
        </w:rPr>
        <w:t>Thematic Report On fees charged by Credit Rating Agencies and Trade Repositories (ESM A80-196-954)</w:t>
      </w:r>
      <w:r w:rsidRPr="00A21B5D">
        <w:rPr>
          <w:rFonts w:ascii="Times New Roman" w:hAnsi="Times New Roman"/>
          <w:sz w:val="24"/>
        </w:rPr>
        <w:t xml:space="preserve"> published in January 2018.  This looks at existing analysis carried ou</w:t>
      </w:r>
      <w:r>
        <w:rPr>
          <w:rFonts w:ascii="Times New Roman" w:hAnsi="Times New Roman"/>
          <w:sz w:val="24"/>
        </w:rPr>
        <w:t>t</w:t>
      </w:r>
      <w:r w:rsidRPr="00A21B5D">
        <w:rPr>
          <w:rFonts w:ascii="Times New Roman" w:hAnsi="Times New Roman"/>
          <w:sz w:val="24"/>
        </w:rPr>
        <w:t xml:space="preserve"> in relation to Credit </w:t>
      </w:r>
      <w:r>
        <w:rPr>
          <w:rFonts w:ascii="Times New Roman" w:hAnsi="Times New Roman"/>
          <w:sz w:val="24"/>
        </w:rPr>
        <w:t>R</w:t>
      </w:r>
      <w:r w:rsidRPr="00A21B5D">
        <w:rPr>
          <w:rFonts w:ascii="Times New Roman" w:hAnsi="Times New Roman"/>
          <w:sz w:val="24"/>
        </w:rPr>
        <w:t>ating Agencies (CRAs)and Trade Repositories (TR).</w:t>
      </w:r>
    </w:p>
    <w:p w14:paraId="07CFF55F" w14:textId="77777777" w:rsidR="003B0F0A" w:rsidRPr="00A21B5D" w:rsidRDefault="003B0F0A" w:rsidP="003B0F0A">
      <w:pPr>
        <w:ind w:left="426" w:hanging="426"/>
        <w:jc w:val="both"/>
        <w:rPr>
          <w:rFonts w:ascii="Times New Roman" w:hAnsi="Times New Roman"/>
          <w:sz w:val="24"/>
        </w:rPr>
      </w:pPr>
    </w:p>
    <w:p w14:paraId="5004E081"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The European Commission’s Impact Assessment accompanying the Proposal for a Regulation amending CRAR (CRAR III) defines “</w:t>
      </w:r>
      <w:r w:rsidRPr="005056FB">
        <w:rPr>
          <w:rFonts w:ascii="Times New Roman" w:hAnsi="Times New Roman"/>
          <w:i/>
          <w:sz w:val="24"/>
        </w:rPr>
        <w:t>not-discriminatory</w:t>
      </w:r>
      <w:r w:rsidRPr="00A21B5D">
        <w:rPr>
          <w:rFonts w:ascii="Times New Roman" w:hAnsi="Times New Roman"/>
          <w:sz w:val="24"/>
        </w:rPr>
        <w:t>” practices as fully based on the costs and not based on any form of contingency, thus stressing the link between non-discriminatory and cost-based principles.   The CRAR further explains that “</w:t>
      </w:r>
      <w:proofErr w:type="gramStart"/>
      <w:r w:rsidRPr="005056FB">
        <w:rPr>
          <w:rFonts w:ascii="Times New Roman" w:hAnsi="Times New Roman"/>
          <w:i/>
          <w:sz w:val="24"/>
        </w:rPr>
        <w:t>in order to</w:t>
      </w:r>
      <w:proofErr w:type="gramEnd"/>
      <w:r w:rsidRPr="005056FB">
        <w:rPr>
          <w:rFonts w:ascii="Times New Roman" w:hAnsi="Times New Roman"/>
          <w:i/>
          <w:sz w:val="24"/>
        </w:rPr>
        <w:t xml:space="preserve"> further mitigate conflicts of interest and facilitate fair competition in the credit rating market, it is important to ensure that the fees charged by credit rating agencies to clients are not discriminatory. Differences in fees charged for the same type of service should only be justifiable by a difference in the actual costs in providing this service to different clients</w:t>
      </w:r>
      <w:r w:rsidRPr="00A21B5D">
        <w:rPr>
          <w:rFonts w:ascii="Times New Roman" w:hAnsi="Times New Roman"/>
          <w:sz w:val="24"/>
        </w:rPr>
        <w:t>”.</w:t>
      </w:r>
    </w:p>
    <w:p w14:paraId="66258808" w14:textId="77777777" w:rsidR="003B0F0A" w:rsidRPr="00A21B5D" w:rsidRDefault="003B0F0A" w:rsidP="003B0F0A">
      <w:pPr>
        <w:ind w:left="426" w:hanging="426"/>
        <w:jc w:val="both"/>
        <w:rPr>
          <w:rFonts w:ascii="Times New Roman" w:hAnsi="Times New Roman"/>
          <w:sz w:val="24"/>
        </w:rPr>
      </w:pPr>
    </w:p>
    <w:p w14:paraId="48E08C92"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lastRenderedPageBreak/>
        <w:t>For the EMIR provisions on fees, it should be noted that non-discriminatory access to TRs is a broader requirement that goes beyond pricing practices. The Principles for Financial Market Infrastructures (PFMIs) provides that a Financial Market Infrastructure (FMI) should have “</w:t>
      </w:r>
      <w:r w:rsidRPr="005056FB">
        <w:rPr>
          <w:rFonts w:ascii="Times New Roman" w:hAnsi="Times New Roman"/>
          <w:i/>
          <w:sz w:val="24"/>
        </w:rPr>
        <w:t>objective, risk-based, and publicly disclosed criteria for participation, which permit fair and open access</w:t>
      </w:r>
      <w:r w:rsidRPr="00A21B5D">
        <w:rPr>
          <w:rFonts w:ascii="Times New Roman" w:hAnsi="Times New Roman"/>
          <w:sz w:val="24"/>
        </w:rPr>
        <w:t xml:space="preserve">”. The PFMIs explain </w:t>
      </w:r>
      <w:proofErr w:type="gramStart"/>
      <w:r w:rsidRPr="00A21B5D">
        <w:rPr>
          <w:rFonts w:ascii="Times New Roman" w:hAnsi="Times New Roman"/>
          <w:sz w:val="24"/>
        </w:rPr>
        <w:t>in particular that</w:t>
      </w:r>
      <w:proofErr w:type="gramEnd"/>
      <w:r w:rsidRPr="00A21B5D">
        <w:rPr>
          <w:rFonts w:ascii="Times New Roman" w:hAnsi="Times New Roman"/>
          <w:sz w:val="24"/>
        </w:rPr>
        <w:t xml:space="preserve"> the non-discrimination provision aims at </w:t>
      </w:r>
      <w:proofErr w:type="spellStart"/>
      <w:r w:rsidRPr="00A21B5D">
        <w:rPr>
          <w:rFonts w:ascii="Times New Roman" w:hAnsi="Times New Roman"/>
          <w:sz w:val="24"/>
        </w:rPr>
        <w:t>i</w:t>
      </w:r>
      <w:proofErr w:type="spellEnd"/>
      <w:r w:rsidRPr="00A21B5D">
        <w:rPr>
          <w:rFonts w:ascii="Times New Roman" w:hAnsi="Times New Roman"/>
          <w:sz w:val="24"/>
        </w:rPr>
        <w:t>) ensuring fair and open access to TR services to the extent possible and ii) not differentiating between specific types and classes of participants.</w:t>
      </w:r>
    </w:p>
    <w:p w14:paraId="697DABEE" w14:textId="77777777" w:rsidR="003B0F0A" w:rsidRPr="00A21B5D" w:rsidRDefault="003B0F0A" w:rsidP="003B0F0A">
      <w:pPr>
        <w:ind w:left="426" w:hanging="426"/>
        <w:jc w:val="both"/>
        <w:rPr>
          <w:rFonts w:ascii="Times New Roman" w:hAnsi="Times New Roman"/>
          <w:sz w:val="24"/>
        </w:rPr>
      </w:pPr>
    </w:p>
    <w:p w14:paraId="1539C313"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The other key concept for the regulation of fees is the “cost-based” (for CRAs) and “cost-related” (for TRs) requirement. Similarly, the regulations do not develop on how this principle should be applied. Therefore, the interpretation should be in line with other provisions of the CRAR and EMIR.</w:t>
      </w:r>
    </w:p>
    <w:p w14:paraId="63FD5BCF" w14:textId="77777777" w:rsidR="003B0F0A" w:rsidRPr="00A21B5D" w:rsidRDefault="003B0F0A" w:rsidP="003B0F0A">
      <w:pPr>
        <w:ind w:left="426" w:hanging="426"/>
        <w:jc w:val="both"/>
        <w:rPr>
          <w:rFonts w:ascii="Times New Roman" w:hAnsi="Times New Roman"/>
          <w:sz w:val="24"/>
        </w:rPr>
      </w:pPr>
    </w:p>
    <w:p w14:paraId="09B7FEFA"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From a semantic point of view, “cost-based” appears to be a more stringent notion compared to “cost-related”.  However, the focus of both the CRAR and EMIR provisions is that price setting should not be arbitrary and the baseline for price setting should be costs rather than any other possibly discriminatory criteria. The legislator seeks costs to be the underlying factor in pricing policy, while no factual importance seems to be given to the level at which the costs determine the fee. Therefore, considering that the CRAR and EMIR establish concepts which are closely related, ESMA will apply a similar supervisory approach to ensure that costs are a key factor of CRAs and TRs’ pricing.</w:t>
      </w:r>
    </w:p>
    <w:p w14:paraId="72BD6A13" w14:textId="77777777" w:rsidR="003B0F0A" w:rsidRPr="00A21B5D" w:rsidRDefault="003B0F0A" w:rsidP="003B0F0A">
      <w:pPr>
        <w:ind w:left="426" w:hanging="426"/>
        <w:jc w:val="both"/>
        <w:rPr>
          <w:rFonts w:ascii="Times New Roman" w:hAnsi="Times New Roman"/>
          <w:sz w:val="24"/>
        </w:rPr>
      </w:pPr>
    </w:p>
    <w:p w14:paraId="679B5003" w14:textId="77777777" w:rsidR="003B0F0A" w:rsidRPr="00A21B5D" w:rsidRDefault="003B0F0A" w:rsidP="003B0F0A">
      <w:pPr>
        <w:ind w:left="426"/>
        <w:jc w:val="both"/>
        <w:rPr>
          <w:rFonts w:ascii="Times New Roman" w:hAnsi="Times New Roman"/>
          <w:sz w:val="24"/>
        </w:rPr>
      </w:pPr>
      <w:r w:rsidRPr="00A21B5D">
        <w:rPr>
          <w:rFonts w:ascii="Times New Roman" w:hAnsi="Times New Roman"/>
          <w:sz w:val="24"/>
        </w:rPr>
        <w:t xml:space="preserve">The analysis of existing market practices suggests that companies use different pricing models depending on the nature of their business and needs. Cost-based pricing (or “cost-plus” pricing), value-based pricing and dynamic pricing (or demand pricing) are among prevailing pricing models. Companies with cost-based pricing use the production costs as a basis to set the final price by adding a profit margin. Cost-based pricing is different from value-based pricing in that in value-based pricing the company determines how much money or value its product/service would generate for the client and bases its price on this assessed value. Cost-plus pricing is also different from dynamic pricing (also referred to as demand pricing) in which businesses define and change prices, for </w:t>
      </w:r>
      <w:r w:rsidRPr="003E7E8E">
        <w:rPr>
          <w:rFonts w:ascii="Times New Roman" w:hAnsi="Times New Roman"/>
          <w:noProof/>
          <w:sz w:val="24"/>
        </w:rPr>
        <w:t>instance</w:t>
      </w:r>
      <w:r>
        <w:rPr>
          <w:rFonts w:ascii="Times New Roman" w:hAnsi="Times New Roman"/>
          <w:noProof/>
          <w:sz w:val="24"/>
        </w:rPr>
        <w:t>,</w:t>
      </w:r>
      <w:r w:rsidRPr="00A21B5D">
        <w:rPr>
          <w:rFonts w:ascii="Times New Roman" w:hAnsi="Times New Roman"/>
          <w:sz w:val="24"/>
        </w:rPr>
        <w:t xml:space="preserve"> based on algorithms, that </w:t>
      </w:r>
      <w:proofErr w:type="gramStart"/>
      <w:r w:rsidRPr="00A21B5D">
        <w:rPr>
          <w:rFonts w:ascii="Times New Roman" w:hAnsi="Times New Roman"/>
          <w:sz w:val="24"/>
        </w:rPr>
        <w:t>take into account</w:t>
      </w:r>
      <w:proofErr w:type="gramEnd"/>
      <w:r w:rsidRPr="00A21B5D">
        <w:rPr>
          <w:rFonts w:ascii="Times New Roman" w:hAnsi="Times New Roman"/>
          <w:sz w:val="24"/>
        </w:rPr>
        <w:t xml:space="preserve"> competitor pricing, supply, demand and other external factors. When prescribing that fees should be cost-based/cost-related, the legislator appears to not allow CRAs and TRs to have other models than cost-based pricing, like value-based and dynamic pricing.</w:t>
      </w:r>
    </w:p>
    <w:p w14:paraId="4C597FB2" w14:textId="77777777" w:rsidR="003B0F0A" w:rsidRPr="00A21B5D" w:rsidRDefault="003B0F0A" w:rsidP="003B0F0A">
      <w:pPr>
        <w:ind w:left="426"/>
        <w:jc w:val="both"/>
        <w:rPr>
          <w:rFonts w:ascii="Times New Roman" w:hAnsi="Times New Roman"/>
          <w:sz w:val="24"/>
        </w:rPr>
      </w:pPr>
    </w:p>
    <w:p w14:paraId="2084AC21" w14:textId="77777777" w:rsidR="003B0F0A" w:rsidRPr="008F2FE7" w:rsidRDefault="003B0F0A" w:rsidP="003B0F0A">
      <w:pPr>
        <w:ind w:left="426"/>
        <w:jc w:val="both"/>
        <w:rPr>
          <w:rFonts w:ascii="Times New Roman" w:hAnsi="Times New Roman"/>
          <w:sz w:val="24"/>
        </w:rPr>
      </w:pPr>
      <w:r w:rsidRPr="008F2FE7">
        <w:rPr>
          <w:rFonts w:ascii="Times New Roman" w:hAnsi="Times New Roman"/>
          <w:sz w:val="24"/>
        </w:rPr>
        <w:t xml:space="preserve">The </w:t>
      </w:r>
      <w:r w:rsidRPr="00C63606">
        <w:rPr>
          <w:rFonts w:ascii="Times New Roman" w:hAnsi="Times New Roman"/>
          <w:noProof/>
          <w:sz w:val="24"/>
        </w:rPr>
        <w:t>cost-based</w:t>
      </w:r>
      <w:r w:rsidRPr="008F2FE7">
        <w:rPr>
          <w:rFonts w:ascii="Times New Roman" w:hAnsi="Times New Roman"/>
          <w:sz w:val="24"/>
        </w:rPr>
        <w:t>/cost-related provision implies that CRAs and TRs are required to record and maintain costs of their services/products and be transparent about the underlying costs with their clients. The transparency about costs is particularly important when CRAs or TRs modify their fees so that it is clear to their clients whether the increase/decrease occurred due to an increase/decrease in the underlying costs or due to a decision to raise/decrease the margin.</w:t>
      </w:r>
    </w:p>
    <w:p w14:paraId="1CCC2703" w14:textId="77777777" w:rsidR="003B0F0A" w:rsidRPr="008F2FE7" w:rsidRDefault="003B0F0A" w:rsidP="003B0F0A">
      <w:pPr>
        <w:ind w:left="426"/>
        <w:jc w:val="both"/>
        <w:rPr>
          <w:rFonts w:ascii="Times New Roman" w:hAnsi="Times New Roman"/>
          <w:sz w:val="24"/>
        </w:rPr>
      </w:pPr>
    </w:p>
    <w:p w14:paraId="5F015A55" w14:textId="77777777" w:rsidR="003B0F0A" w:rsidRPr="008F2FE7" w:rsidRDefault="003B0F0A" w:rsidP="003B0F0A">
      <w:pPr>
        <w:ind w:left="426"/>
        <w:jc w:val="both"/>
        <w:rPr>
          <w:rFonts w:ascii="Times New Roman" w:hAnsi="Times New Roman"/>
          <w:sz w:val="24"/>
        </w:rPr>
      </w:pPr>
      <w:r w:rsidRPr="008F2FE7">
        <w:rPr>
          <w:rFonts w:ascii="Times New Roman" w:hAnsi="Times New Roman"/>
          <w:sz w:val="24"/>
        </w:rPr>
        <w:t>The issue here is that while it can be inferred from other European Regulations that Companies with cost-based pricing use the production costs as a basis to set the final price by adding a profit margin</w:t>
      </w:r>
      <w:r>
        <w:rPr>
          <w:rFonts w:ascii="Times New Roman" w:hAnsi="Times New Roman"/>
          <w:sz w:val="24"/>
        </w:rPr>
        <w:t>, w</w:t>
      </w:r>
      <w:r w:rsidRPr="008F2FE7">
        <w:rPr>
          <w:rFonts w:ascii="Times New Roman" w:hAnsi="Times New Roman"/>
          <w:sz w:val="24"/>
        </w:rPr>
        <w:t xml:space="preserve">hat is unclear is how that profit margin should be set.  There is also an issue in </w:t>
      </w:r>
      <w:r w:rsidRPr="003E7E8E">
        <w:rPr>
          <w:rFonts w:ascii="Times New Roman" w:hAnsi="Times New Roman"/>
          <w:noProof/>
          <w:sz w:val="24"/>
        </w:rPr>
        <w:t>relation</w:t>
      </w:r>
      <w:r w:rsidRPr="008F2FE7">
        <w:rPr>
          <w:rFonts w:ascii="Times New Roman" w:hAnsi="Times New Roman"/>
          <w:sz w:val="24"/>
        </w:rPr>
        <w:t xml:space="preserve"> </w:t>
      </w:r>
      <w:r>
        <w:rPr>
          <w:rFonts w:ascii="Times New Roman" w:hAnsi="Times New Roman"/>
          <w:sz w:val="24"/>
        </w:rPr>
        <w:t xml:space="preserve">to the </w:t>
      </w:r>
      <w:r w:rsidRPr="008F2FE7">
        <w:rPr>
          <w:rFonts w:ascii="Times New Roman" w:hAnsi="Times New Roman"/>
          <w:sz w:val="24"/>
        </w:rPr>
        <w:t>costs of the services/products and how are the initial setup cost to be incorporated.</w:t>
      </w:r>
    </w:p>
    <w:p w14:paraId="51F34A37" w14:textId="77777777" w:rsidR="003B0F0A" w:rsidRPr="008F2FE7" w:rsidRDefault="003B0F0A" w:rsidP="003B0F0A">
      <w:pPr>
        <w:ind w:left="426"/>
        <w:jc w:val="both"/>
        <w:rPr>
          <w:rFonts w:ascii="Times New Roman" w:hAnsi="Times New Roman"/>
          <w:sz w:val="24"/>
        </w:rPr>
      </w:pPr>
    </w:p>
    <w:p w14:paraId="7D7309ED" w14:textId="77777777" w:rsidR="003B0F0A" w:rsidRPr="00A21B5D" w:rsidRDefault="003B0F0A" w:rsidP="003B0F0A">
      <w:pPr>
        <w:ind w:left="426"/>
        <w:jc w:val="both"/>
        <w:rPr>
          <w:rFonts w:ascii="Times New Roman" w:hAnsi="Times New Roman"/>
          <w:sz w:val="24"/>
        </w:rPr>
      </w:pPr>
      <w:r>
        <w:rPr>
          <w:rFonts w:ascii="Times New Roman" w:hAnsi="Times New Roman"/>
          <w:sz w:val="24"/>
        </w:rPr>
        <w:lastRenderedPageBreak/>
        <w:t>The IDSA would welcome m</w:t>
      </w:r>
      <w:r w:rsidRPr="008F2FE7">
        <w:rPr>
          <w:rFonts w:ascii="Times New Roman" w:hAnsi="Times New Roman"/>
          <w:sz w:val="24"/>
        </w:rPr>
        <w:t xml:space="preserve">ore </w:t>
      </w:r>
      <w:bookmarkStart w:id="1" w:name="_Hlk508873615"/>
      <w:r w:rsidRPr="008F2FE7">
        <w:rPr>
          <w:rFonts w:ascii="Times New Roman" w:hAnsi="Times New Roman"/>
          <w:sz w:val="24"/>
        </w:rPr>
        <w:t>guidance on ESMAs definition of cost-based</w:t>
      </w:r>
      <w:bookmarkEnd w:id="1"/>
      <w:r>
        <w:rPr>
          <w:rFonts w:ascii="Times New Roman" w:hAnsi="Times New Roman"/>
          <w:sz w:val="24"/>
        </w:rPr>
        <w:t>, in terms of this regulation,</w:t>
      </w:r>
      <w:r w:rsidRPr="008F2FE7">
        <w:rPr>
          <w:rFonts w:ascii="Times New Roman" w:hAnsi="Times New Roman"/>
          <w:sz w:val="24"/>
        </w:rPr>
        <w:t xml:space="preserve"> and how costs, including initial </w:t>
      </w:r>
      <w:r w:rsidRPr="003E7E8E">
        <w:rPr>
          <w:rFonts w:ascii="Times New Roman" w:hAnsi="Times New Roman"/>
          <w:noProof/>
          <w:sz w:val="24"/>
        </w:rPr>
        <w:t>costs</w:t>
      </w:r>
      <w:r>
        <w:rPr>
          <w:rFonts w:ascii="Times New Roman" w:hAnsi="Times New Roman"/>
          <w:noProof/>
          <w:sz w:val="24"/>
        </w:rPr>
        <w:t>,</w:t>
      </w:r>
      <w:r w:rsidRPr="008F2FE7">
        <w:rPr>
          <w:rFonts w:ascii="Times New Roman" w:hAnsi="Times New Roman"/>
          <w:sz w:val="24"/>
        </w:rPr>
        <w:t xml:space="preserve"> should be addressed.</w:t>
      </w:r>
    </w:p>
    <w:permEnd w:id="1964593633"/>
    <w:p w14:paraId="16C7D881" w14:textId="77777777" w:rsidR="00820CBA" w:rsidRDefault="00820CBA" w:rsidP="00820CBA">
      <w:pPr>
        <w:rPr>
          <w:rFonts w:cs="Arial"/>
        </w:rPr>
      </w:pPr>
      <w:r>
        <w:rPr>
          <w:rFonts w:cs="Arial"/>
        </w:rPr>
        <w:t>&lt;ESMA_QUESTION_TPF_2&gt;</w:t>
      </w:r>
    </w:p>
    <w:p w14:paraId="0BC97B8C" w14:textId="77777777" w:rsidR="00820CBA" w:rsidRDefault="00820CBA" w:rsidP="00820CBA">
      <w:pPr>
        <w:rPr>
          <w:rFonts w:cs="Arial"/>
        </w:rPr>
      </w:pPr>
    </w:p>
    <w:p w14:paraId="4B95638E" w14:textId="77777777" w:rsidR="00820CBA" w:rsidRDefault="00820CBA" w:rsidP="00820CBA">
      <w:pPr>
        <w:pStyle w:val="Questionstyle"/>
        <w:numPr>
          <w:ilvl w:val="0"/>
          <w:numId w:val="40"/>
        </w:numPr>
      </w:pPr>
      <w:r>
        <w:fldChar w:fldCharType="begin"/>
      </w:r>
      <w:r>
        <w:instrText xml:space="preserve"> REF _Ref491967908 \h  \* MERGEFORMAT </w:instrText>
      </w:r>
      <w:r>
        <w:fldChar w:fldCharType="separate"/>
      </w:r>
      <w:r w:rsidRPr="007E23DA">
        <w:t xml:space="preserve">: </w:t>
      </w:r>
      <w:r w:rsidRPr="00FC6FEE">
        <w:t xml:space="preserve">Do you agree with the </w:t>
      </w:r>
      <w:r>
        <w:t xml:space="preserve">proposed </w:t>
      </w:r>
      <w:r w:rsidRPr="00FC6FEE">
        <w:t>information required to assess the independence of a firm seeking authorisation to provide STS verification services? Are there other items that should be considered for this assessment?</w:t>
      </w:r>
      <w:r>
        <w:fldChar w:fldCharType="end"/>
      </w:r>
    </w:p>
    <w:p w14:paraId="3D19132E" w14:textId="77777777" w:rsidR="00820CBA" w:rsidRDefault="00820CBA" w:rsidP="00820CBA">
      <w:pPr>
        <w:rPr>
          <w:rFonts w:cs="Arial"/>
        </w:rPr>
      </w:pPr>
      <w:r>
        <w:rPr>
          <w:rFonts w:cs="Arial"/>
        </w:rPr>
        <w:t>&lt;ESMA_QUESTION_TPF_3&gt;</w:t>
      </w:r>
    </w:p>
    <w:p w14:paraId="525BAB53" w14:textId="77777777" w:rsidR="003B0F0A" w:rsidRDefault="003B0F0A" w:rsidP="003B0F0A">
      <w:pPr>
        <w:pStyle w:val="ListParagraph"/>
        <w:ind w:left="426"/>
        <w:contextualSpacing w:val="0"/>
        <w:jc w:val="both"/>
        <w:rPr>
          <w:rFonts w:ascii="Times New Roman" w:hAnsi="Times New Roman"/>
          <w:sz w:val="24"/>
        </w:rPr>
      </w:pPr>
      <w:permStart w:id="884543443" w:edGrp="everyone"/>
      <w:r w:rsidRPr="008D4CF1">
        <w:rPr>
          <w:rFonts w:ascii="Times New Roman" w:hAnsi="Times New Roman"/>
          <w:sz w:val="24"/>
        </w:rPr>
        <w:t>See 1 Above</w:t>
      </w:r>
      <w:r>
        <w:rPr>
          <w:rFonts w:ascii="Times New Roman" w:hAnsi="Times New Roman"/>
          <w:sz w:val="24"/>
        </w:rPr>
        <w:t>.</w:t>
      </w:r>
    </w:p>
    <w:permEnd w:id="884543443"/>
    <w:p w14:paraId="08A33F1D" w14:textId="77777777" w:rsidR="00820CBA" w:rsidRDefault="00820CBA" w:rsidP="00820CBA">
      <w:pPr>
        <w:rPr>
          <w:rFonts w:cs="Arial"/>
        </w:rPr>
      </w:pPr>
      <w:r>
        <w:rPr>
          <w:rFonts w:cs="Arial"/>
        </w:rPr>
        <w:t>&lt;ESMA_QUESTION_TPF_3&gt;</w:t>
      </w:r>
    </w:p>
    <w:p w14:paraId="79B8EF88" w14:textId="77777777" w:rsidR="00820CBA" w:rsidRDefault="00820CBA" w:rsidP="00820CBA">
      <w:pPr>
        <w:rPr>
          <w:rFonts w:cs="Arial"/>
        </w:rPr>
      </w:pPr>
    </w:p>
    <w:p w14:paraId="46CA36DB" w14:textId="77777777" w:rsidR="00820CBA" w:rsidRDefault="00820CBA" w:rsidP="00820CBA">
      <w:pPr>
        <w:pStyle w:val="Questionstyle"/>
        <w:numPr>
          <w:ilvl w:val="0"/>
          <w:numId w:val="40"/>
        </w:numPr>
      </w:pPr>
      <w:r>
        <w:fldChar w:fldCharType="begin"/>
      </w:r>
      <w:r>
        <w:instrText xml:space="preserve"> REF _Ref491967910 \h  \* MERGEFORMAT </w:instrText>
      </w:r>
      <w:r>
        <w:fldChar w:fldCharType="separate"/>
      </w:r>
      <w:r w:rsidRPr="007E23DA">
        <w:t xml:space="preserve">: </w:t>
      </w:r>
      <w:r w:rsidRPr="00FC6FEE">
        <w:t xml:space="preserve">Do you agree with the </w:t>
      </w:r>
      <w:r>
        <w:t>proposed</w:t>
      </w:r>
      <w:r w:rsidRPr="00FC6FEE">
        <w:t xml:space="preserve"> information required to assess the applicant’s management body, as well as the independent directors? Are there other items that should be considered for this assessment?</w:t>
      </w:r>
      <w:r>
        <w:fldChar w:fldCharType="end"/>
      </w:r>
    </w:p>
    <w:p w14:paraId="56A7528A" w14:textId="77777777" w:rsidR="00820CBA" w:rsidRDefault="00820CBA" w:rsidP="00820CBA">
      <w:pPr>
        <w:rPr>
          <w:rFonts w:cs="Arial"/>
        </w:rPr>
      </w:pPr>
      <w:r>
        <w:rPr>
          <w:rFonts w:cs="Arial"/>
        </w:rPr>
        <w:t>&lt;ESMA_QUESTION_TPF_4&gt;</w:t>
      </w:r>
    </w:p>
    <w:p w14:paraId="21C8682B" w14:textId="77777777" w:rsidR="003B0F0A" w:rsidRDefault="003B0F0A" w:rsidP="003B0F0A">
      <w:pPr>
        <w:pStyle w:val="ListParagraph"/>
        <w:ind w:left="426"/>
        <w:contextualSpacing w:val="0"/>
        <w:jc w:val="both"/>
        <w:rPr>
          <w:rFonts w:ascii="Times New Roman" w:hAnsi="Times New Roman"/>
          <w:sz w:val="24"/>
        </w:rPr>
      </w:pPr>
      <w:permStart w:id="841375894" w:edGrp="everyone"/>
      <w:r w:rsidRPr="008D4CF1">
        <w:rPr>
          <w:rFonts w:ascii="Times New Roman" w:hAnsi="Times New Roman"/>
          <w:sz w:val="24"/>
        </w:rPr>
        <w:t>See 1 Above</w:t>
      </w:r>
      <w:r>
        <w:rPr>
          <w:rFonts w:ascii="Times New Roman" w:hAnsi="Times New Roman"/>
          <w:sz w:val="24"/>
        </w:rPr>
        <w:t>.</w:t>
      </w:r>
    </w:p>
    <w:permEnd w:id="841375894"/>
    <w:p w14:paraId="2F05F29F" w14:textId="77777777" w:rsidR="00820CBA" w:rsidRDefault="00820CBA" w:rsidP="00820CBA">
      <w:pPr>
        <w:rPr>
          <w:rFonts w:cs="Arial"/>
        </w:rPr>
      </w:pPr>
      <w:r>
        <w:rPr>
          <w:rFonts w:cs="Arial"/>
        </w:rPr>
        <w:t>&lt;ESMA_QUESTION_TPF_4&gt;</w:t>
      </w:r>
    </w:p>
    <w:p w14:paraId="12399368" w14:textId="77777777" w:rsidR="00820CBA" w:rsidRDefault="00820CBA" w:rsidP="00820CBA">
      <w:pPr>
        <w:rPr>
          <w:rFonts w:cs="Arial"/>
        </w:rPr>
      </w:pPr>
    </w:p>
    <w:p w14:paraId="45D8C7DC" w14:textId="77777777" w:rsidR="00820CBA" w:rsidRDefault="00820CBA" w:rsidP="00820CBA">
      <w:pPr>
        <w:pStyle w:val="Questionstyle"/>
        <w:numPr>
          <w:ilvl w:val="0"/>
          <w:numId w:val="40"/>
        </w:numPr>
      </w:pPr>
      <w:r>
        <w:fldChar w:fldCharType="begin"/>
      </w:r>
      <w:r>
        <w:instrText xml:space="preserve"> REF _Ref491967911 \h  \* MERGEFORMAT </w:instrText>
      </w:r>
      <w:r>
        <w:fldChar w:fldCharType="separate"/>
      </w:r>
      <w:r w:rsidRPr="007E23DA">
        <w:t xml:space="preserve">: </w:t>
      </w:r>
      <w:r w:rsidRPr="00FC6FEE">
        <w:t xml:space="preserve">Do you agree with the </w:t>
      </w:r>
      <w:r>
        <w:t>proposed</w:t>
      </w:r>
      <w:r w:rsidRPr="00FC6FEE">
        <w:t xml:space="preserve"> information required to assess the presence of existing or potential conflicts of interest? Are there other items that should be considered for this assessment?</w:t>
      </w:r>
      <w:r>
        <w:fldChar w:fldCharType="end"/>
      </w:r>
    </w:p>
    <w:p w14:paraId="28781CEA" w14:textId="77777777" w:rsidR="00820CBA" w:rsidRDefault="00820CBA" w:rsidP="00820CBA">
      <w:pPr>
        <w:rPr>
          <w:rFonts w:cs="Arial"/>
        </w:rPr>
      </w:pPr>
      <w:r>
        <w:rPr>
          <w:rFonts w:cs="Arial"/>
        </w:rPr>
        <w:t>&lt;ESMA_QUESTION_TPF_5&gt;</w:t>
      </w:r>
    </w:p>
    <w:p w14:paraId="20510B5F" w14:textId="77777777" w:rsidR="003B0F0A" w:rsidRDefault="003B0F0A" w:rsidP="003B0F0A">
      <w:pPr>
        <w:pStyle w:val="ListParagraph"/>
        <w:ind w:left="426"/>
        <w:contextualSpacing w:val="0"/>
        <w:jc w:val="both"/>
        <w:rPr>
          <w:rFonts w:ascii="Times New Roman" w:hAnsi="Times New Roman"/>
          <w:sz w:val="24"/>
        </w:rPr>
      </w:pPr>
      <w:permStart w:id="1866075472" w:edGrp="everyone"/>
      <w:r w:rsidRPr="008D4CF1">
        <w:rPr>
          <w:rFonts w:ascii="Times New Roman" w:hAnsi="Times New Roman"/>
          <w:sz w:val="24"/>
        </w:rPr>
        <w:t>See 1 Above</w:t>
      </w:r>
      <w:r>
        <w:rPr>
          <w:rFonts w:ascii="Times New Roman" w:hAnsi="Times New Roman"/>
          <w:sz w:val="24"/>
        </w:rPr>
        <w:t>.</w:t>
      </w:r>
    </w:p>
    <w:permEnd w:id="1866075472"/>
    <w:p w14:paraId="6A68ECC2" w14:textId="77777777" w:rsidR="00820CBA" w:rsidRDefault="00820CBA" w:rsidP="00820CBA">
      <w:pPr>
        <w:rPr>
          <w:rFonts w:cs="Arial"/>
        </w:rPr>
      </w:pPr>
      <w:r>
        <w:rPr>
          <w:rFonts w:cs="Arial"/>
        </w:rPr>
        <w:t>&lt;ESMA_QUESTION_TPF_5&gt;</w:t>
      </w:r>
    </w:p>
    <w:p w14:paraId="564FC3D0" w14:textId="77777777" w:rsidR="00820CBA" w:rsidRDefault="00820CBA" w:rsidP="00820CBA">
      <w:pPr>
        <w:rPr>
          <w:rFonts w:cs="Arial"/>
        </w:rPr>
      </w:pPr>
    </w:p>
    <w:p w14:paraId="4D17EDA2" w14:textId="77777777" w:rsidR="00820CBA" w:rsidRDefault="00820CBA" w:rsidP="00820CBA">
      <w:pPr>
        <w:pStyle w:val="Questionstyle"/>
        <w:numPr>
          <w:ilvl w:val="0"/>
          <w:numId w:val="40"/>
        </w:numPr>
      </w:pPr>
      <w:r>
        <w:fldChar w:fldCharType="begin"/>
      </w:r>
      <w:r>
        <w:instrText xml:space="preserve"> REF _Ref491967912 \h  \* MERGEFORMAT </w:instrText>
      </w:r>
      <w:r>
        <w:fldChar w:fldCharType="separate"/>
      </w:r>
      <w:r w:rsidRPr="007E23DA">
        <w:t>: Do you agree with the information required to assess the third party firm’s operational safeguards and internal processes for assessing STS compliance? Are there other items that should be required in the application?</w:t>
      </w:r>
      <w:r>
        <w:fldChar w:fldCharType="end"/>
      </w:r>
    </w:p>
    <w:p w14:paraId="2A044F59" w14:textId="77777777" w:rsidR="00820CBA" w:rsidRDefault="00820CBA" w:rsidP="00820CBA">
      <w:pPr>
        <w:rPr>
          <w:rFonts w:cs="Arial"/>
        </w:rPr>
      </w:pPr>
      <w:r>
        <w:rPr>
          <w:rFonts w:cs="Arial"/>
        </w:rPr>
        <w:t>&lt;ESMA_QUESTION_TPF_6&gt;</w:t>
      </w:r>
    </w:p>
    <w:p w14:paraId="602DF581" w14:textId="77777777" w:rsidR="003B0F0A" w:rsidRDefault="003B0F0A" w:rsidP="003B0F0A">
      <w:pPr>
        <w:pStyle w:val="ListParagraph"/>
        <w:ind w:left="426"/>
        <w:contextualSpacing w:val="0"/>
        <w:jc w:val="both"/>
        <w:rPr>
          <w:rFonts w:ascii="Times New Roman" w:hAnsi="Times New Roman"/>
          <w:sz w:val="24"/>
        </w:rPr>
      </w:pPr>
      <w:permStart w:id="509692593" w:edGrp="everyone"/>
      <w:r w:rsidRPr="008D4CF1">
        <w:rPr>
          <w:rFonts w:ascii="Times New Roman" w:hAnsi="Times New Roman"/>
          <w:sz w:val="24"/>
        </w:rPr>
        <w:t>See 1 Above</w:t>
      </w:r>
      <w:r>
        <w:rPr>
          <w:rFonts w:ascii="Times New Roman" w:hAnsi="Times New Roman"/>
          <w:sz w:val="24"/>
        </w:rPr>
        <w:t>.</w:t>
      </w:r>
    </w:p>
    <w:p w14:paraId="6F4A103F" w14:textId="5C476372" w:rsidR="00820CBA" w:rsidRDefault="00820CBA" w:rsidP="00820CBA">
      <w:pPr>
        <w:rPr>
          <w:rFonts w:cs="Arial"/>
        </w:rPr>
      </w:pPr>
      <w:bookmarkStart w:id="2" w:name="_GoBack"/>
      <w:bookmarkEnd w:id="2"/>
      <w:permEnd w:id="509692593"/>
      <w:r>
        <w:rPr>
          <w:rFonts w:cs="Arial"/>
        </w:rPr>
        <w:t>&lt;ESMA_QUESTION_TPF_6&gt;</w:t>
      </w:r>
    </w:p>
    <w:p w14:paraId="39BEED5F" w14:textId="2CE9F734" w:rsidR="00820CBA" w:rsidRDefault="00820CBA" w:rsidP="00820CBA">
      <w:pPr>
        <w:rPr>
          <w:rFonts w:cs="Arial"/>
        </w:rPr>
      </w:pPr>
    </w:p>
    <w:p w14:paraId="26BD3EB0" w14:textId="77777777" w:rsidR="00820CBA" w:rsidRDefault="00820CBA" w:rsidP="00820CBA">
      <w:pPr>
        <w:rPr>
          <w:rFonts w:cs="Arial"/>
        </w:rPr>
      </w:pPr>
    </w:p>
    <w:p w14:paraId="64535690" w14:textId="56D67C06" w:rsidR="00820CBA" w:rsidRDefault="00820CBA" w:rsidP="00820CBA">
      <w:pPr>
        <w:rPr>
          <w:rFonts w:cs="Arial"/>
        </w:rPr>
      </w:pPr>
    </w:p>
    <w:p w14:paraId="1F2EBF20" w14:textId="77777777" w:rsidR="00820CBA" w:rsidRDefault="00820CBA" w:rsidP="00820CBA">
      <w:pPr>
        <w:pStyle w:val="ParagraphoftheCP"/>
        <w:keepNext w:val="0"/>
        <w:widowControl w:val="0"/>
        <w:rPr>
          <w:bCs/>
          <w:smallCaps/>
        </w:rPr>
      </w:pPr>
      <w:r w:rsidRPr="00AE6384">
        <w:rPr>
          <w:b/>
        </w:rPr>
        <w:t xml:space="preserve">Questions to </w:t>
      </w:r>
      <w:r>
        <w:rPr>
          <w:b/>
        </w:rPr>
        <w:t xml:space="preserve">stakeholders regarding </w:t>
      </w:r>
      <w:r w:rsidRPr="00AE6384">
        <w:rPr>
          <w:b/>
        </w:rPr>
        <w:t xml:space="preserve">the </w:t>
      </w:r>
      <w:r>
        <w:rPr>
          <w:b/>
        </w:rPr>
        <w:t>preliminary cost-benefits analysis</w:t>
      </w:r>
      <w:r w:rsidRPr="00AE6384">
        <w:rPr>
          <w:b/>
        </w:rPr>
        <w:t>:</w:t>
      </w:r>
      <w:r w:rsidRPr="00724CA2">
        <w:rPr>
          <w:bCs/>
          <w:smallCaps/>
        </w:rPr>
        <w:t xml:space="preserve"> </w:t>
      </w:r>
    </w:p>
    <w:p w14:paraId="075E2EAA" w14:textId="77777777" w:rsidR="00820CBA" w:rsidRDefault="00820CBA" w:rsidP="00820CBA">
      <w:pPr>
        <w:rPr>
          <w:rFonts w:cs="Arial"/>
        </w:rPr>
      </w:pPr>
    </w:p>
    <w:p w14:paraId="4330D7D8" w14:textId="77777777" w:rsidR="00820CBA" w:rsidRDefault="00820CBA" w:rsidP="00820CBA">
      <w:pPr>
        <w:pStyle w:val="Questionstyle"/>
        <w:numPr>
          <w:ilvl w:val="0"/>
          <w:numId w:val="40"/>
        </w:numPr>
      </w:pPr>
      <w:r w:rsidRPr="007E23DA">
        <w:t>: Do you agree with the ESMA’s preliminary analysis on the main costs and benefits of (i) the information to be submitted to the respective competent authorities and, specifically (ii) the information on the extent of outsourcing of the activities of the applicant applying for providing the STS verification services.</w:t>
      </w:r>
    </w:p>
    <w:p w14:paraId="43D55A20" w14:textId="77777777" w:rsidR="00820CBA" w:rsidRDefault="00820CBA" w:rsidP="00820CBA">
      <w:pPr>
        <w:rPr>
          <w:rFonts w:cs="Arial"/>
        </w:rPr>
      </w:pPr>
      <w:r>
        <w:rPr>
          <w:rFonts w:cs="Arial"/>
        </w:rPr>
        <w:t>&lt;ESMA_QUESTION_TPF_7&gt;</w:t>
      </w:r>
    </w:p>
    <w:p w14:paraId="6AEF639A" w14:textId="77777777" w:rsidR="00820CBA" w:rsidRDefault="00820CBA" w:rsidP="00820CBA">
      <w:pPr>
        <w:rPr>
          <w:rFonts w:cs="Arial"/>
        </w:rPr>
      </w:pPr>
      <w:permStart w:id="2017276266" w:edGrp="everyone"/>
      <w:r>
        <w:rPr>
          <w:rFonts w:cs="Arial"/>
        </w:rPr>
        <w:t>TYPE YOUR TEXT HERE</w:t>
      </w:r>
    </w:p>
    <w:permEnd w:id="2017276266"/>
    <w:p w14:paraId="7CCCECF3" w14:textId="77777777" w:rsidR="00820CBA" w:rsidRDefault="00820CBA" w:rsidP="00820CBA">
      <w:pPr>
        <w:rPr>
          <w:rFonts w:cs="Arial"/>
        </w:rPr>
      </w:pPr>
      <w:r>
        <w:rPr>
          <w:rFonts w:cs="Arial"/>
        </w:rPr>
        <w:t>&lt;ESMA_QUESTION_TPF_7&gt;</w:t>
      </w:r>
    </w:p>
    <w:p w14:paraId="5CAB1698" w14:textId="77777777" w:rsidR="00820CBA" w:rsidRDefault="00820CBA" w:rsidP="00820CBA">
      <w:pPr>
        <w:rPr>
          <w:rFonts w:cs="Arial"/>
        </w:rPr>
      </w:pPr>
    </w:p>
    <w:p w14:paraId="2A8EA9D9" w14:textId="77777777" w:rsidR="00820CBA" w:rsidRPr="007E23DA" w:rsidRDefault="00820CBA" w:rsidP="00820CBA">
      <w:pPr>
        <w:pStyle w:val="Questionstyle"/>
        <w:numPr>
          <w:ilvl w:val="0"/>
          <w:numId w:val="40"/>
        </w:numPr>
      </w:pPr>
      <w:r w:rsidRPr="007E23DA">
        <w:t>: Please provide quantitative estimates of the magnitude of expected one-off and ongoing costs of complying with the proposed RTS requirements (both at the time of application and thereafter)? When specifying and quantifying the costs please refer to the individual cost types as a percentage of applicant’s current/budgeted operational costs.</w:t>
      </w:r>
    </w:p>
    <w:p w14:paraId="3E16C180" w14:textId="77777777" w:rsidR="00820CBA" w:rsidRDefault="00820CBA" w:rsidP="00820CBA">
      <w:pPr>
        <w:rPr>
          <w:rFonts w:cs="Arial"/>
        </w:rPr>
      </w:pPr>
      <w:r>
        <w:rPr>
          <w:rFonts w:cs="Arial"/>
        </w:rPr>
        <w:t>&lt;ESMA_QUESTION_TPF_8&gt;</w:t>
      </w:r>
    </w:p>
    <w:p w14:paraId="0A0A12E9" w14:textId="77777777" w:rsidR="00820CBA" w:rsidRDefault="00820CBA" w:rsidP="00820CBA">
      <w:pPr>
        <w:rPr>
          <w:rFonts w:cs="Arial"/>
        </w:rPr>
      </w:pPr>
      <w:permStart w:id="33096173" w:edGrp="everyone"/>
      <w:r>
        <w:rPr>
          <w:rFonts w:cs="Arial"/>
        </w:rPr>
        <w:t>TYPE YOUR TEXT HERE</w:t>
      </w:r>
    </w:p>
    <w:permEnd w:id="33096173"/>
    <w:p w14:paraId="3F842C18" w14:textId="77777777" w:rsidR="00820CBA" w:rsidRDefault="00820CBA" w:rsidP="00820CBA">
      <w:pPr>
        <w:rPr>
          <w:rFonts w:cs="Arial"/>
        </w:rPr>
      </w:pPr>
      <w:r>
        <w:rPr>
          <w:rFonts w:cs="Arial"/>
        </w:rPr>
        <w:t>&lt;ESMA_QUESTION_TPF_8&gt;</w:t>
      </w:r>
    </w:p>
    <w:p w14:paraId="4C9C5814" w14:textId="77777777" w:rsidR="00820CBA" w:rsidRDefault="00820CBA" w:rsidP="00820CBA">
      <w:pPr>
        <w:rPr>
          <w:rFonts w:cs="Arial"/>
        </w:rPr>
      </w:pPr>
      <w:r>
        <w:rPr>
          <w:rFonts w:cs="Arial"/>
        </w:rPr>
        <w:t xml:space="preserve"> </w:t>
      </w:r>
    </w:p>
    <w:p w14:paraId="24EBDC6C" w14:textId="77777777" w:rsidR="00820CBA" w:rsidRPr="007B52B2" w:rsidRDefault="00820CBA" w:rsidP="00820CBA">
      <w:pPr>
        <w:rPr>
          <w:rFonts w:cs="Arial"/>
        </w:rPr>
      </w:pPr>
    </w:p>
    <w:p w14:paraId="417138DD" w14:textId="77777777" w:rsidR="00820CBA" w:rsidRPr="00820CBA" w:rsidRDefault="00820CBA" w:rsidP="00820CBA">
      <w:pPr>
        <w:rPr>
          <w:lang w:eastAsia="en-US"/>
        </w:rPr>
      </w:pPr>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E28FE" w14:textId="77777777" w:rsidR="001C6A40" w:rsidRDefault="001C6A40">
      <w:r>
        <w:separator/>
      </w:r>
    </w:p>
    <w:p w14:paraId="58C765AC" w14:textId="77777777" w:rsidR="001C6A40" w:rsidRDefault="001C6A40"/>
  </w:endnote>
  <w:endnote w:type="continuationSeparator" w:id="0">
    <w:p w14:paraId="7CA6E4CA" w14:textId="77777777" w:rsidR="001C6A40" w:rsidRDefault="001C6A40">
      <w:r>
        <w:continuationSeparator/>
      </w:r>
    </w:p>
    <w:p w14:paraId="29A41C95" w14:textId="77777777" w:rsidR="001C6A40" w:rsidRDefault="001C6A40"/>
  </w:endnote>
  <w:endnote w:type="continuationNotice" w:id="1">
    <w:p w14:paraId="6E7DCD24" w14:textId="77777777" w:rsidR="001C6A40" w:rsidRDefault="001C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0F5C017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95BFF">
            <w:rPr>
              <w:rFonts w:cs="Arial"/>
              <w:noProof/>
              <w:sz w:val="22"/>
              <w:szCs w:val="22"/>
            </w:rPr>
            <w:t>7</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AF7C" w14:textId="77777777" w:rsidR="001C6A40" w:rsidRDefault="001C6A40">
      <w:r>
        <w:separator/>
      </w:r>
    </w:p>
    <w:p w14:paraId="104B2CF9" w14:textId="77777777" w:rsidR="001C6A40" w:rsidRDefault="001C6A40"/>
  </w:footnote>
  <w:footnote w:type="continuationSeparator" w:id="0">
    <w:p w14:paraId="08A835FB" w14:textId="77777777" w:rsidR="001C6A40" w:rsidRDefault="001C6A40">
      <w:r>
        <w:continuationSeparator/>
      </w:r>
    </w:p>
    <w:p w14:paraId="382B9568" w14:textId="77777777" w:rsidR="001C6A40" w:rsidRDefault="001C6A40"/>
  </w:footnote>
  <w:footnote w:type="continuationNotice" w:id="1">
    <w:p w14:paraId="1E6B5E1A" w14:textId="77777777" w:rsidR="001C6A40" w:rsidRDefault="001C6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k0fMG82qOY2Af+IbH7uYPi5BA1fCgRVGLE/+y+sh81LXlAgOdgRLXY53Ukqz2WPJTwJppS31Vt9sc/Q7B7m1RQ==" w:salt="kGuCWHHJMO4RcjJDSJLDI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U0NjY3NDA2M7A0NbNU0lEKTi0uzszPAykwrAUA7sreRSwAAAA="/>
  </w:docVars>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6A40"/>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0F0A"/>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B3F"/>
    <w:rsid w:val="005825F2"/>
    <w:rsid w:val="00584C29"/>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322321B6-D594-4DAB-B084-583DC0BC176B}">
  <ds:schemaRefs>
    <ds:schemaRef ds:uri="http://schemas.openxmlformats.org/officeDocument/2006/bibliography"/>
  </ds:schemaRefs>
</ds:datastoreItem>
</file>

<file path=customXml/itemProps6.xml><?xml version="1.0" encoding="utf-8"?>
<ds:datastoreItem xmlns:ds="http://schemas.openxmlformats.org/officeDocument/2006/customXml" ds:itemID="{9A65E52B-C434-4952-A48D-DA52B354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2495</Words>
  <Characters>14222</Characters>
  <Application>Microsoft Office Word</Application>
  <DocSecurity>8</DocSecurity>
  <Lines>118</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16684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Dermot Hardy</cp:lastModifiedBy>
  <cp:revision>3</cp:revision>
  <cp:lastPrinted>2015-02-18T11:01:00Z</cp:lastPrinted>
  <dcterms:created xsi:type="dcterms:W3CDTF">2018-03-19T11:48:00Z</dcterms:created>
  <dcterms:modified xsi:type="dcterms:W3CDTF">2018-03-19T11:52:00Z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