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1DCE09B8" w:rsidR="00C2094B" w:rsidRPr="004E49B0" w:rsidRDefault="005C6485" w:rsidP="005C6485">
            <w:pPr>
              <w:pStyle w:val="00bDBInfo"/>
              <w:rPr>
                <w:rFonts w:cs="Arial"/>
              </w:rPr>
            </w:pPr>
            <w:r>
              <w:rPr>
                <w:rFonts w:cs="Arial"/>
              </w:rPr>
              <w:t xml:space="preserve">15 December </w:t>
            </w:r>
            <w:r w:rsidR="00F65811">
              <w:rPr>
                <w:rFonts w:cs="Arial"/>
              </w:rPr>
              <w:t>2017</w:t>
            </w:r>
          </w:p>
        </w:tc>
      </w:tr>
    </w:tbl>
    <w:p w14:paraId="6073C368"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703300F6" w14:textId="77777777" w:rsidTr="006E0A4F">
        <w:trPr>
          <w:trHeight w:hRule="exact" w:val="2475"/>
        </w:trPr>
        <w:tc>
          <w:tcPr>
            <w:tcW w:w="9646" w:type="dxa"/>
            <w:vAlign w:val="bottom"/>
          </w:tcPr>
          <w:p w14:paraId="427F2A9D" w14:textId="56666832" w:rsidR="00EB2A3F" w:rsidRPr="006E0A4F" w:rsidRDefault="006F4535" w:rsidP="006E0A4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the Consultation Paper on</w:t>
            </w:r>
            <w:r w:rsidR="006E0A4F" w:rsidRPr="006E0A4F">
              <w:rPr>
                <w:rFonts w:cs="Arial"/>
                <w:szCs w:val="56"/>
              </w:rPr>
              <w:t xml:space="preserve"> </w:t>
            </w:r>
            <w:r w:rsidR="00963D60" w:rsidRPr="006E0A4F">
              <w:rPr>
                <w:rFonts w:cs="Arial"/>
                <w:szCs w:val="56"/>
              </w:rPr>
              <w:t>d</w:t>
            </w:r>
            <w:r w:rsidR="005C6485" w:rsidRPr="006E0A4F">
              <w:rPr>
                <w:rFonts w:cs="Arial"/>
                <w:szCs w:val="56"/>
              </w:rPr>
              <w:t xml:space="preserve">raft RTS under the </w:t>
            </w:r>
            <w:r w:rsidR="006E0A4F" w:rsidRPr="006E0A4F">
              <w:rPr>
                <w:rFonts w:cs="Arial"/>
                <w:szCs w:val="56"/>
              </w:rPr>
              <w:t xml:space="preserve">new </w:t>
            </w:r>
            <w:r w:rsidR="005C6485" w:rsidRPr="006E0A4F">
              <w:rPr>
                <w:rFonts w:cs="Arial"/>
                <w:szCs w:val="56"/>
              </w:rPr>
              <w:t>P</w:t>
            </w:r>
            <w:r w:rsidR="009A3017" w:rsidRPr="006E0A4F">
              <w:rPr>
                <w:rFonts w:cs="Arial"/>
                <w:szCs w:val="56"/>
              </w:rPr>
              <w:t>rospectus</w:t>
            </w:r>
            <w:r w:rsidR="005C6485" w:rsidRPr="006E0A4F">
              <w:rPr>
                <w:rFonts w:cs="Arial"/>
                <w:szCs w:val="56"/>
              </w:rPr>
              <w:t xml:space="preserve"> Regulation</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E0A4F">
        <w:trPr>
          <w:trHeight w:hRule="exact" w:val="1237"/>
        </w:trPr>
        <w:tc>
          <w:tcPr>
            <w:tcW w:w="964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76E86AC4" w:rsidR="00620D7C" w:rsidRPr="004E49B0" w:rsidRDefault="00620D7C" w:rsidP="005C6485">
            <w:pPr>
              <w:pStyle w:val="02Date"/>
              <w:rPr>
                <w:rFonts w:cs="Arial"/>
              </w:rPr>
            </w:pPr>
            <w:r w:rsidRPr="004E49B0">
              <w:rPr>
                <w:rFonts w:cs="Arial"/>
              </w:rPr>
              <w:lastRenderedPageBreak/>
              <w:t xml:space="preserve">Date: </w:t>
            </w:r>
            <w:r w:rsidR="005C6485">
              <w:rPr>
                <w:rFonts w:cs="Arial"/>
              </w:rPr>
              <w:t>15 December</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7B96A8E" w14:textId="5FDA45E8" w:rsidR="009A3017" w:rsidRPr="00E40A5C" w:rsidRDefault="009A3017" w:rsidP="009A3017">
      <w:pPr>
        <w:spacing w:after="240"/>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Pr="00E40A5C">
        <w:rPr>
          <w:rStyle w:val="SubtleEmphasis"/>
          <w:b w:val="0"/>
          <w:sz w:val="22"/>
        </w:rPr>
        <w:t>Consultation Paper</w:t>
      </w:r>
      <w:r w:rsidR="00963D60">
        <w:rPr>
          <w:rStyle w:val="SubtleEmphasis"/>
          <w:b w:val="0"/>
          <w:sz w:val="22"/>
        </w:rPr>
        <w:t xml:space="preserve"> on draft RTS under the </w:t>
      </w:r>
      <w:r w:rsidR="006E0A4F">
        <w:rPr>
          <w:rStyle w:val="SubtleEmphasis"/>
          <w:b w:val="0"/>
          <w:sz w:val="22"/>
        </w:rPr>
        <w:t xml:space="preserve">new </w:t>
      </w:r>
      <w:r w:rsidR="00963D60">
        <w:rPr>
          <w:rStyle w:val="SubtleEmphasis"/>
          <w:b w:val="0"/>
          <w:sz w:val="22"/>
        </w:rPr>
        <w:t>Prospectus Regulation (ESMA31-62-802)</w:t>
      </w:r>
      <w:r w:rsidRPr="00E40A5C">
        <w:rPr>
          <w:rStyle w:val="SubtleEmphasis"/>
          <w:b w:val="0"/>
          <w:sz w:val="22"/>
        </w:rPr>
        <w:t>. Responses are most helpful if they:</w:t>
      </w:r>
    </w:p>
    <w:p w14:paraId="6F3986A6"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0CEF8FEF"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5D71809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665F069B" w14:textId="3EAF50E8"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by </w:t>
      </w:r>
      <w:r w:rsidR="005C6485">
        <w:rPr>
          <w:rStyle w:val="SubtleEmphasis"/>
          <w:b w:val="0"/>
          <w:sz w:val="22"/>
        </w:rPr>
        <w:t>9 March 2018</w:t>
      </w:r>
      <w:r w:rsidRPr="00E40A5C">
        <w:rPr>
          <w:rStyle w:val="SubtleEmphasis"/>
          <w:b w:val="0"/>
          <w:sz w:val="22"/>
        </w:rPr>
        <w:t>.</w:t>
      </w:r>
    </w:p>
    <w:p w14:paraId="668D5BC5"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5806913F" w14:textId="77777777" w:rsidR="009A3017" w:rsidRPr="00E40A5C" w:rsidRDefault="009A3017" w:rsidP="009A3017">
      <w:pPr>
        <w:spacing w:after="240"/>
        <w:jc w:val="both"/>
        <w:rPr>
          <w:rStyle w:val="SubtleEmphasis"/>
          <w:b w:val="0"/>
          <w:sz w:val="22"/>
        </w:rPr>
      </w:pPr>
      <w:proofErr w:type="gramStart"/>
      <w:r w:rsidRPr="00E40A5C">
        <w:rPr>
          <w:rStyle w:val="SubtleEmphasis"/>
          <w:b w:val="0"/>
          <w:sz w:val="22"/>
        </w:rPr>
        <w:t>In order to</w:t>
      </w:r>
      <w:proofErr w:type="gramEnd"/>
      <w:r w:rsidRPr="00E40A5C">
        <w:rPr>
          <w:rStyle w:val="SubtleEmphasis"/>
          <w:b w:val="0"/>
          <w:sz w:val="22"/>
        </w:rPr>
        <w:t xml:space="preserve"> facilitate analysis of responses to the Consultation Paper, respondents are requested to follow the below steps when preparing and submitting their response:</w:t>
      </w:r>
    </w:p>
    <w:p w14:paraId="0EFF0152" w14:textId="7C4F81FF"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7E25BB0" w14:textId="33D3C29A"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ED4063">
        <w:rPr>
          <w:rStyle w:val="SubtleEmphasis"/>
          <w:b w:val="0"/>
          <w:sz w:val="22"/>
        </w:rPr>
        <w:t>PR</w:t>
      </w:r>
      <w:r w:rsidRPr="00E40A5C">
        <w:rPr>
          <w:rStyle w:val="SubtleEmphasis"/>
          <w:b w:val="0"/>
          <w:sz w:val="22"/>
        </w:rPr>
        <w:t xml:space="preserve">_1&gt;. Your response to each question </w:t>
      </w:r>
      <w:proofErr w:type="gramStart"/>
      <w:r w:rsidRPr="00E40A5C">
        <w:rPr>
          <w:rStyle w:val="SubtleEmphasis"/>
          <w:b w:val="0"/>
          <w:sz w:val="22"/>
        </w:rPr>
        <w:t>has to</w:t>
      </w:r>
      <w:proofErr w:type="gramEnd"/>
      <w:r w:rsidRPr="00E40A5C">
        <w:rPr>
          <w:rStyle w:val="SubtleEmphasis"/>
          <w:b w:val="0"/>
          <w:sz w:val="22"/>
        </w:rPr>
        <w:t xml:space="preserve"> be framed by the two tags corresponding to the question.</w:t>
      </w:r>
    </w:p>
    <w:p w14:paraId="71E451E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5F277C2F" w14:textId="740B262C"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When you have drafted your response, name your response form according to the following convention: </w:t>
      </w:r>
      <w:proofErr w:type="spellStart"/>
      <w:r w:rsidRPr="00E40A5C">
        <w:rPr>
          <w:rStyle w:val="SubtleEmphasis"/>
          <w:b w:val="0"/>
          <w:sz w:val="22"/>
        </w:rPr>
        <w:t>ESMA_</w:t>
      </w:r>
      <w:r w:rsidR="00ED4063">
        <w:rPr>
          <w:rStyle w:val="SubtleEmphasis"/>
          <w:b w:val="0"/>
          <w:sz w:val="22"/>
        </w:rPr>
        <w:t>PR</w:t>
      </w:r>
      <w:r w:rsidRPr="00E40A5C">
        <w:rPr>
          <w:rStyle w:val="SubtleEmphasis"/>
          <w:b w:val="0"/>
          <w:sz w:val="22"/>
        </w:rPr>
        <w:t>_nameofrespondent_RESPONSEFORM</w:t>
      </w:r>
      <w:proofErr w:type="spellEnd"/>
      <w:r w:rsidRPr="00E40A5C">
        <w:rPr>
          <w:rStyle w:val="SubtleEmphasis"/>
          <w:b w:val="0"/>
          <w:sz w:val="22"/>
        </w:rPr>
        <w:t>. For example, for a respondent named ABCD, the response form would be entitled ESMA_</w:t>
      </w:r>
      <w:r w:rsidR="00ED4063">
        <w:rPr>
          <w:rStyle w:val="SubtleEmphasis"/>
          <w:b w:val="0"/>
          <w:sz w:val="22"/>
        </w:rPr>
        <w:t>PR</w:t>
      </w:r>
      <w:r w:rsidRPr="00E40A5C">
        <w:rPr>
          <w:rStyle w:val="SubtleEmphasis"/>
          <w:b w:val="0"/>
          <w:sz w:val="22"/>
        </w:rPr>
        <w:t>_ABCD_RESPONSEFORM.</w:t>
      </w:r>
    </w:p>
    <w:p w14:paraId="08D412C9" w14:textId="56E0A242"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consultations”</w:t>
      </w:r>
      <w:r w:rsidRPr="00E40A5C">
        <w:rPr>
          <w:rStyle w:val="SubtleEmphasis"/>
          <w:b w:val="0"/>
          <w:sz w:val="22"/>
        </w:rPr>
        <w:t xml:space="preserve"> </w:t>
      </w:r>
      <w:r w:rsidRPr="00E40A5C">
        <w:rPr>
          <w:rStyle w:val="SubtleEmphasis"/>
          <w:b w:val="0"/>
          <w:sz w:val="22"/>
        </w:rPr>
        <w:sym w:font="Wingdings" w:char="F0E0"/>
      </w:r>
      <w:r w:rsidRPr="00E40A5C">
        <w:rPr>
          <w:rStyle w:val="SubtleEmphasis"/>
          <w:b w:val="0"/>
          <w:sz w:val="22"/>
        </w:rPr>
        <w:t xml:space="preserve"> </w:t>
      </w:r>
      <w:r w:rsidR="006E0A4F">
        <w:rPr>
          <w:rStyle w:val="SubtleEmphasis"/>
          <w:b w:val="0"/>
          <w:sz w:val="22"/>
        </w:rPr>
        <w:t>“</w:t>
      </w:r>
      <w:r w:rsidRPr="00E40A5C">
        <w:rPr>
          <w:rStyle w:val="SubtleEmphasis"/>
          <w:b w:val="0"/>
          <w:sz w:val="22"/>
        </w:rPr>
        <w:t xml:space="preserve">Consultation on </w:t>
      </w:r>
      <w:r w:rsidR="00ED4063">
        <w:rPr>
          <w:rStyle w:val="SubtleEmphasis"/>
          <w:b w:val="0"/>
          <w:sz w:val="22"/>
        </w:rPr>
        <w:t>draft RTS</w:t>
      </w:r>
      <w:r w:rsidR="006E0A4F">
        <w:rPr>
          <w:rStyle w:val="SubtleEmphasis"/>
          <w:b w:val="0"/>
          <w:sz w:val="22"/>
        </w:rPr>
        <w:t xml:space="preserve"> under the new Prospectus Regulation”</w:t>
      </w:r>
      <w:r w:rsidRPr="00E40A5C">
        <w:rPr>
          <w:rStyle w:val="SubtleEmphasis"/>
          <w:b w:val="0"/>
          <w:sz w:val="22"/>
        </w:rPr>
        <w:t>).</w:t>
      </w:r>
    </w:p>
    <w:p w14:paraId="4AE15839" w14:textId="77777777" w:rsidR="009A3017" w:rsidRPr="00E40A5C" w:rsidRDefault="009A3017" w:rsidP="009A3017">
      <w:pPr>
        <w:spacing w:after="120"/>
        <w:jc w:val="both"/>
        <w:rPr>
          <w:rStyle w:val="SubtleEmphasis"/>
          <w:sz w:val="22"/>
        </w:rPr>
      </w:pPr>
      <w:r w:rsidRPr="00E40A5C">
        <w:rPr>
          <w:rStyle w:val="SubtleEmphasis"/>
          <w:sz w:val="22"/>
        </w:rPr>
        <w:t>Publication of responses</w:t>
      </w:r>
    </w:p>
    <w:p w14:paraId="42026D2E" w14:textId="113B19D6" w:rsidR="009A3017" w:rsidRPr="00E40A5C" w:rsidRDefault="009A3017" w:rsidP="009A3017">
      <w:pPr>
        <w:spacing w:after="240"/>
        <w:jc w:val="both"/>
        <w:rPr>
          <w:rStyle w:val="SubtleEmphasis"/>
          <w:b w:val="0"/>
          <w:sz w:val="22"/>
        </w:rPr>
      </w:pPr>
      <w:r w:rsidRPr="00E40A5C">
        <w:rPr>
          <w:rStyle w:val="SubtleEmphasis"/>
          <w:b w:val="0"/>
          <w:sz w:val="22"/>
        </w:rPr>
        <w:t xml:space="preserve">All contributions received will be published following the close of the consultation, unless you request otherwise. </w:t>
      </w:r>
      <w:r w:rsidRPr="00963D60">
        <w:rPr>
          <w:rStyle w:val="SubtleEmphasis"/>
          <w:sz w:val="22"/>
        </w:rPr>
        <w:t>Please clearly indicate by ticking the appropriate checkbox on the website submission page if you do not wish your contribution to be publicly disclosed.</w:t>
      </w:r>
      <w:r w:rsidRPr="00E40A5C">
        <w:rPr>
          <w:rStyle w:val="SubtleEmphasis"/>
          <w:b w:val="0"/>
          <w:sz w:val="22"/>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6EC228C3" w14:textId="77777777" w:rsidR="00315895" w:rsidRDefault="00315895">
      <w:pPr>
        <w:rPr>
          <w:rStyle w:val="SubtleEmphasis"/>
          <w:sz w:val="22"/>
        </w:rPr>
      </w:pPr>
      <w:r>
        <w:rPr>
          <w:rStyle w:val="SubtleEmphasis"/>
          <w:sz w:val="22"/>
        </w:rPr>
        <w:br w:type="page"/>
      </w:r>
    </w:p>
    <w:p w14:paraId="72235BD1" w14:textId="2FB9320F" w:rsidR="009A3017" w:rsidRPr="00E40A5C" w:rsidRDefault="009A3017" w:rsidP="009A3017">
      <w:pPr>
        <w:spacing w:after="120"/>
        <w:jc w:val="both"/>
        <w:rPr>
          <w:rStyle w:val="SubtleEmphasis"/>
          <w:sz w:val="22"/>
        </w:rPr>
      </w:pPr>
      <w:r w:rsidRPr="00E40A5C">
        <w:rPr>
          <w:rStyle w:val="SubtleEmphasis"/>
          <w:sz w:val="22"/>
        </w:rPr>
        <w:lastRenderedPageBreak/>
        <w:t>Data protection</w:t>
      </w:r>
    </w:p>
    <w:p w14:paraId="51866686" w14:textId="73854503" w:rsidR="009A3017" w:rsidRPr="00E40A5C" w:rsidRDefault="009A3017" w:rsidP="009A3017">
      <w:pPr>
        <w:spacing w:after="240"/>
        <w:jc w:val="both"/>
        <w:rPr>
          <w:rStyle w:val="SubtleEmphasis"/>
          <w:b w:val="0"/>
          <w:sz w:val="22"/>
        </w:rPr>
      </w:pPr>
      <w:r w:rsidRPr="00E40A5C">
        <w:rPr>
          <w:rStyle w:val="SubtleEmphasis"/>
          <w:b w:val="0"/>
          <w:sz w:val="22"/>
        </w:rPr>
        <w:t xml:space="preserve">Information on data protection can be found at </w:t>
      </w:r>
      <w:hyperlink r:id="rId17" w:history="1">
        <w:r w:rsidRPr="00E40A5C">
          <w:rPr>
            <w:rStyle w:val="Hyperlink"/>
            <w:rFonts w:cs="Arial"/>
            <w:sz w:val="22"/>
          </w:rPr>
          <w:t>www.esma.europa.eu</w:t>
        </w:r>
      </w:hyperlink>
      <w:r w:rsidR="006E0A4F">
        <w:rPr>
          <w:rStyle w:val="SubtleEmphasis"/>
          <w:b w:val="0"/>
          <w:sz w:val="22"/>
        </w:rPr>
        <w:t xml:space="preserve"> under the heading “</w:t>
      </w:r>
      <w:proofErr w:type="gramStart"/>
      <w:r w:rsidR="006E0A4F">
        <w:rPr>
          <w:rStyle w:val="SubtleEmphasis"/>
          <w:b w:val="0"/>
          <w:sz w:val="22"/>
        </w:rPr>
        <w:t>Data  protection</w:t>
      </w:r>
      <w:proofErr w:type="gramEnd"/>
      <w:r w:rsidR="006E0A4F">
        <w:rPr>
          <w:rStyle w:val="SubtleEmphasis"/>
          <w:b w:val="0"/>
          <w:sz w:val="22"/>
        </w:rPr>
        <w:t>”</w:t>
      </w:r>
      <w:r w:rsidRPr="00E40A5C">
        <w:rPr>
          <w:rStyle w:val="SubtleEmphasis"/>
          <w:b w:val="0"/>
          <w:sz w:val="22"/>
        </w:rPr>
        <w:t>.</w:t>
      </w:r>
    </w:p>
    <w:p w14:paraId="2C17F76D" w14:textId="235AE682" w:rsidR="009A3017" w:rsidRPr="00E40A5C" w:rsidRDefault="009A3017" w:rsidP="009A3017">
      <w:pPr>
        <w:spacing w:after="120"/>
        <w:jc w:val="both"/>
        <w:rPr>
          <w:rStyle w:val="SubtleEmphasis"/>
          <w:sz w:val="22"/>
        </w:rPr>
      </w:pPr>
      <w:r w:rsidRPr="00E40A5C">
        <w:rPr>
          <w:rStyle w:val="SubtleEmphasis"/>
          <w:sz w:val="22"/>
        </w:rPr>
        <w:t>Who should read th</w:t>
      </w:r>
      <w:r w:rsidR="00315895">
        <w:rPr>
          <w:rStyle w:val="SubtleEmphasis"/>
          <w:sz w:val="22"/>
        </w:rPr>
        <w:t>e</w:t>
      </w:r>
      <w:r w:rsidRPr="00E40A5C">
        <w:rPr>
          <w:rStyle w:val="SubtleEmphasis"/>
          <w:sz w:val="22"/>
        </w:rPr>
        <w:t xml:space="preserve"> Consultation Paper</w:t>
      </w:r>
    </w:p>
    <w:p w14:paraId="2C0EF2F3" w14:textId="7149D2CE" w:rsidR="00ED4063" w:rsidRPr="00ED4063" w:rsidRDefault="00963D60" w:rsidP="00ED4063">
      <w:pPr>
        <w:spacing w:after="240"/>
        <w:jc w:val="both"/>
        <w:rPr>
          <w:rStyle w:val="SubtleEmphasis"/>
          <w:b w:val="0"/>
          <w:sz w:val="22"/>
        </w:rPr>
      </w:pPr>
      <w:r>
        <w:rPr>
          <w:rStyle w:val="SubtleEmphasis"/>
          <w:b w:val="0"/>
          <w:sz w:val="22"/>
        </w:rPr>
        <w:t>The</w:t>
      </w:r>
      <w:r w:rsidRPr="00ED4063">
        <w:rPr>
          <w:rStyle w:val="SubtleEmphasis"/>
          <w:b w:val="0"/>
          <w:sz w:val="22"/>
        </w:rPr>
        <w:t xml:space="preserve"> </w:t>
      </w:r>
      <w:r w:rsidR="00ED4063" w:rsidRPr="00ED4063">
        <w:rPr>
          <w:rStyle w:val="SubtleEmphasis"/>
          <w:b w:val="0"/>
          <w:sz w:val="22"/>
        </w:rPr>
        <w:t xml:space="preserve">Consultation Paper may be of </w:t>
      </w:r>
      <w:proofErr w:type="gramStart"/>
      <w:r w:rsidR="00ED4063" w:rsidRPr="00ED4063">
        <w:rPr>
          <w:rStyle w:val="SubtleEmphasis"/>
          <w:b w:val="0"/>
          <w:sz w:val="22"/>
        </w:rPr>
        <w:t>particular interest</w:t>
      </w:r>
      <w:proofErr w:type="gramEnd"/>
      <w:r w:rsidR="00ED4063" w:rsidRPr="00ED4063">
        <w:rPr>
          <w:rStyle w:val="SubtleEmphasis"/>
          <w:b w:val="0"/>
          <w:sz w:val="22"/>
        </w:rPr>
        <w:t xml:space="preserve"> to investors, issuers, offerors or persons asking for admission to trading on a regulated market as well as to any market participant who is affected by the new Prospectus Regulation (Regulation (EU) 2017/1129).</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3E45AE">
        <w:tc>
          <w:tcPr>
            <w:tcW w:w="3929" w:type="dxa"/>
            <w:shd w:val="clear" w:color="auto" w:fill="auto"/>
          </w:tcPr>
          <w:p w14:paraId="6A42BBC9" w14:textId="77777777" w:rsidR="00B327E9" w:rsidRPr="00E40A5C" w:rsidRDefault="00B327E9" w:rsidP="003E45AE">
            <w:pPr>
              <w:rPr>
                <w:rFonts w:cs="Arial"/>
                <w:sz w:val="22"/>
              </w:rPr>
            </w:pPr>
            <w:permStart w:id="584150857" w:edGrp="everyone" w:colFirst="1" w:colLast="1"/>
            <w:r w:rsidRPr="00E40A5C">
              <w:rPr>
                <w:rFonts w:cs="Arial"/>
                <w:sz w:val="22"/>
              </w:rPr>
              <w:t>Name of the company / organisation</w:t>
            </w:r>
          </w:p>
        </w:tc>
        <w:sdt>
          <w:sdtPr>
            <w:rPr>
              <w:rStyle w:val="PlaceholderText"/>
              <w:rFonts w:cs="Arial"/>
              <w:color w:val="000000" w:themeColor="text1"/>
            </w:rPr>
            <w:id w:val="-1905066999"/>
            <w:text/>
          </w:sdtPr>
          <w:sdtEndPr>
            <w:rPr>
              <w:rStyle w:val="PlaceholderText"/>
            </w:rPr>
          </w:sdtEndPr>
          <w:sdtContent>
            <w:tc>
              <w:tcPr>
                <w:tcW w:w="5595" w:type="dxa"/>
                <w:shd w:val="clear" w:color="auto" w:fill="auto"/>
              </w:tcPr>
              <w:p w14:paraId="1D2AEFF4" w14:textId="31A6064A" w:rsidR="00B327E9" w:rsidRPr="00B0033C" w:rsidRDefault="003E45AE" w:rsidP="003E45AE">
                <w:pPr>
                  <w:rPr>
                    <w:rStyle w:val="PlaceholderText"/>
                    <w:rFonts w:cs="Arial"/>
                    <w:color w:val="000000" w:themeColor="text1"/>
                  </w:rPr>
                </w:pPr>
                <w:r w:rsidRPr="00B0033C">
                  <w:rPr>
                    <w:rStyle w:val="PlaceholderText"/>
                    <w:rFonts w:cs="Arial"/>
                    <w:color w:val="000000" w:themeColor="text1"/>
                  </w:rPr>
                  <w:t>International Capital Market Association (ICMA)</w:t>
                </w:r>
              </w:p>
            </w:tc>
          </w:sdtContent>
        </w:sdt>
      </w:tr>
      <w:tr w:rsidR="00B327E9" w:rsidRPr="00AB6D88" w14:paraId="08FFF92A" w14:textId="77777777" w:rsidTr="003E45AE">
        <w:tc>
          <w:tcPr>
            <w:tcW w:w="3929" w:type="dxa"/>
            <w:shd w:val="clear" w:color="auto" w:fill="auto"/>
          </w:tcPr>
          <w:p w14:paraId="388AB0CD" w14:textId="77777777" w:rsidR="00B327E9" w:rsidRPr="00E40A5C" w:rsidRDefault="00B327E9" w:rsidP="003E45AE">
            <w:pPr>
              <w:rPr>
                <w:rFonts w:cs="Arial"/>
                <w:sz w:val="22"/>
              </w:rPr>
            </w:pPr>
            <w:permStart w:id="192116617" w:edGrp="everyone" w:colFirst="1" w:colLast="1"/>
            <w:permEnd w:id="584150857"/>
            <w:r w:rsidRPr="00E40A5C">
              <w:rPr>
                <w:rFonts w:cs="Arial"/>
                <w:sz w:val="22"/>
              </w:rPr>
              <w:t>Activity</w:t>
            </w:r>
          </w:p>
        </w:tc>
        <w:tc>
          <w:tcPr>
            <w:tcW w:w="5595" w:type="dxa"/>
            <w:shd w:val="clear" w:color="auto" w:fill="auto"/>
          </w:tcPr>
          <w:p w14:paraId="3BAD78CC" w14:textId="72F2512C" w:rsidR="00B327E9" w:rsidRPr="00AB6D88" w:rsidRDefault="00AD1021" w:rsidP="003E45AE">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E45AE">
                  <w:rPr>
                    <w:rFonts w:cs="Arial"/>
                  </w:rPr>
                  <w:t>Other Financial service providers</w:t>
                </w:r>
              </w:sdtContent>
            </w:sdt>
          </w:p>
        </w:tc>
      </w:tr>
      <w:tr w:rsidR="00B327E9" w:rsidRPr="00AB6D88" w14:paraId="509F0A26" w14:textId="77777777" w:rsidTr="003E45AE">
        <w:tc>
          <w:tcPr>
            <w:tcW w:w="3929" w:type="dxa"/>
            <w:shd w:val="clear" w:color="auto" w:fill="auto"/>
          </w:tcPr>
          <w:p w14:paraId="5F066592" w14:textId="77777777" w:rsidR="00B327E9" w:rsidRPr="00E40A5C" w:rsidRDefault="00B327E9" w:rsidP="003E45AE">
            <w:pPr>
              <w:rPr>
                <w:rFonts w:cs="Arial"/>
                <w:sz w:val="22"/>
              </w:rPr>
            </w:pPr>
            <w:permStart w:id="250764791" w:edGrp="everyone" w:colFirst="1" w:colLast="1"/>
            <w:permEnd w:id="192116617"/>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13737D6A" w14:textId="60FFBCDC" w:rsidR="00B327E9" w:rsidRPr="00AB6D88" w:rsidRDefault="003E45AE" w:rsidP="003E45AE">
                <w:pPr>
                  <w:rPr>
                    <w:rFonts w:cs="Arial"/>
                  </w:rPr>
                </w:pPr>
                <w:r>
                  <w:rPr>
                    <w:rFonts w:ascii="MS Gothic" w:eastAsia="MS Gothic" w:hAnsi="MS Gothic" w:cs="Arial" w:hint="eastAsia"/>
                  </w:rPr>
                  <w:t>☒</w:t>
                </w:r>
              </w:p>
            </w:tc>
          </w:sdtContent>
        </w:sdt>
      </w:tr>
      <w:tr w:rsidR="00B327E9" w:rsidRPr="00AB6D88" w14:paraId="059BC4BD" w14:textId="77777777" w:rsidTr="003E45AE">
        <w:tc>
          <w:tcPr>
            <w:tcW w:w="3929" w:type="dxa"/>
            <w:shd w:val="clear" w:color="auto" w:fill="auto"/>
          </w:tcPr>
          <w:p w14:paraId="005527F4" w14:textId="77777777" w:rsidR="00B327E9" w:rsidRPr="00E40A5C" w:rsidRDefault="00B327E9" w:rsidP="003E45AE">
            <w:pPr>
              <w:rPr>
                <w:rFonts w:cs="Arial"/>
                <w:sz w:val="22"/>
              </w:rPr>
            </w:pPr>
            <w:permStart w:id="74910740" w:edGrp="everyone" w:colFirst="1" w:colLast="1"/>
            <w:permEnd w:id="25076479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762D04B9" w:rsidR="00B327E9" w:rsidRPr="00AB6D88" w:rsidRDefault="003E45AE" w:rsidP="003E45AE">
                <w:pPr>
                  <w:rPr>
                    <w:rFonts w:cs="Arial"/>
                  </w:rPr>
                </w:pPr>
                <w:r>
                  <w:rPr>
                    <w:rFonts w:cs="Arial"/>
                  </w:rPr>
                  <w:t>International</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0B06A88E" w14:textId="77777777" w:rsidR="00B327E9" w:rsidRPr="00BF28DA" w:rsidRDefault="00B327E9" w:rsidP="00B327E9"/>
    <w:p w14:paraId="197D07A3" w14:textId="4AC776B4" w:rsidR="00B327E9" w:rsidRPr="006F4535" w:rsidRDefault="00B327E9" w:rsidP="00B327E9">
      <w:r w:rsidRPr="006F4535">
        <w:t>&lt;ESMA_COMMENT_</w:t>
      </w:r>
      <w:r w:rsidR="000A58BE" w:rsidRPr="000A58BE">
        <w:rPr>
          <w:rFonts w:cs="Arial"/>
        </w:rPr>
        <w:t xml:space="preserve"> </w:t>
      </w:r>
      <w:r w:rsidR="00ED4063">
        <w:rPr>
          <w:rFonts w:cs="Arial"/>
        </w:rPr>
        <w:t>PR</w:t>
      </w:r>
      <w:r w:rsidRPr="006F4535">
        <w:t>_1&gt;</w:t>
      </w:r>
    </w:p>
    <w:p w14:paraId="2A50EC09" w14:textId="461FFE50" w:rsidR="00FC5F4E" w:rsidRPr="00FC5F4E" w:rsidRDefault="00FC5F4E" w:rsidP="00C312B4">
      <w:pPr>
        <w:jc w:val="both"/>
        <w:rPr>
          <w:rFonts w:asciiTheme="minorHAnsi" w:hAnsiTheme="minorHAnsi" w:cstheme="minorHAnsi"/>
          <w:b/>
          <w:sz w:val="22"/>
          <w:szCs w:val="22"/>
          <w:lang w:val="en"/>
        </w:rPr>
      </w:pPr>
      <w:permStart w:id="1937050393" w:edGrp="everyone"/>
      <w:r>
        <w:rPr>
          <w:rFonts w:asciiTheme="minorHAnsi" w:hAnsiTheme="minorHAnsi" w:cstheme="minorHAnsi"/>
          <w:b/>
          <w:sz w:val="22"/>
          <w:szCs w:val="22"/>
          <w:lang w:val="en"/>
        </w:rPr>
        <w:t>Introduction to ICMA</w:t>
      </w:r>
    </w:p>
    <w:p w14:paraId="116C5214" w14:textId="77777777" w:rsidR="00FC5F4E" w:rsidRDefault="00FC5F4E" w:rsidP="00C312B4">
      <w:pPr>
        <w:jc w:val="both"/>
        <w:rPr>
          <w:rFonts w:asciiTheme="minorHAnsi" w:hAnsiTheme="minorHAnsi" w:cstheme="minorHAnsi"/>
          <w:sz w:val="22"/>
          <w:szCs w:val="22"/>
          <w:lang w:val="en"/>
        </w:rPr>
      </w:pPr>
    </w:p>
    <w:p w14:paraId="3433FBF1" w14:textId="7D7BCCCA" w:rsidR="002C43F5" w:rsidRPr="00DB6D9F" w:rsidRDefault="002C43F5" w:rsidP="00C312B4">
      <w:pPr>
        <w:jc w:val="both"/>
        <w:rPr>
          <w:rFonts w:asciiTheme="minorHAnsi" w:hAnsiTheme="minorHAnsi" w:cstheme="minorHAnsi"/>
          <w:sz w:val="22"/>
          <w:szCs w:val="22"/>
        </w:rPr>
      </w:pPr>
      <w:r w:rsidRPr="00DB6D9F">
        <w:rPr>
          <w:rFonts w:asciiTheme="minorHAnsi" w:hAnsiTheme="minorHAnsi" w:cstheme="minorHAnsi"/>
          <w:sz w:val="22"/>
          <w:szCs w:val="22"/>
          <w:lang w:val="en"/>
        </w:rPr>
        <w:t xml:space="preserve">ICMA is a membership association, committed to serving the needs of its wide range of members representing both the buy side and sell side of the industry. Its membership includes issuers, intermediaries, investors and capital market infrastructure providers. ICMA currently has more than 530 members located in over 60 countries worldwide. </w:t>
      </w:r>
      <w:r w:rsidRPr="00DB6D9F">
        <w:rPr>
          <w:rFonts w:asciiTheme="minorHAnsi" w:hAnsiTheme="minorHAnsi" w:cstheme="minorHAnsi"/>
          <w:sz w:val="22"/>
          <w:szCs w:val="22"/>
        </w:rPr>
        <w:t xml:space="preserve">See: </w:t>
      </w:r>
      <w:hyperlink r:id="rId18" w:history="1">
        <w:r w:rsidRPr="00DB6D9F">
          <w:rPr>
            <w:rStyle w:val="Hyperlink"/>
            <w:rFonts w:asciiTheme="minorHAnsi" w:hAnsiTheme="minorHAnsi" w:cstheme="minorHAnsi"/>
            <w:sz w:val="22"/>
            <w:szCs w:val="22"/>
          </w:rPr>
          <w:t>www.icmagroup.org</w:t>
        </w:r>
      </w:hyperlink>
      <w:r w:rsidRPr="00DB6D9F">
        <w:rPr>
          <w:rFonts w:asciiTheme="minorHAnsi" w:hAnsiTheme="minorHAnsi" w:cstheme="minorHAnsi"/>
          <w:sz w:val="22"/>
          <w:szCs w:val="22"/>
        </w:rPr>
        <w:t xml:space="preserve">. </w:t>
      </w:r>
    </w:p>
    <w:p w14:paraId="5D3B2EFD" w14:textId="77777777" w:rsidR="002C43F5" w:rsidRPr="00DB6D9F" w:rsidRDefault="002C43F5" w:rsidP="00C312B4">
      <w:pPr>
        <w:jc w:val="both"/>
        <w:rPr>
          <w:rFonts w:asciiTheme="minorHAnsi" w:hAnsiTheme="minorHAnsi" w:cstheme="minorHAnsi"/>
          <w:sz w:val="22"/>
          <w:szCs w:val="22"/>
        </w:rPr>
      </w:pPr>
    </w:p>
    <w:p w14:paraId="2C2603EB" w14:textId="176D3C2C" w:rsidR="002C43F5" w:rsidRPr="00DB6D9F" w:rsidRDefault="002C43F5" w:rsidP="00C312B4">
      <w:pPr>
        <w:jc w:val="both"/>
        <w:rPr>
          <w:rFonts w:asciiTheme="minorHAnsi" w:hAnsiTheme="minorHAnsi" w:cstheme="minorHAnsi"/>
          <w:sz w:val="22"/>
          <w:szCs w:val="22"/>
        </w:rPr>
      </w:pPr>
      <w:r w:rsidRPr="00DB6D9F">
        <w:rPr>
          <w:rFonts w:asciiTheme="minorHAnsi" w:hAnsiTheme="minorHAnsi" w:cstheme="minorHAnsi"/>
          <w:sz w:val="22"/>
          <w:szCs w:val="22"/>
        </w:rPr>
        <w:t xml:space="preserve">This </w:t>
      </w:r>
      <w:r w:rsidR="00700D6D">
        <w:rPr>
          <w:rFonts w:asciiTheme="minorHAnsi" w:hAnsiTheme="minorHAnsi" w:cstheme="minorHAnsi"/>
          <w:sz w:val="22"/>
          <w:szCs w:val="22"/>
        </w:rPr>
        <w:t>response</w:t>
      </w:r>
      <w:r w:rsidRPr="00DB6D9F">
        <w:rPr>
          <w:rFonts w:asciiTheme="minorHAnsi" w:hAnsiTheme="minorHAnsi" w:cstheme="minorHAnsi"/>
          <w:sz w:val="22"/>
          <w:szCs w:val="22"/>
        </w:rPr>
        <w:t xml:space="preserve"> is given by the ICMA primary market constituency comprised of borrowers and banks that lead-manage syndicated debt securities issues throughout Europe. This constituency deliberates principally through: </w:t>
      </w:r>
    </w:p>
    <w:p w14:paraId="49711268" w14:textId="77777777" w:rsidR="002C43F5" w:rsidRPr="00DB6D9F" w:rsidRDefault="002C43F5" w:rsidP="00C312B4">
      <w:pPr>
        <w:jc w:val="both"/>
        <w:rPr>
          <w:rFonts w:asciiTheme="minorHAnsi" w:hAnsiTheme="minorHAnsi" w:cstheme="minorHAnsi"/>
          <w:sz w:val="22"/>
          <w:szCs w:val="22"/>
        </w:rPr>
      </w:pPr>
    </w:p>
    <w:p w14:paraId="11DBF6ED" w14:textId="54AA12BD" w:rsidR="002C43F5" w:rsidRPr="00DB6D9F" w:rsidRDefault="002C43F5" w:rsidP="00C312B4">
      <w:pPr>
        <w:numPr>
          <w:ilvl w:val="0"/>
          <w:numId w:val="39"/>
        </w:numPr>
        <w:ind w:left="426" w:hanging="426"/>
        <w:jc w:val="both"/>
        <w:rPr>
          <w:rFonts w:asciiTheme="minorHAnsi" w:hAnsiTheme="minorHAnsi" w:cstheme="minorHAnsi"/>
          <w:sz w:val="22"/>
          <w:szCs w:val="22"/>
        </w:rPr>
      </w:pPr>
      <w:r w:rsidRPr="00DB6D9F">
        <w:rPr>
          <w:rFonts w:asciiTheme="minorHAnsi" w:hAnsiTheme="minorHAnsi" w:cstheme="minorHAnsi"/>
          <w:sz w:val="22"/>
          <w:szCs w:val="22"/>
        </w:rPr>
        <w:t>the ICMA Corporate Issuer Forum</w:t>
      </w:r>
      <w:r w:rsidRPr="00DB6D9F">
        <w:rPr>
          <w:rStyle w:val="FootnoteReference"/>
          <w:rFonts w:asciiTheme="minorHAnsi" w:hAnsiTheme="minorHAnsi" w:cstheme="minorHAnsi"/>
          <w:sz w:val="22"/>
          <w:szCs w:val="22"/>
        </w:rPr>
        <w:footnoteReference w:id="2"/>
      </w:r>
      <w:r w:rsidRPr="00DB6D9F">
        <w:rPr>
          <w:rFonts w:asciiTheme="minorHAnsi" w:hAnsiTheme="minorHAnsi" w:cstheme="minorHAnsi"/>
          <w:sz w:val="22"/>
          <w:szCs w:val="22"/>
        </w:rPr>
        <w:t xml:space="preserve">, which </w:t>
      </w:r>
      <w:r w:rsidRPr="00DB6D9F">
        <w:rPr>
          <w:rFonts w:asciiTheme="minorHAnsi" w:hAnsiTheme="minorHAnsi" w:cstheme="minorHAnsi"/>
          <w:color w:val="000000"/>
          <w:sz w:val="22"/>
          <w:szCs w:val="22"/>
          <w:lang w:val="en"/>
        </w:rPr>
        <w:t>gathers senior representatives of 27 major corporate issuers</w:t>
      </w:r>
      <w:r w:rsidRPr="00DB6D9F">
        <w:rPr>
          <w:rFonts w:asciiTheme="minorHAnsi" w:hAnsiTheme="minorHAnsi" w:cstheme="minorHAnsi"/>
          <w:sz w:val="22"/>
          <w:szCs w:val="22"/>
        </w:rPr>
        <w:t xml:space="preserve">; </w:t>
      </w:r>
    </w:p>
    <w:p w14:paraId="3E9C9F17" w14:textId="6E4E2421" w:rsidR="002C43F5" w:rsidRPr="00DB6D9F" w:rsidRDefault="002C43F5" w:rsidP="00C312B4">
      <w:pPr>
        <w:numPr>
          <w:ilvl w:val="0"/>
          <w:numId w:val="39"/>
        </w:numPr>
        <w:ind w:left="426" w:hanging="426"/>
        <w:jc w:val="both"/>
        <w:rPr>
          <w:rFonts w:asciiTheme="minorHAnsi" w:hAnsiTheme="minorHAnsi" w:cstheme="minorHAnsi"/>
          <w:sz w:val="22"/>
          <w:szCs w:val="22"/>
        </w:rPr>
      </w:pPr>
      <w:r w:rsidRPr="00DB6D9F">
        <w:rPr>
          <w:rFonts w:asciiTheme="minorHAnsi" w:hAnsiTheme="minorHAnsi" w:cstheme="minorHAnsi"/>
          <w:sz w:val="22"/>
          <w:szCs w:val="22"/>
        </w:rPr>
        <w:t>the ICMA Financial Institution Forum</w:t>
      </w:r>
      <w:r w:rsidRPr="00DB6D9F">
        <w:rPr>
          <w:rStyle w:val="FootnoteReference"/>
          <w:rFonts w:asciiTheme="minorHAnsi" w:hAnsiTheme="minorHAnsi" w:cstheme="minorHAnsi"/>
          <w:sz w:val="22"/>
          <w:szCs w:val="22"/>
        </w:rPr>
        <w:footnoteReference w:id="3"/>
      </w:r>
      <w:r w:rsidRPr="00DB6D9F">
        <w:rPr>
          <w:rFonts w:asciiTheme="minorHAnsi" w:hAnsiTheme="minorHAnsi" w:cstheme="minorHAnsi"/>
          <w:sz w:val="22"/>
          <w:szCs w:val="22"/>
        </w:rPr>
        <w:t xml:space="preserve">, which </w:t>
      </w:r>
      <w:r w:rsidRPr="00DB6D9F">
        <w:rPr>
          <w:rFonts w:asciiTheme="minorHAnsi" w:hAnsiTheme="minorHAnsi" w:cstheme="minorHAnsi"/>
          <w:color w:val="000000"/>
          <w:sz w:val="22"/>
          <w:szCs w:val="22"/>
          <w:lang w:val="en"/>
        </w:rPr>
        <w:t>gathers the heads or senior members of the capital raising, funding and treasury departments of 35 ICMA member banks active in capital markets issuance in Europe</w:t>
      </w:r>
      <w:r w:rsidRPr="00DB6D9F">
        <w:rPr>
          <w:rFonts w:asciiTheme="minorHAnsi" w:hAnsiTheme="minorHAnsi" w:cstheme="minorHAnsi"/>
          <w:sz w:val="22"/>
          <w:szCs w:val="22"/>
        </w:rPr>
        <w:t>;</w:t>
      </w:r>
    </w:p>
    <w:p w14:paraId="4E40FBB8" w14:textId="77777777" w:rsidR="002C43F5" w:rsidRPr="00DB6D9F" w:rsidRDefault="002C43F5" w:rsidP="00C312B4">
      <w:pPr>
        <w:numPr>
          <w:ilvl w:val="0"/>
          <w:numId w:val="39"/>
        </w:numPr>
        <w:ind w:left="426" w:hanging="426"/>
        <w:jc w:val="both"/>
        <w:rPr>
          <w:rFonts w:asciiTheme="minorHAnsi" w:hAnsiTheme="minorHAnsi" w:cstheme="minorHAnsi"/>
          <w:sz w:val="22"/>
          <w:szCs w:val="22"/>
        </w:rPr>
      </w:pPr>
      <w:r w:rsidRPr="00DB6D9F">
        <w:rPr>
          <w:rFonts w:asciiTheme="minorHAnsi" w:hAnsiTheme="minorHAnsi" w:cstheme="minorHAnsi"/>
          <w:sz w:val="22"/>
          <w:szCs w:val="22"/>
        </w:rPr>
        <w:t>the ICMA Primary Market Practices Committee</w:t>
      </w:r>
      <w:r w:rsidRPr="00DB6D9F">
        <w:rPr>
          <w:rStyle w:val="FootnoteReference"/>
          <w:rFonts w:asciiTheme="minorHAnsi" w:hAnsiTheme="minorHAnsi" w:cstheme="minorHAnsi"/>
          <w:sz w:val="22"/>
          <w:szCs w:val="22"/>
        </w:rPr>
        <w:footnoteReference w:id="4"/>
      </w:r>
      <w:r w:rsidRPr="00DB6D9F">
        <w:rPr>
          <w:rFonts w:asciiTheme="minorHAnsi" w:hAnsiTheme="minorHAnsi" w:cstheme="minorHAnsi"/>
          <w:sz w:val="22"/>
          <w:szCs w:val="22"/>
        </w:rPr>
        <w:t>, which gathers the heads and senior members of the syndicate desks of 50 ICMA member banks active in lead-managing syndicated debt securities issues in Europe; and</w:t>
      </w:r>
    </w:p>
    <w:p w14:paraId="6042FE95" w14:textId="7891916D" w:rsidR="002C43F5" w:rsidRPr="00DB6D9F" w:rsidRDefault="002C43F5" w:rsidP="00C312B4">
      <w:pPr>
        <w:numPr>
          <w:ilvl w:val="0"/>
          <w:numId w:val="39"/>
        </w:numPr>
        <w:ind w:left="426" w:hanging="426"/>
        <w:jc w:val="both"/>
        <w:rPr>
          <w:rFonts w:asciiTheme="minorHAnsi" w:hAnsiTheme="minorHAnsi" w:cstheme="minorHAnsi"/>
          <w:sz w:val="22"/>
          <w:szCs w:val="22"/>
        </w:rPr>
      </w:pPr>
      <w:r w:rsidRPr="00DB6D9F">
        <w:rPr>
          <w:rFonts w:asciiTheme="minorHAnsi" w:hAnsiTheme="minorHAnsi" w:cstheme="minorHAnsi"/>
          <w:sz w:val="22"/>
          <w:szCs w:val="22"/>
        </w:rPr>
        <w:t>the ICMA Legal and Documentation Committee</w:t>
      </w:r>
      <w:r w:rsidRPr="00DB6D9F">
        <w:rPr>
          <w:rFonts w:asciiTheme="minorHAnsi" w:hAnsiTheme="minorHAnsi" w:cstheme="minorHAnsi"/>
          <w:sz w:val="22"/>
          <w:szCs w:val="22"/>
          <w:vertAlign w:val="superscript"/>
        </w:rPr>
        <w:footnoteReference w:id="5"/>
      </w:r>
      <w:r w:rsidRPr="00DB6D9F">
        <w:rPr>
          <w:rFonts w:asciiTheme="minorHAnsi" w:hAnsiTheme="minorHAnsi" w:cstheme="minorHAnsi"/>
          <w:sz w:val="22"/>
          <w:szCs w:val="22"/>
        </w:rPr>
        <w:t>, which gathers the heads and senior members of the legal transaction management teams of 21 ICMA member banks active in lead-managing syndicated debt securities issues in Europe.</w:t>
      </w:r>
    </w:p>
    <w:p w14:paraId="038504D4" w14:textId="30B065E6" w:rsidR="002C43F5" w:rsidRPr="00DB6D9F" w:rsidRDefault="002C43F5" w:rsidP="00C312B4">
      <w:pPr>
        <w:jc w:val="both"/>
        <w:rPr>
          <w:rFonts w:asciiTheme="minorHAnsi" w:hAnsiTheme="minorHAnsi" w:cstheme="minorHAnsi"/>
          <w:sz w:val="22"/>
          <w:szCs w:val="22"/>
        </w:rPr>
      </w:pPr>
    </w:p>
    <w:p w14:paraId="0FE4379F" w14:textId="77777777" w:rsidR="00DB6D9F" w:rsidRPr="00DB6D9F" w:rsidRDefault="002C43F5" w:rsidP="00C312B4">
      <w:pPr>
        <w:jc w:val="both"/>
        <w:rPr>
          <w:rFonts w:asciiTheme="minorHAnsi" w:hAnsiTheme="minorHAnsi" w:cstheme="minorHAnsi"/>
          <w:sz w:val="22"/>
          <w:szCs w:val="22"/>
        </w:rPr>
      </w:pPr>
      <w:r w:rsidRPr="00DB6D9F">
        <w:rPr>
          <w:rFonts w:asciiTheme="minorHAnsi" w:hAnsiTheme="minorHAnsi" w:cstheme="minorHAnsi"/>
          <w:sz w:val="22"/>
          <w:szCs w:val="22"/>
        </w:rPr>
        <w:t>We set out responses to the questions posed by ESMA below</w:t>
      </w:r>
      <w:r w:rsidR="00DB6D9F" w:rsidRPr="00DB6D9F">
        <w:rPr>
          <w:rFonts w:asciiTheme="minorHAnsi" w:hAnsiTheme="minorHAnsi" w:cstheme="minorHAnsi"/>
          <w:sz w:val="22"/>
          <w:szCs w:val="22"/>
        </w:rPr>
        <w:t xml:space="preserve"> and some general comments in this section</w:t>
      </w:r>
      <w:r w:rsidRPr="00DB6D9F">
        <w:rPr>
          <w:rFonts w:asciiTheme="minorHAnsi" w:hAnsiTheme="minorHAnsi" w:cstheme="minorHAnsi"/>
          <w:sz w:val="22"/>
          <w:szCs w:val="22"/>
        </w:rPr>
        <w:t>.</w:t>
      </w:r>
    </w:p>
    <w:p w14:paraId="4A2BFB20" w14:textId="77777777" w:rsidR="00DB6D9F" w:rsidRPr="00DB6D9F" w:rsidRDefault="00DB6D9F" w:rsidP="00C312B4">
      <w:pPr>
        <w:jc w:val="both"/>
        <w:rPr>
          <w:rFonts w:asciiTheme="minorHAnsi" w:hAnsiTheme="minorHAnsi" w:cstheme="minorHAnsi"/>
          <w:sz w:val="22"/>
          <w:szCs w:val="22"/>
        </w:rPr>
      </w:pPr>
    </w:p>
    <w:p w14:paraId="3A0C869B" w14:textId="48549932" w:rsidR="00DB6D9F" w:rsidRPr="00DB6D9F" w:rsidRDefault="00DB6D9F" w:rsidP="00A21AB1">
      <w:pPr>
        <w:keepNext/>
        <w:jc w:val="both"/>
        <w:rPr>
          <w:rFonts w:asciiTheme="minorHAnsi" w:hAnsiTheme="minorHAnsi" w:cstheme="minorHAnsi"/>
          <w:b/>
          <w:sz w:val="22"/>
          <w:szCs w:val="22"/>
        </w:rPr>
      </w:pPr>
      <w:r w:rsidRPr="00DB6D9F">
        <w:rPr>
          <w:rFonts w:asciiTheme="minorHAnsi" w:hAnsiTheme="minorHAnsi" w:cstheme="minorHAnsi"/>
          <w:b/>
          <w:sz w:val="22"/>
          <w:szCs w:val="22"/>
        </w:rPr>
        <w:lastRenderedPageBreak/>
        <w:t xml:space="preserve">General remarks </w:t>
      </w:r>
    </w:p>
    <w:p w14:paraId="741C60D1" w14:textId="19A38F49" w:rsidR="00700D6D" w:rsidRDefault="00700D6D" w:rsidP="00A21AB1">
      <w:pPr>
        <w:keepNext/>
        <w:jc w:val="both"/>
        <w:rPr>
          <w:rFonts w:asciiTheme="minorHAnsi" w:hAnsiTheme="minorHAnsi" w:cstheme="minorHAnsi"/>
          <w:b/>
          <w:i/>
          <w:sz w:val="22"/>
          <w:szCs w:val="22"/>
        </w:rPr>
      </w:pPr>
    </w:p>
    <w:p w14:paraId="7405AF7D" w14:textId="5FC3789A" w:rsidR="000C44A1" w:rsidRDefault="00FC5F4E" w:rsidP="00A21AB1">
      <w:pPr>
        <w:keepNext/>
        <w:jc w:val="both"/>
        <w:rPr>
          <w:rFonts w:asciiTheme="minorHAnsi" w:hAnsiTheme="minorHAnsi" w:cstheme="minorHAnsi"/>
          <w:sz w:val="22"/>
          <w:szCs w:val="22"/>
        </w:rPr>
      </w:pPr>
      <w:r w:rsidRPr="00FC5F4E">
        <w:rPr>
          <w:rFonts w:asciiTheme="minorHAnsi" w:hAnsiTheme="minorHAnsi" w:cstheme="minorHAnsi"/>
          <w:b/>
          <w:i/>
          <w:sz w:val="22"/>
          <w:szCs w:val="22"/>
        </w:rPr>
        <w:t>Disincentives to retail issuance:</w:t>
      </w:r>
      <w:r>
        <w:rPr>
          <w:rFonts w:asciiTheme="minorHAnsi" w:hAnsiTheme="minorHAnsi" w:cstheme="minorHAnsi"/>
          <w:b/>
          <w:sz w:val="22"/>
          <w:szCs w:val="22"/>
        </w:rPr>
        <w:t xml:space="preserve"> </w:t>
      </w:r>
      <w:r w:rsidR="00DB6D9F" w:rsidRPr="00DB6D9F">
        <w:rPr>
          <w:rFonts w:asciiTheme="minorHAnsi" w:hAnsiTheme="minorHAnsi" w:cstheme="minorHAnsi"/>
          <w:sz w:val="22"/>
          <w:szCs w:val="22"/>
        </w:rPr>
        <w:t>ESMA’s</w:t>
      </w:r>
      <w:r w:rsidR="00D20444">
        <w:rPr>
          <w:rFonts w:asciiTheme="minorHAnsi" w:hAnsiTheme="minorHAnsi" w:cstheme="minorHAnsi"/>
          <w:sz w:val="22"/>
          <w:szCs w:val="22"/>
        </w:rPr>
        <w:t xml:space="preserve"> </w:t>
      </w:r>
      <w:r w:rsidR="00DB6D9F" w:rsidRPr="00DB6D9F">
        <w:rPr>
          <w:rFonts w:asciiTheme="minorHAnsi" w:hAnsiTheme="minorHAnsi" w:cstheme="minorHAnsi"/>
          <w:sz w:val="22"/>
          <w:szCs w:val="22"/>
        </w:rPr>
        <w:t>approach</w:t>
      </w:r>
      <w:r w:rsidR="00DB6D9F">
        <w:rPr>
          <w:rFonts w:asciiTheme="minorHAnsi" w:hAnsiTheme="minorHAnsi" w:cstheme="minorHAnsi"/>
          <w:sz w:val="22"/>
          <w:szCs w:val="22"/>
        </w:rPr>
        <w:t xml:space="preserve"> of using existing Level 2 measures under the Prospectus Directive</w:t>
      </w:r>
      <w:r w:rsidR="000D3531">
        <w:rPr>
          <w:rFonts w:asciiTheme="minorHAnsi" w:hAnsiTheme="minorHAnsi" w:cstheme="minorHAnsi"/>
          <w:sz w:val="22"/>
          <w:szCs w:val="22"/>
        </w:rPr>
        <w:t xml:space="preserve"> (</w:t>
      </w:r>
      <w:r w:rsidR="000D3531" w:rsidRPr="000D3531">
        <w:rPr>
          <w:rFonts w:asciiTheme="minorHAnsi" w:hAnsiTheme="minorHAnsi" w:cstheme="minorHAnsi"/>
          <w:b/>
          <w:sz w:val="22"/>
          <w:szCs w:val="22"/>
        </w:rPr>
        <w:t>PD</w:t>
      </w:r>
      <w:r w:rsidR="000D3531">
        <w:rPr>
          <w:rFonts w:asciiTheme="minorHAnsi" w:hAnsiTheme="minorHAnsi" w:cstheme="minorHAnsi"/>
          <w:sz w:val="22"/>
          <w:szCs w:val="22"/>
        </w:rPr>
        <w:t>)</w:t>
      </w:r>
      <w:r w:rsidR="00DB6D9F">
        <w:rPr>
          <w:rFonts w:asciiTheme="minorHAnsi" w:hAnsiTheme="minorHAnsi" w:cstheme="minorHAnsi"/>
          <w:sz w:val="22"/>
          <w:szCs w:val="22"/>
        </w:rPr>
        <w:t xml:space="preserve"> as a starting point for the draft RTS</w:t>
      </w:r>
      <w:r w:rsidR="00D20444">
        <w:rPr>
          <w:rFonts w:asciiTheme="minorHAnsi" w:hAnsiTheme="minorHAnsi" w:cstheme="minorHAnsi"/>
          <w:sz w:val="22"/>
          <w:szCs w:val="22"/>
        </w:rPr>
        <w:t>,</w:t>
      </w:r>
      <w:r w:rsidR="00DB6D9F">
        <w:rPr>
          <w:rFonts w:asciiTheme="minorHAnsi" w:hAnsiTheme="minorHAnsi" w:cstheme="minorHAnsi"/>
          <w:sz w:val="22"/>
          <w:szCs w:val="22"/>
        </w:rPr>
        <w:t xml:space="preserve"> </w:t>
      </w:r>
      <w:r w:rsidR="00D20444">
        <w:rPr>
          <w:rFonts w:asciiTheme="minorHAnsi" w:hAnsiTheme="minorHAnsi" w:cstheme="minorHAnsi"/>
          <w:sz w:val="22"/>
          <w:szCs w:val="22"/>
        </w:rPr>
        <w:t>where applicable, is helpful because the current regime is generally well understood by market participants and so avoiding changes to it will minimise disruption</w:t>
      </w:r>
      <w:r w:rsidR="00700D6D">
        <w:rPr>
          <w:rFonts w:asciiTheme="minorHAnsi" w:hAnsiTheme="minorHAnsi" w:cstheme="minorHAnsi"/>
          <w:sz w:val="22"/>
          <w:szCs w:val="22"/>
        </w:rPr>
        <w:t xml:space="preserve">, and </w:t>
      </w:r>
      <w:r w:rsidR="00556878">
        <w:rPr>
          <w:rFonts w:asciiTheme="minorHAnsi" w:hAnsiTheme="minorHAnsi" w:cstheme="minorHAnsi"/>
          <w:sz w:val="22"/>
          <w:szCs w:val="22"/>
        </w:rPr>
        <w:t>the</w:t>
      </w:r>
      <w:r w:rsidR="00700D6D">
        <w:rPr>
          <w:rFonts w:asciiTheme="minorHAnsi" w:hAnsiTheme="minorHAnsi" w:cstheme="minorHAnsi"/>
          <w:sz w:val="22"/>
          <w:szCs w:val="22"/>
        </w:rPr>
        <w:t xml:space="preserve"> costs</w:t>
      </w:r>
      <w:r w:rsidR="00556878">
        <w:rPr>
          <w:rFonts w:asciiTheme="minorHAnsi" w:hAnsiTheme="minorHAnsi" w:cstheme="minorHAnsi"/>
          <w:sz w:val="22"/>
          <w:szCs w:val="22"/>
        </w:rPr>
        <w:t xml:space="preserve"> associated with disruption</w:t>
      </w:r>
      <w:r w:rsidR="00700D6D">
        <w:rPr>
          <w:rFonts w:asciiTheme="minorHAnsi" w:hAnsiTheme="minorHAnsi" w:cstheme="minorHAnsi"/>
          <w:sz w:val="22"/>
          <w:szCs w:val="22"/>
        </w:rPr>
        <w:t>, for issuers</w:t>
      </w:r>
      <w:r w:rsidR="00D20444">
        <w:rPr>
          <w:rFonts w:asciiTheme="minorHAnsi" w:hAnsiTheme="minorHAnsi" w:cstheme="minorHAnsi"/>
          <w:sz w:val="22"/>
          <w:szCs w:val="22"/>
        </w:rPr>
        <w:t>.</w:t>
      </w:r>
      <w:r w:rsidR="0078765C">
        <w:rPr>
          <w:rFonts w:asciiTheme="minorHAnsi" w:hAnsiTheme="minorHAnsi" w:cstheme="minorHAnsi"/>
          <w:sz w:val="22"/>
          <w:szCs w:val="22"/>
        </w:rPr>
        <w:t xml:space="preserve"> </w:t>
      </w:r>
      <w:r w:rsidR="000C44A1">
        <w:rPr>
          <w:rFonts w:asciiTheme="minorHAnsi" w:hAnsiTheme="minorHAnsi" w:cstheme="minorHAnsi"/>
          <w:sz w:val="22"/>
          <w:szCs w:val="22"/>
        </w:rPr>
        <w:t xml:space="preserve">However, the new provisions relating to </w:t>
      </w:r>
      <w:r w:rsidR="0045318F">
        <w:rPr>
          <w:rFonts w:asciiTheme="minorHAnsi" w:hAnsiTheme="minorHAnsi" w:cstheme="minorHAnsi"/>
          <w:sz w:val="22"/>
          <w:szCs w:val="22"/>
        </w:rPr>
        <w:t>key financial information</w:t>
      </w:r>
      <w:r w:rsidR="000C44A1">
        <w:rPr>
          <w:rFonts w:asciiTheme="minorHAnsi" w:hAnsiTheme="minorHAnsi" w:cstheme="minorHAnsi"/>
          <w:sz w:val="22"/>
          <w:szCs w:val="22"/>
        </w:rPr>
        <w:t xml:space="preserve"> for the summary and advertisements disseminated to retail investors are likely to be viewed as a further disincentive to direct retail issuance of bonds. This is unfortunate, because it may result in a further decline in the availability of bonds that can be bought directly by retail investors (who may </w:t>
      </w:r>
      <w:r w:rsidR="00556878">
        <w:rPr>
          <w:rFonts w:asciiTheme="minorHAnsi" w:hAnsiTheme="minorHAnsi" w:cstheme="minorHAnsi"/>
          <w:sz w:val="22"/>
          <w:szCs w:val="22"/>
        </w:rPr>
        <w:t>need access to</w:t>
      </w:r>
      <w:r w:rsidR="000C44A1">
        <w:rPr>
          <w:rFonts w:asciiTheme="minorHAnsi" w:hAnsiTheme="minorHAnsi" w:cstheme="minorHAnsi"/>
          <w:sz w:val="22"/>
          <w:szCs w:val="22"/>
        </w:rPr>
        <w:t xml:space="preserve"> fixed income </w:t>
      </w:r>
      <w:r w:rsidR="00746A5C">
        <w:rPr>
          <w:rFonts w:asciiTheme="minorHAnsi" w:hAnsiTheme="minorHAnsi" w:cstheme="minorHAnsi"/>
          <w:sz w:val="22"/>
          <w:szCs w:val="22"/>
        </w:rPr>
        <w:t xml:space="preserve">securities </w:t>
      </w:r>
      <w:r w:rsidR="000C44A1">
        <w:rPr>
          <w:rFonts w:asciiTheme="minorHAnsi" w:hAnsiTheme="minorHAnsi" w:cstheme="minorHAnsi"/>
          <w:sz w:val="22"/>
          <w:szCs w:val="22"/>
        </w:rPr>
        <w:t xml:space="preserve">e.g. during their retirement) </w:t>
      </w:r>
      <w:r w:rsidR="00556878">
        <w:rPr>
          <w:rFonts w:asciiTheme="minorHAnsi" w:hAnsiTheme="minorHAnsi" w:cstheme="minorHAnsi"/>
          <w:sz w:val="22"/>
          <w:szCs w:val="22"/>
        </w:rPr>
        <w:t xml:space="preserve">and those retail investors may therefore face increased costs associated with investing via funds. </w:t>
      </w:r>
    </w:p>
    <w:p w14:paraId="7AB79060" w14:textId="76E2D32F" w:rsidR="00D30095" w:rsidRPr="00FC5F4E" w:rsidRDefault="000C44A1" w:rsidP="00C312B4">
      <w:pPr>
        <w:jc w:val="both"/>
        <w:rPr>
          <w:rFonts w:asciiTheme="minorHAnsi" w:hAnsiTheme="minorHAnsi" w:cstheme="minorHAnsi"/>
          <w:sz w:val="22"/>
          <w:szCs w:val="22"/>
        </w:rPr>
      </w:pPr>
      <w:r>
        <w:rPr>
          <w:rFonts w:asciiTheme="minorHAnsi" w:hAnsiTheme="minorHAnsi" w:cstheme="minorHAnsi"/>
          <w:sz w:val="22"/>
          <w:szCs w:val="22"/>
        </w:rPr>
        <w:t xml:space="preserve">  </w:t>
      </w:r>
    </w:p>
    <w:p w14:paraId="7969EC9F" w14:textId="46CCEFC9" w:rsidR="000D3531" w:rsidRDefault="00D30095" w:rsidP="00C312B4">
      <w:pPr>
        <w:jc w:val="both"/>
        <w:rPr>
          <w:rFonts w:asciiTheme="minorHAnsi" w:hAnsiTheme="minorHAnsi" w:cstheme="minorHAnsi"/>
          <w:sz w:val="22"/>
          <w:szCs w:val="22"/>
        </w:rPr>
      </w:pPr>
      <w:r w:rsidRPr="003D7F9C">
        <w:rPr>
          <w:rFonts w:asciiTheme="minorHAnsi" w:hAnsiTheme="minorHAnsi" w:cstheme="minorHAnsi"/>
          <w:b/>
          <w:i/>
          <w:sz w:val="22"/>
          <w:szCs w:val="22"/>
        </w:rPr>
        <w:t xml:space="preserve">Key financial information </w:t>
      </w:r>
      <w:r w:rsidR="003D7F9C">
        <w:rPr>
          <w:rFonts w:asciiTheme="minorHAnsi" w:hAnsiTheme="minorHAnsi" w:cstheme="minorHAnsi"/>
          <w:b/>
          <w:i/>
          <w:sz w:val="22"/>
          <w:szCs w:val="22"/>
        </w:rPr>
        <w:t xml:space="preserve">for </w:t>
      </w:r>
      <w:r w:rsidRPr="003D7F9C">
        <w:rPr>
          <w:rFonts w:asciiTheme="minorHAnsi" w:hAnsiTheme="minorHAnsi" w:cstheme="minorHAnsi"/>
          <w:b/>
          <w:i/>
          <w:sz w:val="22"/>
          <w:szCs w:val="22"/>
        </w:rPr>
        <w:t>the summary:</w:t>
      </w:r>
      <w:r w:rsidR="0078765C">
        <w:rPr>
          <w:rFonts w:asciiTheme="minorHAnsi" w:hAnsiTheme="minorHAnsi" w:cstheme="minorHAnsi"/>
          <w:sz w:val="22"/>
          <w:szCs w:val="22"/>
        </w:rPr>
        <w:t xml:space="preserve"> </w:t>
      </w:r>
      <w:r w:rsidR="003D7F9C">
        <w:rPr>
          <w:rFonts w:asciiTheme="minorHAnsi" w:hAnsiTheme="minorHAnsi" w:cstheme="minorHAnsi"/>
          <w:sz w:val="22"/>
          <w:szCs w:val="22"/>
        </w:rPr>
        <w:t>T</w:t>
      </w:r>
      <w:r w:rsidR="00B53798">
        <w:rPr>
          <w:rFonts w:asciiTheme="minorHAnsi" w:hAnsiTheme="minorHAnsi" w:cstheme="minorHAnsi"/>
          <w:sz w:val="22"/>
          <w:szCs w:val="22"/>
        </w:rPr>
        <w:t>he</w:t>
      </w:r>
      <w:r w:rsidR="003D7F9C">
        <w:rPr>
          <w:rFonts w:asciiTheme="minorHAnsi" w:hAnsiTheme="minorHAnsi" w:cstheme="minorHAnsi"/>
          <w:sz w:val="22"/>
          <w:szCs w:val="22"/>
        </w:rPr>
        <w:t xml:space="preserve"> approach to the proposed </w:t>
      </w:r>
      <w:r w:rsidR="00B53798">
        <w:rPr>
          <w:rFonts w:asciiTheme="minorHAnsi" w:hAnsiTheme="minorHAnsi" w:cstheme="minorHAnsi"/>
          <w:sz w:val="22"/>
          <w:szCs w:val="22"/>
        </w:rPr>
        <w:t>draft RTS</w:t>
      </w:r>
      <w:r w:rsidR="003D7F9C">
        <w:rPr>
          <w:rFonts w:asciiTheme="minorHAnsi" w:hAnsiTheme="minorHAnsi" w:cstheme="minorHAnsi"/>
          <w:sz w:val="22"/>
          <w:szCs w:val="22"/>
        </w:rPr>
        <w:t xml:space="preserve"> for key financial information in the summary seems relatively prescriptive</w:t>
      </w:r>
      <w:r w:rsidR="00B53798">
        <w:rPr>
          <w:rFonts w:asciiTheme="minorHAnsi" w:hAnsiTheme="minorHAnsi" w:cstheme="minorHAnsi"/>
          <w:sz w:val="22"/>
          <w:szCs w:val="22"/>
        </w:rPr>
        <w:t xml:space="preserve">. </w:t>
      </w:r>
      <w:proofErr w:type="gramStart"/>
      <w:r w:rsidR="00B53798">
        <w:rPr>
          <w:rFonts w:asciiTheme="minorHAnsi" w:hAnsiTheme="minorHAnsi" w:cstheme="minorHAnsi"/>
          <w:sz w:val="22"/>
          <w:szCs w:val="22"/>
        </w:rPr>
        <w:t>Generally speaking, prescriptive</w:t>
      </w:r>
      <w:proofErr w:type="gramEnd"/>
      <w:r w:rsidR="00B53798">
        <w:rPr>
          <w:rFonts w:asciiTheme="minorHAnsi" w:hAnsiTheme="minorHAnsi" w:cstheme="minorHAnsi"/>
          <w:sz w:val="22"/>
          <w:szCs w:val="22"/>
        </w:rPr>
        <w:t xml:space="preserve"> requirements can give rise to unexpected results in practice when they are applied to the wide range of prospectuses </w:t>
      </w:r>
      <w:r w:rsidR="00DF39F9">
        <w:rPr>
          <w:rFonts w:asciiTheme="minorHAnsi" w:hAnsiTheme="minorHAnsi" w:cstheme="minorHAnsi"/>
          <w:sz w:val="22"/>
          <w:szCs w:val="22"/>
        </w:rPr>
        <w:t>prepared under</w:t>
      </w:r>
      <w:r w:rsidR="00B53798">
        <w:rPr>
          <w:rFonts w:asciiTheme="minorHAnsi" w:hAnsiTheme="minorHAnsi" w:cstheme="minorHAnsi"/>
          <w:sz w:val="22"/>
          <w:szCs w:val="22"/>
        </w:rPr>
        <w:t xml:space="preserve"> the</w:t>
      </w:r>
      <w:r w:rsidR="000B54AA">
        <w:rPr>
          <w:rFonts w:asciiTheme="minorHAnsi" w:hAnsiTheme="minorHAnsi" w:cstheme="minorHAnsi"/>
          <w:sz w:val="22"/>
          <w:szCs w:val="22"/>
        </w:rPr>
        <w:t xml:space="preserve"> EU prospectus regime</w:t>
      </w:r>
      <w:r w:rsidR="00B53798">
        <w:rPr>
          <w:rFonts w:asciiTheme="minorHAnsi" w:hAnsiTheme="minorHAnsi" w:cstheme="minorHAnsi"/>
          <w:sz w:val="22"/>
          <w:szCs w:val="22"/>
        </w:rPr>
        <w:t>.</w:t>
      </w:r>
      <w:r w:rsidR="00FE5F2F">
        <w:rPr>
          <w:rFonts w:asciiTheme="minorHAnsi" w:hAnsiTheme="minorHAnsi" w:cstheme="minorHAnsi"/>
          <w:sz w:val="22"/>
          <w:szCs w:val="22"/>
        </w:rPr>
        <w:t xml:space="preserve"> This introduces increased costs for issuers, who need to spend time understanding how best to comply with prescriptive requirements that don’t necessarily fit with their business.</w:t>
      </w:r>
      <w:r w:rsidR="00B53798">
        <w:rPr>
          <w:rFonts w:asciiTheme="minorHAnsi" w:hAnsiTheme="minorHAnsi" w:cstheme="minorHAnsi"/>
          <w:sz w:val="22"/>
          <w:szCs w:val="22"/>
        </w:rPr>
        <w:t xml:space="preserve"> </w:t>
      </w:r>
      <w:r w:rsidR="000D3531">
        <w:rPr>
          <w:rFonts w:asciiTheme="minorHAnsi" w:hAnsiTheme="minorHAnsi" w:cstheme="minorHAnsi"/>
          <w:sz w:val="22"/>
          <w:szCs w:val="22"/>
        </w:rPr>
        <w:t>An example of th</w:t>
      </w:r>
      <w:r w:rsidR="003C2217">
        <w:rPr>
          <w:rFonts w:asciiTheme="minorHAnsi" w:hAnsiTheme="minorHAnsi" w:cstheme="minorHAnsi"/>
          <w:sz w:val="22"/>
          <w:szCs w:val="22"/>
        </w:rPr>
        <w:t xml:space="preserve">e unexpected results of prescriptive rules </w:t>
      </w:r>
      <w:r w:rsidR="000D3531">
        <w:rPr>
          <w:rFonts w:asciiTheme="minorHAnsi" w:hAnsiTheme="minorHAnsi" w:cstheme="minorHAnsi"/>
          <w:sz w:val="22"/>
          <w:szCs w:val="22"/>
        </w:rPr>
        <w:t>has been seen</w:t>
      </w:r>
      <w:r w:rsidR="00A01052">
        <w:rPr>
          <w:rFonts w:asciiTheme="minorHAnsi" w:hAnsiTheme="minorHAnsi" w:cstheme="minorHAnsi"/>
          <w:sz w:val="22"/>
          <w:szCs w:val="22"/>
        </w:rPr>
        <w:t xml:space="preserve"> outside the prospectus regime</w:t>
      </w:r>
      <w:r w:rsidR="000D3531">
        <w:rPr>
          <w:rFonts w:asciiTheme="minorHAnsi" w:hAnsiTheme="minorHAnsi" w:cstheme="minorHAnsi"/>
          <w:sz w:val="22"/>
          <w:szCs w:val="22"/>
        </w:rPr>
        <w:t xml:space="preserve"> in the </w:t>
      </w:r>
      <w:r w:rsidR="00A408BD">
        <w:rPr>
          <w:rFonts w:asciiTheme="minorHAnsi" w:hAnsiTheme="minorHAnsi" w:cstheme="minorHAnsi"/>
          <w:sz w:val="22"/>
          <w:szCs w:val="22"/>
        </w:rPr>
        <w:t>requirement</w:t>
      </w:r>
      <w:r w:rsidR="00D406D1">
        <w:rPr>
          <w:rFonts w:asciiTheme="minorHAnsi" w:hAnsiTheme="minorHAnsi" w:cstheme="minorHAnsi"/>
          <w:sz w:val="22"/>
          <w:szCs w:val="22"/>
        </w:rPr>
        <w:t xml:space="preserve">s for </w:t>
      </w:r>
      <w:r w:rsidR="00A408BD">
        <w:rPr>
          <w:rFonts w:asciiTheme="minorHAnsi" w:hAnsiTheme="minorHAnsi" w:cstheme="minorHAnsi"/>
          <w:sz w:val="22"/>
          <w:szCs w:val="22"/>
        </w:rPr>
        <w:t>KID</w:t>
      </w:r>
      <w:r w:rsidR="00D406D1">
        <w:rPr>
          <w:rFonts w:asciiTheme="minorHAnsi" w:hAnsiTheme="minorHAnsi" w:cstheme="minorHAnsi"/>
          <w:sz w:val="22"/>
          <w:szCs w:val="22"/>
        </w:rPr>
        <w:t>s</w:t>
      </w:r>
      <w:r w:rsidR="00A408BD">
        <w:rPr>
          <w:rFonts w:asciiTheme="minorHAnsi" w:hAnsiTheme="minorHAnsi" w:cstheme="minorHAnsi"/>
          <w:sz w:val="22"/>
          <w:szCs w:val="22"/>
        </w:rPr>
        <w:t xml:space="preserve"> under the PRIIPs Regulation, where co</w:t>
      </w:r>
      <w:r w:rsidR="00D406D1">
        <w:rPr>
          <w:rFonts w:asciiTheme="minorHAnsi" w:hAnsiTheme="minorHAnsi" w:cstheme="minorHAnsi"/>
          <w:sz w:val="22"/>
          <w:szCs w:val="22"/>
        </w:rPr>
        <w:t>ncerns have been raised that</w:t>
      </w:r>
      <w:r w:rsidR="00A408BD">
        <w:rPr>
          <w:rFonts w:asciiTheme="minorHAnsi" w:hAnsiTheme="minorHAnsi" w:cstheme="minorHAnsi"/>
          <w:sz w:val="22"/>
          <w:szCs w:val="22"/>
        </w:rPr>
        <w:t xml:space="preserve"> KID</w:t>
      </w:r>
      <w:r w:rsidR="00D406D1">
        <w:rPr>
          <w:rFonts w:asciiTheme="minorHAnsi" w:hAnsiTheme="minorHAnsi" w:cstheme="minorHAnsi"/>
          <w:sz w:val="22"/>
          <w:szCs w:val="22"/>
        </w:rPr>
        <w:t>s</w:t>
      </w:r>
      <w:r w:rsidR="00A408BD">
        <w:rPr>
          <w:rFonts w:asciiTheme="minorHAnsi" w:hAnsiTheme="minorHAnsi" w:cstheme="minorHAnsi"/>
          <w:sz w:val="22"/>
          <w:szCs w:val="22"/>
        </w:rPr>
        <w:t xml:space="preserve"> may be misleading for investors (prompting the FCA in the UK to issue a </w:t>
      </w:r>
      <w:hyperlink r:id="rId19" w:history="1">
        <w:r w:rsidR="00A408BD" w:rsidRPr="00A408BD">
          <w:rPr>
            <w:rStyle w:val="Hyperlink"/>
            <w:rFonts w:asciiTheme="minorHAnsi" w:hAnsiTheme="minorHAnsi" w:cstheme="minorHAnsi"/>
            <w:sz w:val="22"/>
            <w:szCs w:val="22"/>
          </w:rPr>
          <w:t>statement</w:t>
        </w:r>
      </w:hyperlink>
      <w:r w:rsidR="00A408BD">
        <w:rPr>
          <w:rFonts w:asciiTheme="minorHAnsi" w:hAnsiTheme="minorHAnsi" w:cstheme="minorHAnsi"/>
          <w:sz w:val="22"/>
          <w:szCs w:val="22"/>
        </w:rPr>
        <w:t xml:space="preserve"> on this point). </w:t>
      </w:r>
      <w:r w:rsidR="00D406D1">
        <w:rPr>
          <w:rFonts w:asciiTheme="minorHAnsi" w:hAnsiTheme="minorHAnsi" w:cstheme="minorHAnsi"/>
          <w:sz w:val="22"/>
          <w:szCs w:val="22"/>
        </w:rPr>
        <w:t>Within the prospectus regime</w:t>
      </w:r>
      <w:r w:rsidR="00A408BD">
        <w:rPr>
          <w:rFonts w:asciiTheme="minorHAnsi" w:hAnsiTheme="minorHAnsi" w:cstheme="minorHAnsi"/>
          <w:sz w:val="22"/>
          <w:szCs w:val="22"/>
        </w:rPr>
        <w:t xml:space="preserve">, the </w:t>
      </w:r>
      <w:r w:rsidR="000D3531">
        <w:rPr>
          <w:rFonts w:asciiTheme="minorHAnsi" w:hAnsiTheme="minorHAnsi" w:cstheme="minorHAnsi"/>
          <w:sz w:val="22"/>
          <w:szCs w:val="22"/>
        </w:rPr>
        <w:t xml:space="preserve">prescriptive requirements for the current </w:t>
      </w:r>
      <w:r w:rsidR="006333AC">
        <w:rPr>
          <w:rFonts w:asciiTheme="minorHAnsi" w:hAnsiTheme="minorHAnsi" w:cstheme="minorHAnsi"/>
          <w:sz w:val="22"/>
          <w:szCs w:val="22"/>
        </w:rPr>
        <w:t>PD</w:t>
      </w:r>
      <w:r w:rsidR="000B54AA">
        <w:rPr>
          <w:rFonts w:asciiTheme="minorHAnsi" w:hAnsiTheme="minorHAnsi" w:cstheme="minorHAnsi"/>
          <w:sz w:val="22"/>
          <w:szCs w:val="22"/>
        </w:rPr>
        <w:t xml:space="preserve"> </w:t>
      </w:r>
      <w:r w:rsidR="000D3531">
        <w:rPr>
          <w:rFonts w:asciiTheme="minorHAnsi" w:hAnsiTheme="minorHAnsi" w:cstheme="minorHAnsi"/>
          <w:sz w:val="22"/>
          <w:szCs w:val="22"/>
        </w:rPr>
        <w:t xml:space="preserve">summary format are generally acknowledged to have resulted in </w:t>
      </w:r>
      <w:r w:rsidR="002B19F7">
        <w:rPr>
          <w:rFonts w:asciiTheme="minorHAnsi" w:hAnsiTheme="minorHAnsi" w:cstheme="minorHAnsi"/>
          <w:sz w:val="22"/>
          <w:szCs w:val="22"/>
        </w:rPr>
        <w:t>un</w:t>
      </w:r>
      <w:r w:rsidR="000D3531">
        <w:rPr>
          <w:rFonts w:asciiTheme="minorHAnsi" w:hAnsiTheme="minorHAnsi" w:cstheme="minorHAnsi"/>
          <w:sz w:val="22"/>
          <w:szCs w:val="22"/>
        </w:rPr>
        <w:t xml:space="preserve">clear and </w:t>
      </w:r>
      <w:r w:rsidR="002B19F7">
        <w:rPr>
          <w:rFonts w:asciiTheme="minorHAnsi" w:hAnsiTheme="minorHAnsi" w:cstheme="minorHAnsi"/>
          <w:sz w:val="22"/>
          <w:szCs w:val="22"/>
        </w:rPr>
        <w:t>un</w:t>
      </w:r>
      <w:r w:rsidR="000D3531">
        <w:rPr>
          <w:rFonts w:asciiTheme="minorHAnsi" w:hAnsiTheme="minorHAnsi" w:cstheme="minorHAnsi"/>
          <w:sz w:val="22"/>
          <w:szCs w:val="22"/>
        </w:rPr>
        <w:t>helpful disclosure for investors in practice</w:t>
      </w:r>
      <w:r w:rsidR="009D58D3">
        <w:rPr>
          <w:rFonts w:asciiTheme="minorHAnsi" w:hAnsiTheme="minorHAnsi" w:cstheme="minorHAnsi"/>
          <w:sz w:val="22"/>
          <w:szCs w:val="22"/>
        </w:rPr>
        <w:t xml:space="preserve">. Whilst these </w:t>
      </w:r>
      <w:r w:rsidR="000D3531">
        <w:rPr>
          <w:rFonts w:asciiTheme="minorHAnsi" w:hAnsiTheme="minorHAnsi" w:cstheme="minorHAnsi"/>
          <w:sz w:val="22"/>
          <w:szCs w:val="22"/>
        </w:rPr>
        <w:t xml:space="preserve">have </w:t>
      </w:r>
      <w:r w:rsidR="00700D6D">
        <w:rPr>
          <w:rFonts w:asciiTheme="minorHAnsi" w:hAnsiTheme="minorHAnsi" w:cstheme="minorHAnsi"/>
          <w:sz w:val="22"/>
          <w:szCs w:val="22"/>
        </w:rPr>
        <w:t>(</w:t>
      </w:r>
      <w:r w:rsidR="000D3531">
        <w:rPr>
          <w:rFonts w:asciiTheme="minorHAnsi" w:hAnsiTheme="minorHAnsi" w:cstheme="minorHAnsi"/>
          <w:sz w:val="22"/>
          <w:szCs w:val="22"/>
        </w:rPr>
        <w:t>helpfully</w:t>
      </w:r>
      <w:r w:rsidR="00700D6D">
        <w:rPr>
          <w:rFonts w:asciiTheme="minorHAnsi" w:hAnsiTheme="minorHAnsi" w:cstheme="minorHAnsi"/>
          <w:sz w:val="22"/>
          <w:szCs w:val="22"/>
        </w:rPr>
        <w:t>)</w:t>
      </w:r>
      <w:r w:rsidR="000D3531">
        <w:rPr>
          <w:rFonts w:asciiTheme="minorHAnsi" w:hAnsiTheme="minorHAnsi" w:cstheme="minorHAnsi"/>
          <w:sz w:val="22"/>
          <w:szCs w:val="22"/>
        </w:rPr>
        <w:t xml:space="preserve"> not been replicated under the new P</w:t>
      </w:r>
      <w:r w:rsidR="000B54AA">
        <w:rPr>
          <w:rFonts w:asciiTheme="minorHAnsi" w:hAnsiTheme="minorHAnsi" w:cstheme="minorHAnsi"/>
          <w:sz w:val="22"/>
          <w:szCs w:val="22"/>
        </w:rPr>
        <w:t>rospectus Regulation</w:t>
      </w:r>
      <w:r w:rsidR="009D58D3">
        <w:rPr>
          <w:rFonts w:asciiTheme="minorHAnsi" w:hAnsiTheme="minorHAnsi" w:cstheme="minorHAnsi"/>
          <w:sz w:val="22"/>
          <w:szCs w:val="22"/>
        </w:rPr>
        <w:t>, the approach in the proposed draft RTS for key financial information in the summary is still relatively prescriptive</w:t>
      </w:r>
      <w:r w:rsidR="000D3531">
        <w:rPr>
          <w:rFonts w:asciiTheme="minorHAnsi" w:hAnsiTheme="minorHAnsi" w:cstheme="minorHAnsi"/>
          <w:sz w:val="22"/>
          <w:szCs w:val="22"/>
        </w:rPr>
        <w:t>.</w:t>
      </w:r>
      <w:r w:rsidR="00A408BD">
        <w:rPr>
          <w:rFonts w:asciiTheme="minorHAnsi" w:hAnsiTheme="minorHAnsi" w:cstheme="minorHAnsi"/>
          <w:sz w:val="22"/>
          <w:szCs w:val="22"/>
        </w:rPr>
        <w:t xml:space="preserve"> </w:t>
      </w:r>
    </w:p>
    <w:p w14:paraId="2B96AD65" w14:textId="77777777" w:rsidR="000D3531" w:rsidRDefault="000D3531" w:rsidP="00C312B4">
      <w:pPr>
        <w:jc w:val="both"/>
        <w:rPr>
          <w:rFonts w:asciiTheme="minorHAnsi" w:hAnsiTheme="minorHAnsi" w:cstheme="minorHAnsi"/>
          <w:sz w:val="22"/>
          <w:szCs w:val="22"/>
        </w:rPr>
      </w:pPr>
    </w:p>
    <w:p w14:paraId="3E4CE82E" w14:textId="3F17DE24" w:rsidR="00700D6D" w:rsidRDefault="00700D6D" w:rsidP="00C312B4">
      <w:pPr>
        <w:jc w:val="both"/>
        <w:rPr>
          <w:rFonts w:asciiTheme="minorHAnsi" w:hAnsiTheme="minorHAnsi" w:cstheme="minorHAnsi"/>
          <w:sz w:val="22"/>
          <w:szCs w:val="22"/>
        </w:rPr>
      </w:pPr>
      <w:r>
        <w:rPr>
          <w:rFonts w:asciiTheme="minorHAnsi" w:hAnsiTheme="minorHAnsi" w:cstheme="minorHAnsi"/>
          <w:sz w:val="22"/>
          <w:szCs w:val="22"/>
        </w:rPr>
        <w:t xml:space="preserve">If the annexes to the </w:t>
      </w:r>
      <w:r w:rsidR="006333AC">
        <w:rPr>
          <w:rFonts w:asciiTheme="minorHAnsi" w:hAnsiTheme="minorHAnsi" w:cstheme="minorHAnsi"/>
          <w:sz w:val="22"/>
          <w:szCs w:val="22"/>
        </w:rPr>
        <w:t xml:space="preserve">proposed </w:t>
      </w:r>
      <w:r>
        <w:rPr>
          <w:rFonts w:asciiTheme="minorHAnsi" w:hAnsiTheme="minorHAnsi" w:cstheme="minorHAnsi"/>
          <w:sz w:val="22"/>
          <w:szCs w:val="22"/>
        </w:rPr>
        <w:t>draft RTS are to be retained</w:t>
      </w:r>
      <w:r w:rsidR="00B65412">
        <w:rPr>
          <w:rFonts w:asciiTheme="minorHAnsi" w:hAnsiTheme="minorHAnsi" w:cstheme="minorHAnsi"/>
          <w:sz w:val="22"/>
          <w:szCs w:val="22"/>
        </w:rPr>
        <w:t xml:space="preserve"> in their current form</w:t>
      </w:r>
      <w:r>
        <w:rPr>
          <w:rFonts w:asciiTheme="minorHAnsi" w:hAnsiTheme="minorHAnsi" w:cstheme="minorHAnsi"/>
          <w:sz w:val="22"/>
          <w:szCs w:val="22"/>
        </w:rPr>
        <w:t xml:space="preserve">, </w:t>
      </w:r>
      <w:r w:rsidR="003A4411" w:rsidRPr="00FE5F2F">
        <w:rPr>
          <w:rFonts w:asciiTheme="minorHAnsi" w:hAnsiTheme="minorHAnsi" w:cstheme="minorHAnsi"/>
          <w:b/>
          <w:sz w:val="22"/>
          <w:szCs w:val="22"/>
        </w:rPr>
        <w:t xml:space="preserve">it is </w:t>
      </w:r>
      <w:r w:rsidRPr="00FE5F2F">
        <w:rPr>
          <w:rFonts w:asciiTheme="minorHAnsi" w:hAnsiTheme="minorHAnsi" w:cstheme="minorHAnsi"/>
          <w:b/>
          <w:sz w:val="22"/>
          <w:szCs w:val="22"/>
        </w:rPr>
        <w:t xml:space="preserve">very </w:t>
      </w:r>
      <w:r w:rsidR="003A4411" w:rsidRPr="00FE5F2F">
        <w:rPr>
          <w:rFonts w:asciiTheme="minorHAnsi" w:hAnsiTheme="minorHAnsi" w:cstheme="minorHAnsi"/>
          <w:b/>
          <w:sz w:val="22"/>
          <w:szCs w:val="22"/>
        </w:rPr>
        <w:t>important that the proposed cap on the number of additional line items or APMs that can be included in the summary is removed.</w:t>
      </w:r>
      <w:r w:rsidR="003A4411">
        <w:rPr>
          <w:rFonts w:asciiTheme="minorHAnsi" w:hAnsiTheme="minorHAnsi" w:cstheme="minorHAnsi"/>
          <w:sz w:val="22"/>
          <w:szCs w:val="22"/>
        </w:rPr>
        <w:t xml:space="preserve"> See further our response to Q12 below.</w:t>
      </w:r>
    </w:p>
    <w:p w14:paraId="7F7FC560" w14:textId="63C3F054" w:rsidR="00400E3B" w:rsidRDefault="00400E3B" w:rsidP="00C312B4">
      <w:pPr>
        <w:jc w:val="both"/>
        <w:rPr>
          <w:rFonts w:asciiTheme="minorHAnsi" w:hAnsiTheme="minorHAnsi" w:cstheme="minorHAnsi"/>
          <w:sz w:val="22"/>
          <w:szCs w:val="22"/>
        </w:rPr>
      </w:pPr>
    </w:p>
    <w:p w14:paraId="6EE7BB7A" w14:textId="0257CBE3" w:rsidR="00400E3B" w:rsidRDefault="00324E52" w:rsidP="00C312B4">
      <w:pPr>
        <w:jc w:val="both"/>
        <w:rPr>
          <w:rFonts w:asciiTheme="minorHAnsi" w:hAnsiTheme="minorHAnsi" w:cstheme="minorHAnsi"/>
          <w:sz w:val="22"/>
          <w:szCs w:val="22"/>
        </w:rPr>
      </w:pPr>
      <w:r>
        <w:rPr>
          <w:rFonts w:asciiTheme="minorHAnsi" w:hAnsiTheme="minorHAnsi" w:cstheme="minorHAnsi"/>
          <w:b/>
          <w:i/>
          <w:sz w:val="22"/>
          <w:szCs w:val="22"/>
        </w:rPr>
        <w:t xml:space="preserve">APMs: </w:t>
      </w:r>
      <w:r>
        <w:rPr>
          <w:rFonts w:asciiTheme="minorHAnsi" w:hAnsiTheme="minorHAnsi" w:cstheme="minorHAnsi"/>
          <w:sz w:val="22"/>
          <w:szCs w:val="22"/>
        </w:rPr>
        <w:t>F</w:t>
      </w:r>
      <w:r w:rsidR="00400E3B">
        <w:rPr>
          <w:rFonts w:asciiTheme="minorHAnsi" w:hAnsiTheme="minorHAnsi" w:cstheme="minorHAnsi"/>
          <w:sz w:val="22"/>
          <w:szCs w:val="22"/>
        </w:rPr>
        <w:t xml:space="preserve">urther clarification of ESMA’s expectations in relation to APM disclosure and explanation in the summary is needed. </w:t>
      </w:r>
      <w:r w:rsidR="0069056D">
        <w:rPr>
          <w:rFonts w:asciiTheme="minorHAnsi" w:hAnsiTheme="minorHAnsi" w:cstheme="minorHAnsi"/>
          <w:sz w:val="22"/>
          <w:szCs w:val="22"/>
        </w:rPr>
        <w:t>See further</w:t>
      </w:r>
      <w:r w:rsidR="006333AC">
        <w:rPr>
          <w:rFonts w:asciiTheme="minorHAnsi" w:hAnsiTheme="minorHAnsi" w:cstheme="minorHAnsi"/>
          <w:sz w:val="22"/>
          <w:szCs w:val="22"/>
        </w:rPr>
        <w:t xml:space="preserve"> our response to Q</w:t>
      </w:r>
      <w:r w:rsidR="00B9125C">
        <w:rPr>
          <w:rFonts w:asciiTheme="minorHAnsi" w:hAnsiTheme="minorHAnsi" w:cstheme="minorHAnsi"/>
          <w:sz w:val="22"/>
          <w:szCs w:val="22"/>
        </w:rPr>
        <w:t>5</w:t>
      </w:r>
      <w:r w:rsidR="0069056D">
        <w:rPr>
          <w:rFonts w:asciiTheme="minorHAnsi" w:hAnsiTheme="minorHAnsi" w:cstheme="minorHAnsi"/>
          <w:sz w:val="22"/>
          <w:szCs w:val="22"/>
        </w:rPr>
        <w:t xml:space="preserve"> below.</w:t>
      </w:r>
      <w:r w:rsidR="00400E3B">
        <w:rPr>
          <w:rFonts w:asciiTheme="minorHAnsi" w:hAnsiTheme="minorHAnsi" w:cstheme="minorHAnsi"/>
          <w:sz w:val="22"/>
          <w:szCs w:val="22"/>
        </w:rPr>
        <w:t xml:space="preserve"> </w:t>
      </w:r>
    </w:p>
    <w:p w14:paraId="28FE22F7" w14:textId="77777777" w:rsidR="00700D6D" w:rsidRDefault="00700D6D" w:rsidP="00C312B4">
      <w:pPr>
        <w:jc w:val="both"/>
        <w:rPr>
          <w:rFonts w:asciiTheme="minorHAnsi" w:hAnsiTheme="minorHAnsi" w:cstheme="minorHAnsi"/>
          <w:sz w:val="22"/>
          <w:szCs w:val="22"/>
        </w:rPr>
      </w:pPr>
    </w:p>
    <w:p w14:paraId="35A1BB8C" w14:textId="580997F6" w:rsidR="00BB646C" w:rsidRDefault="00FE5F2F" w:rsidP="00C312B4">
      <w:pPr>
        <w:jc w:val="both"/>
        <w:rPr>
          <w:rFonts w:asciiTheme="minorHAnsi" w:hAnsiTheme="minorHAnsi" w:cstheme="minorHAnsi"/>
          <w:sz w:val="22"/>
          <w:szCs w:val="22"/>
        </w:rPr>
      </w:pPr>
      <w:r>
        <w:rPr>
          <w:rFonts w:asciiTheme="minorHAnsi" w:hAnsiTheme="minorHAnsi" w:cstheme="minorHAnsi"/>
          <w:b/>
          <w:i/>
          <w:sz w:val="22"/>
          <w:szCs w:val="22"/>
        </w:rPr>
        <w:t xml:space="preserve">Data and machine readability: </w:t>
      </w:r>
      <w:r w:rsidR="00BB646C">
        <w:rPr>
          <w:rFonts w:asciiTheme="minorHAnsi" w:hAnsiTheme="minorHAnsi" w:cstheme="minorHAnsi"/>
          <w:sz w:val="22"/>
          <w:szCs w:val="22"/>
        </w:rPr>
        <w:t>From an investor protection perspective,</w:t>
      </w:r>
      <w:r w:rsidR="00FC1909">
        <w:rPr>
          <w:rFonts w:asciiTheme="minorHAnsi" w:hAnsiTheme="minorHAnsi" w:cstheme="minorHAnsi"/>
          <w:sz w:val="22"/>
          <w:szCs w:val="22"/>
        </w:rPr>
        <w:t xml:space="preserve"> it is important that the draft RTS on data and machine readability is calibrated to ensure that the ESMA Prospectus Register does not </w:t>
      </w:r>
      <w:r w:rsidR="00D406D1">
        <w:rPr>
          <w:rFonts w:asciiTheme="minorHAnsi" w:hAnsiTheme="minorHAnsi" w:cstheme="minorHAnsi"/>
          <w:sz w:val="22"/>
          <w:szCs w:val="22"/>
        </w:rPr>
        <w:t>develop into</w:t>
      </w:r>
      <w:r w:rsidR="00FC1909">
        <w:rPr>
          <w:rFonts w:asciiTheme="minorHAnsi" w:hAnsiTheme="minorHAnsi" w:cstheme="minorHAnsi"/>
          <w:sz w:val="22"/>
          <w:szCs w:val="22"/>
        </w:rPr>
        <w:t xml:space="preserve"> a tool that allows</w:t>
      </w:r>
      <w:r w:rsidR="00BB646C">
        <w:rPr>
          <w:rFonts w:asciiTheme="minorHAnsi" w:hAnsiTheme="minorHAnsi" w:cstheme="minorHAnsi"/>
          <w:sz w:val="22"/>
          <w:szCs w:val="22"/>
        </w:rPr>
        <w:t xml:space="preserve"> or encourages</w:t>
      </w:r>
      <w:r w:rsidR="00FC1909">
        <w:rPr>
          <w:rFonts w:asciiTheme="minorHAnsi" w:hAnsiTheme="minorHAnsi" w:cstheme="minorHAnsi"/>
          <w:sz w:val="22"/>
          <w:szCs w:val="22"/>
        </w:rPr>
        <w:t xml:space="preserve"> investors to compare products without reference to the underlying prospectuses. Th</w:t>
      </w:r>
      <w:r w:rsidR="00BB646C">
        <w:rPr>
          <w:rFonts w:asciiTheme="minorHAnsi" w:hAnsiTheme="minorHAnsi" w:cstheme="minorHAnsi"/>
          <w:sz w:val="22"/>
          <w:szCs w:val="22"/>
        </w:rPr>
        <w:t xml:space="preserve">e more data </w:t>
      </w:r>
      <w:r w:rsidR="00102024">
        <w:rPr>
          <w:rFonts w:asciiTheme="minorHAnsi" w:hAnsiTheme="minorHAnsi" w:cstheme="minorHAnsi"/>
          <w:sz w:val="22"/>
          <w:szCs w:val="22"/>
        </w:rPr>
        <w:t>that is available on</w:t>
      </w:r>
      <w:r w:rsidR="00BB646C">
        <w:rPr>
          <w:rFonts w:asciiTheme="minorHAnsi" w:hAnsiTheme="minorHAnsi" w:cstheme="minorHAnsi"/>
          <w:sz w:val="22"/>
          <w:szCs w:val="22"/>
        </w:rPr>
        <w:t xml:space="preserve"> the ESMA Prospectus Register, the more likely it is that this could happen.</w:t>
      </w:r>
      <w:r w:rsidR="00383202">
        <w:rPr>
          <w:rFonts w:asciiTheme="minorHAnsi" w:hAnsiTheme="minorHAnsi" w:cstheme="minorHAnsi"/>
          <w:sz w:val="22"/>
          <w:szCs w:val="22"/>
        </w:rPr>
        <w:t xml:space="preserve"> See further </w:t>
      </w:r>
      <w:r w:rsidR="00B374BB">
        <w:rPr>
          <w:rFonts w:asciiTheme="minorHAnsi" w:hAnsiTheme="minorHAnsi" w:cstheme="minorHAnsi"/>
          <w:sz w:val="22"/>
          <w:szCs w:val="22"/>
        </w:rPr>
        <w:t xml:space="preserve">our response to </w:t>
      </w:r>
      <w:r w:rsidR="00383202">
        <w:rPr>
          <w:rFonts w:asciiTheme="minorHAnsi" w:hAnsiTheme="minorHAnsi" w:cstheme="minorHAnsi"/>
          <w:sz w:val="22"/>
          <w:szCs w:val="22"/>
        </w:rPr>
        <w:t xml:space="preserve">Q15 below. </w:t>
      </w:r>
      <w:r w:rsidR="00BB646C">
        <w:rPr>
          <w:rFonts w:asciiTheme="minorHAnsi" w:hAnsiTheme="minorHAnsi" w:cstheme="minorHAnsi"/>
          <w:sz w:val="22"/>
          <w:szCs w:val="22"/>
        </w:rPr>
        <w:t xml:space="preserve"> </w:t>
      </w:r>
    </w:p>
    <w:p w14:paraId="52155311" w14:textId="77777777" w:rsidR="00BB646C" w:rsidRDefault="00BB646C" w:rsidP="00C312B4">
      <w:pPr>
        <w:jc w:val="both"/>
        <w:rPr>
          <w:rFonts w:asciiTheme="minorHAnsi" w:hAnsiTheme="minorHAnsi" w:cstheme="minorHAnsi"/>
          <w:sz w:val="22"/>
          <w:szCs w:val="22"/>
        </w:rPr>
      </w:pPr>
    </w:p>
    <w:p w14:paraId="177FC350" w14:textId="37627FD0" w:rsidR="00FC1909" w:rsidRDefault="00BB646C" w:rsidP="00C312B4">
      <w:pPr>
        <w:jc w:val="both"/>
        <w:rPr>
          <w:rFonts w:asciiTheme="minorHAnsi" w:hAnsiTheme="minorHAnsi" w:cstheme="minorHAnsi"/>
          <w:sz w:val="22"/>
        </w:rPr>
      </w:pPr>
      <w:r>
        <w:rPr>
          <w:rFonts w:asciiTheme="minorHAnsi" w:hAnsiTheme="minorHAnsi" w:cstheme="minorHAnsi"/>
          <w:sz w:val="22"/>
          <w:szCs w:val="22"/>
        </w:rPr>
        <w:t>Separately, w</w:t>
      </w:r>
      <w:r w:rsidR="00FC1909">
        <w:rPr>
          <w:rFonts w:asciiTheme="minorHAnsi" w:hAnsiTheme="minorHAnsi" w:cstheme="minorHAnsi"/>
          <w:sz w:val="22"/>
        </w:rPr>
        <w:t>e disagree with the suggestion that NCAs may require issuers to submit the data required by Annex VII to the draft RTS to them</w:t>
      </w:r>
      <w:r w:rsidR="00A93F61">
        <w:rPr>
          <w:rFonts w:asciiTheme="minorHAnsi" w:hAnsiTheme="minorHAnsi" w:cstheme="minorHAnsi"/>
          <w:sz w:val="22"/>
        </w:rPr>
        <w:t>, because</w:t>
      </w:r>
      <w:r>
        <w:rPr>
          <w:rFonts w:asciiTheme="minorHAnsi" w:hAnsiTheme="minorHAnsi" w:cstheme="minorHAnsi"/>
          <w:sz w:val="22"/>
        </w:rPr>
        <w:t xml:space="preserve"> it seems likely to </w:t>
      </w:r>
      <w:r w:rsidR="00FC1909">
        <w:rPr>
          <w:rFonts w:asciiTheme="minorHAnsi" w:hAnsiTheme="minorHAnsi" w:cstheme="minorHAnsi"/>
          <w:sz w:val="22"/>
        </w:rPr>
        <w:t>result in a doubling up of compliance costs</w:t>
      </w:r>
      <w:r>
        <w:rPr>
          <w:rFonts w:asciiTheme="minorHAnsi" w:hAnsiTheme="minorHAnsi" w:cstheme="minorHAnsi"/>
          <w:sz w:val="22"/>
        </w:rPr>
        <w:t xml:space="preserve">. </w:t>
      </w:r>
      <w:r w:rsidR="00383202">
        <w:rPr>
          <w:rFonts w:asciiTheme="minorHAnsi" w:hAnsiTheme="minorHAnsi" w:cstheme="minorHAnsi"/>
          <w:sz w:val="22"/>
        </w:rPr>
        <w:t xml:space="preserve"> See further</w:t>
      </w:r>
      <w:r w:rsidR="00B374BB">
        <w:rPr>
          <w:rFonts w:asciiTheme="minorHAnsi" w:hAnsiTheme="minorHAnsi" w:cstheme="minorHAnsi"/>
          <w:sz w:val="22"/>
        </w:rPr>
        <w:t xml:space="preserve"> our response to</w:t>
      </w:r>
      <w:r w:rsidR="00383202">
        <w:rPr>
          <w:rFonts w:asciiTheme="minorHAnsi" w:hAnsiTheme="minorHAnsi" w:cstheme="minorHAnsi"/>
          <w:sz w:val="22"/>
        </w:rPr>
        <w:t xml:space="preserve"> Q17 below.</w:t>
      </w:r>
    </w:p>
    <w:p w14:paraId="2A32A8A6" w14:textId="071AB730" w:rsidR="00BB646C" w:rsidRDefault="00BB646C" w:rsidP="00C312B4">
      <w:pPr>
        <w:jc w:val="both"/>
        <w:rPr>
          <w:rFonts w:asciiTheme="minorHAnsi" w:hAnsiTheme="minorHAnsi" w:cstheme="minorHAnsi"/>
          <w:sz w:val="22"/>
          <w:szCs w:val="22"/>
        </w:rPr>
      </w:pPr>
    </w:p>
    <w:p w14:paraId="2C7396F4" w14:textId="5AF93A0D" w:rsidR="008F0265" w:rsidRDefault="008F0265" w:rsidP="00C312B4">
      <w:pPr>
        <w:jc w:val="both"/>
        <w:rPr>
          <w:rFonts w:asciiTheme="minorHAnsi" w:hAnsiTheme="minorHAnsi" w:cstheme="minorHAnsi"/>
          <w:sz w:val="22"/>
        </w:rPr>
      </w:pPr>
      <w:r>
        <w:rPr>
          <w:rFonts w:asciiTheme="minorHAnsi" w:hAnsiTheme="minorHAnsi" w:cstheme="minorHAnsi"/>
          <w:b/>
          <w:i/>
          <w:sz w:val="22"/>
          <w:szCs w:val="22"/>
        </w:rPr>
        <w:t xml:space="preserve">Advertisements: </w:t>
      </w:r>
      <w:r w:rsidR="00C94FC5">
        <w:rPr>
          <w:rFonts w:asciiTheme="minorHAnsi" w:hAnsiTheme="minorHAnsi" w:cstheme="minorHAnsi"/>
          <w:sz w:val="22"/>
          <w:szCs w:val="22"/>
        </w:rPr>
        <w:t>Many of our</w:t>
      </w:r>
      <w:r>
        <w:rPr>
          <w:rFonts w:asciiTheme="minorHAnsi" w:hAnsiTheme="minorHAnsi" w:cstheme="minorHAnsi"/>
          <w:sz w:val="22"/>
          <w:szCs w:val="22"/>
        </w:rPr>
        <w:t xml:space="preserve"> concerns with the proposed </w:t>
      </w:r>
      <w:r w:rsidR="006333AC">
        <w:rPr>
          <w:rFonts w:asciiTheme="minorHAnsi" w:hAnsiTheme="minorHAnsi" w:cstheme="minorHAnsi"/>
          <w:sz w:val="22"/>
          <w:szCs w:val="22"/>
        </w:rPr>
        <w:t xml:space="preserve">draft </w:t>
      </w:r>
      <w:r>
        <w:rPr>
          <w:rFonts w:asciiTheme="minorHAnsi" w:hAnsiTheme="minorHAnsi" w:cstheme="minorHAnsi"/>
          <w:sz w:val="22"/>
          <w:szCs w:val="22"/>
        </w:rPr>
        <w:t xml:space="preserve">RTS on advertisements stem from </w:t>
      </w:r>
      <w:r>
        <w:rPr>
          <w:rFonts w:asciiTheme="minorHAnsi" w:hAnsiTheme="minorHAnsi" w:cstheme="minorHAnsi"/>
          <w:sz w:val="22"/>
        </w:rPr>
        <w:t>the wide definition of “advertisement”. As noted by ESMA in the consultation paper, the use of the word “communication” rather than “announcement”</w:t>
      </w:r>
      <w:r w:rsidR="00975C3A">
        <w:rPr>
          <w:rFonts w:asciiTheme="minorHAnsi" w:hAnsiTheme="minorHAnsi" w:cstheme="minorHAnsi"/>
          <w:sz w:val="22"/>
        </w:rPr>
        <w:t xml:space="preserve"> in the Prospectus Regulation</w:t>
      </w:r>
      <w:r>
        <w:rPr>
          <w:rFonts w:asciiTheme="minorHAnsi" w:hAnsiTheme="minorHAnsi" w:cstheme="minorHAnsi"/>
          <w:sz w:val="22"/>
        </w:rPr>
        <w:t xml:space="preserve"> would appear to broaden the scope of the advertisements regime</w:t>
      </w:r>
      <w:r w:rsidR="00610E16">
        <w:rPr>
          <w:rFonts w:asciiTheme="minorHAnsi" w:hAnsiTheme="minorHAnsi" w:cstheme="minorHAnsi"/>
          <w:sz w:val="22"/>
        </w:rPr>
        <w:t>. This is</w:t>
      </w:r>
      <w:r w:rsidR="00DB245B">
        <w:rPr>
          <w:rFonts w:asciiTheme="minorHAnsi" w:hAnsiTheme="minorHAnsi" w:cstheme="minorHAnsi"/>
          <w:sz w:val="22"/>
        </w:rPr>
        <w:t xml:space="preserve"> likely to mean that </w:t>
      </w:r>
      <w:r>
        <w:rPr>
          <w:rFonts w:asciiTheme="minorHAnsi" w:hAnsiTheme="minorHAnsi" w:cstheme="minorHAnsi"/>
          <w:sz w:val="22"/>
        </w:rPr>
        <w:t>specific obligations relating to advertisements may be pro</w:t>
      </w:r>
      <w:r w:rsidR="00DB245B">
        <w:rPr>
          <w:rFonts w:asciiTheme="minorHAnsi" w:hAnsiTheme="minorHAnsi" w:cstheme="minorHAnsi"/>
          <w:sz w:val="22"/>
        </w:rPr>
        <w:t>blematic when they are applied</w:t>
      </w:r>
      <w:r>
        <w:rPr>
          <w:rFonts w:asciiTheme="minorHAnsi" w:hAnsiTheme="minorHAnsi" w:cstheme="minorHAnsi"/>
          <w:sz w:val="22"/>
        </w:rPr>
        <w:t xml:space="preserve"> to the very wide range of “communications” to which they relate. For this reason, certain of the requirements in the </w:t>
      </w:r>
      <w:r w:rsidR="006333AC">
        <w:rPr>
          <w:rFonts w:asciiTheme="minorHAnsi" w:hAnsiTheme="minorHAnsi" w:cstheme="minorHAnsi"/>
          <w:sz w:val="22"/>
        </w:rPr>
        <w:t xml:space="preserve">draft </w:t>
      </w:r>
      <w:r>
        <w:rPr>
          <w:rFonts w:asciiTheme="minorHAnsi" w:hAnsiTheme="minorHAnsi" w:cstheme="minorHAnsi"/>
          <w:sz w:val="22"/>
        </w:rPr>
        <w:t xml:space="preserve">RTS should be restricted to written </w:t>
      </w:r>
      <w:r>
        <w:rPr>
          <w:rFonts w:asciiTheme="minorHAnsi" w:hAnsiTheme="minorHAnsi" w:cstheme="minorHAnsi"/>
          <w:sz w:val="22"/>
        </w:rPr>
        <w:lastRenderedPageBreak/>
        <w:t xml:space="preserve">advertisements </w:t>
      </w:r>
      <w:proofErr w:type="gramStart"/>
      <w:r>
        <w:rPr>
          <w:rFonts w:asciiTheme="minorHAnsi" w:hAnsiTheme="minorHAnsi" w:cstheme="minorHAnsi"/>
          <w:sz w:val="22"/>
        </w:rPr>
        <w:t>in order to</w:t>
      </w:r>
      <w:proofErr w:type="gramEnd"/>
      <w:r>
        <w:rPr>
          <w:rFonts w:asciiTheme="minorHAnsi" w:hAnsiTheme="minorHAnsi" w:cstheme="minorHAnsi"/>
          <w:sz w:val="22"/>
        </w:rPr>
        <w:t xml:space="preserve"> ensure that the </w:t>
      </w:r>
      <w:r w:rsidR="006333AC">
        <w:rPr>
          <w:rFonts w:asciiTheme="minorHAnsi" w:hAnsiTheme="minorHAnsi" w:cstheme="minorHAnsi"/>
          <w:sz w:val="22"/>
        </w:rPr>
        <w:t xml:space="preserve">draft </w:t>
      </w:r>
      <w:r>
        <w:rPr>
          <w:rFonts w:asciiTheme="minorHAnsi" w:hAnsiTheme="minorHAnsi" w:cstheme="minorHAnsi"/>
          <w:sz w:val="22"/>
        </w:rPr>
        <w:t>RTS are workable in practice.</w:t>
      </w:r>
      <w:r w:rsidR="00747859">
        <w:rPr>
          <w:rFonts w:asciiTheme="minorHAnsi" w:hAnsiTheme="minorHAnsi" w:cstheme="minorHAnsi"/>
          <w:sz w:val="22"/>
        </w:rPr>
        <w:t xml:space="preserve"> See further our responses to Q19 – Q22 below.</w:t>
      </w:r>
      <w:r>
        <w:rPr>
          <w:rFonts w:asciiTheme="minorHAnsi" w:hAnsiTheme="minorHAnsi" w:cstheme="minorHAnsi"/>
          <w:sz w:val="22"/>
        </w:rPr>
        <w:t xml:space="preserve"> </w:t>
      </w:r>
    </w:p>
    <w:p w14:paraId="754B2B03" w14:textId="77777777" w:rsidR="008F0265" w:rsidRDefault="008F0265" w:rsidP="00C312B4">
      <w:pPr>
        <w:jc w:val="both"/>
        <w:rPr>
          <w:rFonts w:asciiTheme="minorHAnsi" w:hAnsiTheme="minorHAnsi" w:cstheme="minorHAnsi"/>
          <w:sz w:val="22"/>
        </w:rPr>
      </w:pPr>
    </w:p>
    <w:p w14:paraId="2632D03F" w14:textId="62081893" w:rsidR="00747859" w:rsidRDefault="008F0265" w:rsidP="00C312B4">
      <w:pPr>
        <w:jc w:val="both"/>
        <w:rPr>
          <w:rFonts w:asciiTheme="minorHAnsi" w:hAnsiTheme="minorHAnsi" w:cstheme="minorHAnsi"/>
          <w:sz w:val="22"/>
        </w:rPr>
      </w:pPr>
      <w:r>
        <w:rPr>
          <w:rFonts w:asciiTheme="minorHAnsi" w:hAnsiTheme="minorHAnsi" w:cstheme="minorHAnsi"/>
          <w:sz w:val="22"/>
        </w:rPr>
        <w:t>In addition, we continue to have concerns with the new approach of the host NCA e</w:t>
      </w:r>
      <w:r w:rsidR="00747859">
        <w:rPr>
          <w:rFonts w:asciiTheme="minorHAnsi" w:hAnsiTheme="minorHAnsi" w:cstheme="minorHAnsi"/>
          <w:sz w:val="22"/>
        </w:rPr>
        <w:t>xercising control over the compliance of a</w:t>
      </w:r>
      <w:r w:rsidR="00746A5C">
        <w:rPr>
          <w:rFonts w:asciiTheme="minorHAnsi" w:hAnsiTheme="minorHAnsi" w:cstheme="minorHAnsi"/>
          <w:sz w:val="22"/>
        </w:rPr>
        <w:t xml:space="preserve">dvertising activity with the Prospectus Regulation </w:t>
      </w:r>
      <w:r w:rsidR="00747859">
        <w:rPr>
          <w:rFonts w:asciiTheme="minorHAnsi" w:hAnsiTheme="minorHAnsi" w:cstheme="minorHAnsi"/>
          <w:sz w:val="22"/>
        </w:rPr>
        <w:t>regime. We appreciate this is set at Level 1 and so Lev</w:t>
      </w:r>
      <w:r w:rsidR="00746A5C">
        <w:rPr>
          <w:rFonts w:asciiTheme="minorHAnsi" w:hAnsiTheme="minorHAnsi" w:cstheme="minorHAnsi"/>
          <w:sz w:val="22"/>
        </w:rPr>
        <w:t>el 2 measures cannot change the</w:t>
      </w:r>
      <w:r w:rsidR="00747859">
        <w:rPr>
          <w:rFonts w:asciiTheme="minorHAnsi" w:hAnsiTheme="minorHAnsi" w:cstheme="minorHAnsi"/>
          <w:sz w:val="22"/>
        </w:rPr>
        <w:t xml:space="preserve"> position</w:t>
      </w:r>
      <w:r w:rsidR="00746A5C">
        <w:rPr>
          <w:rFonts w:asciiTheme="minorHAnsi" w:hAnsiTheme="minorHAnsi" w:cstheme="minorHAnsi"/>
          <w:sz w:val="22"/>
        </w:rPr>
        <w:t xml:space="preserve"> on </w:t>
      </w:r>
      <w:proofErr w:type="gramStart"/>
      <w:r w:rsidR="00746A5C">
        <w:rPr>
          <w:rFonts w:asciiTheme="minorHAnsi" w:hAnsiTheme="minorHAnsi" w:cstheme="minorHAnsi"/>
          <w:sz w:val="22"/>
        </w:rPr>
        <w:t>this</w:t>
      </w:r>
      <w:r w:rsidR="00747859">
        <w:rPr>
          <w:rFonts w:asciiTheme="minorHAnsi" w:hAnsiTheme="minorHAnsi" w:cstheme="minorHAnsi"/>
          <w:sz w:val="22"/>
        </w:rPr>
        <w:t>, but</w:t>
      </w:r>
      <w:proofErr w:type="gramEnd"/>
      <w:r w:rsidR="00747859">
        <w:rPr>
          <w:rFonts w:asciiTheme="minorHAnsi" w:hAnsiTheme="minorHAnsi" w:cstheme="minorHAnsi"/>
          <w:sz w:val="22"/>
        </w:rPr>
        <w:t xml:space="preserve"> take the opportunity to note </w:t>
      </w:r>
      <w:r w:rsidR="00C94FC5">
        <w:rPr>
          <w:rFonts w:asciiTheme="minorHAnsi" w:hAnsiTheme="minorHAnsi" w:cstheme="minorHAnsi"/>
          <w:sz w:val="22"/>
        </w:rPr>
        <w:t xml:space="preserve">again </w:t>
      </w:r>
      <w:r w:rsidR="00747859">
        <w:rPr>
          <w:rFonts w:asciiTheme="minorHAnsi" w:hAnsiTheme="minorHAnsi" w:cstheme="minorHAnsi"/>
          <w:sz w:val="22"/>
        </w:rPr>
        <w:t xml:space="preserve">that this appears to be </w:t>
      </w:r>
      <w:r w:rsidR="009366DE">
        <w:rPr>
          <w:rFonts w:asciiTheme="minorHAnsi" w:hAnsiTheme="minorHAnsi" w:cstheme="minorHAnsi"/>
          <w:sz w:val="22"/>
        </w:rPr>
        <w:t xml:space="preserve">a </w:t>
      </w:r>
      <w:r w:rsidR="00747859">
        <w:rPr>
          <w:rFonts w:asciiTheme="minorHAnsi" w:hAnsiTheme="minorHAnsi" w:cstheme="minorHAnsi"/>
          <w:sz w:val="22"/>
        </w:rPr>
        <w:t xml:space="preserve">step away from the concept of Capital Markets Union. </w:t>
      </w:r>
    </w:p>
    <w:p w14:paraId="6EC7B060" w14:textId="77777777" w:rsidR="00747859" w:rsidRDefault="00747859" w:rsidP="00C312B4">
      <w:pPr>
        <w:jc w:val="both"/>
        <w:rPr>
          <w:rFonts w:asciiTheme="minorHAnsi" w:hAnsiTheme="minorHAnsi" w:cstheme="minorHAnsi"/>
          <w:sz w:val="22"/>
        </w:rPr>
      </w:pPr>
    </w:p>
    <w:p w14:paraId="7F47C83D" w14:textId="0FEDB922" w:rsidR="00747859" w:rsidRDefault="00747859" w:rsidP="00C312B4">
      <w:pPr>
        <w:jc w:val="both"/>
        <w:rPr>
          <w:rFonts w:asciiTheme="minorHAnsi" w:hAnsiTheme="minorHAnsi" w:cstheme="minorHAnsi"/>
          <w:b/>
          <w:i/>
          <w:sz w:val="22"/>
        </w:rPr>
      </w:pPr>
      <w:r>
        <w:rPr>
          <w:rFonts w:asciiTheme="minorHAnsi" w:hAnsiTheme="minorHAnsi" w:cstheme="minorHAnsi"/>
          <w:b/>
          <w:i/>
          <w:sz w:val="22"/>
        </w:rPr>
        <w:t>Supplements:</w:t>
      </w:r>
      <w:r w:rsidR="00195B44">
        <w:rPr>
          <w:rFonts w:asciiTheme="minorHAnsi" w:hAnsiTheme="minorHAnsi" w:cstheme="minorHAnsi"/>
          <w:b/>
          <w:i/>
          <w:sz w:val="22"/>
        </w:rPr>
        <w:t xml:space="preserve"> </w:t>
      </w:r>
      <w:r w:rsidR="00195B44">
        <w:rPr>
          <w:rFonts w:asciiTheme="minorHAnsi" w:hAnsiTheme="minorHAnsi" w:cstheme="minorHAnsi"/>
          <w:sz w:val="22"/>
        </w:rPr>
        <w:t>The approach that ESMA has taken is generally helpful. We set out some thoughts, particularly in relation to the importance of a profit forecast not being mandatory for any prospectus relating to non-equity securities, as well as some other areas of continuing uncertainty in relation to supplements</w:t>
      </w:r>
      <w:r w:rsidR="00746A5C">
        <w:rPr>
          <w:rFonts w:asciiTheme="minorHAnsi" w:hAnsiTheme="minorHAnsi" w:cstheme="minorHAnsi"/>
          <w:sz w:val="22"/>
        </w:rPr>
        <w:t>,</w:t>
      </w:r>
      <w:r w:rsidR="00195B44">
        <w:rPr>
          <w:rFonts w:asciiTheme="minorHAnsi" w:hAnsiTheme="minorHAnsi" w:cstheme="minorHAnsi"/>
          <w:sz w:val="22"/>
        </w:rPr>
        <w:t xml:space="preserve"> in our responses to the relevant questions below.</w:t>
      </w:r>
      <w:r>
        <w:rPr>
          <w:rFonts w:asciiTheme="minorHAnsi" w:hAnsiTheme="minorHAnsi" w:cstheme="minorHAnsi"/>
          <w:b/>
          <w:i/>
          <w:sz w:val="22"/>
        </w:rPr>
        <w:t xml:space="preserve"> </w:t>
      </w:r>
    </w:p>
    <w:p w14:paraId="625C53B4" w14:textId="77777777" w:rsidR="00747859" w:rsidRDefault="00747859" w:rsidP="00C312B4">
      <w:pPr>
        <w:jc w:val="both"/>
        <w:rPr>
          <w:rFonts w:asciiTheme="minorHAnsi" w:hAnsiTheme="minorHAnsi" w:cstheme="minorHAnsi"/>
          <w:b/>
          <w:i/>
          <w:sz w:val="22"/>
        </w:rPr>
      </w:pPr>
    </w:p>
    <w:p w14:paraId="6C9AA698" w14:textId="1121329A" w:rsidR="00B327E9" w:rsidRPr="008F0265" w:rsidRDefault="00747859" w:rsidP="00C312B4">
      <w:pPr>
        <w:jc w:val="both"/>
        <w:rPr>
          <w:rFonts w:asciiTheme="minorHAnsi" w:hAnsiTheme="minorHAnsi" w:cstheme="minorHAnsi"/>
          <w:b/>
          <w:i/>
          <w:sz w:val="22"/>
          <w:szCs w:val="22"/>
        </w:rPr>
      </w:pPr>
      <w:r>
        <w:rPr>
          <w:rFonts w:asciiTheme="minorHAnsi" w:hAnsiTheme="minorHAnsi" w:cstheme="minorHAnsi"/>
          <w:b/>
          <w:i/>
          <w:sz w:val="22"/>
        </w:rPr>
        <w:t xml:space="preserve">Publication: </w:t>
      </w:r>
      <w:r w:rsidR="00195B44">
        <w:rPr>
          <w:rFonts w:asciiTheme="minorHAnsi" w:hAnsiTheme="minorHAnsi" w:cstheme="minorHAnsi"/>
          <w:sz w:val="22"/>
        </w:rPr>
        <w:t>The approach that ESMA has taken is generally helpful.</w:t>
      </w:r>
    </w:p>
    <w:p w14:paraId="7978FD88" w14:textId="1184727F" w:rsidR="006237E3" w:rsidRDefault="006237E3" w:rsidP="00C312B4">
      <w:pPr>
        <w:jc w:val="both"/>
        <w:rPr>
          <w:rFonts w:asciiTheme="minorHAnsi" w:hAnsiTheme="minorHAnsi" w:cstheme="minorHAnsi"/>
          <w:sz w:val="22"/>
          <w:szCs w:val="22"/>
        </w:rPr>
      </w:pPr>
    </w:p>
    <w:p w14:paraId="6979466C" w14:textId="1400E72A" w:rsidR="00322580" w:rsidRDefault="00667BD1" w:rsidP="00C312B4">
      <w:pPr>
        <w:jc w:val="both"/>
        <w:rPr>
          <w:rFonts w:asciiTheme="minorHAnsi" w:hAnsiTheme="minorHAnsi" w:cstheme="minorHAnsi"/>
          <w:b/>
          <w:sz w:val="22"/>
          <w:szCs w:val="22"/>
        </w:rPr>
      </w:pPr>
      <w:r>
        <w:rPr>
          <w:rFonts w:asciiTheme="minorHAnsi" w:hAnsiTheme="minorHAnsi" w:cstheme="minorHAnsi"/>
          <w:b/>
          <w:sz w:val="22"/>
          <w:szCs w:val="22"/>
        </w:rPr>
        <w:t xml:space="preserve">Other </w:t>
      </w:r>
      <w:r w:rsidR="00322580">
        <w:rPr>
          <w:rFonts w:asciiTheme="minorHAnsi" w:hAnsiTheme="minorHAnsi" w:cstheme="minorHAnsi"/>
          <w:b/>
          <w:sz w:val="22"/>
          <w:szCs w:val="22"/>
        </w:rPr>
        <w:t xml:space="preserve">points </w:t>
      </w:r>
    </w:p>
    <w:p w14:paraId="1D4E6A23" w14:textId="77777777" w:rsidR="00322580" w:rsidRDefault="00322580" w:rsidP="00C312B4">
      <w:pPr>
        <w:jc w:val="both"/>
        <w:rPr>
          <w:rFonts w:asciiTheme="minorHAnsi" w:hAnsiTheme="minorHAnsi" w:cstheme="minorHAnsi"/>
          <w:sz w:val="22"/>
          <w:szCs w:val="22"/>
        </w:rPr>
      </w:pPr>
    </w:p>
    <w:p w14:paraId="2A479E7F" w14:textId="11B1E90B" w:rsidR="00667BD1" w:rsidRDefault="00322580" w:rsidP="00C312B4">
      <w:pPr>
        <w:jc w:val="both"/>
        <w:rPr>
          <w:rFonts w:asciiTheme="minorHAnsi" w:hAnsiTheme="minorHAnsi" w:cstheme="minorHAnsi"/>
          <w:sz w:val="22"/>
          <w:szCs w:val="22"/>
        </w:rPr>
      </w:pPr>
      <w:r>
        <w:rPr>
          <w:rFonts w:asciiTheme="minorHAnsi" w:hAnsiTheme="minorHAnsi" w:cstheme="minorHAnsi"/>
          <w:b/>
          <w:i/>
          <w:sz w:val="22"/>
          <w:szCs w:val="22"/>
        </w:rPr>
        <w:t xml:space="preserve">ESMA Q&amp;A on Prospectuses: </w:t>
      </w:r>
      <w:r>
        <w:rPr>
          <w:rFonts w:asciiTheme="minorHAnsi" w:hAnsiTheme="minorHAnsi" w:cstheme="minorHAnsi"/>
          <w:sz w:val="22"/>
          <w:szCs w:val="22"/>
        </w:rPr>
        <w:t xml:space="preserve">As mentioned in the </w:t>
      </w:r>
      <w:hyperlink r:id="rId20" w:history="1">
        <w:r w:rsidRPr="00746A5C">
          <w:rPr>
            <w:rStyle w:val="Hyperlink"/>
            <w:rFonts w:asciiTheme="minorHAnsi" w:hAnsiTheme="minorHAnsi" w:cstheme="minorHAnsi"/>
            <w:sz w:val="22"/>
            <w:szCs w:val="22"/>
          </w:rPr>
          <w:t>ICMA response to the ESMA consultation paper on format and content of the prospectus</w:t>
        </w:r>
      </w:hyperlink>
      <w:r w:rsidR="00746A5C">
        <w:rPr>
          <w:rFonts w:asciiTheme="minorHAnsi" w:hAnsiTheme="minorHAnsi" w:cstheme="minorHAnsi"/>
          <w:sz w:val="22"/>
          <w:szCs w:val="22"/>
        </w:rPr>
        <w:t xml:space="preserve"> of September 2017</w:t>
      </w:r>
      <w:r>
        <w:rPr>
          <w:rFonts w:asciiTheme="minorHAnsi" w:hAnsiTheme="minorHAnsi" w:cstheme="minorHAnsi"/>
          <w:sz w:val="22"/>
          <w:szCs w:val="22"/>
        </w:rPr>
        <w:t>, it would be helpful if</w:t>
      </w:r>
      <w:r w:rsidR="00667BD1" w:rsidRPr="00667BD1">
        <w:rPr>
          <w:rFonts w:asciiTheme="minorHAnsi" w:hAnsiTheme="minorHAnsi" w:cstheme="minorHAnsi"/>
          <w:sz w:val="22"/>
          <w:szCs w:val="22"/>
        </w:rPr>
        <w:t xml:space="preserve"> ESMA </w:t>
      </w:r>
      <w:r>
        <w:rPr>
          <w:rFonts w:asciiTheme="minorHAnsi" w:hAnsiTheme="minorHAnsi" w:cstheme="minorHAnsi"/>
          <w:sz w:val="22"/>
          <w:szCs w:val="22"/>
        </w:rPr>
        <w:t xml:space="preserve">were </w:t>
      </w:r>
      <w:r w:rsidR="00667BD1" w:rsidRPr="00667BD1">
        <w:rPr>
          <w:rFonts w:asciiTheme="minorHAnsi" w:hAnsiTheme="minorHAnsi" w:cstheme="minorHAnsi"/>
          <w:sz w:val="22"/>
          <w:szCs w:val="22"/>
        </w:rPr>
        <w:t>to revi</w:t>
      </w:r>
      <w:r>
        <w:rPr>
          <w:rFonts w:asciiTheme="minorHAnsi" w:hAnsiTheme="minorHAnsi" w:cstheme="minorHAnsi"/>
          <w:sz w:val="22"/>
          <w:szCs w:val="22"/>
        </w:rPr>
        <w:t>ew</w:t>
      </w:r>
      <w:r w:rsidR="00667BD1" w:rsidRPr="00667BD1">
        <w:rPr>
          <w:rFonts w:asciiTheme="minorHAnsi" w:hAnsiTheme="minorHAnsi" w:cstheme="minorHAnsi"/>
          <w:sz w:val="22"/>
          <w:szCs w:val="22"/>
        </w:rPr>
        <w:t xml:space="preserve"> </w:t>
      </w:r>
      <w:r>
        <w:rPr>
          <w:rFonts w:asciiTheme="minorHAnsi" w:hAnsiTheme="minorHAnsi" w:cstheme="minorHAnsi"/>
          <w:sz w:val="22"/>
          <w:szCs w:val="22"/>
        </w:rPr>
        <w:t xml:space="preserve">its </w:t>
      </w:r>
      <w:r w:rsidR="00667BD1" w:rsidRPr="00667BD1">
        <w:rPr>
          <w:rFonts w:asciiTheme="minorHAnsi" w:hAnsiTheme="minorHAnsi" w:cstheme="minorHAnsi"/>
          <w:sz w:val="22"/>
          <w:szCs w:val="22"/>
        </w:rPr>
        <w:t xml:space="preserve">Q&amp;A </w:t>
      </w:r>
      <w:r>
        <w:rPr>
          <w:rFonts w:asciiTheme="minorHAnsi" w:hAnsiTheme="minorHAnsi" w:cstheme="minorHAnsi"/>
          <w:sz w:val="22"/>
          <w:szCs w:val="22"/>
        </w:rPr>
        <w:t xml:space="preserve">on Prospectuses </w:t>
      </w:r>
      <w:r w:rsidR="00667BD1" w:rsidRPr="00667BD1">
        <w:rPr>
          <w:rFonts w:asciiTheme="minorHAnsi" w:hAnsiTheme="minorHAnsi" w:cstheme="minorHAnsi"/>
          <w:sz w:val="22"/>
          <w:szCs w:val="22"/>
        </w:rPr>
        <w:t>and carry across any guidance which might continue to be helpful</w:t>
      </w:r>
      <w:r>
        <w:rPr>
          <w:rFonts w:asciiTheme="minorHAnsi" w:hAnsiTheme="minorHAnsi" w:cstheme="minorHAnsi"/>
          <w:sz w:val="22"/>
          <w:szCs w:val="22"/>
        </w:rPr>
        <w:t xml:space="preserve"> under the P</w:t>
      </w:r>
      <w:r w:rsidR="000B54AA">
        <w:rPr>
          <w:rFonts w:asciiTheme="minorHAnsi" w:hAnsiTheme="minorHAnsi" w:cstheme="minorHAnsi"/>
          <w:sz w:val="22"/>
          <w:szCs w:val="22"/>
        </w:rPr>
        <w:t>rospectus Regulation</w:t>
      </w:r>
      <w:r w:rsidR="00667BD1" w:rsidRPr="00667BD1">
        <w:rPr>
          <w:rFonts w:asciiTheme="minorHAnsi" w:hAnsiTheme="minorHAnsi" w:cstheme="minorHAnsi"/>
          <w:sz w:val="22"/>
          <w:szCs w:val="22"/>
        </w:rPr>
        <w:t>.</w:t>
      </w:r>
      <w:r w:rsidR="00195B44">
        <w:rPr>
          <w:rFonts w:asciiTheme="minorHAnsi" w:hAnsiTheme="minorHAnsi" w:cstheme="minorHAnsi"/>
          <w:sz w:val="22"/>
          <w:szCs w:val="22"/>
        </w:rPr>
        <w:t xml:space="preserve"> </w:t>
      </w:r>
      <w:proofErr w:type="gramStart"/>
      <w:r w:rsidR="00195B44">
        <w:rPr>
          <w:rFonts w:asciiTheme="minorHAnsi" w:hAnsiTheme="minorHAnsi" w:cstheme="minorHAnsi"/>
          <w:sz w:val="22"/>
          <w:szCs w:val="22"/>
        </w:rPr>
        <w:t>In particular, Q&amp;A</w:t>
      </w:r>
      <w:proofErr w:type="gramEnd"/>
      <w:r w:rsidR="00195B44">
        <w:rPr>
          <w:rFonts w:asciiTheme="minorHAnsi" w:hAnsiTheme="minorHAnsi" w:cstheme="minorHAnsi"/>
          <w:sz w:val="22"/>
          <w:szCs w:val="22"/>
        </w:rPr>
        <w:t xml:space="preserve"> 99 in relation to the application of the requirement to disseminate an amended advertisement in the context of roadshows should be carried across.</w:t>
      </w:r>
      <w:r w:rsidR="00667BD1" w:rsidRPr="00667BD1">
        <w:rPr>
          <w:rFonts w:asciiTheme="minorHAnsi" w:hAnsiTheme="minorHAnsi" w:cstheme="minorHAnsi"/>
          <w:sz w:val="22"/>
          <w:szCs w:val="22"/>
        </w:rPr>
        <w:t xml:space="preserve"> ICMA would be happy to work with ESMA, on an informal basis, to assess which of the Q&amp;A should be retained.</w:t>
      </w:r>
    </w:p>
    <w:p w14:paraId="526641CB" w14:textId="6652EA7E" w:rsidR="00FC5F4E" w:rsidRDefault="00FC5F4E" w:rsidP="00C312B4">
      <w:pPr>
        <w:jc w:val="both"/>
        <w:rPr>
          <w:rFonts w:asciiTheme="minorHAnsi" w:hAnsiTheme="minorHAnsi" w:cstheme="minorHAnsi"/>
          <w:sz w:val="22"/>
          <w:szCs w:val="22"/>
        </w:rPr>
      </w:pPr>
    </w:p>
    <w:p w14:paraId="50E79B19" w14:textId="1F4DCB7A" w:rsidR="0014715B" w:rsidRDefault="00FC5F4E" w:rsidP="00C312B4">
      <w:pPr>
        <w:jc w:val="both"/>
        <w:rPr>
          <w:rFonts w:asciiTheme="minorHAnsi" w:hAnsiTheme="minorHAnsi" w:cstheme="minorHAnsi"/>
          <w:sz w:val="22"/>
          <w:szCs w:val="22"/>
        </w:rPr>
      </w:pPr>
      <w:r>
        <w:rPr>
          <w:rFonts w:asciiTheme="minorHAnsi" w:hAnsiTheme="minorHAnsi" w:cstheme="minorHAnsi"/>
          <w:b/>
          <w:i/>
          <w:sz w:val="22"/>
          <w:szCs w:val="22"/>
        </w:rPr>
        <w:t xml:space="preserve">Timing: </w:t>
      </w:r>
      <w:r>
        <w:rPr>
          <w:rFonts w:asciiTheme="minorHAnsi" w:hAnsiTheme="minorHAnsi" w:cstheme="minorHAnsi"/>
          <w:sz w:val="22"/>
          <w:szCs w:val="22"/>
        </w:rPr>
        <w:t xml:space="preserve">We assume that the intention is for the </w:t>
      </w:r>
      <w:r w:rsidR="00746A5C">
        <w:rPr>
          <w:rFonts w:asciiTheme="minorHAnsi" w:hAnsiTheme="minorHAnsi" w:cstheme="minorHAnsi"/>
          <w:sz w:val="22"/>
          <w:szCs w:val="22"/>
        </w:rPr>
        <w:t>RTS</w:t>
      </w:r>
      <w:r>
        <w:rPr>
          <w:rFonts w:asciiTheme="minorHAnsi" w:hAnsiTheme="minorHAnsi" w:cstheme="minorHAnsi"/>
          <w:sz w:val="22"/>
          <w:szCs w:val="22"/>
        </w:rPr>
        <w:t xml:space="preserve"> to take effect at the same time as </w:t>
      </w:r>
      <w:proofErr w:type="gramStart"/>
      <w:r>
        <w:rPr>
          <w:rFonts w:asciiTheme="minorHAnsi" w:hAnsiTheme="minorHAnsi" w:cstheme="minorHAnsi"/>
          <w:sz w:val="22"/>
          <w:szCs w:val="22"/>
        </w:rPr>
        <w:t xml:space="preserve">the </w:t>
      </w:r>
      <w:r w:rsidR="00746A5C">
        <w:rPr>
          <w:rFonts w:asciiTheme="minorHAnsi" w:hAnsiTheme="minorHAnsi" w:cstheme="minorHAnsi"/>
          <w:sz w:val="22"/>
          <w:szCs w:val="22"/>
        </w:rPr>
        <w:t>majority of</w:t>
      </w:r>
      <w:proofErr w:type="gramEnd"/>
      <w:r w:rsidR="00746A5C">
        <w:rPr>
          <w:rFonts w:asciiTheme="minorHAnsi" w:hAnsiTheme="minorHAnsi" w:cstheme="minorHAnsi"/>
          <w:sz w:val="22"/>
          <w:szCs w:val="22"/>
        </w:rPr>
        <w:t xml:space="preserve"> provisions of the Prospectus Regulation</w:t>
      </w:r>
      <w:r>
        <w:rPr>
          <w:rFonts w:asciiTheme="minorHAnsi" w:hAnsiTheme="minorHAnsi" w:cstheme="minorHAnsi"/>
          <w:sz w:val="22"/>
          <w:szCs w:val="22"/>
        </w:rPr>
        <w:t xml:space="preserve"> apply</w:t>
      </w:r>
      <w:r w:rsidR="00195B44">
        <w:rPr>
          <w:rFonts w:asciiTheme="minorHAnsi" w:hAnsiTheme="minorHAnsi" w:cstheme="minorHAnsi"/>
          <w:sz w:val="22"/>
          <w:szCs w:val="22"/>
        </w:rPr>
        <w:t xml:space="preserve"> (i.e. 21 July 2019)</w:t>
      </w:r>
      <w:r>
        <w:rPr>
          <w:rFonts w:asciiTheme="minorHAnsi" w:hAnsiTheme="minorHAnsi" w:cstheme="minorHAnsi"/>
          <w:sz w:val="22"/>
          <w:szCs w:val="22"/>
        </w:rPr>
        <w:t>. A confirmation from ESMA on this point would be useful, so that market participants know what to expect in terms</w:t>
      </w:r>
      <w:r w:rsidR="00746A5C">
        <w:rPr>
          <w:rFonts w:asciiTheme="minorHAnsi" w:hAnsiTheme="minorHAnsi" w:cstheme="minorHAnsi"/>
          <w:sz w:val="22"/>
          <w:szCs w:val="22"/>
        </w:rPr>
        <w:t xml:space="preserve"> of the implementation of the Prospectus Regulation</w:t>
      </w:r>
      <w:r>
        <w:rPr>
          <w:rFonts w:asciiTheme="minorHAnsi" w:hAnsiTheme="minorHAnsi" w:cstheme="minorHAnsi"/>
          <w:sz w:val="22"/>
          <w:szCs w:val="22"/>
        </w:rPr>
        <w:t>.</w:t>
      </w:r>
      <w:r w:rsidR="00C650C7">
        <w:rPr>
          <w:rFonts w:asciiTheme="minorHAnsi" w:hAnsiTheme="minorHAnsi" w:cstheme="minorHAnsi"/>
          <w:sz w:val="22"/>
          <w:szCs w:val="22"/>
        </w:rPr>
        <w:t xml:space="preserve"> We also assume that the final delegated regulation will include </w:t>
      </w:r>
      <w:r w:rsidR="00324E52">
        <w:rPr>
          <w:rFonts w:asciiTheme="minorHAnsi" w:hAnsiTheme="minorHAnsi" w:cstheme="minorHAnsi"/>
          <w:sz w:val="22"/>
          <w:szCs w:val="22"/>
        </w:rPr>
        <w:t>a</w:t>
      </w:r>
      <w:r w:rsidR="00C650C7">
        <w:rPr>
          <w:rFonts w:asciiTheme="minorHAnsi" w:hAnsiTheme="minorHAnsi" w:cstheme="minorHAnsi"/>
          <w:sz w:val="22"/>
          <w:szCs w:val="22"/>
        </w:rPr>
        <w:t xml:space="preserve"> sentence regar</w:t>
      </w:r>
      <w:r w:rsidR="00D406D1">
        <w:rPr>
          <w:rFonts w:asciiTheme="minorHAnsi" w:hAnsiTheme="minorHAnsi" w:cstheme="minorHAnsi"/>
          <w:sz w:val="22"/>
          <w:szCs w:val="22"/>
        </w:rPr>
        <w:t xml:space="preserve">ding its application date </w:t>
      </w:r>
      <w:r w:rsidR="00C650C7">
        <w:rPr>
          <w:rFonts w:asciiTheme="minorHAnsi" w:hAnsiTheme="minorHAnsi" w:cstheme="minorHAnsi"/>
          <w:sz w:val="22"/>
          <w:szCs w:val="22"/>
        </w:rPr>
        <w:t>in Article 18 (i.e. “It shall apply from [</w:t>
      </w:r>
      <w:r w:rsidR="00C650C7">
        <w:rPr>
          <w:rFonts w:asciiTheme="minorHAnsi" w:hAnsiTheme="minorHAnsi" w:cstheme="minorHAnsi"/>
          <w:i/>
          <w:sz w:val="22"/>
          <w:szCs w:val="22"/>
        </w:rPr>
        <w:t>date</w:t>
      </w:r>
      <w:r w:rsidR="00C650C7">
        <w:rPr>
          <w:rFonts w:asciiTheme="minorHAnsi" w:hAnsiTheme="minorHAnsi" w:cstheme="minorHAnsi"/>
          <w:sz w:val="22"/>
          <w:szCs w:val="22"/>
        </w:rPr>
        <w:t xml:space="preserve">]”). </w:t>
      </w:r>
    </w:p>
    <w:p w14:paraId="1DD5700B" w14:textId="2195E05C" w:rsidR="00195B44" w:rsidRDefault="00195B44" w:rsidP="00C312B4">
      <w:pPr>
        <w:jc w:val="both"/>
        <w:rPr>
          <w:rFonts w:asciiTheme="minorHAnsi" w:hAnsiTheme="minorHAnsi" w:cstheme="minorHAnsi"/>
          <w:sz w:val="22"/>
          <w:szCs w:val="22"/>
        </w:rPr>
      </w:pPr>
    </w:p>
    <w:p w14:paraId="0DCCEF8F" w14:textId="320DEAD7" w:rsidR="00195B44" w:rsidRPr="00195B44" w:rsidRDefault="00195B44" w:rsidP="00C312B4">
      <w:pPr>
        <w:jc w:val="both"/>
        <w:rPr>
          <w:rFonts w:asciiTheme="minorHAnsi" w:hAnsiTheme="minorHAnsi" w:cstheme="minorHAnsi"/>
          <w:sz w:val="22"/>
          <w:szCs w:val="22"/>
        </w:rPr>
      </w:pPr>
      <w:r>
        <w:rPr>
          <w:rFonts w:asciiTheme="minorHAnsi" w:hAnsiTheme="minorHAnsi" w:cstheme="minorHAnsi"/>
          <w:b/>
          <w:i/>
          <w:sz w:val="22"/>
          <w:szCs w:val="22"/>
        </w:rPr>
        <w:t xml:space="preserve">AFME response: </w:t>
      </w:r>
      <w:r>
        <w:rPr>
          <w:rFonts w:asciiTheme="minorHAnsi" w:hAnsiTheme="minorHAnsi" w:cstheme="minorHAnsi"/>
          <w:sz w:val="22"/>
          <w:szCs w:val="22"/>
        </w:rPr>
        <w:t xml:space="preserve">ICMA has seen and broadly supports the AFME response in relation to equity securities </w:t>
      </w:r>
      <w:r w:rsidRPr="00195B44">
        <w:rPr>
          <w:rFonts w:asciiTheme="minorHAnsi" w:hAnsiTheme="minorHAnsi" w:cstheme="minorHAnsi"/>
          <w:color w:val="000000" w:themeColor="text1"/>
          <w:sz w:val="22"/>
          <w:szCs w:val="22"/>
        </w:rPr>
        <w:t>and securitisation</w:t>
      </w:r>
      <w:r>
        <w:rPr>
          <w:rFonts w:asciiTheme="minorHAnsi" w:hAnsiTheme="minorHAnsi" w:cstheme="minorHAnsi"/>
          <w:sz w:val="22"/>
          <w:szCs w:val="22"/>
        </w:rPr>
        <w:t>.</w:t>
      </w:r>
    </w:p>
    <w:permEnd w:id="1937050393"/>
    <w:p w14:paraId="03F5FFC5" w14:textId="306A8CF8" w:rsidR="00B327E9" w:rsidRPr="00BF28DA" w:rsidRDefault="00B327E9" w:rsidP="00102024">
      <w:pPr>
        <w:jc w:val="both"/>
      </w:pPr>
      <w:r w:rsidRPr="00BF28DA">
        <w:t>&lt;ESMA_COMMENT_</w:t>
      </w:r>
      <w:r w:rsidR="000A58BE" w:rsidRPr="000A58BE">
        <w:rPr>
          <w:rFonts w:cs="Arial"/>
        </w:rPr>
        <w:t xml:space="preserve"> </w:t>
      </w:r>
      <w:r w:rsidR="00ED4063">
        <w:rPr>
          <w:rFonts w:cs="Arial"/>
        </w:rPr>
        <w:t>PR</w:t>
      </w:r>
      <w:r w:rsidR="000A58BE">
        <w:t>_</w:t>
      </w:r>
      <w:r w:rsidRPr="00BF28DA">
        <w:t>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13BF50B4" w14:textId="6BDB62BD" w:rsidR="000A58BE" w:rsidRDefault="00F31E57" w:rsidP="00967674">
      <w:pPr>
        <w:pStyle w:val="Questionstyle"/>
        <w:numPr>
          <w:ilvl w:val="0"/>
          <w:numId w:val="36"/>
        </w:numPr>
        <w:rPr>
          <w:rFonts w:cs="Arial"/>
        </w:rPr>
      </w:pPr>
      <w:r w:rsidRPr="0075015C">
        <w:br w:type="page"/>
      </w:r>
    </w:p>
    <w:p w14:paraId="5C454F4A" w14:textId="77777777" w:rsidR="00C761FA" w:rsidRPr="00931870" w:rsidRDefault="00C761FA" w:rsidP="00BD3C97">
      <w:pPr>
        <w:pStyle w:val="Heading1"/>
        <w:numPr>
          <w:ilvl w:val="0"/>
          <w:numId w:val="0"/>
        </w:numPr>
        <w:spacing w:before="0" w:after="0"/>
      </w:pPr>
      <w:r w:rsidRPr="00931870">
        <w:lastRenderedPageBreak/>
        <w:t>Key financial information in the summary</w:t>
      </w:r>
    </w:p>
    <w:p w14:paraId="5F908EB6" w14:textId="77777777" w:rsidR="00C761FA" w:rsidRDefault="00C761FA" w:rsidP="00C761FA">
      <w:pPr>
        <w:pStyle w:val="Heading1"/>
        <w:numPr>
          <w:ilvl w:val="0"/>
          <w:numId w:val="0"/>
        </w:numPr>
      </w:pPr>
    </w:p>
    <w:p w14:paraId="02FACDFF" w14:textId="3DE399D0"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Do you agree that the KFI extracted from the issuer’s historical financial information should be sign-posted?</w:t>
      </w:r>
    </w:p>
    <w:p w14:paraId="6ABD5E2A" w14:textId="77777777" w:rsidR="00ED4063" w:rsidRDefault="00ED4063" w:rsidP="00ED4063">
      <w:pPr>
        <w:rPr>
          <w:rFonts w:cs="Arial"/>
        </w:rPr>
      </w:pPr>
      <w:r>
        <w:rPr>
          <w:rFonts w:cs="Arial"/>
        </w:rPr>
        <w:t>&lt;ESMA_QUESTION_PR_1&gt;</w:t>
      </w:r>
    </w:p>
    <w:p w14:paraId="41185B15" w14:textId="1A016C7B" w:rsidR="000B36AF" w:rsidRDefault="000D3531" w:rsidP="00C312B4">
      <w:pPr>
        <w:jc w:val="both"/>
        <w:rPr>
          <w:rFonts w:asciiTheme="minorHAnsi" w:hAnsiTheme="minorHAnsi" w:cstheme="minorHAnsi"/>
          <w:sz w:val="22"/>
        </w:rPr>
      </w:pPr>
      <w:permStart w:id="773267271" w:edGrp="everyone"/>
      <w:r w:rsidRPr="00DF39F9">
        <w:rPr>
          <w:rFonts w:asciiTheme="minorHAnsi" w:hAnsiTheme="minorHAnsi" w:cstheme="minorHAnsi"/>
          <w:sz w:val="22"/>
        </w:rPr>
        <w:t xml:space="preserve">Yes. The suggestion that information extracted from </w:t>
      </w:r>
      <w:r w:rsidR="000B36AF" w:rsidRPr="00DF39F9">
        <w:rPr>
          <w:rFonts w:asciiTheme="minorHAnsi" w:hAnsiTheme="minorHAnsi" w:cstheme="minorHAnsi"/>
          <w:sz w:val="22"/>
        </w:rPr>
        <w:t xml:space="preserve">historical financial information should be flagged as such </w:t>
      </w:r>
      <w:proofErr w:type="gramStart"/>
      <w:r w:rsidR="000B36AF" w:rsidRPr="00DF39F9">
        <w:rPr>
          <w:rFonts w:asciiTheme="minorHAnsi" w:hAnsiTheme="minorHAnsi" w:cstheme="minorHAnsi"/>
          <w:sz w:val="22"/>
        </w:rPr>
        <w:t>in order to</w:t>
      </w:r>
      <w:proofErr w:type="gramEnd"/>
      <w:r w:rsidR="000B36AF" w:rsidRPr="00DF39F9">
        <w:rPr>
          <w:rFonts w:asciiTheme="minorHAnsi" w:hAnsiTheme="minorHAnsi" w:cstheme="minorHAnsi"/>
          <w:sz w:val="22"/>
        </w:rPr>
        <w:t xml:space="preserve"> differentiate for investors the audited financial information from APMs is sensible and, in our view, uncontroversial.</w:t>
      </w:r>
    </w:p>
    <w:p w14:paraId="43AB5B9D" w14:textId="226212A0" w:rsidR="00050880" w:rsidRDefault="00050880" w:rsidP="00C312B4">
      <w:pPr>
        <w:jc w:val="both"/>
        <w:rPr>
          <w:rFonts w:asciiTheme="minorHAnsi" w:hAnsiTheme="minorHAnsi" w:cstheme="minorHAnsi"/>
          <w:sz w:val="22"/>
        </w:rPr>
      </w:pPr>
    </w:p>
    <w:p w14:paraId="27715A25" w14:textId="76CF593A" w:rsidR="00050880" w:rsidRPr="00DF39F9" w:rsidRDefault="00050880" w:rsidP="00C312B4">
      <w:pPr>
        <w:jc w:val="both"/>
        <w:rPr>
          <w:rFonts w:asciiTheme="minorHAnsi" w:hAnsiTheme="minorHAnsi" w:cstheme="minorHAnsi"/>
          <w:sz w:val="22"/>
        </w:rPr>
      </w:pPr>
      <w:r>
        <w:rPr>
          <w:rFonts w:asciiTheme="minorHAnsi" w:hAnsiTheme="minorHAnsi" w:cstheme="minorHAnsi"/>
          <w:sz w:val="22"/>
        </w:rPr>
        <w:t>More generally, it is helpful</w:t>
      </w:r>
      <w:r w:rsidR="00064105">
        <w:rPr>
          <w:rFonts w:asciiTheme="minorHAnsi" w:hAnsiTheme="minorHAnsi" w:cstheme="minorHAnsi"/>
          <w:sz w:val="22"/>
        </w:rPr>
        <w:t xml:space="preserve"> that issuers can include APMs in the summary. However, there are some questions around how such APMs should be explained in the summary</w:t>
      </w:r>
      <w:r w:rsidR="006333AC">
        <w:rPr>
          <w:rFonts w:asciiTheme="minorHAnsi" w:hAnsiTheme="minorHAnsi" w:cstheme="minorHAnsi"/>
          <w:sz w:val="22"/>
        </w:rPr>
        <w:t>. See further our response to Q</w:t>
      </w:r>
      <w:r w:rsidR="00064105">
        <w:rPr>
          <w:rFonts w:asciiTheme="minorHAnsi" w:hAnsiTheme="minorHAnsi" w:cstheme="minorHAnsi"/>
          <w:sz w:val="22"/>
        </w:rPr>
        <w:t xml:space="preserve">5 below. </w:t>
      </w:r>
    </w:p>
    <w:permEnd w:id="773267271"/>
    <w:p w14:paraId="0C2F91DE" w14:textId="509361B6" w:rsidR="00ED4063" w:rsidRDefault="00ED4063" w:rsidP="00ED4063">
      <w:pPr>
        <w:rPr>
          <w:rFonts w:cs="Arial"/>
        </w:rPr>
      </w:pPr>
      <w:r>
        <w:rPr>
          <w:rFonts w:cs="Arial"/>
        </w:rPr>
        <w:t>&lt;ESMA_QUESTION_PR_1&gt;</w:t>
      </w:r>
    </w:p>
    <w:p w14:paraId="0BD7999B" w14:textId="77777777" w:rsidR="00ED4063" w:rsidRDefault="00ED4063" w:rsidP="00ED4063">
      <w:pPr>
        <w:rPr>
          <w:rFonts w:cs="Arial"/>
        </w:rPr>
      </w:pPr>
    </w:p>
    <w:p w14:paraId="2D87C6F9" w14:textId="77777777" w:rsidR="00ED4063" w:rsidRDefault="00ED4063" w:rsidP="00ED4063">
      <w:pPr>
        <w:rPr>
          <w:rFonts w:cs="Arial"/>
        </w:rPr>
      </w:pPr>
    </w:p>
    <w:p w14:paraId="17FB9E3C" w14:textId="77777777" w:rsidR="00ED4063" w:rsidRDefault="00ED4063" w:rsidP="00ED4063">
      <w:pPr>
        <w:rPr>
          <w:rFonts w:cs="Arial"/>
        </w:rPr>
      </w:pPr>
    </w:p>
    <w:p w14:paraId="2AF21A32"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Would you suggest the inclusion of specific templates for other types of issuer? Please specify and explain your reasoning.</w:t>
      </w:r>
    </w:p>
    <w:p w14:paraId="24E3C50F" w14:textId="77777777" w:rsidR="00ED4063" w:rsidRDefault="00ED4063" w:rsidP="00ED4063">
      <w:pPr>
        <w:rPr>
          <w:rFonts w:cs="Arial"/>
        </w:rPr>
      </w:pPr>
      <w:r>
        <w:rPr>
          <w:rFonts w:cs="Arial"/>
        </w:rPr>
        <w:t>&lt;ESMA_QUESTION_PR_2&gt;</w:t>
      </w:r>
    </w:p>
    <w:p w14:paraId="332AF2DB" w14:textId="6F15985F" w:rsidR="000B36AF" w:rsidRPr="00DF39F9" w:rsidRDefault="000B36AF" w:rsidP="00C312B4">
      <w:pPr>
        <w:jc w:val="both"/>
        <w:rPr>
          <w:rFonts w:asciiTheme="minorHAnsi" w:hAnsiTheme="minorHAnsi" w:cstheme="minorHAnsi"/>
          <w:sz w:val="22"/>
        </w:rPr>
      </w:pPr>
      <w:permStart w:id="738224209" w:edGrp="everyone"/>
      <w:r w:rsidRPr="00DF39F9">
        <w:rPr>
          <w:rFonts w:asciiTheme="minorHAnsi" w:hAnsiTheme="minorHAnsi" w:cstheme="minorHAnsi"/>
          <w:sz w:val="22"/>
        </w:rPr>
        <w:t>No</w:t>
      </w:r>
      <w:r w:rsidR="00102024">
        <w:rPr>
          <w:rFonts w:asciiTheme="minorHAnsi" w:hAnsiTheme="minorHAnsi" w:cstheme="minorHAnsi"/>
          <w:sz w:val="22"/>
        </w:rPr>
        <w:t>.</w:t>
      </w:r>
      <w:r w:rsidR="00693042">
        <w:rPr>
          <w:rFonts w:asciiTheme="minorHAnsi" w:hAnsiTheme="minorHAnsi" w:cstheme="minorHAnsi"/>
          <w:sz w:val="22"/>
        </w:rPr>
        <w:t xml:space="preserve"> </w:t>
      </w:r>
      <w:r w:rsidR="00102024">
        <w:rPr>
          <w:rFonts w:asciiTheme="minorHAnsi" w:hAnsiTheme="minorHAnsi" w:cstheme="minorHAnsi"/>
          <w:sz w:val="22"/>
        </w:rPr>
        <w:t>A</w:t>
      </w:r>
      <w:r w:rsidRPr="00DF39F9">
        <w:rPr>
          <w:rFonts w:asciiTheme="minorHAnsi" w:hAnsiTheme="minorHAnsi" w:cstheme="minorHAnsi"/>
          <w:sz w:val="22"/>
        </w:rPr>
        <w:t>dditional templates are not required</w:t>
      </w:r>
      <w:r w:rsidR="00693042">
        <w:rPr>
          <w:rFonts w:asciiTheme="minorHAnsi" w:hAnsiTheme="minorHAnsi" w:cstheme="minorHAnsi"/>
          <w:sz w:val="22"/>
        </w:rPr>
        <w:t xml:space="preserve"> (but note the need to clarify the application of existing templates to complex financial institutions discussed below)</w:t>
      </w:r>
      <w:r w:rsidRPr="00DF39F9">
        <w:rPr>
          <w:rFonts w:asciiTheme="minorHAnsi" w:hAnsiTheme="minorHAnsi" w:cstheme="minorHAnsi"/>
          <w:sz w:val="22"/>
        </w:rPr>
        <w:t>.</w:t>
      </w:r>
    </w:p>
    <w:p w14:paraId="23937AA2" w14:textId="77777777" w:rsidR="000B36AF" w:rsidRPr="00DF39F9" w:rsidRDefault="000B36AF" w:rsidP="00C312B4">
      <w:pPr>
        <w:jc w:val="both"/>
        <w:rPr>
          <w:rFonts w:asciiTheme="minorHAnsi" w:hAnsiTheme="minorHAnsi" w:cstheme="minorHAnsi"/>
          <w:sz w:val="22"/>
        </w:rPr>
      </w:pPr>
    </w:p>
    <w:p w14:paraId="7072DDA8" w14:textId="334D7A86" w:rsidR="00DB133A" w:rsidRPr="00DF39F9" w:rsidRDefault="000B36AF" w:rsidP="00C312B4">
      <w:pPr>
        <w:jc w:val="both"/>
        <w:rPr>
          <w:rFonts w:asciiTheme="minorHAnsi" w:hAnsiTheme="minorHAnsi" w:cstheme="minorHAnsi"/>
          <w:sz w:val="22"/>
        </w:rPr>
      </w:pPr>
      <w:r w:rsidRPr="00DF39F9">
        <w:rPr>
          <w:rFonts w:asciiTheme="minorHAnsi" w:hAnsiTheme="minorHAnsi" w:cstheme="minorHAnsi"/>
          <w:sz w:val="22"/>
        </w:rPr>
        <w:t xml:space="preserve">As noted in our general remarks above, prescriptive requirements such as those envisaged in the draft RTS for key financial information in the summary can have unexpected results in practice when they are applied to the wide range of prospectuses prepared under the </w:t>
      </w:r>
      <w:r w:rsidR="00102024">
        <w:rPr>
          <w:rFonts w:asciiTheme="minorHAnsi" w:hAnsiTheme="minorHAnsi" w:cstheme="minorHAnsi"/>
          <w:sz w:val="22"/>
        </w:rPr>
        <w:t>EU prospectus regime</w:t>
      </w:r>
      <w:r w:rsidRPr="00DF39F9">
        <w:rPr>
          <w:rFonts w:asciiTheme="minorHAnsi" w:hAnsiTheme="minorHAnsi" w:cstheme="minorHAnsi"/>
          <w:sz w:val="22"/>
        </w:rPr>
        <w:t>.</w:t>
      </w:r>
      <w:r w:rsidR="00DB133A" w:rsidRPr="00DF39F9">
        <w:rPr>
          <w:rFonts w:asciiTheme="minorHAnsi" w:hAnsiTheme="minorHAnsi" w:cstheme="minorHAnsi"/>
          <w:sz w:val="22"/>
        </w:rPr>
        <w:t xml:space="preserve"> </w:t>
      </w:r>
      <w:r w:rsidRPr="00DF39F9">
        <w:rPr>
          <w:rFonts w:asciiTheme="minorHAnsi" w:hAnsiTheme="minorHAnsi" w:cstheme="minorHAnsi"/>
          <w:sz w:val="22"/>
        </w:rPr>
        <w:t>A more flexible approach,</w:t>
      </w:r>
      <w:r w:rsidR="00DB133A" w:rsidRPr="00DF39F9">
        <w:rPr>
          <w:rFonts w:asciiTheme="minorHAnsi" w:hAnsiTheme="minorHAnsi" w:cstheme="minorHAnsi"/>
          <w:sz w:val="22"/>
        </w:rPr>
        <w:t xml:space="preserve"> allowing issuers to disclose the financial information that they consider to be key for the purposes of the summary and in the context of their own business would be preferable.</w:t>
      </w:r>
    </w:p>
    <w:p w14:paraId="607518C7" w14:textId="77777777" w:rsidR="00DB133A" w:rsidRPr="00DF39F9" w:rsidRDefault="00DB133A" w:rsidP="00C312B4">
      <w:pPr>
        <w:jc w:val="both"/>
        <w:rPr>
          <w:rFonts w:asciiTheme="minorHAnsi" w:hAnsiTheme="minorHAnsi" w:cstheme="minorHAnsi"/>
          <w:sz w:val="22"/>
        </w:rPr>
      </w:pPr>
    </w:p>
    <w:p w14:paraId="232A47ED" w14:textId="23B897E6" w:rsidR="00A12B4F" w:rsidRDefault="00DB133A" w:rsidP="00C312B4">
      <w:pPr>
        <w:jc w:val="both"/>
        <w:rPr>
          <w:rFonts w:asciiTheme="minorHAnsi" w:hAnsiTheme="minorHAnsi" w:cstheme="minorHAnsi"/>
          <w:sz w:val="22"/>
        </w:rPr>
      </w:pPr>
      <w:r w:rsidRPr="00DF39F9">
        <w:rPr>
          <w:rFonts w:asciiTheme="minorHAnsi" w:hAnsiTheme="minorHAnsi" w:cstheme="minorHAnsi"/>
          <w:sz w:val="22"/>
        </w:rPr>
        <w:t>If the approach envisaged by the draft RTS is to be taken forward, it is not necessary to add further templates for specific types of issuer. Such templates are unlikely to work for all issuers within any given category and could further add to the possibility of confusion in relation to which template applies in which circumstance (see below)</w:t>
      </w:r>
      <w:r w:rsidR="00DF39F9" w:rsidRPr="00DF39F9">
        <w:rPr>
          <w:rFonts w:asciiTheme="minorHAnsi" w:hAnsiTheme="minorHAnsi" w:cstheme="minorHAnsi"/>
          <w:sz w:val="22"/>
        </w:rPr>
        <w:t xml:space="preserve">. Rather, ESMA’s approach </w:t>
      </w:r>
      <w:r w:rsidR="00EA1641">
        <w:rPr>
          <w:rFonts w:asciiTheme="minorHAnsi" w:hAnsiTheme="minorHAnsi" w:cstheme="minorHAnsi"/>
          <w:sz w:val="22"/>
        </w:rPr>
        <w:t xml:space="preserve">(described </w:t>
      </w:r>
      <w:r w:rsidR="00DF39F9" w:rsidRPr="00DF39F9">
        <w:rPr>
          <w:rFonts w:asciiTheme="minorHAnsi" w:hAnsiTheme="minorHAnsi" w:cstheme="minorHAnsi"/>
          <w:sz w:val="22"/>
        </w:rPr>
        <w:t xml:space="preserve">in paragraph 25 </w:t>
      </w:r>
      <w:r w:rsidR="00DB245B">
        <w:rPr>
          <w:rFonts w:asciiTheme="minorHAnsi" w:hAnsiTheme="minorHAnsi" w:cstheme="minorHAnsi"/>
          <w:sz w:val="22"/>
        </w:rPr>
        <w:t>of the consultation paper</w:t>
      </w:r>
      <w:r w:rsidR="00EA1641">
        <w:rPr>
          <w:rFonts w:asciiTheme="minorHAnsi" w:hAnsiTheme="minorHAnsi" w:cstheme="minorHAnsi"/>
          <w:sz w:val="22"/>
        </w:rPr>
        <w:t xml:space="preserve"> </w:t>
      </w:r>
      <w:r w:rsidR="00DF39F9" w:rsidRPr="00DF39F9">
        <w:rPr>
          <w:rFonts w:asciiTheme="minorHAnsi" w:hAnsiTheme="minorHAnsi" w:cstheme="minorHAnsi"/>
          <w:sz w:val="22"/>
        </w:rPr>
        <w:t>and</w:t>
      </w:r>
      <w:r w:rsidR="00EA1641">
        <w:rPr>
          <w:rFonts w:asciiTheme="minorHAnsi" w:hAnsiTheme="minorHAnsi" w:cstheme="minorHAnsi"/>
          <w:sz w:val="22"/>
        </w:rPr>
        <w:t xml:space="preserve"> envisaged in</w:t>
      </w:r>
      <w:r w:rsidR="00DF39F9" w:rsidRPr="00DF39F9">
        <w:rPr>
          <w:rFonts w:asciiTheme="minorHAnsi" w:hAnsiTheme="minorHAnsi" w:cstheme="minorHAnsi"/>
          <w:sz w:val="22"/>
        </w:rPr>
        <w:t xml:space="preserve"> draft RTS Article 2.3</w:t>
      </w:r>
      <w:r w:rsidR="00EA1641">
        <w:rPr>
          <w:rFonts w:asciiTheme="minorHAnsi" w:hAnsiTheme="minorHAnsi" w:cstheme="minorHAnsi"/>
          <w:sz w:val="22"/>
        </w:rPr>
        <w:t>)</w:t>
      </w:r>
      <w:r w:rsidR="00DF39F9" w:rsidRPr="00DF39F9">
        <w:rPr>
          <w:rFonts w:asciiTheme="minorHAnsi" w:hAnsiTheme="minorHAnsi" w:cstheme="minorHAnsi"/>
          <w:sz w:val="22"/>
        </w:rPr>
        <w:t xml:space="preserve"> </w:t>
      </w:r>
      <w:r w:rsidR="00EA1641">
        <w:rPr>
          <w:rFonts w:asciiTheme="minorHAnsi" w:hAnsiTheme="minorHAnsi" w:cstheme="minorHAnsi"/>
          <w:sz w:val="22"/>
        </w:rPr>
        <w:t xml:space="preserve">in which </w:t>
      </w:r>
      <w:r w:rsidR="00DF39F9" w:rsidRPr="00DF39F9">
        <w:rPr>
          <w:rFonts w:asciiTheme="minorHAnsi" w:hAnsiTheme="minorHAnsi" w:cstheme="minorHAnsi"/>
          <w:sz w:val="22"/>
        </w:rPr>
        <w:t>the issuer or guarantor substitut</w:t>
      </w:r>
      <w:r w:rsidR="00EA1641">
        <w:rPr>
          <w:rFonts w:asciiTheme="minorHAnsi" w:hAnsiTheme="minorHAnsi" w:cstheme="minorHAnsi"/>
          <w:sz w:val="22"/>
        </w:rPr>
        <w:t>e</w:t>
      </w:r>
      <w:r w:rsidR="00102024">
        <w:rPr>
          <w:rFonts w:asciiTheme="minorHAnsi" w:hAnsiTheme="minorHAnsi" w:cstheme="minorHAnsi"/>
          <w:sz w:val="22"/>
        </w:rPr>
        <w:t>s</w:t>
      </w:r>
      <w:r w:rsidR="00DF39F9" w:rsidRPr="00DF39F9">
        <w:rPr>
          <w:rFonts w:asciiTheme="minorHAnsi" w:hAnsiTheme="minorHAnsi" w:cstheme="minorHAnsi"/>
          <w:sz w:val="22"/>
        </w:rPr>
        <w:t xml:space="preserve"> items from the tables with a corresponding item from its financial statements is preferable. </w:t>
      </w:r>
    </w:p>
    <w:p w14:paraId="6F4DF47F" w14:textId="77777777" w:rsidR="00A12B4F" w:rsidRDefault="00A12B4F" w:rsidP="00C312B4">
      <w:pPr>
        <w:jc w:val="both"/>
        <w:rPr>
          <w:rFonts w:asciiTheme="minorHAnsi" w:hAnsiTheme="minorHAnsi" w:cstheme="minorHAnsi"/>
          <w:sz w:val="22"/>
        </w:rPr>
      </w:pPr>
    </w:p>
    <w:p w14:paraId="52D1BA1C" w14:textId="7F4F12C0" w:rsidR="00693042" w:rsidRDefault="00DF39F9" w:rsidP="00C312B4">
      <w:pPr>
        <w:jc w:val="both"/>
        <w:rPr>
          <w:rFonts w:asciiTheme="minorHAnsi" w:hAnsiTheme="minorHAnsi" w:cstheme="minorHAnsi"/>
          <w:sz w:val="22"/>
        </w:rPr>
      </w:pPr>
      <w:r w:rsidRPr="00DF39F9">
        <w:rPr>
          <w:rFonts w:asciiTheme="minorHAnsi" w:hAnsiTheme="minorHAnsi" w:cstheme="minorHAnsi"/>
          <w:sz w:val="22"/>
        </w:rPr>
        <w:t xml:space="preserve">We understand </w:t>
      </w:r>
      <w:r w:rsidR="00EA1641">
        <w:rPr>
          <w:rFonts w:asciiTheme="minorHAnsi" w:hAnsiTheme="minorHAnsi" w:cstheme="minorHAnsi"/>
          <w:sz w:val="22"/>
        </w:rPr>
        <w:t>from discussions with one</w:t>
      </w:r>
      <w:r w:rsidR="00CE5178">
        <w:rPr>
          <w:rFonts w:asciiTheme="minorHAnsi" w:hAnsiTheme="minorHAnsi" w:cstheme="minorHAnsi"/>
          <w:sz w:val="22"/>
        </w:rPr>
        <w:t xml:space="preserve"> leading</w:t>
      </w:r>
      <w:r w:rsidR="00EA1641">
        <w:rPr>
          <w:rFonts w:asciiTheme="minorHAnsi" w:hAnsiTheme="minorHAnsi" w:cstheme="minorHAnsi"/>
          <w:sz w:val="22"/>
        </w:rPr>
        <w:t xml:space="preserve"> audit firm </w:t>
      </w:r>
      <w:r w:rsidRPr="00DF39F9">
        <w:rPr>
          <w:rFonts w:asciiTheme="minorHAnsi" w:hAnsiTheme="minorHAnsi" w:cstheme="minorHAnsi"/>
          <w:sz w:val="22"/>
        </w:rPr>
        <w:t>that the selection of such “corresponding item” from the issuer’s or guarantor’s statements</w:t>
      </w:r>
      <w:r w:rsidR="00EA1641">
        <w:rPr>
          <w:rFonts w:asciiTheme="minorHAnsi" w:hAnsiTheme="minorHAnsi" w:cstheme="minorHAnsi"/>
          <w:sz w:val="22"/>
        </w:rPr>
        <w:t xml:space="preserve"> should be relatively str</w:t>
      </w:r>
      <w:r w:rsidR="00693042">
        <w:rPr>
          <w:rFonts w:asciiTheme="minorHAnsi" w:hAnsiTheme="minorHAnsi" w:cstheme="minorHAnsi"/>
          <w:sz w:val="22"/>
        </w:rPr>
        <w:t xml:space="preserve">aightforward in most instances. However, we </w:t>
      </w:r>
      <w:r w:rsidR="00B65412">
        <w:rPr>
          <w:rFonts w:asciiTheme="minorHAnsi" w:hAnsiTheme="minorHAnsi" w:cstheme="minorHAnsi"/>
          <w:sz w:val="22"/>
        </w:rPr>
        <w:t>anticipate that</w:t>
      </w:r>
      <w:r w:rsidR="00693042">
        <w:rPr>
          <w:rFonts w:asciiTheme="minorHAnsi" w:hAnsiTheme="minorHAnsi" w:cstheme="minorHAnsi"/>
          <w:sz w:val="22"/>
        </w:rPr>
        <w:t xml:space="preserve"> there may still</w:t>
      </w:r>
      <w:r w:rsidR="00EA1641">
        <w:rPr>
          <w:rFonts w:asciiTheme="minorHAnsi" w:hAnsiTheme="minorHAnsi" w:cstheme="minorHAnsi"/>
          <w:sz w:val="22"/>
        </w:rPr>
        <w:t xml:space="preserve"> be occasional circumstances where that is not the case. In those cases, it is hoped that NCAs will take a pragmatic approach in thei</w:t>
      </w:r>
      <w:r w:rsidR="00B65412">
        <w:rPr>
          <w:rFonts w:asciiTheme="minorHAnsi" w:hAnsiTheme="minorHAnsi" w:cstheme="minorHAnsi"/>
          <w:sz w:val="22"/>
        </w:rPr>
        <w:t xml:space="preserve">r interpretation of the proposed draft </w:t>
      </w:r>
      <w:r w:rsidR="00EA1641">
        <w:rPr>
          <w:rFonts w:asciiTheme="minorHAnsi" w:hAnsiTheme="minorHAnsi" w:cstheme="minorHAnsi"/>
          <w:sz w:val="22"/>
        </w:rPr>
        <w:t>RTS</w:t>
      </w:r>
      <w:r w:rsidR="00B65412">
        <w:rPr>
          <w:rFonts w:asciiTheme="minorHAnsi" w:hAnsiTheme="minorHAnsi" w:cstheme="minorHAnsi"/>
          <w:sz w:val="22"/>
        </w:rPr>
        <w:t xml:space="preserve"> annexes</w:t>
      </w:r>
      <w:r w:rsidR="00EA1641">
        <w:rPr>
          <w:rFonts w:asciiTheme="minorHAnsi" w:hAnsiTheme="minorHAnsi" w:cstheme="minorHAnsi"/>
          <w:sz w:val="22"/>
        </w:rPr>
        <w:t>.</w:t>
      </w:r>
    </w:p>
    <w:p w14:paraId="1B00CAE5" w14:textId="77777777" w:rsidR="00693042" w:rsidRDefault="00693042" w:rsidP="00C312B4">
      <w:pPr>
        <w:jc w:val="both"/>
        <w:rPr>
          <w:rFonts w:asciiTheme="minorHAnsi" w:hAnsiTheme="minorHAnsi" w:cstheme="minorHAnsi"/>
          <w:sz w:val="22"/>
        </w:rPr>
      </w:pPr>
    </w:p>
    <w:p w14:paraId="7D8FA988" w14:textId="5668F43D" w:rsidR="00B8173D" w:rsidRDefault="00AC4133" w:rsidP="00C312B4">
      <w:pPr>
        <w:jc w:val="both"/>
        <w:rPr>
          <w:rFonts w:asciiTheme="minorHAnsi" w:hAnsiTheme="minorHAnsi" w:cstheme="minorHAnsi"/>
          <w:sz w:val="22"/>
        </w:rPr>
      </w:pPr>
      <w:r>
        <w:rPr>
          <w:rFonts w:asciiTheme="minorHAnsi" w:hAnsiTheme="minorHAnsi" w:cstheme="minorHAnsi"/>
          <w:sz w:val="22"/>
        </w:rPr>
        <w:t xml:space="preserve">The possible difficulties that issuers could encounter when applying the proposed prescriptive approach are illustrated when considering how a </w:t>
      </w:r>
      <w:r w:rsidR="00A12B4F">
        <w:rPr>
          <w:rFonts w:asciiTheme="minorHAnsi" w:hAnsiTheme="minorHAnsi" w:cstheme="minorHAnsi"/>
          <w:sz w:val="22"/>
        </w:rPr>
        <w:t xml:space="preserve">complex </w:t>
      </w:r>
      <w:r>
        <w:rPr>
          <w:rFonts w:asciiTheme="minorHAnsi" w:hAnsiTheme="minorHAnsi" w:cstheme="minorHAnsi"/>
          <w:sz w:val="22"/>
        </w:rPr>
        <w:t>financial institution</w:t>
      </w:r>
      <w:r w:rsidR="003A5D1D">
        <w:rPr>
          <w:rFonts w:asciiTheme="minorHAnsi" w:hAnsiTheme="minorHAnsi" w:cstheme="minorHAnsi"/>
          <w:sz w:val="22"/>
        </w:rPr>
        <w:t xml:space="preserve"> </w:t>
      </w:r>
      <w:r>
        <w:rPr>
          <w:rFonts w:asciiTheme="minorHAnsi" w:hAnsiTheme="minorHAnsi" w:cstheme="minorHAnsi"/>
          <w:sz w:val="22"/>
        </w:rPr>
        <w:t>should approach its</w:t>
      </w:r>
      <w:r w:rsidR="00A12B4F">
        <w:rPr>
          <w:rFonts w:asciiTheme="minorHAnsi" w:hAnsiTheme="minorHAnsi" w:cstheme="minorHAnsi"/>
          <w:sz w:val="22"/>
        </w:rPr>
        <w:t xml:space="preserve"> disclosure under the draft RTS</w:t>
      </w:r>
      <w:r w:rsidR="003A5D1D">
        <w:rPr>
          <w:rFonts w:asciiTheme="minorHAnsi" w:hAnsiTheme="minorHAnsi" w:cstheme="minorHAnsi"/>
          <w:sz w:val="22"/>
        </w:rPr>
        <w:t>. For example, where a</w:t>
      </w:r>
      <w:r w:rsidR="00A12B4F">
        <w:rPr>
          <w:rFonts w:asciiTheme="minorHAnsi" w:hAnsiTheme="minorHAnsi" w:cstheme="minorHAnsi"/>
          <w:sz w:val="22"/>
        </w:rPr>
        <w:t xml:space="preserve"> complex financial institution </w:t>
      </w:r>
      <w:r w:rsidR="003A5D1D">
        <w:rPr>
          <w:rFonts w:asciiTheme="minorHAnsi" w:hAnsiTheme="minorHAnsi" w:cstheme="minorHAnsi"/>
          <w:sz w:val="22"/>
        </w:rPr>
        <w:t>has</w:t>
      </w:r>
      <w:r w:rsidR="00A12B4F">
        <w:rPr>
          <w:rFonts w:asciiTheme="minorHAnsi" w:hAnsiTheme="minorHAnsi" w:cstheme="minorHAnsi"/>
          <w:sz w:val="22"/>
        </w:rPr>
        <w:t xml:space="preserve"> both credit and insurance operations, </w:t>
      </w:r>
      <w:r w:rsidR="003A5D1D">
        <w:rPr>
          <w:rFonts w:asciiTheme="minorHAnsi" w:hAnsiTheme="minorHAnsi" w:cstheme="minorHAnsi"/>
          <w:sz w:val="22"/>
        </w:rPr>
        <w:t xml:space="preserve">it may </w:t>
      </w:r>
      <w:r w:rsidR="00A12B4F">
        <w:rPr>
          <w:rFonts w:asciiTheme="minorHAnsi" w:hAnsiTheme="minorHAnsi" w:cstheme="minorHAnsi"/>
          <w:sz w:val="22"/>
        </w:rPr>
        <w:t xml:space="preserve">not be clear which annex to the RTS should be used and, </w:t>
      </w:r>
      <w:r w:rsidR="003A5D1D">
        <w:rPr>
          <w:rFonts w:asciiTheme="minorHAnsi" w:hAnsiTheme="minorHAnsi" w:cstheme="minorHAnsi"/>
          <w:sz w:val="22"/>
        </w:rPr>
        <w:t>if one annex to the RTS is used</w:t>
      </w:r>
      <w:r w:rsidR="00A12B4F">
        <w:rPr>
          <w:rFonts w:asciiTheme="minorHAnsi" w:hAnsiTheme="minorHAnsi" w:cstheme="minorHAnsi"/>
          <w:sz w:val="22"/>
        </w:rPr>
        <w:t xml:space="preserve">, there may be line items from another annex that will be relevant to the issuer. If a prescriptive approach is to be </w:t>
      </w:r>
      <w:r w:rsidR="00A12B4F">
        <w:rPr>
          <w:rFonts w:asciiTheme="minorHAnsi" w:hAnsiTheme="minorHAnsi" w:cstheme="minorHAnsi"/>
          <w:sz w:val="22"/>
        </w:rPr>
        <w:lastRenderedPageBreak/>
        <w:t xml:space="preserve">retained in the final RTS, this </w:t>
      </w:r>
      <w:r w:rsidR="003A5D1D">
        <w:rPr>
          <w:rFonts w:asciiTheme="minorHAnsi" w:hAnsiTheme="minorHAnsi" w:cstheme="minorHAnsi"/>
          <w:sz w:val="22"/>
        </w:rPr>
        <w:t xml:space="preserve">concern could be ameliorated </w:t>
      </w:r>
      <w:r w:rsidR="00A12B4F">
        <w:rPr>
          <w:rFonts w:asciiTheme="minorHAnsi" w:hAnsiTheme="minorHAnsi" w:cstheme="minorHAnsi"/>
          <w:sz w:val="22"/>
        </w:rPr>
        <w:t xml:space="preserve">by the removal of the cap on the additional line items and APMs that can be included in the summary (see further </w:t>
      </w:r>
      <w:r w:rsidR="006333AC">
        <w:rPr>
          <w:rFonts w:asciiTheme="minorHAnsi" w:hAnsiTheme="minorHAnsi" w:cstheme="minorHAnsi"/>
          <w:sz w:val="22"/>
        </w:rPr>
        <w:t>our response to Q</w:t>
      </w:r>
      <w:r w:rsidR="00A12B4F">
        <w:rPr>
          <w:rFonts w:asciiTheme="minorHAnsi" w:hAnsiTheme="minorHAnsi" w:cstheme="minorHAnsi"/>
          <w:sz w:val="22"/>
        </w:rPr>
        <w:t>12 below).</w:t>
      </w:r>
      <w:r w:rsidR="003A5D1D">
        <w:rPr>
          <w:rFonts w:asciiTheme="minorHAnsi" w:hAnsiTheme="minorHAnsi" w:cstheme="minorHAnsi"/>
          <w:sz w:val="22"/>
        </w:rPr>
        <w:t xml:space="preserve"> Guidance from ESMA on the </w:t>
      </w:r>
      <w:proofErr w:type="gramStart"/>
      <w:r w:rsidR="003A5D1D">
        <w:rPr>
          <w:rFonts w:asciiTheme="minorHAnsi" w:hAnsiTheme="minorHAnsi" w:cstheme="minorHAnsi"/>
          <w:sz w:val="22"/>
        </w:rPr>
        <w:t>particular annex</w:t>
      </w:r>
      <w:proofErr w:type="gramEnd"/>
      <w:r w:rsidR="003A5D1D">
        <w:rPr>
          <w:rFonts w:asciiTheme="minorHAnsi" w:hAnsiTheme="minorHAnsi" w:cstheme="minorHAnsi"/>
          <w:sz w:val="22"/>
        </w:rPr>
        <w:t xml:space="preserve"> that should be used by complex financial institutions with both credit and insurance operations would also be helpful.</w:t>
      </w:r>
    </w:p>
    <w:p w14:paraId="136E9903" w14:textId="14F0BB32" w:rsidR="00D15CDE" w:rsidRPr="00090293" w:rsidRDefault="00D15CDE" w:rsidP="00090293">
      <w:pPr>
        <w:jc w:val="both"/>
        <w:rPr>
          <w:rFonts w:asciiTheme="minorHAnsi" w:hAnsiTheme="minorHAnsi" w:cstheme="minorHAnsi"/>
          <w:sz w:val="22"/>
          <w:szCs w:val="22"/>
        </w:rPr>
      </w:pPr>
    </w:p>
    <w:p w14:paraId="24752BD4" w14:textId="42004450" w:rsidR="00B8173D" w:rsidRPr="00ED5644" w:rsidRDefault="00090293" w:rsidP="00C312B4">
      <w:pPr>
        <w:jc w:val="both"/>
        <w:rPr>
          <w:rFonts w:asciiTheme="minorHAnsi" w:hAnsiTheme="minorHAnsi" w:cstheme="minorHAnsi"/>
          <w:color w:val="000000" w:themeColor="text1"/>
          <w:sz w:val="22"/>
          <w:szCs w:val="22"/>
        </w:rPr>
      </w:pPr>
      <w:r w:rsidRPr="00ED5644">
        <w:rPr>
          <w:rFonts w:asciiTheme="minorHAnsi" w:hAnsiTheme="minorHAnsi" w:cstheme="minorHAnsi"/>
          <w:color w:val="000000" w:themeColor="text1"/>
          <w:sz w:val="22"/>
          <w:szCs w:val="22"/>
        </w:rPr>
        <w:t xml:space="preserve">We </w:t>
      </w:r>
      <w:r w:rsidR="008D7D42" w:rsidRPr="00ED5644">
        <w:rPr>
          <w:rFonts w:asciiTheme="minorHAnsi" w:hAnsiTheme="minorHAnsi" w:cstheme="minorHAnsi"/>
          <w:color w:val="000000" w:themeColor="text1"/>
          <w:sz w:val="22"/>
          <w:szCs w:val="22"/>
        </w:rPr>
        <w:t xml:space="preserve">also note that there are a range of ABS deals issued by a variety of different types of SPV, and certain SPVs will not be able to provide all the mandatory information which ESMA has proposed in Annex V of the draft RTS.  This would be the case, for example, in relation to Retail Charity Bonds PLC, which is an SPV established </w:t>
      </w:r>
      <w:proofErr w:type="gramStart"/>
      <w:r w:rsidR="008D7D42" w:rsidRPr="00ED5644">
        <w:rPr>
          <w:rFonts w:asciiTheme="minorHAnsi" w:hAnsiTheme="minorHAnsi" w:cstheme="minorHAnsi"/>
          <w:color w:val="000000" w:themeColor="text1"/>
          <w:sz w:val="22"/>
          <w:szCs w:val="22"/>
        </w:rPr>
        <w:t>for the purpose of</w:t>
      </w:r>
      <w:proofErr w:type="gramEnd"/>
      <w:r w:rsidR="008D7D42" w:rsidRPr="00ED5644">
        <w:rPr>
          <w:rFonts w:asciiTheme="minorHAnsi" w:hAnsiTheme="minorHAnsi" w:cstheme="minorHAnsi"/>
          <w:color w:val="000000" w:themeColor="text1"/>
          <w:sz w:val="22"/>
          <w:szCs w:val="22"/>
        </w:rPr>
        <w:t xml:space="preserve"> issuing ABS with a view to making it easier for UK charities to raise money from investors in the capital markets. </w:t>
      </w:r>
      <w:bookmarkStart w:id="1" w:name="_GoBack"/>
      <w:bookmarkEnd w:id="1"/>
      <w:r w:rsidR="008D7D42" w:rsidRPr="00ED5644">
        <w:rPr>
          <w:rFonts w:asciiTheme="minorHAnsi" w:hAnsiTheme="minorHAnsi" w:cstheme="minorHAnsi"/>
          <w:color w:val="000000" w:themeColor="text1"/>
          <w:sz w:val="22"/>
          <w:szCs w:val="22"/>
        </w:rPr>
        <w:t>It is important that</w:t>
      </w:r>
      <w:r w:rsidR="008D7D42" w:rsidRPr="00ED5644">
        <w:rPr>
          <w:rStyle w:val="apple-converted-space"/>
          <w:rFonts w:asciiTheme="minorHAnsi" w:hAnsiTheme="minorHAnsi" w:cstheme="minorHAnsi"/>
          <w:color w:val="000000" w:themeColor="text1"/>
          <w:sz w:val="22"/>
          <w:szCs w:val="22"/>
        </w:rPr>
        <w:t> </w:t>
      </w:r>
      <w:r w:rsidR="008D7D42" w:rsidRPr="00ED5644">
        <w:rPr>
          <w:rFonts w:asciiTheme="minorHAnsi" w:hAnsiTheme="minorHAnsi" w:cstheme="minorHAnsi"/>
          <w:color w:val="000000" w:themeColor="text1"/>
          <w:sz w:val="22"/>
          <w:szCs w:val="22"/>
        </w:rPr>
        <w:t>an SPV issuer has the flexibility</w:t>
      </w:r>
      <w:r w:rsidR="008D7D42" w:rsidRPr="00ED5644">
        <w:rPr>
          <w:rStyle w:val="apple-converted-space"/>
          <w:rFonts w:asciiTheme="minorHAnsi" w:hAnsiTheme="minorHAnsi" w:cstheme="minorHAnsi"/>
          <w:color w:val="000000" w:themeColor="text1"/>
          <w:sz w:val="22"/>
          <w:szCs w:val="22"/>
        </w:rPr>
        <w:t> </w:t>
      </w:r>
      <w:r w:rsidR="008D7D42" w:rsidRPr="00ED5644">
        <w:rPr>
          <w:rFonts w:asciiTheme="minorHAnsi" w:hAnsiTheme="minorHAnsi" w:cstheme="minorHAnsi"/>
          <w:color w:val="000000" w:themeColor="text1"/>
          <w:sz w:val="22"/>
          <w:szCs w:val="22"/>
        </w:rPr>
        <w:t>to</w:t>
      </w:r>
      <w:r w:rsidR="008D7D42" w:rsidRPr="00ED5644">
        <w:rPr>
          <w:rStyle w:val="apple-converted-space"/>
          <w:rFonts w:asciiTheme="minorHAnsi" w:hAnsiTheme="minorHAnsi" w:cstheme="minorHAnsi"/>
          <w:color w:val="000000" w:themeColor="text1"/>
          <w:sz w:val="22"/>
          <w:szCs w:val="22"/>
        </w:rPr>
        <w:t> </w:t>
      </w:r>
      <w:r w:rsidR="008D7D42" w:rsidRPr="00ED5644">
        <w:rPr>
          <w:rFonts w:asciiTheme="minorHAnsi" w:hAnsiTheme="minorHAnsi" w:cstheme="minorHAnsi"/>
          <w:color w:val="000000" w:themeColor="text1"/>
          <w:sz w:val="22"/>
          <w:szCs w:val="22"/>
        </w:rPr>
        <w:t>include line items that are relevant</w:t>
      </w:r>
      <w:r w:rsidR="008D7D42" w:rsidRPr="00ED5644">
        <w:rPr>
          <w:rStyle w:val="apple-converted-space"/>
          <w:rFonts w:asciiTheme="minorHAnsi" w:hAnsiTheme="minorHAnsi" w:cstheme="minorHAnsi"/>
          <w:color w:val="000000" w:themeColor="text1"/>
          <w:sz w:val="22"/>
          <w:szCs w:val="22"/>
        </w:rPr>
        <w:t xml:space="preserve"> </w:t>
      </w:r>
      <w:r w:rsidR="008D7D42" w:rsidRPr="00ED5644">
        <w:rPr>
          <w:rFonts w:asciiTheme="minorHAnsi" w:hAnsiTheme="minorHAnsi" w:cstheme="minorHAnsi"/>
          <w:color w:val="000000" w:themeColor="text1"/>
          <w:sz w:val="22"/>
          <w:szCs w:val="22"/>
        </w:rPr>
        <w:t>to that</w:t>
      </w:r>
      <w:r w:rsidR="008D7D42" w:rsidRPr="00ED5644">
        <w:rPr>
          <w:rStyle w:val="apple-converted-space"/>
          <w:rFonts w:asciiTheme="minorHAnsi" w:hAnsiTheme="minorHAnsi" w:cstheme="minorHAnsi"/>
          <w:color w:val="000000" w:themeColor="text1"/>
          <w:sz w:val="22"/>
          <w:szCs w:val="22"/>
        </w:rPr>
        <w:t> </w:t>
      </w:r>
      <w:proofErr w:type="gramStart"/>
      <w:r w:rsidR="008D7D42" w:rsidRPr="00ED5644">
        <w:rPr>
          <w:rFonts w:asciiTheme="minorHAnsi" w:hAnsiTheme="minorHAnsi" w:cstheme="minorHAnsi"/>
          <w:color w:val="000000" w:themeColor="text1"/>
          <w:sz w:val="22"/>
          <w:szCs w:val="22"/>
        </w:rPr>
        <w:t>particular SPV</w:t>
      </w:r>
      <w:proofErr w:type="gramEnd"/>
      <w:r w:rsidR="008D7D42" w:rsidRPr="00ED5644">
        <w:rPr>
          <w:rStyle w:val="apple-converted-space"/>
          <w:rFonts w:asciiTheme="minorHAnsi" w:hAnsiTheme="minorHAnsi" w:cstheme="minorHAnsi"/>
          <w:color w:val="000000" w:themeColor="text1"/>
          <w:sz w:val="22"/>
          <w:szCs w:val="22"/>
        </w:rPr>
        <w:t> </w:t>
      </w:r>
      <w:r w:rsidR="008D7D42" w:rsidRPr="00ED5644">
        <w:rPr>
          <w:rFonts w:asciiTheme="minorHAnsi" w:hAnsiTheme="minorHAnsi" w:cstheme="minorHAnsi"/>
          <w:color w:val="000000" w:themeColor="text1"/>
          <w:sz w:val="22"/>
          <w:szCs w:val="22"/>
        </w:rPr>
        <w:t>and which align with the disclosure it will be including in its prospectus to demonstrate that its assets (whatever they may be, and in the case of Retail Charity Bonds PLC, loans to charities) have capacity to produce funds to service payments due on the securities</w:t>
      </w:r>
      <w:r w:rsidR="008D7D42" w:rsidRPr="00ED5644">
        <w:rPr>
          <w:rStyle w:val="apple-converted-space"/>
          <w:rFonts w:asciiTheme="minorHAnsi" w:hAnsiTheme="minorHAnsi" w:cstheme="minorHAnsi"/>
          <w:color w:val="000000" w:themeColor="text1"/>
          <w:sz w:val="22"/>
          <w:szCs w:val="22"/>
        </w:rPr>
        <w:t>.</w:t>
      </w:r>
      <w:r w:rsidR="008D7D42" w:rsidRPr="00ED5644">
        <w:rPr>
          <w:rFonts w:asciiTheme="minorHAnsi" w:hAnsiTheme="minorHAnsi" w:cstheme="minorHAnsi"/>
          <w:color w:val="000000" w:themeColor="text1"/>
          <w:sz w:val="22"/>
          <w:szCs w:val="22"/>
        </w:rPr>
        <w:t xml:space="preserve"> In recognition of this, </w:t>
      </w:r>
      <w:r w:rsidR="008D7D42" w:rsidRPr="00324E52">
        <w:rPr>
          <w:rFonts w:asciiTheme="minorHAnsi" w:hAnsiTheme="minorHAnsi" w:cstheme="minorHAnsi"/>
          <w:b/>
          <w:color w:val="000000" w:themeColor="text1"/>
          <w:sz w:val="22"/>
          <w:szCs w:val="22"/>
        </w:rPr>
        <w:t>ESMA is</w:t>
      </w:r>
      <w:r w:rsidR="008D7D42" w:rsidRPr="00324E52">
        <w:rPr>
          <w:rStyle w:val="apple-converted-space"/>
          <w:rFonts w:asciiTheme="minorHAnsi" w:hAnsiTheme="minorHAnsi" w:cstheme="minorHAnsi"/>
          <w:b/>
          <w:color w:val="000000" w:themeColor="text1"/>
          <w:sz w:val="22"/>
          <w:szCs w:val="22"/>
        </w:rPr>
        <w:t> </w:t>
      </w:r>
      <w:r w:rsidR="008D7D42" w:rsidRPr="00324E52">
        <w:rPr>
          <w:rFonts w:asciiTheme="minorHAnsi" w:hAnsiTheme="minorHAnsi" w:cstheme="minorHAnsi"/>
          <w:b/>
          <w:color w:val="000000" w:themeColor="text1"/>
          <w:sz w:val="22"/>
          <w:szCs w:val="22"/>
        </w:rPr>
        <w:t>strongly</w:t>
      </w:r>
      <w:r w:rsidR="008D7D42" w:rsidRPr="00324E52">
        <w:rPr>
          <w:rStyle w:val="apple-converted-space"/>
          <w:rFonts w:asciiTheme="minorHAnsi" w:hAnsiTheme="minorHAnsi" w:cstheme="minorHAnsi"/>
          <w:b/>
          <w:color w:val="000000" w:themeColor="text1"/>
          <w:sz w:val="22"/>
          <w:szCs w:val="22"/>
        </w:rPr>
        <w:t> </w:t>
      </w:r>
      <w:r w:rsidR="008D7D42" w:rsidRPr="00324E52">
        <w:rPr>
          <w:rFonts w:asciiTheme="minorHAnsi" w:hAnsiTheme="minorHAnsi" w:cstheme="minorHAnsi"/>
          <w:b/>
          <w:color w:val="000000" w:themeColor="text1"/>
          <w:sz w:val="22"/>
          <w:szCs w:val="22"/>
        </w:rPr>
        <w:t xml:space="preserve">encouraged to replace each * (asterisk) in Annex V </w:t>
      </w:r>
      <w:r w:rsidR="00D406D1" w:rsidRPr="00324E52">
        <w:rPr>
          <w:rFonts w:asciiTheme="minorHAnsi" w:hAnsiTheme="minorHAnsi" w:cstheme="minorHAnsi"/>
          <w:b/>
          <w:color w:val="000000" w:themeColor="text1"/>
          <w:sz w:val="22"/>
          <w:szCs w:val="22"/>
        </w:rPr>
        <w:t xml:space="preserve">of the draft RTS </w:t>
      </w:r>
      <w:r w:rsidR="008D7D42" w:rsidRPr="00324E52">
        <w:rPr>
          <w:rFonts w:asciiTheme="minorHAnsi" w:hAnsiTheme="minorHAnsi" w:cstheme="minorHAnsi"/>
          <w:b/>
          <w:color w:val="000000" w:themeColor="text1"/>
          <w:sz w:val="22"/>
          <w:szCs w:val="22"/>
        </w:rPr>
        <w:t>with a # (hash)</w:t>
      </w:r>
      <w:r w:rsidR="008D7D42" w:rsidRPr="00ED5644">
        <w:rPr>
          <w:rFonts w:asciiTheme="minorHAnsi" w:hAnsiTheme="minorHAnsi" w:cstheme="minorHAnsi"/>
          <w:color w:val="000000" w:themeColor="text1"/>
          <w:sz w:val="22"/>
          <w:szCs w:val="22"/>
        </w:rPr>
        <w:t xml:space="preserve"> such that an SPV only needs to provide the information if it appears elsewhere in the prospectus. </w:t>
      </w:r>
      <w:r w:rsidR="008D7D42" w:rsidRPr="00ED5644">
        <w:rPr>
          <w:rStyle w:val="apple-converted-space"/>
          <w:rFonts w:asciiTheme="minorHAnsi" w:hAnsiTheme="minorHAnsi" w:cstheme="minorHAnsi"/>
          <w:color w:val="000000" w:themeColor="text1"/>
          <w:sz w:val="22"/>
          <w:szCs w:val="22"/>
        </w:rPr>
        <w:t> </w:t>
      </w:r>
      <w:r w:rsidR="008D7D42" w:rsidRPr="00ED5644">
        <w:rPr>
          <w:rFonts w:asciiTheme="minorHAnsi" w:hAnsiTheme="minorHAnsi" w:cstheme="minorHAnsi"/>
          <w:color w:val="000000" w:themeColor="text1"/>
          <w:sz w:val="22"/>
          <w:szCs w:val="22"/>
        </w:rPr>
        <w:t xml:space="preserve">This would also assist debut SPV issuers who have not commenced operations and not drawn up financial statements (as envisaged in current ABS registration document requirements and as carried forward in proposed Annex 10, item 8.1 of ESMA’s consultation paper on format and content of the prospectus).  It will also be important (as mentioned elsewhere in this response) that the proposed cap on the number of additional line items or APMs that can be included in the summary is removed, so that an SPV issuer can provide the information that, in the light of its </w:t>
      </w:r>
      <w:proofErr w:type="gramStart"/>
      <w:r w:rsidR="008D7D42" w:rsidRPr="00ED5644">
        <w:rPr>
          <w:rFonts w:asciiTheme="minorHAnsi" w:hAnsiTheme="minorHAnsi" w:cstheme="minorHAnsi"/>
          <w:color w:val="000000" w:themeColor="text1"/>
          <w:sz w:val="22"/>
          <w:szCs w:val="22"/>
        </w:rPr>
        <w:t>particular circumstances</w:t>
      </w:r>
      <w:proofErr w:type="gramEnd"/>
      <w:r w:rsidR="008D7D42" w:rsidRPr="00ED5644">
        <w:rPr>
          <w:rFonts w:asciiTheme="minorHAnsi" w:hAnsiTheme="minorHAnsi" w:cstheme="minorHAnsi"/>
          <w:color w:val="000000" w:themeColor="text1"/>
          <w:sz w:val="22"/>
          <w:szCs w:val="22"/>
        </w:rPr>
        <w:t xml:space="preserve">, is </w:t>
      </w:r>
      <w:r w:rsidR="00D406D1">
        <w:rPr>
          <w:rFonts w:asciiTheme="minorHAnsi" w:hAnsiTheme="minorHAnsi" w:cstheme="minorHAnsi"/>
          <w:color w:val="000000" w:themeColor="text1"/>
          <w:sz w:val="22"/>
          <w:szCs w:val="22"/>
        </w:rPr>
        <w:t>the</w:t>
      </w:r>
      <w:r w:rsidR="008D7D42" w:rsidRPr="00ED5644">
        <w:rPr>
          <w:rFonts w:asciiTheme="minorHAnsi" w:hAnsiTheme="minorHAnsi" w:cstheme="minorHAnsi"/>
          <w:color w:val="000000" w:themeColor="text1"/>
          <w:sz w:val="22"/>
          <w:szCs w:val="22"/>
        </w:rPr>
        <w:t xml:space="preserve"> key information</w:t>
      </w:r>
      <w:r w:rsidR="00D406D1">
        <w:rPr>
          <w:rFonts w:asciiTheme="minorHAnsi" w:hAnsiTheme="minorHAnsi" w:cstheme="minorHAnsi"/>
          <w:color w:val="000000" w:themeColor="text1"/>
          <w:sz w:val="22"/>
          <w:szCs w:val="22"/>
        </w:rPr>
        <w:t xml:space="preserve"> for investors</w:t>
      </w:r>
      <w:r w:rsidR="008D7D42" w:rsidRPr="00ED5644">
        <w:rPr>
          <w:rFonts w:asciiTheme="minorHAnsi" w:hAnsiTheme="minorHAnsi" w:cstheme="minorHAnsi"/>
          <w:color w:val="000000" w:themeColor="text1"/>
          <w:sz w:val="22"/>
          <w:szCs w:val="22"/>
        </w:rPr>
        <w:t>.</w:t>
      </w:r>
    </w:p>
    <w:p w14:paraId="54DB4FB1" w14:textId="77777777" w:rsidR="00ED5644" w:rsidRDefault="00ED5644" w:rsidP="00C312B4">
      <w:pPr>
        <w:jc w:val="both"/>
        <w:rPr>
          <w:rFonts w:asciiTheme="minorHAnsi" w:hAnsiTheme="minorHAnsi" w:cstheme="minorHAnsi"/>
          <w:sz w:val="22"/>
        </w:rPr>
      </w:pPr>
    </w:p>
    <w:p w14:paraId="65AF6BAA" w14:textId="71826575" w:rsidR="008A1ECB" w:rsidRDefault="00090293" w:rsidP="00C312B4">
      <w:pPr>
        <w:jc w:val="both"/>
        <w:rPr>
          <w:rFonts w:asciiTheme="minorHAnsi" w:hAnsiTheme="minorHAnsi" w:cstheme="minorHAnsi"/>
          <w:sz w:val="22"/>
        </w:rPr>
      </w:pPr>
      <w:r>
        <w:rPr>
          <w:rFonts w:asciiTheme="minorHAnsi" w:hAnsiTheme="minorHAnsi" w:cstheme="minorHAnsi"/>
          <w:sz w:val="22"/>
        </w:rPr>
        <w:t>In addition,</w:t>
      </w:r>
      <w:r w:rsidR="00B8173D">
        <w:rPr>
          <w:rFonts w:asciiTheme="minorHAnsi" w:hAnsiTheme="minorHAnsi" w:cstheme="minorHAnsi"/>
          <w:sz w:val="22"/>
        </w:rPr>
        <w:t xml:space="preserve"> Article 2.7 of the draft RTS</w:t>
      </w:r>
      <w:r w:rsidR="006D2211">
        <w:rPr>
          <w:rFonts w:asciiTheme="minorHAnsi" w:hAnsiTheme="minorHAnsi" w:cstheme="minorHAnsi"/>
          <w:sz w:val="22"/>
        </w:rPr>
        <w:t xml:space="preserve"> and the titles to the tables in the annexes to the draft RTS </w:t>
      </w:r>
      <w:r w:rsidR="008A1ECB">
        <w:rPr>
          <w:rFonts w:asciiTheme="minorHAnsi" w:hAnsiTheme="minorHAnsi" w:cstheme="minorHAnsi"/>
          <w:sz w:val="22"/>
        </w:rPr>
        <w:t>are</w:t>
      </w:r>
      <w:r w:rsidR="006D2211">
        <w:rPr>
          <w:rFonts w:asciiTheme="minorHAnsi" w:hAnsiTheme="minorHAnsi" w:cstheme="minorHAnsi"/>
          <w:sz w:val="22"/>
        </w:rPr>
        <w:t xml:space="preserve"> slightly confusing</w:t>
      </w:r>
      <w:r w:rsidR="005577CB">
        <w:rPr>
          <w:rFonts w:asciiTheme="minorHAnsi" w:hAnsiTheme="minorHAnsi" w:cstheme="minorHAnsi"/>
          <w:sz w:val="22"/>
        </w:rPr>
        <w:t xml:space="preserve"> </w:t>
      </w:r>
      <w:proofErr w:type="gramStart"/>
      <w:r w:rsidR="005577CB">
        <w:rPr>
          <w:rFonts w:asciiTheme="minorHAnsi" w:hAnsiTheme="minorHAnsi" w:cstheme="minorHAnsi"/>
          <w:sz w:val="22"/>
        </w:rPr>
        <w:t>at the moment</w:t>
      </w:r>
      <w:proofErr w:type="gramEnd"/>
      <w:r w:rsidR="006D2211">
        <w:rPr>
          <w:rFonts w:asciiTheme="minorHAnsi" w:hAnsiTheme="minorHAnsi" w:cstheme="minorHAnsi"/>
          <w:sz w:val="22"/>
        </w:rPr>
        <w:t>.</w:t>
      </w:r>
      <w:r w:rsidR="008A1ECB">
        <w:rPr>
          <w:rFonts w:asciiTheme="minorHAnsi" w:hAnsiTheme="minorHAnsi" w:cstheme="minorHAnsi"/>
          <w:sz w:val="22"/>
        </w:rPr>
        <w:t xml:space="preserve"> </w:t>
      </w:r>
      <w:r w:rsidR="005577CB">
        <w:rPr>
          <w:rFonts w:asciiTheme="minorHAnsi" w:hAnsiTheme="minorHAnsi" w:cstheme="minorHAnsi"/>
          <w:sz w:val="22"/>
        </w:rPr>
        <w:t xml:space="preserve">We think this is </w:t>
      </w:r>
      <w:r w:rsidR="008A1ECB">
        <w:rPr>
          <w:rFonts w:asciiTheme="minorHAnsi" w:hAnsiTheme="minorHAnsi" w:cstheme="minorHAnsi"/>
          <w:sz w:val="22"/>
        </w:rPr>
        <w:t>due to the title to Annex II not including a reference to “non-financial entities”</w:t>
      </w:r>
      <w:r w:rsidR="005577CB">
        <w:rPr>
          <w:rFonts w:asciiTheme="minorHAnsi" w:hAnsiTheme="minorHAnsi" w:cstheme="minorHAnsi"/>
          <w:sz w:val="22"/>
        </w:rPr>
        <w:t xml:space="preserve">. We suggest that the titles to the annexes to the draft RTS are amended to match the list set out in paragraph 22 of the consultation paper. It might also be worth considering whether it might be appropriate for issuers that are not covered by the annexes to the draft RTS to use a combination of the different annexes, depending on what is </w:t>
      </w:r>
      <w:r w:rsidR="00975C3A">
        <w:rPr>
          <w:rFonts w:asciiTheme="minorHAnsi" w:hAnsiTheme="minorHAnsi" w:cstheme="minorHAnsi"/>
          <w:sz w:val="22"/>
        </w:rPr>
        <w:t xml:space="preserve">most </w:t>
      </w:r>
      <w:r w:rsidR="005577CB">
        <w:rPr>
          <w:rFonts w:asciiTheme="minorHAnsi" w:hAnsiTheme="minorHAnsi" w:cstheme="minorHAnsi"/>
          <w:sz w:val="22"/>
        </w:rPr>
        <w:t xml:space="preserve">appropriate for their business (Article 21.1 of the current PD Regulation </w:t>
      </w:r>
      <w:r w:rsidR="00166728">
        <w:rPr>
          <w:rFonts w:asciiTheme="minorHAnsi" w:hAnsiTheme="minorHAnsi" w:cstheme="minorHAnsi"/>
          <w:sz w:val="22"/>
        </w:rPr>
        <w:t>could provide some inspiration for this)</w:t>
      </w:r>
      <w:r w:rsidR="005577CB">
        <w:rPr>
          <w:rFonts w:asciiTheme="minorHAnsi" w:hAnsiTheme="minorHAnsi" w:cstheme="minorHAnsi"/>
          <w:sz w:val="22"/>
        </w:rPr>
        <w:t xml:space="preserve">. </w:t>
      </w:r>
    </w:p>
    <w:p w14:paraId="1027A50D" w14:textId="77777777" w:rsidR="00D406D1" w:rsidRDefault="00D406D1" w:rsidP="00C312B4">
      <w:pPr>
        <w:jc w:val="both"/>
        <w:rPr>
          <w:rFonts w:asciiTheme="minorHAnsi" w:hAnsiTheme="minorHAnsi" w:cstheme="minorHAnsi"/>
          <w:sz w:val="22"/>
        </w:rPr>
      </w:pPr>
    </w:p>
    <w:p w14:paraId="37951830" w14:textId="42E2C18A" w:rsidR="00CE5178" w:rsidRDefault="008A1ECB" w:rsidP="00C312B4">
      <w:pPr>
        <w:jc w:val="both"/>
        <w:rPr>
          <w:rFonts w:asciiTheme="minorHAnsi" w:hAnsiTheme="minorHAnsi" w:cstheme="minorHAnsi"/>
          <w:sz w:val="22"/>
        </w:rPr>
      </w:pPr>
      <w:r>
        <w:rPr>
          <w:rFonts w:asciiTheme="minorHAnsi" w:hAnsiTheme="minorHAnsi" w:cstheme="minorHAnsi"/>
          <w:sz w:val="22"/>
        </w:rPr>
        <w:t xml:space="preserve">Separately, the title to Annex IV includes a “0” instead of a “)” and there is a reference to “KFI” instead of “key financial information” in Article 9. </w:t>
      </w:r>
    </w:p>
    <w:permEnd w:id="738224209"/>
    <w:p w14:paraId="466897E0" w14:textId="35271673" w:rsidR="00ED4063" w:rsidRPr="008A1ECB" w:rsidRDefault="00ED4063" w:rsidP="00ED4063">
      <w:pPr>
        <w:rPr>
          <w:rFonts w:asciiTheme="minorHAnsi" w:hAnsiTheme="minorHAnsi" w:cstheme="minorHAnsi"/>
          <w:sz w:val="22"/>
        </w:rPr>
      </w:pPr>
      <w:r>
        <w:rPr>
          <w:rFonts w:cs="Arial"/>
        </w:rPr>
        <w:t>&lt;ESMA_QUESTION_PR_2&gt;</w:t>
      </w:r>
    </w:p>
    <w:p w14:paraId="3DF9BFC4" w14:textId="3745AF91" w:rsidR="00ED4063" w:rsidRDefault="00ED4063" w:rsidP="00ED4063">
      <w:pPr>
        <w:rPr>
          <w:rFonts w:cs="Arial"/>
        </w:rPr>
      </w:pPr>
    </w:p>
    <w:p w14:paraId="3597483D" w14:textId="77777777" w:rsidR="00ED4063" w:rsidRDefault="00ED4063" w:rsidP="00ED4063">
      <w:pPr>
        <w:rPr>
          <w:rFonts w:cs="Arial"/>
        </w:rPr>
      </w:pPr>
    </w:p>
    <w:p w14:paraId="07BB1A2A"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xml:space="preserve">: Do you agree that cash flow from operations is the most useful measure of cash flow for non-financial entities issuing equity and that cash flow from financing activities and cash flow from investing activities are not so relevant for investors in equity securities?  </w:t>
      </w:r>
    </w:p>
    <w:p w14:paraId="2FE7741B" w14:textId="77777777" w:rsidR="00ED4063" w:rsidRDefault="00ED4063" w:rsidP="00ED4063">
      <w:pPr>
        <w:rPr>
          <w:rFonts w:cs="Arial"/>
        </w:rPr>
      </w:pPr>
      <w:r>
        <w:rPr>
          <w:rFonts w:cs="Arial"/>
        </w:rPr>
        <w:t>&lt;ESMA_QUESTION_PR_3&gt;</w:t>
      </w:r>
    </w:p>
    <w:p w14:paraId="43081891" w14:textId="47F327BE" w:rsidR="00195B44" w:rsidRDefault="00EA1641" w:rsidP="00C312B4">
      <w:pPr>
        <w:jc w:val="both"/>
        <w:rPr>
          <w:rFonts w:asciiTheme="minorHAnsi" w:hAnsiTheme="minorHAnsi" w:cstheme="minorHAnsi"/>
        </w:rPr>
      </w:pPr>
      <w:permStart w:id="893790728" w:edGrp="everyone"/>
      <w:r w:rsidRPr="00592385">
        <w:rPr>
          <w:rFonts w:asciiTheme="minorHAnsi" w:hAnsiTheme="minorHAnsi" w:cstheme="minorHAnsi"/>
          <w:sz w:val="22"/>
        </w:rPr>
        <w:t>ICMA does not express a view on this question as it relates to equity securities</w:t>
      </w:r>
      <w:r w:rsidR="00195B44">
        <w:rPr>
          <w:rFonts w:asciiTheme="minorHAnsi" w:hAnsiTheme="minorHAnsi" w:cstheme="minorHAnsi"/>
          <w:sz w:val="22"/>
        </w:rPr>
        <w:t xml:space="preserve">, although see our general remarks above in relation to our broad support for AFME’s response to this consultation paper. </w:t>
      </w:r>
    </w:p>
    <w:permEnd w:id="893790728"/>
    <w:p w14:paraId="7B6B798F" w14:textId="70D8AA3F" w:rsidR="00ED4063" w:rsidRPr="00195B44" w:rsidRDefault="00ED4063" w:rsidP="00ED4063">
      <w:pPr>
        <w:rPr>
          <w:rFonts w:asciiTheme="minorHAnsi" w:hAnsiTheme="minorHAnsi" w:cstheme="minorHAnsi"/>
        </w:rPr>
      </w:pPr>
      <w:r>
        <w:rPr>
          <w:rFonts w:cs="Arial"/>
        </w:rPr>
        <w:t>&lt;ESMA_QUESTION_PR_3&gt;</w:t>
      </w:r>
    </w:p>
    <w:p w14:paraId="255ABB7C" w14:textId="77777777" w:rsidR="00ED4063" w:rsidRDefault="00ED4063" w:rsidP="00ED4063">
      <w:pPr>
        <w:rPr>
          <w:rFonts w:cs="Arial"/>
        </w:rPr>
      </w:pPr>
    </w:p>
    <w:p w14:paraId="5712E993" w14:textId="77777777" w:rsidR="00ED4063" w:rsidRDefault="00ED4063" w:rsidP="00ED4063">
      <w:pPr>
        <w:rPr>
          <w:rFonts w:cs="Arial"/>
        </w:rPr>
      </w:pPr>
    </w:p>
    <w:p w14:paraId="65236865" w14:textId="77777777" w:rsidR="00ED4063" w:rsidRDefault="00ED4063" w:rsidP="00ED4063">
      <w:pPr>
        <w:rPr>
          <w:rFonts w:cs="Arial"/>
        </w:rPr>
      </w:pPr>
    </w:p>
    <w:p w14:paraId="1A68D7DD"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lastRenderedPageBreak/>
        <w:t>: Do you think that investment companies which are subject to capital requirements should be required to include regulated capital ratios in their summary?</w:t>
      </w:r>
    </w:p>
    <w:p w14:paraId="432E05B6" w14:textId="77777777" w:rsidR="00ED4063" w:rsidRDefault="00ED4063" w:rsidP="00ED4063">
      <w:pPr>
        <w:rPr>
          <w:rFonts w:cs="Arial"/>
        </w:rPr>
      </w:pPr>
      <w:r>
        <w:rPr>
          <w:rFonts w:cs="Arial"/>
        </w:rPr>
        <w:t>&lt;ESMA_QUESTION_PR_4&gt;</w:t>
      </w:r>
    </w:p>
    <w:p w14:paraId="5CEAB516" w14:textId="2938356E" w:rsidR="003A5D1D" w:rsidRPr="00C8649D" w:rsidRDefault="00166728" w:rsidP="00C312B4">
      <w:pPr>
        <w:jc w:val="both"/>
        <w:rPr>
          <w:rFonts w:asciiTheme="minorHAnsi" w:hAnsiTheme="minorHAnsi" w:cstheme="minorHAnsi"/>
          <w:sz w:val="22"/>
        </w:rPr>
      </w:pPr>
      <w:permStart w:id="744386418" w:edGrp="everyone"/>
      <w:r>
        <w:rPr>
          <w:rFonts w:asciiTheme="minorHAnsi" w:hAnsiTheme="minorHAnsi" w:cstheme="minorHAnsi"/>
          <w:sz w:val="22"/>
        </w:rPr>
        <w:t>It is not entirely clear what is meant by “investment companies” in this question. To the extent this question relates to closed end funds, ICMA does not express a view as this is not ou</w:t>
      </w:r>
      <w:r w:rsidR="009366DE">
        <w:rPr>
          <w:rFonts w:asciiTheme="minorHAnsi" w:hAnsiTheme="minorHAnsi" w:cstheme="minorHAnsi"/>
          <w:sz w:val="22"/>
        </w:rPr>
        <w:t>r</w:t>
      </w:r>
      <w:r>
        <w:rPr>
          <w:rFonts w:asciiTheme="minorHAnsi" w:hAnsiTheme="minorHAnsi" w:cstheme="minorHAnsi"/>
          <w:sz w:val="22"/>
        </w:rPr>
        <w:t xml:space="preserve"> area of focus. To the extent this question relates to credit institutions, please see our responses to Q8 – Q9 below.</w:t>
      </w:r>
    </w:p>
    <w:permEnd w:id="744386418"/>
    <w:p w14:paraId="62C42691" w14:textId="113943CC" w:rsidR="00ED4063" w:rsidRPr="003A5D1D" w:rsidRDefault="00ED4063" w:rsidP="00ED4063">
      <w:pPr>
        <w:rPr>
          <w:rFonts w:asciiTheme="minorHAnsi" w:hAnsiTheme="minorHAnsi" w:cstheme="minorHAnsi"/>
          <w:sz w:val="22"/>
        </w:rPr>
      </w:pPr>
      <w:r>
        <w:rPr>
          <w:rFonts w:cs="Arial"/>
        </w:rPr>
        <w:t>&lt;ESMA_QUESTION_PR_4&gt;</w:t>
      </w:r>
    </w:p>
    <w:p w14:paraId="5DEF82B8" w14:textId="77777777" w:rsidR="00ED4063" w:rsidRDefault="00ED4063" w:rsidP="00ED4063">
      <w:pPr>
        <w:rPr>
          <w:rFonts w:cs="Arial"/>
        </w:rPr>
      </w:pPr>
    </w:p>
    <w:p w14:paraId="7D2E89E2" w14:textId="77777777" w:rsidR="00ED4063" w:rsidRDefault="00ED4063" w:rsidP="00ED4063">
      <w:pPr>
        <w:rPr>
          <w:rFonts w:cs="Arial"/>
        </w:rPr>
      </w:pPr>
    </w:p>
    <w:p w14:paraId="1A0886EF" w14:textId="77777777" w:rsidR="00ED4063" w:rsidRDefault="00ED4063" w:rsidP="00ED4063">
      <w:pPr>
        <w:rPr>
          <w:rFonts w:cs="Arial"/>
        </w:rPr>
      </w:pPr>
    </w:p>
    <w:p w14:paraId="542D34C6" w14:textId="77777777" w:rsidR="00ED4063" w:rsidRPr="00CE5178" w:rsidRDefault="00ED4063" w:rsidP="005762EC">
      <w:pPr>
        <w:pStyle w:val="Questionstyle"/>
        <w:numPr>
          <w:ilvl w:val="0"/>
          <w:numId w:val="38"/>
        </w:numPr>
        <w:ind w:hanging="436"/>
        <w:rPr>
          <w:rFonts w:ascii="Arial" w:hAnsi="Arial" w:cs="Arial"/>
        </w:rPr>
      </w:pPr>
      <w:r w:rsidRPr="00CE5178">
        <w:rPr>
          <w:rFonts w:ascii="Arial" w:hAnsi="Arial" w:cs="Arial"/>
        </w:rPr>
        <w:t>: Do you agree with the proposal to allow the use of footnotes to describe APMs or could this result in lengthy footnotes and complicated explanations?</w:t>
      </w:r>
    </w:p>
    <w:p w14:paraId="654E6160" w14:textId="77777777" w:rsidR="00ED4063" w:rsidRDefault="00ED4063" w:rsidP="00ED4063">
      <w:pPr>
        <w:rPr>
          <w:rFonts w:cs="Arial"/>
        </w:rPr>
      </w:pPr>
      <w:r>
        <w:rPr>
          <w:rFonts w:cs="Arial"/>
        </w:rPr>
        <w:t>&lt;ESMA_QUESTION_PR_5&gt;</w:t>
      </w:r>
    </w:p>
    <w:p w14:paraId="3BD8EEBE" w14:textId="057EB4A4" w:rsidR="0088413F" w:rsidRPr="00592385" w:rsidRDefault="00EE0BFF" w:rsidP="00C312B4">
      <w:pPr>
        <w:jc w:val="both"/>
        <w:rPr>
          <w:rFonts w:asciiTheme="minorHAnsi" w:hAnsiTheme="minorHAnsi" w:cstheme="minorHAnsi"/>
          <w:sz w:val="22"/>
        </w:rPr>
      </w:pPr>
      <w:permStart w:id="1339703401" w:edGrp="everyone"/>
      <w:r w:rsidRPr="00592385">
        <w:rPr>
          <w:rFonts w:asciiTheme="minorHAnsi" w:hAnsiTheme="minorHAnsi" w:cstheme="minorHAnsi"/>
          <w:sz w:val="22"/>
        </w:rPr>
        <w:t>ESMA’s proposal to allow issuers and guarantors to disclose APMs in the summary on a voluntary basis is helpful, because such disclosure may be necessary for the issuer to ensure it provides the key information required by P</w:t>
      </w:r>
      <w:r w:rsidR="000B54AA">
        <w:rPr>
          <w:rFonts w:asciiTheme="minorHAnsi" w:hAnsiTheme="minorHAnsi" w:cstheme="minorHAnsi"/>
          <w:sz w:val="22"/>
        </w:rPr>
        <w:t>rospectus Regulation</w:t>
      </w:r>
      <w:r w:rsidRPr="00592385">
        <w:rPr>
          <w:rFonts w:asciiTheme="minorHAnsi" w:hAnsiTheme="minorHAnsi" w:cstheme="minorHAnsi"/>
          <w:sz w:val="22"/>
        </w:rPr>
        <w:t xml:space="preserve"> Article 7.1 in the summary.</w:t>
      </w:r>
      <w:r w:rsidR="003A5D1D">
        <w:rPr>
          <w:rFonts w:asciiTheme="minorHAnsi" w:hAnsiTheme="minorHAnsi" w:cstheme="minorHAnsi"/>
          <w:sz w:val="22"/>
        </w:rPr>
        <w:t xml:space="preserve"> It is very important that the cap on the number of APMs that can be included in the summary is lifted (see </w:t>
      </w:r>
      <w:r w:rsidR="006333AC">
        <w:rPr>
          <w:rFonts w:asciiTheme="minorHAnsi" w:hAnsiTheme="minorHAnsi" w:cstheme="minorHAnsi"/>
          <w:sz w:val="22"/>
        </w:rPr>
        <w:t xml:space="preserve">our response to </w:t>
      </w:r>
      <w:r w:rsidR="003A5D1D">
        <w:rPr>
          <w:rFonts w:asciiTheme="minorHAnsi" w:hAnsiTheme="minorHAnsi" w:cstheme="minorHAnsi"/>
          <w:sz w:val="22"/>
        </w:rPr>
        <w:t xml:space="preserve">Q12 below). </w:t>
      </w:r>
      <w:r w:rsidRPr="00592385">
        <w:rPr>
          <w:rFonts w:asciiTheme="minorHAnsi" w:hAnsiTheme="minorHAnsi" w:cstheme="minorHAnsi"/>
          <w:sz w:val="22"/>
        </w:rPr>
        <w:t xml:space="preserve"> </w:t>
      </w:r>
    </w:p>
    <w:p w14:paraId="30B79C1D" w14:textId="77777777" w:rsidR="0088413F" w:rsidRPr="00592385" w:rsidRDefault="0088413F" w:rsidP="00C312B4">
      <w:pPr>
        <w:jc w:val="both"/>
        <w:rPr>
          <w:rFonts w:asciiTheme="minorHAnsi" w:hAnsiTheme="minorHAnsi" w:cstheme="minorHAnsi"/>
          <w:sz w:val="22"/>
        </w:rPr>
      </w:pPr>
    </w:p>
    <w:p w14:paraId="05558E1F" w14:textId="3CE0C717" w:rsidR="00C45C4C" w:rsidRDefault="003A5D1D" w:rsidP="00C312B4">
      <w:pPr>
        <w:jc w:val="both"/>
        <w:rPr>
          <w:rFonts w:asciiTheme="minorHAnsi" w:hAnsiTheme="minorHAnsi" w:cstheme="minorHAnsi"/>
          <w:sz w:val="22"/>
        </w:rPr>
      </w:pPr>
      <w:r>
        <w:rPr>
          <w:rFonts w:asciiTheme="minorHAnsi" w:hAnsiTheme="minorHAnsi" w:cstheme="minorHAnsi"/>
          <w:sz w:val="22"/>
        </w:rPr>
        <w:t xml:space="preserve">In relation to the explanation of APMs in the summary, </w:t>
      </w:r>
      <w:r w:rsidR="00957AE8">
        <w:rPr>
          <w:rFonts w:asciiTheme="minorHAnsi" w:hAnsiTheme="minorHAnsi" w:cstheme="minorHAnsi"/>
          <w:sz w:val="22"/>
        </w:rPr>
        <w:t>t</w:t>
      </w:r>
      <w:r>
        <w:rPr>
          <w:rFonts w:asciiTheme="minorHAnsi" w:hAnsiTheme="minorHAnsi" w:cstheme="minorHAnsi"/>
          <w:sz w:val="22"/>
        </w:rPr>
        <w:t xml:space="preserve">he use of footnotes </w:t>
      </w:r>
      <w:r w:rsidR="002E6273">
        <w:rPr>
          <w:rFonts w:asciiTheme="minorHAnsi" w:hAnsiTheme="minorHAnsi" w:cstheme="minorHAnsi"/>
          <w:sz w:val="22"/>
        </w:rPr>
        <w:t xml:space="preserve">generally </w:t>
      </w:r>
      <w:r w:rsidR="00AC4133">
        <w:rPr>
          <w:rFonts w:asciiTheme="minorHAnsi" w:hAnsiTheme="minorHAnsi" w:cstheme="minorHAnsi"/>
          <w:sz w:val="22"/>
        </w:rPr>
        <w:t>is</w:t>
      </w:r>
      <w:r>
        <w:rPr>
          <w:rFonts w:asciiTheme="minorHAnsi" w:hAnsiTheme="minorHAnsi" w:cstheme="minorHAnsi"/>
          <w:sz w:val="22"/>
        </w:rPr>
        <w:t xml:space="preserve"> a </w:t>
      </w:r>
      <w:r w:rsidR="006B6EDB">
        <w:rPr>
          <w:rFonts w:asciiTheme="minorHAnsi" w:hAnsiTheme="minorHAnsi" w:cstheme="minorHAnsi"/>
          <w:sz w:val="22"/>
        </w:rPr>
        <w:t>pragmatic</w:t>
      </w:r>
      <w:r>
        <w:rPr>
          <w:rFonts w:asciiTheme="minorHAnsi" w:hAnsiTheme="minorHAnsi" w:cstheme="minorHAnsi"/>
          <w:sz w:val="22"/>
        </w:rPr>
        <w:t xml:space="preserve"> approach to balance the </w:t>
      </w:r>
      <w:r w:rsidR="00957AE8">
        <w:rPr>
          <w:rFonts w:asciiTheme="minorHAnsi" w:hAnsiTheme="minorHAnsi" w:cstheme="minorHAnsi"/>
          <w:sz w:val="22"/>
        </w:rPr>
        <w:t xml:space="preserve">possible </w:t>
      </w:r>
      <w:r>
        <w:rPr>
          <w:rFonts w:asciiTheme="minorHAnsi" w:hAnsiTheme="minorHAnsi" w:cstheme="minorHAnsi"/>
          <w:sz w:val="22"/>
        </w:rPr>
        <w:t xml:space="preserve">need to explain APMs with the restrictions on the length of the summary (noting that </w:t>
      </w:r>
      <w:r w:rsidR="00957AE8">
        <w:rPr>
          <w:rFonts w:asciiTheme="minorHAnsi" w:hAnsiTheme="minorHAnsi" w:cstheme="minorHAnsi"/>
          <w:sz w:val="22"/>
        </w:rPr>
        <w:t>P</w:t>
      </w:r>
      <w:r w:rsidR="000B54AA">
        <w:rPr>
          <w:rFonts w:asciiTheme="minorHAnsi" w:hAnsiTheme="minorHAnsi" w:cstheme="minorHAnsi"/>
          <w:sz w:val="22"/>
        </w:rPr>
        <w:t>rospectus Regulation</w:t>
      </w:r>
      <w:r w:rsidR="00957AE8">
        <w:rPr>
          <w:rFonts w:asciiTheme="minorHAnsi" w:hAnsiTheme="minorHAnsi" w:cstheme="minorHAnsi"/>
          <w:sz w:val="22"/>
        </w:rPr>
        <w:t xml:space="preserve"> Article 7.11 states that the summary shall not contain cross-references to other parts of the prospectus or incorporate information by reference</w:t>
      </w:r>
      <w:r>
        <w:rPr>
          <w:rFonts w:asciiTheme="minorHAnsi" w:hAnsiTheme="minorHAnsi" w:cstheme="minorHAnsi"/>
          <w:sz w:val="22"/>
        </w:rPr>
        <w:t>).</w:t>
      </w:r>
      <w:r w:rsidR="00957AE8">
        <w:rPr>
          <w:rFonts w:asciiTheme="minorHAnsi" w:hAnsiTheme="minorHAnsi" w:cstheme="minorHAnsi"/>
          <w:sz w:val="22"/>
        </w:rPr>
        <w:t xml:space="preserve"> However, depending on the </w:t>
      </w:r>
      <w:proofErr w:type="gramStart"/>
      <w:r w:rsidR="00957AE8">
        <w:rPr>
          <w:rFonts w:asciiTheme="minorHAnsi" w:hAnsiTheme="minorHAnsi" w:cstheme="minorHAnsi"/>
          <w:sz w:val="22"/>
        </w:rPr>
        <w:t>particular APM</w:t>
      </w:r>
      <w:proofErr w:type="gramEnd"/>
      <w:r w:rsidR="00957AE8">
        <w:rPr>
          <w:rFonts w:asciiTheme="minorHAnsi" w:hAnsiTheme="minorHAnsi" w:cstheme="minorHAnsi"/>
          <w:sz w:val="22"/>
        </w:rPr>
        <w:t xml:space="preserve"> </w:t>
      </w:r>
      <w:r w:rsidR="00AC4133">
        <w:rPr>
          <w:rFonts w:asciiTheme="minorHAnsi" w:hAnsiTheme="minorHAnsi" w:cstheme="minorHAnsi"/>
          <w:sz w:val="22"/>
        </w:rPr>
        <w:t>included</w:t>
      </w:r>
      <w:r w:rsidR="00957AE8">
        <w:rPr>
          <w:rFonts w:asciiTheme="minorHAnsi" w:hAnsiTheme="minorHAnsi" w:cstheme="minorHAnsi"/>
          <w:sz w:val="22"/>
        </w:rPr>
        <w:t xml:space="preserve"> in the summary and the relevant explanation, the proposed approach might result in quite le</w:t>
      </w:r>
      <w:r w:rsidR="00AC4133">
        <w:rPr>
          <w:rFonts w:asciiTheme="minorHAnsi" w:hAnsiTheme="minorHAnsi" w:cstheme="minorHAnsi"/>
          <w:sz w:val="22"/>
        </w:rPr>
        <w:t xml:space="preserve">ngthy footnotes and this </w:t>
      </w:r>
      <w:r w:rsidR="00957AE8">
        <w:rPr>
          <w:rFonts w:asciiTheme="minorHAnsi" w:hAnsiTheme="minorHAnsi" w:cstheme="minorHAnsi"/>
          <w:sz w:val="22"/>
        </w:rPr>
        <w:t xml:space="preserve">might affect the clarity of the presentation of the summary. </w:t>
      </w:r>
    </w:p>
    <w:p w14:paraId="5168A4BC" w14:textId="77777777" w:rsidR="00C45C4C" w:rsidRDefault="00C45C4C" w:rsidP="00C312B4">
      <w:pPr>
        <w:jc w:val="both"/>
        <w:rPr>
          <w:rFonts w:asciiTheme="minorHAnsi" w:hAnsiTheme="minorHAnsi" w:cstheme="minorHAnsi"/>
          <w:sz w:val="22"/>
        </w:rPr>
      </w:pPr>
    </w:p>
    <w:p w14:paraId="7980562A" w14:textId="65789AA8" w:rsidR="002E6273" w:rsidRDefault="00C45C4C" w:rsidP="00C312B4">
      <w:pPr>
        <w:jc w:val="both"/>
        <w:rPr>
          <w:rFonts w:asciiTheme="minorHAnsi" w:hAnsiTheme="minorHAnsi" w:cstheme="minorHAnsi"/>
          <w:sz w:val="22"/>
        </w:rPr>
      </w:pPr>
      <w:r>
        <w:rPr>
          <w:rFonts w:asciiTheme="minorHAnsi" w:hAnsiTheme="minorHAnsi" w:cstheme="minorHAnsi"/>
          <w:sz w:val="22"/>
        </w:rPr>
        <w:t>An alternative</w:t>
      </w:r>
      <w:r w:rsidR="00957AE8">
        <w:rPr>
          <w:rFonts w:asciiTheme="minorHAnsi" w:hAnsiTheme="minorHAnsi" w:cstheme="minorHAnsi"/>
          <w:sz w:val="22"/>
        </w:rPr>
        <w:t xml:space="preserve"> approach might be for issuers to include a </w:t>
      </w:r>
      <w:r w:rsidR="0047221D">
        <w:rPr>
          <w:rFonts w:asciiTheme="minorHAnsi" w:hAnsiTheme="minorHAnsi" w:cstheme="minorHAnsi"/>
          <w:sz w:val="22"/>
        </w:rPr>
        <w:t>prominent</w:t>
      </w:r>
      <w:r w:rsidR="00957AE8">
        <w:rPr>
          <w:rFonts w:asciiTheme="minorHAnsi" w:hAnsiTheme="minorHAnsi" w:cstheme="minorHAnsi"/>
          <w:sz w:val="22"/>
        </w:rPr>
        <w:t xml:space="preserve"> warning that the summary c</w:t>
      </w:r>
      <w:r w:rsidR="00AC4133">
        <w:rPr>
          <w:rFonts w:asciiTheme="minorHAnsi" w:hAnsiTheme="minorHAnsi" w:cstheme="minorHAnsi"/>
          <w:sz w:val="22"/>
        </w:rPr>
        <w:t>ontains APMs</w:t>
      </w:r>
      <w:r w:rsidR="00957AE8">
        <w:rPr>
          <w:rFonts w:asciiTheme="minorHAnsi" w:hAnsiTheme="minorHAnsi" w:cstheme="minorHAnsi"/>
          <w:sz w:val="22"/>
        </w:rPr>
        <w:t xml:space="preserve"> and that investors should read the summary together with the rest of the prospectus (which will contain the relevant explanations in line with the ESMA Guidelines on APMs).</w:t>
      </w:r>
    </w:p>
    <w:p w14:paraId="4C9D6D98" w14:textId="4E823F74" w:rsidR="002E6273" w:rsidRDefault="002E6273" w:rsidP="00C312B4">
      <w:pPr>
        <w:jc w:val="both"/>
        <w:rPr>
          <w:rFonts w:asciiTheme="minorHAnsi" w:hAnsiTheme="minorHAnsi" w:cstheme="minorHAnsi"/>
          <w:sz w:val="22"/>
        </w:rPr>
      </w:pPr>
    </w:p>
    <w:p w14:paraId="0AA9A1D1" w14:textId="6D5805E6" w:rsidR="00CE5178" w:rsidRPr="002E6273" w:rsidRDefault="002E6273" w:rsidP="00C312B4">
      <w:pPr>
        <w:jc w:val="both"/>
        <w:rPr>
          <w:rFonts w:asciiTheme="minorHAnsi" w:hAnsiTheme="minorHAnsi" w:cstheme="minorHAnsi"/>
          <w:sz w:val="22"/>
        </w:rPr>
      </w:pPr>
      <w:r>
        <w:rPr>
          <w:rFonts w:asciiTheme="minorHAnsi" w:hAnsiTheme="minorHAnsi" w:cstheme="minorHAnsi"/>
          <w:sz w:val="22"/>
        </w:rPr>
        <w:t xml:space="preserve">More generally, </w:t>
      </w:r>
      <w:r w:rsidR="00B8173D">
        <w:rPr>
          <w:rFonts w:asciiTheme="minorHAnsi" w:hAnsiTheme="minorHAnsi" w:cstheme="minorHAnsi"/>
          <w:sz w:val="22"/>
        </w:rPr>
        <w:t>we note that the draft RTS itself does not include any reference to APMs being explained in footnotes. Perhaps this is because ESMA envisages that guidance on how APMs should be explained in the context of a summary would be better contained in the ESMA Guidelines on APMs than in the draft RTS</w:t>
      </w:r>
      <w:r>
        <w:rPr>
          <w:rFonts w:asciiTheme="minorHAnsi" w:hAnsiTheme="minorHAnsi" w:cstheme="minorHAnsi"/>
          <w:sz w:val="22"/>
        </w:rPr>
        <w:t xml:space="preserve">. We note that paragraph 21 of the consultation paper </w:t>
      </w:r>
      <w:r w:rsidR="00A93D8E">
        <w:rPr>
          <w:rFonts w:asciiTheme="minorHAnsi" w:hAnsiTheme="minorHAnsi" w:cstheme="minorHAnsi"/>
          <w:sz w:val="22"/>
        </w:rPr>
        <w:t xml:space="preserve">states that </w:t>
      </w:r>
      <w:r>
        <w:rPr>
          <w:rFonts w:asciiTheme="minorHAnsi" w:hAnsiTheme="minorHAnsi" w:cstheme="minorHAnsi"/>
          <w:sz w:val="22"/>
        </w:rPr>
        <w:t xml:space="preserve">footnotes </w:t>
      </w:r>
      <w:r w:rsidR="00A93D8E">
        <w:rPr>
          <w:rFonts w:asciiTheme="minorHAnsi" w:hAnsiTheme="minorHAnsi" w:cstheme="minorHAnsi"/>
          <w:sz w:val="22"/>
        </w:rPr>
        <w:t>“</w:t>
      </w:r>
      <w:r w:rsidR="00A93D8E" w:rsidRPr="00FD0713">
        <w:rPr>
          <w:rFonts w:asciiTheme="minorHAnsi" w:hAnsiTheme="minorHAnsi" w:cstheme="minorHAnsi"/>
          <w:sz w:val="22"/>
          <w:u w:val="single"/>
        </w:rPr>
        <w:t>should</w:t>
      </w:r>
      <w:r w:rsidR="00A93D8E">
        <w:rPr>
          <w:rFonts w:asciiTheme="minorHAnsi" w:hAnsiTheme="minorHAnsi" w:cstheme="minorHAnsi"/>
          <w:sz w:val="22"/>
        </w:rPr>
        <w:t>”</w:t>
      </w:r>
      <w:r>
        <w:rPr>
          <w:rFonts w:asciiTheme="minorHAnsi" w:hAnsiTheme="minorHAnsi" w:cstheme="minorHAnsi"/>
          <w:sz w:val="22"/>
        </w:rPr>
        <w:t xml:space="preserve"> be used </w:t>
      </w:r>
      <w:r w:rsidRPr="00DC0C5F">
        <w:rPr>
          <w:rFonts w:asciiTheme="minorHAnsi" w:hAnsiTheme="minorHAnsi" w:cstheme="minorHAnsi"/>
          <w:sz w:val="22"/>
        </w:rPr>
        <w:t>“</w:t>
      </w:r>
      <w:r w:rsidRPr="00FD0713">
        <w:rPr>
          <w:rFonts w:asciiTheme="minorHAnsi" w:hAnsiTheme="minorHAnsi" w:cstheme="minorHAnsi"/>
          <w:sz w:val="22"/>
        </w:rPr>
        <w:t>where it is necessary</w:t>
      </w:r>
      <w:r w:rsidRPr="00DC0C5F">
        <w:rPr>
          <w:rFonts w:asciiTheme="minorHAnsi" w:hAnsiTheme="minorHAnsi" w:cstheme="minorHAnsi"/>
          <w:sz w:val="22"/>
        </w:rPr>
        <w:t xml:space="preserve"> to provide </w:t>
      </w:r>
      <w:r w:rsidRPr="00FD0713">
        <w:rPr>
          <w:rFonts w:asciiTheme="minorHAnsi" w:hAnsiTheme="minorHAnsi" w:cstheme="minorHAnsi"/>
          <w:sz w:val="22"/>
        </w:rPr>
        <w:t>some</w:t>
      </w:r>
      <w:r>
        <w:rPr>
          <w:rFonts w:asciiTheme="minorHAnsi" w:hAnsiTheme="minorHAnsi" w:cstheme="minorHAnsi"/>
          <w:sz w:val="22"/>
        </w:rPr>
        <w:t xml:space="preserve"> explanation on the APMs in the summary”</w:t>
      </w:r>
      <w:r w:rsidR="00C45C4C">
        <w:rPr>
          <w:rFonts w:asciiTheme="minorHAnsi" w:hAnsiTheme="minorHAnsi" w:cstheme="minorHAnsi"/>
          <w:sz w:val="22"/>
        </w:rPr>
        <w:t xml:space="preserve"> and paragraph 41</w:t>
      </w:r>
      <w:r>
        <w:rPr>
          <w:rFonts w:asciiTheme="minorHAnsi" w:hAnsiTheme="minorHAnsi" w:cstheme="minorHAnsi"/>
          <w:sz w:val="22"/>
        </w:rPr>
        <w:t xml:space="preserve"> of the consultation paper notes that “it is also </w:t>
      </w:r>
      <w:r w:rsidRPr="00FD0713">
        <w:rPr>
          <w:rFonts w:asciiTheme="minorHAnsi" w:hAnsiTheme="minorHAnsi" w:cstheme="minorHAnsi"/>
          <w:sz w:val="22"/>
        </w:rPr>
        <w:t>possible</w:t>
      </w:r>
      <w:r>
        <w:rPr>
          <w:rFonts w:asciiTheme="minorHAnsi" w:hAnsiTheme="minorHAnsi" w:cstheme="minorHAnsi"/>
          <w:b/>
          <w:sz w:val="22"/>
        </w:rPr>
        <w:t xml:space="preserve"> </w:t>
      </w:r>
      <w:r>
        <w:rPr>
          <w:rFonts w:asciiTheme="minorHAnsi" w:hAnsiTheme="minorHAnsi" w:cstheme="minorHAnsi"/>
          <w:sz w:val="22"/>
        </w:rPr>
        <w:t>that an explanation of the APMs in the summary would be necessary…”</w:t>
      </w:r>
      <w:r w:rsidR="00842A18">
        <w:rPr>
          <w:rFonts w:asciiTheme="minorHAnsi" w:hAnsiTheme="minorHAnsi" w:cstheme="minorHAnsi"/>
          <w:sz w:val="22"/>
        </w:rPr>
        <w:t xml:space="preserve"> </w:t>
      </w:r>
      <w:r w:rsidR="00A93D8E">
        <w:rPr>
          <w:rFonts w:asciiTheme="minorHAnsi" w:hAnsiTheme="minorHAnsi" w:cstheme="minorHAnsi"/>
          <w:sz w:val="22"/>
        </w:rPr>
        <w:t xml:space="preserve">and that this </w:t>
      </w:r>
      <w:r w:rsidR="00DC0C5F">
        <w:rPr>
          <w:rFonts w:asciiTheme="minorHAnsi" w:hAnsiTheme="minorHAnsi" w:cstheme="minorHAnsi"/>
          <w:sz w:val="22"/>
        </w:rPr>
        <w:t>“</w:t>
      </w:r>
      <w:r w:rsidR="00A93D8E">
        <w:rPr>
          <w:rFonts w:asciiTheme="minorHAnsi" w:hAnsiTheme="minorHAnsi" w:cstheme="minorHAnsi"/>
          <w:sz w:val="22"/>
          <w:u w:val="single"/>
        </w:rPr>
        <w:t>could</w:t>
      </w:r>
      <w:r w:rsidR="00DC0C5F">
        <w:rPr>
          <w:rFonts w:asciiTheme="minorHAnsi" w:hAnsiTheme="minorHAnsi" w:cstheme="minorHAnsi"/>
          <w:sz w:val="22"/>
        </w:rPr>
        <w:t xml:space="preserve"> be accommodated by the insertion of footnotes” </w:t>
      </w:r>
      <w:r w:rsidR="00842A18">
        <w:rPr>
          <w:rFonts w:asciiTheme="minorHAnsi" w:hAnsiTheme="minorHAnsi" w:cstheme="minorHAnsi"/>
          <w:sz w:val="22"/>
        </w:rPr>
        <w:t>(emphasis added)</w:t>
      </w:r>
      <w:r>
        <w:rPr>
          <w:rFonts w:asciiTheme="minorHAnsi" w:hAnsiTheme="minorHAnsi" w:cstheme="minorHAnsi"/>
          <w:sz w:val="22"/>
        </w:rPr>
        <w:t xml:space="preserve">. </w:t>
      </w:r>
      <w:r w:rsidR="00DC0C5F">
        <w:rPr>
          <w:rFonts w:asciiTheme="minorHAnsi" w:hAnsiTheme="minorHAnsi" w:cstheme="minorHAnsi"/>
          <w:sz w:val="22"/>
        </w:rPr>
        <w:t>It would be helpful if</w:t>
      </w:r>
      <w:r w:rsidR="00C45C4C">
        <w:rPr>
          <w:rFonts w:asciiTheme="minorHAnsi" w:hAnsiTheme="minorHAnsi" w:cstheme="minorHAnsi"/>
          <w:sz w:val="22"/>
        </w:rPr>
        <w:t xml:space="preserve"> the precise approach that ESMA is envisaging in relation to APM explanation </w:t>
      </w:r>
      <w:r w:rsidR="00DC0C5F">
        <w:rPr>
          <w:rFonts w:asciiTheme="minorHAnsi" w:hAnsiTheme="minorHAnsi" w:cstheme="minorHAnsi"/>
          <w:sz w:val="22"/>
        </w:rPr>
        <w:t>were to be clarified</w:t>
      </w:r>
      <w:r w:rsidR="0047349A">
        <w:rPr>
          <w:rFonts w:asciiTheme="minorHAnsi" w:hAnsiTheme="minorHAnsi" w:cstheme="minorHAnsi"/>
          <w:sz w:val="22"/>
        </w:rPr>
        <w:t>, given the inconsistency between “should” and “could” in the previously mentioned paragraphs</w:t>
      </w:r>
      <w:r w:rsidR="00DC0C5F">
        <w:rPr>
          <w:rFonts w:asciiTheme="minorHAnsi" w:hAnsiTheme="minorHAnsi" w:cstheme="minorHAnsi"/>
          <w:sz w:val="22"/>
        </w:rPr>
        <w:t xml:space="preserve">.  </w:t>
      </w:r>
      <w:r w:rsidR="00C45C4C">
        <w:rPr>
          <w:rFonts w:asciiTheme="minorHAnsi" w:hAnsiTheme="minorHAnsi" w:cstheme="minorHAnsi"/>
          <w:sz w:val="22"/>
        </w:rPr>
        <w:t xml:space="preserve">For example, </w:t>
      </w:r>
      <w:r w:rsidR="00DC0C5F">
        <w:rPr>
          <w:rFonts w:asciiTheme="minorHAnsi" w:hAnsiTheme="minorHAnsi" w:cstheme="minorHAnsi"/>
          <w:sz w:val="22"/>
        </w:rPr>
        <w:t>c</w:t>
      </w:r>
      <w:r w:rsidR="00C45C4C">
        <w:rPr>
          <w:rFonts w:asciiTheme="minorHAnsi" w:hAnsiTheme="minorHAnsi" w:cstheme="minorHAnsi"/>
          <w:sz w:val="22"/>
        </w:rPr>
        <w:t xml:space="preserve">an some explanation be given in footnotes and some explanation in the body of the summary? </w:t>
      </w:r>
    </w:p>
    <w:permEnd w:id="1339703401"/>
    <w:p w14:paraId="48A8B5CC" w14:textId="1F3335F4" w:rsidR="00ED4063" w:rsidRDefault="00ED4063" w:rsidP="00ED4063">
      <w:pPr>
        <w:rPr>
          <w:rFonts w:cs="Arial"/>
        </w:rPr>
      </w:pPr>
      <w:r>
        <w:rPr>
          <w:rFonts w:cs="Arial"/>
        </w:rPr>
        <w:t>ESMA_QUESTION_PR_5&gt;</w:t>
      </w:r>
    </w:p>
    <w:p w14:paraId="4235495D" w14:textId="77777777" w:rsidR="00ED4063" w:rsidRDefault="00ED4063" w:rsidP="00ED4063">
      <w:pPr>
        <w:rPr>
          <w:rFonts w:cs="Arial"/>
        </w:rPr>
      </w:pPr>
    </w:p>
    <w:p w14:paraId="30753FAF" w14:textId="7FF55086" w:rsidR="00ED4063" w:rsidRDefault="00ED4063" w:rsidP="00ED4063">
      <w:pPr>
        <w:rPr>
          <w:rFonts w:cs="Arial"/>
        </w:rPr>
      </w:pPr>
    </w:p>
    <w:p w14:paraId="011F0FAE" w14:textId="119EB6E6" w:rsidR="00ED4063" w:rsidRDefault="00ED4063" w:rsidP="00ED4063">
      <w:pPr>
        <w:rPr>
          <w:rFonts w:cs="Arial"/>
        </w:rPr>
      </w:pPr>
    </w:p>
    <w:p w14:paraId="0EA8B235"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xml:space="preserve">: Do you agree that issuers should be given flexibility to present pro forma financial information as additional columns to the relevant tables or as a separate table? If </w:t>
      </w:r>
      <w:r w:rsidRPr="00ED4063">
        <w:rPr>
          <w:rFonts w:ascii="Arial" w:hAnsi="Arial" w:cs="Arial"/>
        </w:rPr>
        <w:lastRenderedPageBreak/>
        <w:t>not, should a format be mandated, bearing in mind the page limit for the summary as well as the requirement for the summary to be comprehensible?</w:t>
      </w:r>
    </w:p>
    <w:p w14:paraId="78C946DC" w14:textId="77777777" w:rsidR="00ED4063" w:rsidRDefault="00ED4063" w:rsidP="00ED4063">
      <w:pPr>
        <w:rPr>
          <w:rFonts w:cs="Arial"/>
        </w:rPr>
      </w:pPr>
      <w:r>
        <w:rPr>
          <w:rFonts w:cs="Arial"/>
        </w:rPr>
        <w:t>&lt;ESMA_QUESTION_PR_6&gt;</w:t>
      </w:r>
    </w:p>
    <w:p w14:paraId="2B447F51" w14:textId="658CE1AA" w:rsidR="0076560D" w:rsidRDefault="0088413F" w:rsidP="00C312B4">
      <w:pPr>
        <w:jc w:val="both"/>
        <w:rPr>
          <w:rFonts w:asciiTheme="minorHAnsi" w:hAnsiTheme="minorHAnsi" w:cstheme="minorHAnsi"/>
          <w:sz w:val="22"/>
        </w:rPr>
      </w:pPr>
      <w:permStart w:id="2033198121" w:edGrp="everyone"/>
      <w:r w:rsidRPr="00592385">
        <w:rPr>
          <w:rFonts w:asciiTheme="minorHAnsi" w:hAnsiTheme="minorHAnsi" w:cstheme="minorHAnsi"/>
          <w:sz w:val="22"/>
        </w:rPr>
        <w:t xml:space="preserve">We agree that issuers and guarantors should be given flexibility to present pro forma financial information as additional columns to the relevant tables or as a separate table. Feedback from one </w:t>
      </w:r>
      <w:r w:rsidR="00CE5178">
        <w:rPr>
          <w:rFonts w:asciiTheme="minorHAnsi" w:hAnsiTheme="minorHAnsi" w:cstheme="minorHAnsi"/>
          <w:sz w:val="22"/>
        </w:rPr>
        <w:t xml:space="preserve">leading </w:t>
      </w:r>
      <w:r w:rsidRPr="00592385">
        <w:rPr>
          <w:rFonts w:asciiTheme="minorHAnsi" w:hAnsiTheme="minorHAnsi" w:cstheme="minorHAnsi"/>
          <w:sz w:val="22"/>
        </w:rPr>
        <w:t>audit firm suggests that, in practice, it might be difficult for issuers to present pro forma financial information as additional columns</w:t>
      </w:r>
      <w:r w:rsidR="00592385">
        <w:rPr>
          <w:rFonts w:asciiTheme="minorHAnsi" w:hAnsiTheme="minorHAnsi" w:cstheme="minorHAnsi"/>
          <w:sz w:val="22"/>
        </w:rPr>
        <w:t>, but that flexibility in the rules to allow for different approaches would be useful.</w:t>
      </w:r>
    </w:p>
    <w:p w14:paraId="73FEA57A" w14:textId="77777777" w:rsidR="0076560D" w:rsidRDefault="0076560D" w:rsidP="00C312B4">
      <w:pPr>
        <w:jc w:val="both"/>
        <w:rPr>
          <w:rFonts w:asciiTheme="minorHAnsi" w:hAnsiTheme="minorHAnsi" w:cstheme="minorHAnsi"/>
          <w:sz w:val="22"/>
        </w:rPr>
      </w:pPr>
    </w:p>
    <w:p w14:paraId="2490EB65" w14:textId="2FB5CEA1" w:rsidR="00CE5178" w:rsidRDefault="0076560D" w:rsidP="00C312B4">
      <w:pPr>
        <w:jc w:val="both"/>
        <w:rPr>
          <w:rFonts w:asciiTheme="minorHAnsi" w:hAnsiTheme="minorHAnsi" w:cstheme="minorHAnsi"/>
          <w:sz w:val="22"/>
        </w:rPr>
      </w:pPr>
      <w:r>
        <w:rPr>
          <w:rFonts w:asciiTheme="minorHAnsi" w:hAnsiTheme="minorHAnsi" w:cstheme="minorHAnsi"/>
          <w:sz w:val="22"/>
        </w:rPr>
        <w:t>Currently, issuers</w:t>
      </w:r>
      <w:r w:rsidR="0047349A">
        <w:rPr>
          <w:rFonts w:asciiTheme="minorHAnsi" w:hAnsiTheme="minorHAnsi" w:cstheme="minorHAnsi"/>
          <w:sz w:val="22"/>
        </w:rPr>
        <w:t xml:space="preserve"> of non-equity securities</w:t>
      </w:r>
      <w:r>
        <w:rPr>
          <w:rFonts w:asciiTheme="minorHAnsi" w:hAnsiTheme="minorHAnsi" w:cstheme="minorHAnsi"/>
          <w:sz w:val="22"/>
        </w:rPr>
        <w:t xml:space="preserve"> tend to reproduce any pro forma financial information i</w:t>
      </w:r>
      <w:r w:rsidR="00975C3A">
        <w:rPr>
          <w:rFonts w:asciiTheme="minorHAnsi" w:hAnsiTheme="minorHAnsi" w:cstheme="minorHAnsi"/>
          <w:sz w:val="22"/>
        </w:rPr>
        <w:t xml:space="preserve">n full in the summary, as it will often be considered </w:t>
      </w:r>
      <w:r>
        <w:rPr>
          <w:rFonts w:asciiTheme="minorHAnsi" w:hAnsiTheme="minorHAnsi" w:cstheme="minorHAnsi"/>
          <w:sz w:val="22"/>
        </w:rPr>
        <w:t>key financial information for investors.</w:t>
      </w:r>
    </w:p>
    <w:p w14:paraId="61917F36" w14:textId="69D9139E" w:rsidR="006B6EDB" w:rsidRDefault="006B6EDB" w:rsidP="00C312B4">
      <w:pPr>
        <w:jc w:val="both"/>
        <w:rPr>
          <w:rFonts w:asciiTheme="minorHAnsi" w:hAnsiTheme="minorHAnsi" w:cstheme="minorHAnsi"/>
          <w:sz w:val="22"/>
        </w:rPr>
      </w:pPr>
    </w:p>
    <w:p w14:paraId="0C7F5040" w14:textId="32511EF4" w:rsidR="006B6EDB" w:rsidRPr="006B6EDB" w:rsidRDefault="006B6EDB" w:rsidP="00C312B4">
      <w:pPr>
        <w:jc w:val="both"/>
        <w:rPr>
          <w:i/>
        </w:rPr>
      </w:pPr>
      <w:r w:rsidRPr="006B6EDB">
        <w:rPr>
          <w:rFonts w:asciiTheme="minorHAnsi" w:hAnsiTheme="minorHAnsi" w:cstheme="minorHAnsi"/>
          <w:color w:val="000000" w:themeColor="text1"/>
          <w:sz w:val="22"/>
        </w:rPr>
        <w:t xml:space="preserve">Separately, we also note that </w:t>
      </w:r>
      <w:r w:rsidRPr="006B6EDB">
        <w:rPr>
          <w:rFonts w:ascii="Calibri" w:hAnsi="Calibri" w:cs="Calibri"/>
          <w:color w:val="000000" w:themeColor="text1"/>
          <w:sz w:val="22"/>
          <w:szCs w:val="22"/>
        </w:rPr>
        <w:t>pro forma financial information provided in compliance with current PD requirements often includes APM items. Such APM disclosure is outside the scope of the ESMA Guidelines on APMs. However, there is a question as to whether selective disclosure of APMs that are extracted from the pro forma accounts section of the prospectus and disclosed in the summary co</w:t>
      </w:r>
      <w:r w:rsidR="00842A18">
        <w:rPr>
          <w:rFonts w:ascii="Calibri" w:hAnsi="Calibri" w:cs="Calibri"/>
          <w:color w:val="000000" w:themeColor="text1"/>
          <w:sz w:val="22"/>
          <w:szCs w:val="22"/>
        </w:rPr>
        <w:t>uld possibly bring such APM</w:t>
      </w:r>
      <w:r w:rsidRPr="006B6EDB">
        <w:rPr>
          <w:rFonts w:ascii="Calibri" w:hAnsi="Calibri" w:cs="Calibri"/>
          <w:color w:val="000000" w:themeColor="text1"/>
          <w:sz w:val="22"/>
          <w:szCs w:val="22"/>
        </w:rPr>
        <w:t xml:space="preserve"> disclosure within the scope of the ESMA Guidelines on APMs, thereby giving rise to additional disclosure considerations. Clarification from ESMA on this point would be welcome.</w:t>
      </w:r>
      <w:r>
        <w:rPr>
          <w:rFonts w:ascii="Calibri" w:hAnsi="Calibri" w:cs="Calibri"/>
          <w:i/>
          <w:color w:val="000000" w:themeColor="text1"/>
          <w:sz w:val="22"/>
          <w:szCs w:val="22"/>
        </w:rPr>
        <w:t xml:space="preserve"> </w:t>
      </w:r>
    </w:p>
    <w:permEnd w:id="2033198121"/>
    <w:p w14:paraId="74A6FE40" w14:textId="7758CBD7" w:rsidR="00ED4063" w:rsidRDefault="00ED4063" w:rsidP="00ED4063">
      <w:pPr>
        <w:rPr>
          <w:rFonts w:cs="Arial"/>
        </w:rPr>
      </w:pPr>
      <w:r>
        <w:rPr>
          <w:rFonts w:cs="Arial"/>
        </w:rPr>
        <w:t>&lt;ESMA_QUESTION_PR_6&gt;</w:t>
      </w:r>
    </w:p>
    <w:p w14:paraId="1D2C41C6" w14:textId="2C3FCCB6" w:rsidR="00ED4063" w:rsidRDefault="00ED4063" w:rsidP="00ED4063">
      <w:pPr>
        <w:rPr>
          <w:rFonts w:cs="Arial"/>
        </w:rPr>
      </w:pPr>
    </w:p>
    <w:p w14:paraId="269D3E35" w14:textId="77777777" w:rsidR="00ED4063" w:rsidRDefault="00ED4063" w:rsidP="00ED4063">
      <w:pPr>
        <w:rPr>
          <w:rFonts w:cs="Arial"/>
        </w:rPr>
      </w:pPr>
    </w:p>
    <w:p w14:paraId="4574D7D5" w14:textId="77777777" w:rsidR="00ED4063" w:rsidRDefault="00ED4063" w:rsidP="00ED4063">
      <w:pPr>
        <w:rPr>
          <w:rFonts w:cs="Arial"/>
        </w:rPr>
      </w:pPr>
    </w:p>
    <w:p w14:paraId="2E88E683"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Do you agree that complex financial information in the summary should be presented according to its presentation in the prospectus? If not, please specify and provide alternative ways of presentation.</w:t>
      </w:r>
    </w:p>
    <w:p w14:paraId="55000B27" w14:textId="77777777" w:rsidR="00ED4063" w:rsidRDefault="00ED4063" w:rsidP="00ED4063">
      <w:pPr>
        <w:rPr>
          <w:rFonts w:cs="Arial"/>
        </w:rPr>
      </w:pPr>
      <w:r>
        <w:rPr>
          <w:rFonts w:cs="Arial"/>
        </w:rPr>
        <w:t>&lt;ESMA_QUESTION_PR_7&gt;</w:t>
      </w:r>
    </w:p>
    <w:p w14:paraId="3ABFCA84" w14:textId="11681B8A" w:rsidR="002F6D93" w:rsidRPr="00EE6C5A" w:rsidRDefault="002F6D93" w:rsidP="00C312B4">
      <w:pPr>
        <w:jc w:val="both"/>
        <w:rPr>
          <w:rFonts w:asciiTheme="minorHAnsi" w:hAnsiTheme="minorHAnsi" w:cstheme="minorHAnsi"/>
        </w:rPr>
      </w:pPr>
      <w:permStart w:id="599029578" w:edGrp="everyone"/>
      <w:r w:rsidRPr="002F6D93">
        <w:rPr>
          <w:rFonts w:asciiTheme="minorHAnsi" w:hAnsiTheme="minorHAnsi" w:cstheme="minorHAnsi"/>
          <w:sz w:val="22"/>
        </w:rPr>
        <w:t>Disclosure of complex financial information is typically more rele</w:t>
      </w:r>
      <w:r w:rsidR="00D406D1">
        <w:rPr>
          <w:rFonts w:asciiTheme="minorHAnsi" w:hAnsiTheme="minorHAnsi" w:cstheme="minorHAnsi"/>
          <w:sz w:val="22"/>
        </w:rPr>
        <w:t>vant for equity issues than non-equity</w:t>
      </w:r>
      <w:r w:rsidRPr="002F6D93">
        <w:rPr>
          <w:rFonts w:asciiTheme="minorHAnsi" w:hAnsiTheme="minorHAnsi" w:cstheme="minorHAnsi"/>
          <w:sz w:val="22"/>
        </w:rPr>
        <w:t xml:space="preserve"> issues.</w:t>
      </w:r>
      <w:r w:rsidR="00C74192">
        <w:rPr>
          <w:rFonts w:asciiTheme="minorHAnsi" w:hAnsiTheme="minorHAnsi" w:cstheme="minorHAnsi"/>
          <w:sz w:val="22"/>
        </w:rPr>
        <w:t xml:space="preserve"> Please see our general remarks above in relation to our broad support for AFME’s response to this consultation paper.</w:t>
      </w:r>
    </w:p>
    <w:permEnd w:id="599029578"/>
    <w:p w14:paraId="3137ADBA" w14:textId="0F86A049" w:rsidR="00ED4063" w:rsidRDefault="00ED4063" w:rsidP="00ED4063">
      <w:pPr>
        <w:rPr>
          <w:rFonts w:cs="Arial"/>
        </w:rPr>
      </w:pPr>
      <w:r>
        <w:rPr>
          <w:rFonts w:cs="Arial"/>
        </w:rPr>
        <w:t>&lt;ESMA_QUESTION_PR_7&gt;</w:t>
      </w:r>
    </w:p>
    <w:p w14:paraId="399755B3" w14:textId="06DFC26F" w:rsidR="00ED4063" w:rsidRDefault="00ED4063" w:rsidP="00ED4063">
      <w:pPr>
        <w:rPr>
          <w:rFonts w:cs="Arial"/>
        </w:rPr>
      </w:pPr>
    </w:p>
    <w:p w14:paraId="5132DC16" w14:textId="77777777" w:rsidR="00ED4063" w:rsidRDefault="00ED4063" w:rsidP="00ED4063">
      <w:pPr>
        <w:rPr>
          <w:rFonts w:cs="Arial"/>
        </w:rPr>
      </w:pPr>
    </w:p>
    <w:p w14:paraId="40108F6A" w14:textId="77777777" w:rsidR="00ED4063" w:rsidRDefault="00ED4063" w:rsidP="00ED4063">
      <w:pPr>
        <w:rPr>
          <w:rFonts w:cs="Arial"/>
        </w:rPr>
      </w:pPr>
    </w:p>
    <w:p w14:paraId="565A9CFD"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Which financial measures are most useful for retail investors to determine the health of a credit institution? Do you consider that the CET1 is comprehensible for retail investors? Please specify.</w:t>
      </w:r>
    </w:p>
    <w:p w14:paraId="6D457AB0" w14:textId="77777777" w:rsidR="00ED4063" w:rsidRDefault="00ED4063" w:rsidP="00ED4063">
      <w:pPr>
        <w:rPr>
          <w:rFonts w:cs="Arial"/>
        </w:rPr>
      </w:pPr>
      <w:r>
        <w:rPr>
          <w:rFonts w:cs="Arial"/>
        </w:rPr>
        <w:t>&lt;ESMA_QUESTION_PR_8&gt;</w:t>
      </w:r>
    </w:p>
    <w:p w14:paraId="7BD59326" w14:textId="72E35D41" w:rsidR="00166728" w:rsidRDefault="00DC0C5F" w:rsidP="00C312B4">
      <w:pPr>
        <w:jc w:val="both"/>
        <w:rPr>
          <w:rFonts w:asciiTheme="minorHAnsi" w:hAnsiTheme="minorHAnsi" w:cstheme="minorHAnsi"/>
          <w:sz w:val="22"/>
          <w:szCs w:val="22"/>
        </w:rPr>
      </w:pPr>
      <w:permStart w:id="782791268" w:edGrp="everyone"/>
      <w:r>
        <w:rPr>
          <w:rFonts w:asciiTheme="minorHAnsi" w:hAnsiTheme="minorHAnsi" w:cstheme="minorHAnsi"/>
          <w:sz w:val="22"/>
          <w:szCs w:val="22"/>
        </w:rPr>
        <w:t xml:space="preserve">In respect of non-equity securities, </w:t>
      </w:r>
      <w:r w:rsidR="005F2020" w:rsidRPr="00502655">
        <w:rPr>
          <w:rFonts w:asciiTheme="minorHAnsi" w:hAnsiTheme="minorHAnsi" w:cstheme="minorHAnsi"/>
          <w:sz w:val="22"/>
          <w:szCs w:val="22"/>
        </w:rPr>
        <w:t>total equity is regularly disclosed by credit institutions in their prospectus summar</w:t>
      </w:r>
      <w:r w:rsidR="003D3471">
        <w:rPr>
          <w:rFonts w:asciiTheme="minorHAnsi" w:hAnsiTheme="minorHAnsi" w:cstheme="minorHAnsi"/>
          <w:sz w:val="22"/>
          <w:szCs w:val="22"/>
        </w:rPr>
        <w:t>ies</w:t>
      </w:r>
      <w:r w:rsidR="005F2020" w:rsidRPr="00502655">
        <w:rPr>
          <w:rFonts w:asciiTheme="minorHAnsi" w:hAnsiTheme="minorHAnsi" w:cstheme="minorHAnsi"/>
          <w:sz w:val="22"/>
          <w:szCs w:val="22"/>
        </w:rPr>
        <w:t xml:space="preserve"> currently, but inclusion of CRR metrics is much less common</w:t>
      </w:r>
      <w:r w:rsidR="005F2020">
        <w:rPr>
          <w:rFonts w:asciiTheme="minorHAnsi" w:hAnsiTheme="minorHAnsi" w:cstheme="minorHAnsi"/>
          <w:sz w:val="22"/>
          <w:szCs w:val="22"/>
        </w:rPr>
        <w:t>.</w:t>
      </w:r>
      <w:r w:rsidR="00E14A7C">
        <w:rPr>
          <w:rFonts w:asciiTheme="minorHAnsi" w:hAnsiTheme="minorHAnsi" w:cstheme="minorHAnsi"/>
          <w:sz w:val="22"/>
          <w:szCs w:val="22"/>
        </w:rPr>
        <w:t xml:space="preserve"> We understand that market practice may differ in relation to equity securities. </w:t>
      </w:r>
    </w:p>
    <w:p w14:paraId="3D3823D4" w14:textId="77777777" w:rsidR="005F2020" w:rsidRDefault="005F2020" w:rsidP="00C312B4">
      <w:pPr>
        <w:jc w:val="both"/>
        <w:rPr>
          <w:rFonts w:asciiTheme="minorHAnsi" w:hAnsiTheme="minorHAnsi" w:cstheme="minorHAnsi"/>
          <w:sz w:val="22"/>
          <w:szCs w:val="22"/>
        </w:rPr>
      </w:pPr>
    </w:p>
    <w:p w14:paraId="1F3B7B2D" w14:textId="02CE71C8" w:rsidR="007B678B" w:rsidRPr="0047349A" w:rsidRDefault="0047349A" w:rsidP="00C312B4">
      <w:pPr>
        <w:jc w:val="both"/>
        <w:rPr>
          <w:rFonts w:asciiTheme="minorHAnsi" w:hAnsiTheme="minorHAnsi" w:cstheme="minorHAnsi"/>
          <w:sz w:val="22"/>
          <w:szCs w:val="22"/>
        </w:rPr>
      </w:pPr>
      <w:r>
        <w:rPr>
          <w:rFonts w:asciiTheme="minorHAnsi" w:hAnsiTheme="minorHAnsi" w:cstheme="minorHAnsi"/>
          <w:sz w:val="22"/>
          <w:szCs w:val="22"/>
        </w:rPr>
        <w:t>W</w:t>
      </w:r>
      <w:r w:rsidR="00166728">
        <w:rPr>
          <w:rFonts w:asciiTheme="minorHAnsi" w:hAnsiTheme="minorHAnsi" w:cstheme="minorHAnsi"/>
          <w:sz w:val="22"/>
          <w:szCs w:val="22"/>
        </w:rPr>
        <w:t xml:space="preserve">e do not support disclosure of </w:t>
      </w:r>
      <w:r w:rsidR="0045318F">
        <w:rPr>
          <w:rFonts w:asciiTheme="minorHAnsi" w:hAnsiTheme="minorHAnsi" w:cstheme="minorHAnsi"/>
          <w:sz w:val="22"/>
          <w:szCs w:val="22"/>
        </w:rPr>
        <w:t xml:space="preserve">the </w:t>
      </w:r>
      <w:r w:rsidR="00166728">
        <w:rPr>
          <w:rFonts w:asciiTheme="minorHAnsi" w:hAnsiTheme="minorHAnsi" w:cstheme="minorHAnsi"/>
          <w:sz w:val="22"/>
          <w:szCs w:val="22"/>
        </w:rPr>
        <w:t>CET1</w:t>
      </w:r>
      <w:r w:rsidR="005F2020">
        <w:rPr>
          <w:rFonts w:asciiTheme="minorHAnsi" w:hAnsiTheme="minorHAnsi" w:cstheme="minorHAnsi"/>
          <w:sz w:val="22"/>
          <w:szCs w:val="22"/>
        </w:rPr>
        <w:t xml:space="preserve"> ratio</w:t>
      </w:r>
      <w:r w:rsidR="00166728">
        <w:rPr>
          <w:rFonts w:asciiTheme="minorHAnsi" w:hAnsiTheme="minorHAnsi" w:cstheme="minorHAnsi"/>
          <w:sz w:val="22"/>
          <w:szCs w:val="22"/>
        </w:rPr>
        <w:t xml:space="preserve"> in the summary being mandatory</w:t>
      </w:r>
      <w:r>
        <w:rPr>
          <w:rFonts w:asciiTheme="minorHAnsi" w:hAnsiTheme="minorHAnsi" w:cstheme="minorHAnsi"/>
          <w:sz w:val="22"/>
          <w:szCs w:val="22"/>
        </w:rPr>
        <w:t xml:space="preserve"> </w:t>
      </w:r>
      <w:r w:rsidR="00166728">
        <w:rPr>
          <w:rFonts w:asciiTheme="minorHAnsi" w:hAnsiTheme="minorHAnsi" w:cstheme="minorHAnsi"/>
          <w:sz w:val="22"/>
          <w:szCs w:val="22"/>
        </w:rPr>
        <w:t xml:space="preserve">if </w:t>
      </w:r>
      <w:r>
        <w:rPr>
          <w:rFonts w:asciiTheme="minorHAnsi" w:hAnsiTheme="minorHAnsi" w:cstheme="minorHAnsi"/>
          <w:sz w:val="22"/>
          <w:szCs w:val="22"/>
        </w:rPr>
        <w:t>it is disclosed elsewhere in</w:t>
      </w:r>
      <w:r w:rsidR="00166728">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166728">
        <w:rPr>
          <w:rFonts w:asciiTheme="minorHAnsi" w:hAnsiTheme="minorHAnsi" w:cstheme="minorHAnsi"/>
          <w:sz w:val="22"/>
          <w:szCs w:val="22"/>
        </w:rPr>
        <w:t>prospectus</w:t>
      </w:r>
      <w:r w:rsidR="00E14A7C">
        <w:rPr>
          <w:rFonts w:asciiTheme="minorHAnsi" w:hAnsiTheme="minorHAnsi" w:cstheme="minorHAnsi"/>
          <w:sz w:val="22"/>
          <w:szCs w:val="22"/>
        </w:rPr>
        <w:t xml:space="preserve"> </w:t>
      </w:r>
      <w:r w:rsidR="00166728">
        <w:rPr>
          <w:rFonts w:asciiTheme="minorHAnsi" w:hAnsiTheme="minorHAnsi" w:cstheme="minorHAnsi"/>
          <w:sz w:val="22"/>
          <w:szCs w:val="22"/>
        </w:rPr>
        <w:t xml:space="preserve">(per the proposed draft RTS). </w:t>
      </w:r>
      <w:r w:rsidR="00166728">
        <w:rPr>
          <w:rFonts w:asciiTheme="minorHAnsi" w:hAnsiTheme="minorHAnsi" w:cstheme="minorHAnsi"/>
          <w:sz w:val="22"/>
        </w:rPr>
        <w:t xml:space="preserve">Credit institutions need flexibility to decide how best to meet the general </w:t>
      </w:r>
      <w:r w:rsidR="00166728" w:rsidRPr="00592385">
        <w:rPr>
          <w:rFonts w:asciiTheme="minorHAnsi" w:hAnsiTheme="minorHAnsi" w:cstheme="minorHAnsi"/>
          <w:sz w:val="22"/>
        </w:rPr>
        <w:t xml:space="preserve">requirement for summary disclosure in </w:t>
      </w:r>
      <w:r w:rsidR="00166728">
        <w:rPr>
          <w:rFonts w:asciiTheme="minorHAnsi" w:hAnsiTheme="minorHAnsi" w:cstheme="minorHAnsi"/>
          <w:sz w:val="22"/>
        </w:rPr>
        <w:t>Prospectus Regulation</w:t>
      </w:r>
      <w:r w:rsidR="00166728" w:rsidRPr="00592385">
        <w:rPr>
          <w:rFonts w:asciiTheme="minorHAnsi" w:hAnsiTheme="minorHAnsi" w:cstheme="minorHAnsi"/>
          <w:sz w:val="22"/>
        </w:rPr>
        <w:t xml:space="preserve"> Article 7.1</w:t>
      </w:r>
      <w:r w:rsidR="00166728">
        <w:rPr>
          <w:rFonts w:asciiTheme="minorHAnsi" w:hAnsiTheme="minorHAnsi" w:cstheme="minorHAnsi"/>
          <w:sz w:val="22"/>
        </w:rPr>
        <w:t xml:space="preserve"> and disclose their key financial information in a way that is accurate, fair and clear and not misleading in accordance </w:t>
      </w:r>
      <w:r w:rsidR="00166728">
        <w:rPr>
          <w:rFonts w:asciiTheme="minorHAnsi" w:hAnsiTheme="minorHAnsi" w:cstheme="minorHAnsi"/>
          <w:sz w:val="22"/>
        </w:rPr>
        <w:lastRenderedPageBreak/>
        <w:t>with Prospectus Regulation Article 7.2. This will require careful thought by credit institutions, as retail investors may not fully understand regulated capital ratios and how they interact with relevant bail-in tools</w:t>
      </w:r>
      <w:r w:rsidR="00E46293">
        <w:rPr>
          <w:rFonts w:asciiTheme="minorHAnsi" w:hAnsiTheme="minorHAnsi" w:cstheme="minorHAnsi"/>
          <w:sz w:val="22"/>
        </w:rPr>
        <w:t xml:space="preserve"> </w:t>
      </w:r>
      <w:r w:rsidR="00E46293" w:rsidRPr="00FD0713">
        <w:rPr>
          <w:rFonts w:asciiTheme="minorHAnsi" w:hAnsiTheme="minorHAnsi" w:cstheme="minorHAnsi"/>
          <w:sz w:val="22"/>
        </w:rPr>
        <w:t xml:space="preserve">or, indeed, with the risk profile of the institution. Some investors might, for example derive false comfort from a high ratio and assume that it makes the institution “safe”. </w:t>
      </w:r>
    </w:p>
    <w:p w14:paraId="242D7DF8" w14:textId="77777777" w:rsidR="007B678B" w:rsidRDefault="007B678B" w:rsidP="00C312B4">
      <w:pPr>
        <w:jc w:val="both"/>
        <w:rPr>
          <w:rFonts w:asciiTheme="minorHAnsi" w:hAnsiTheme="minorHAnsi" w:cstheme="minorHAnsi"/>
          <w:sz w:val="22"/>
        </w:rPr>
      </w:pPr>
    </w:p>
    <w:p w14:paraId="1D80978B" w14:textId="10EABD78" w:rsidR="00ED4063" w:rsidRPr="005F2020" w:rsidRDefault="00E46293" w:rsidP="00C312B4">
      <w:pPr>
        <w:jc w:val="both"/>
        <w:rPr>
          <w:rFonts w:asciiTheme="minorHAnsi" w:hAnsiTheme="minorHAnsi" w:cstheme="minorHAnsi"/>
          <w:sz w:val="22"/>
        </w:rPr>
      </w:pPr>
      <w:r w:rsidRPr="00FD0713">
        <w:rPr>
          <w:rFonts w:asciiTheme="minorHAnsi" w:hAnsiTheme="minorHAnsi" w:cstheme="minorHAnsi"/>
          <w:sz w:val="22"/>
        </w:rPr>
        <w:t>It is therefore</w:t>
      </w:r>
      <w:r w:rsidR="00166728">
        <w:rPr>
          <w:rFonts w:asciiTheme="minorHAnsi" w:hAnsiTheme="minorHAnsi" w:cstheme="minorHAnsi"/>
          <w:sz w:val="22"/>
        </w:rPr>
        <w:t xml:space="preserve"> important that issuers have flexibility to determine the most appropriate</w:t>
      </w:r>
      <w:r w:rsidR="00CA2C95">
        <w:rPr>
          <w:rFonts w:asciiTheme="minorHAnsi" w:hAnsiTheme="minorHAnsi" w:cstheme="minorHAnsi"/>
          <w:sz w:val="22"/>
        </w:rPr>
        <w:t xml:space="preserve"> way to disclose summary</w:t>
      </w:r>
      <w:r w:rsidR="00166728">
        <w:rPr>
          <w:rFonts w:asciiTheme="minorHAnsi" w:hAnsiTheme="minorHAnsi" w:cstheme="minorHAnsi"/>
          <w:sz w:val="22"/>
        </w:rPr>
        <w:t xml:space="preserve"> key financial information in the </w:t>
      </w:r>
      <w:r w:rsidR="005F2020">
        <w:rPr>
          <w:rFonts w:asciiTheme="minorHAnsi" w:hAnsiTheme="minorHAnsi" w:cstheme="minorHAnsi"/>
          <w:sz w:val="22"/>
        </w:rPr>
        <w:t>context of their own businesses</w:t>
      </w:r>
      <w:r w:rsidR="0047349A">
        <w:rPr>
          <w:rFonts w:asciiTheme="minorHAnsi" w:hAnsiTheme="minorHAnsi" w:cstheme="minorHAnsi"/>
          <w:sz w:val="22"/>
        </w:rPr>
        <w:t xml:space="preserve"> and the </w:t>
      </w:r>
      <w:proofErr w:type="gramStart"/>
      <w:r w:rsidR="0047349A">
        <w:rPr>
          <w:rFonts w:asciiTheme="minorHAnsi" w:hAnsiTheme="minorHAnsi" w:cstheme="minorHAnsi"/>
          <w:sz w:val="22"/>
        </w:rPr>
        <w:t>particular securities</w:t>
      </w:r>
      <w:proofErr w:type="gramEnd"/>
      <w:r w:rsidR="0047349A">
        <w:rPr>
          <w:rFonts w:asciiTheme="minorHAnsi" w:hAnsiTheme="minorHAnsi" w:cstheme="minorHAnsi"/>
          <w:sz w:val="22"/>
        </w:rPr>
        <w:t xml:space="preserve"> they are issuing</w:t>
      </w:r>
      <w:r w:rsidR="00166728">
        <w:rPr>
          <w:rFonts w:asciiTheme="minorHAnsi" w:hAnsiTheme="minorHAnsi" w:cstheme="minorHAnsi"/>
          <w:sz w:val="22"/>
        </w:rPr>
        <w:t>.</w:t>
      </w:r>
      <w:r w:rsidR="005F2020">
        <w:rPr>
          <w:rFonts w:asciiTheme="minorHAnsi" w:hAnsiTheme="minorHAnsi" w:cstheme="minorHAnsi"/>
          <w:sz w:val="22"/>
        </w:rPr>
        <w:t xml:space="preserve"> This might involve disclosure of ratios such as CET1 in the summary, but it might not, depending on the issuer’s business and how it expects its CET1 </w:t>
      </w:r>
      <w:r w:rsidR="00CA2C95">
        <w:rPr>
          <w:rFonts w:asciiTheme="minorHAnsi" w:hAnsiTheme="minorHAnsi" w:cstheme="minorHAnsi"/>
          <w:sz w:val="22"/>
        </w:rPr>
        <w:t>ratio</w:t>
      </w:r>
      <w:r w:rsidR="005F2020">
        <w:rPr>
          <w:rFonts w:asciiTheme="minorHAnsi" w:hAnsiTheme="minorHAnsi" w:cstheme="minorHAnsi"/>
          <w:sz w:val="22"/>
        </w:rPr>
        <w:t xml:space="preserve"> to appear to retail investors</w:t>
      </w:r>
      <w:r w:rsidR="00E14A7C">
        <w:rPr>
          <w:rFonts w:asciiTheme="minorHAnsi" w:hAnsiTheme="minorHAnsi" w:cstheme="minorHAnsi"/>
          <w:sz w:val="22"/>
        </w:rPr>
        <w:t xml:space="preserve"> in the relevant securities that are being </w:t>
      </w:r>
      <w:r w:rsidR="00D406D1">
        <w:rPr>
          <w:rFonts w:asciiTheme="minorHAnsi" w:hAnsiTheme="minorHAnsi" w:cstheme="minorHAnsi"/>
          <w:sz w:val="22"/>
        </w:rPr>
        <w:t>issued.</w:t>
      </w:r>
    </w:p>
    <w:permEnd w:id="782791268"/>
    <w:p w14:paraId="69426EA9" w14:textId="77777777" w:rsidR="00ED4063" w:rsidRDefault="00ED4063" w:rsidP="00ED4063">
      <w:pPr>
        <w:rPr>
          <w:rFonts w:cs="Arial"/>
        </w:rPr>
      </w:pPr>
      <w:r>
        <w:rPr>
          <w:rFonts w:cs="Arial"/>
        </w:rPr>
        <w:t>&lt;ESMA_QUESTION_PR_8&gt;</w:t>
      </w:r>
    </w:p>
    <w:p w14:paraId="349C27F4" w14:textId="58D20592" w:rsidR="00ED4063" w:rsidRDefault="00ED4063" w:rsidP="00ED4063">
      <w:pPr>
        <w:rPr>
          <w:rFonts w:cs="Arial"/>
        </w:rPr>
      </w:pPr>
    </w:p>
    <w:p w14:paraId="0C2C98EB" w14:textId="4C9A8DE0" w:rsidR="00ED4063" w:rsidRDefault="00ED4063" w:rsidP="00ED4063">
      <w:pPr>
        <w:rPr>
          <w:rFonts w:cs="Arial"/>
        </w:rPr>
      </w:pPr>
    </w:p>
    <w:p w14:paraId="6041ADA7" w14:textId="77777777" w:rsidR="00ED4063" w:rsidRDefault="00ED4063" w:rsidP="00ED4063">
      <w:pPr>
        <w:rPr>
          <w:rFonts w:cs="Arial"/>
        </w:rPr>
      </w:pPr>
    </w:p>
    <w:p w14:paraId="65B59E52"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Do you agree that it should be mandatory for credit institutions to disclose SREP information in relation to Common Tier One Equity, the minimum prudential capital requirements, the Total Capital Ratio and the Leverage Ratio in the summary?</w:t>
      </w:r>
    </w:p>
    <w:p w14:paraId="03879219" w14:textId="77777777" w:rsidR="00ED4063" w:rsidRDefault="00ED4063" w:rsidP="00ED4063">
      <w:pPr>
        <w:rPr>
          <w:rFonts w:cs="Arial"/>
        </w:rPr>
      </w:pPr>
      <w:r>
        <w:rPr>
          <w:rFonts w:cs="Arial"/>
        </w:rPr>
        <w:t>&lt;ESMA_QUESTION_PR_9&gt;</w:t>
      </w:r>
    </w:p>
    <w:p w14:paraId="02FC888D" w14:textId="6710FEBD" w:rsidR="00ED4063" w:rsidRPr="005F2020" w:rsidRDefault="005F2020" w:rsidP="00FD0713">
      <w:pPr>
        <w:jc w:val="both"/>
        <w:rPr>
          <w:rFonts w:cs="Arial"/>
        </w:rPr>
      </w:pPr>
      <w:permStart w:id="138090503" w:edGrp="everyone"/>
      <w:r w:rsidRPr="005F2020">
        <w:rPr>
          <w:rFonts w:asciiTheme="minorHAnsi" w:hAnsiTheme="minorHAnsi" w:cstheme="minorHAnsi"/>
          <w:color w:val="000000" w:themeColor="text1"/>
          <w:sz w:val="22"/>
          <w:szCs w:val="22"/>
        </w:rPr>
        <w:t>No. S</w:t>
      </w:r>
      <w:r w:rsidR="006333AC" w:rsidRPr="005F2020">
        <w:rPr>
          <w:rFonts w:asciiTheme="minorHAnsi" w:hAnsiTheme="minorHAnsi" w:cstheme="minorHAnsi"/>
          <w:color w:val="000000" w:themeColor="text1"/>
          <w:sz w:val="22"/>
          <w:szCs w:val="22"/>
        </w:rPr>
        <w:t>ee our response to Q</w:t>
      </w:r>
      <w:r w:rsidRPr="005F2020">
        <w:rPr>
          <w:rFonts w:asciiTheme="minorHAnsi" w:hAnsiTheme="minorHAnsi" w:cstheme="minorHAnsi"/>
          <w:color w:val="000000" w:themeColor="text1"/>
          <w:sz w:val="22"/>
          <w:szCs w:val="22"/>
        </w:rPr>
        <w:t>8</w:t>
      </w:r>
      <w:r w:rsidR="00064105" w:rsidRPr="005F2020">
        <w:rPr>
          <w:rFonts w:asciiTheme="minorHAnsi" w:hAnsiTheme="minorHAnsi" w:cstheme="minorHAnsi"/>
          <w:color w:val="000000" w:themeColor="text1"/>
          <w:sz w:val="22"/>
          <w:szCs w:val="22"/>
        </w:rPr>
        <w:t xml:space="preserve"> above</w:t>
      </w:r>
      <w:r w:rsidR="007B678B">
        <w:rPr>
          <w:rFonts w:asciiTheme="minorHAnsi" w:hAnsiTheme="minorHAnsi" w:cstheme="minorHAnsi"/>
          <w:color w:val="000000" w:themeColor="text1"/>
          <w:sz w:val="22"/>
          <w:szCs w:val="22"/>
        </w:rPr>
        <w:t>. I</w:t>
      </w:r>
      <w:r w:rsidR="00F6565D">
        <w:rPr>
          <w:rFonts w:asciiTheme="minorHAnsi" w:hAnsiTheme="minorHAnsi" w:cstheme="minorHAnsi"/>
          <w:color w:val="000000" w:themeColor="text1"/>
          <w:sz w:val="22"/>
          <w:szCs w:val="22"/>
        </w:rPr>
        <w:t xml:space="preserve">ssuers should have flexibility </w:t>
      </w:r>
      <w:r w:rsidR="007B678B">
        <w:rPr>
          <w:rFonts w:asciiTheme="minorHAnsi" w:hAnsiTheme="minorHAnsi" w:cstheme="minorHAnsi"/>
          <w:sz w:val="22"/>
        </w:rPr>
        <w:t>to determine the most appropriate way to disclose summary key financial information in the context of their own businesses</w:t>
      </w:r>
      <w:r w:rsidR="0047349A">
        <w:rPr>
          <w:rFonts w:asciiTheme="minorHAnsi" w:hAnsiTheme="minorHAnsi" w:cstheme="minorHAnsi"/>
          <w:sz w:val="22"/>
        </w:rPr>
        <w:t xml:space="preserve"> and the securities they are issuing</w:t>
      </w:r>
      <w:r w:rsidR="007B678B">
        <w:rPr>
          <w:rFonts w:asciiTheme="minorHAnsi" w:hAnsiTheme="minorHAnsi" w:cstheme="minorHAnsi"/>
          <w:sz w:val="22"/>
        </w:rPr>
        <w:t>. This might involve disclosure of</w:t>
      </w:r>
      <w:r w:rsidR="000B7113">
        <w:rPr>
          <w:rFonts w:asciiTheme="minorHAnsi" w:hAnsiTheme="minorHAnsi" w:cstheme="minorHAnsi"/>
          <w:sz w:val="22"/>
        </w:rPr>
        <w:t xml:space="preserve"> regulatory capital ratios and associated</w:t>
      </w:r>
      <w:r w:rsidR="007B678B">
        <w:rPr>
          <w:rFonts w:asciiTheme="minorHAnsi" w:hAnsiTheme="minorHAnsi" w:cstheme="minorHAnsi"/>
          <w:sz w:val="22"/>
        </w:rPr>
        <w:t xml:space="preserve"> </w:t>
      </w:r>
      <w:r w:rsidR="000B7113">
        <w:rPr>
          <w:rFonts w:asciiTheme="minorHAnsi" w:hAnsiTheme="minorHAnsi" w:cstheme="minorHAnsi"/>
          <w:sz w:val="22"/>
        </w:rPr>
        <w:t xml:space="preserve">SREP information </w:t>
      </w:r>
      <w:r w:rsidR="007B678B">
        <w:rPr>
          <w:rFonts w:asciiTheme="minorHAnsi" w:hAnsiTheme="minorHAnsi" w:cstheme="minorHAnsi"/>
          <w:sz w:val="22"/>
        </w:rPr>
        <w:t xml:space="preserve">in the summary, but it might not, depending on the issuer’s </w:t>
      </w:r>
      <w:proofErr w:type="gramStart"/>
      <w:r w:rsidR="007B678B">
        <w:rPr>
          <w:rFonts w:asciiTheme="minorHAnsi" w:hAnsiTheme="minorHAnsi" w:cstheme="minorHAnsi"/>
          <w:sz w:val="22"/>
        </w:rPr>
        <w:t>particular business</w:t>
      </w:r>
      <w:proofErr w:type="gramEnd"/>
      <w:r w:rsidR="000B7113">
        <w:rPr>
          <w:rFonts w:asciiTheme="minorHAnsi" w:hAnsiTheme="minorHAnsi" w:cstheme="minorHAnsi"/>
          <w:sz w:val="22"/>
        </w:rPr>
        <w:t xml:space="preserve"> and how it expects that information to appear to retail investors</w:t>
      </w:r>
      <w:r w:rsidR="00E14A7C">
        <w:rPr>
          <w:rFonts w:asciiTheme="minorHAnsi" w:hAnsiTheme="minorHAnsi" w:cstheme="minorHAnsi"/>
          <w:sz w:val="22"/>
        </w:rPr>
        <w:t xml:space="preserve"> in the securities it is </w:t>
      </w:r>
      <w:r w:rsidR="0047349A">
        <w:rPr>
          <w:rFonts w:asciiTheme="minorHAnsi" w:hAnsiTheme="minorHAnsi" w:cstheme="minorHAnsi"/>
          <w:sz w:val="22"/>
        </w:rPr>
        <w:t>issuing</w:t>
      </w:r>
      <w:r w:rsidR="00A82459" w:rsidRPr="005F2020">
        <w:rPr>
          <w:rFonts w:asciiTheme="minorHAnsi" w:hAnsiTheme="minorHAnsi" w:cstheme="minorHAnsi"/>
          <w:color w:val="000000" w:themeColor="text1"/>
          <w:sz w:val="22"/>
          <w:szCs w:val="22"/>
        </w:rPr>
        <w:t>.</w:t>
      </w:r>
      <w:r w:rsidR="000B7113">
        <w:rPr>
          <w:rFonts w:asciiTheme="minorHAnsi" w:hAnsiTheme="minorHAnsi" w:cstheme="minorHAnsi"/>
          <w:color w:val="000000" w:themeColor="text1"/>
          <w:sz w:val="22"/>
          <w:szCs w:val="22"/>
        </w:rPr>
        <w:t xml:space="preserve"> Some issuers might be concerned, for example, that investors could derive false comfort from, or generally misunderstand, disclosure of their relevant capital ratios and associated SREP information. Other issuers might consider SREP information to be useful for retail investors, but the rules should allow issuers to decide what disclosure is most appropriate and helpful for investors in the context of their own business</w:t>
      </w:r>
      <w:r w:rsidR="00E14A7C">
        <w:rPr>
          <w:rFonts w:asciiTheme="minorHAnsi" w:hAnsiTheme="minorHAnsi" w:cstheme="minorHAnsi"/>
          <w:color w:val="000000" w:themeColor="text1"/>
          <w:sz w:val="22"/>
          <w:szCs w:val="22"/>
        </w:rPr>
        <w:t xml:space="preserve"> and the type of securities that it is issuing</w:t>
      </w:r>
      <w:r w:rsidR="000B7113">
        <w:rPr>
          <w:rFonts w:asciiTheme="minorHAnsi" w:hAnsiTheme="minorHAnsi" w:cstheme="minorHAnsi"/>
          <w:color w:val="000000" w:themeColor="text1"/>
          <w:sz w:val="22"/>
          <w:szCs w:val="22"/>
        </w:rPr>
        <w:t>.</w:t>
      </w:r>
    </w:p>
    <w:permEnd w:id="138090503"/>
    <w:p w14:paraId="2D0F36EE" w14:textId="2F3F74AD" w:rsidR="00ED4063" w:rsidRDefault="00ED4063" w:rsidP="00FD0713">
      <w:pPr>
        <w:jc w:val="both"/>
        <w:rPr>
          <w:rFonts w:cs="Arial"/>
        </w:rPr>
      </w:pPr>
      <w:r>
        <w:rPr>
          <w:rFonts w:cs="Arial"/>
        </w:rPr>
        <w:t>&lt;ESMA_QUESTION_PR_9&gt;</w:t>
      </w:r>
    </w:p>
    <w:p w14:paraId="306BD02A" w14:textId="29550D5C" w:rsidR="00ED4063" w:rsidRDefault="00ED4063" w:rsidP="00ED4063">
      <w:pPr>
        <w:rPr>
          <w:rFonts w:cs="Arial"/>
        </w:rPr>
      </w:pPr>
    </w:p>
    <w:p w14:paraId="3EEE50A6" w14:textId="77777777" w:rsidR="00ED4063" w:rsidRDefault="00ED4063" w:rsidP="00ED4063">
      <w:pPr>
        <w:rPr>
          <w:rFonts w:cs="Arial"/>
        </w:rPr>
      </w:pPr>
    </w:p>
    <w:p w14:paraId="3BBB1AA9" w14:textId="77777777" w:rsidR="00ED4063" w:rsidRDefault="00ED4063" w:rsidP="00ED4063">
      <w:pPr>
        <w:rPr>
          <w:rFonts w:cs="Arial"/>
        </w:rPr>
      </w:pPr>
    </w:p>
    <w:p w14:paraId="13FA99D7"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Do you agree with the choice of measures for insurance companies?</w:t>
      </w:r>
    </w:p>
    <w:p w14:paraId="0FEC9BC9" w14:textId="77777777" w:rsidR="00ED4063" w:rsidRDefault="00ED4063" w:rsidP="00ED4063">
      <w:pPr>
        <w:rPr>
          <w:rFonts w:cs="Arial"/>
        </w:rPr>
      </w:pPr>
      <w:r>
        <w:rPr>
          <w:rFonts w:cs="Arial"/>
        </w:rPr>
        <w:t>&lt;ESMA_QUESTION_PR_10&gt;</w:t>
      </w:r>
    </w:p>
    <w:p w14:paraId="032116DC" w14:textId="0D2196F9" w:rsidR="00ED4063" w:rsidRPr="00EE6C5A" w:rsidRDefault="00EE6C5A" w:rsidP="00C312B4">
      <w:pPr>
        <w:jc w:val="both"/>
        <w:rPr>
          <w:rFonts w:asciiTheme="minorHAnsi" w:hAnsiTheme="minorHAnsi" w:cstheme="minorHAnsi"/>
          <w:sz w:val="22"/>
        </w:rPr>
      </w:pPr>
      <w:permStart w:id="392848144" w:edGrp="everyone"/>
      <w:r w:rsidRPr="00EE6C5A">
        <w:rPr>
          <w:rFonts w:asciiTheme="minorHAnsi" w:hAnsiTheme="minorHAnsi" w:cstheme="minorHAnsi"/>
          <w:sz w:val="22"/>
        </w:rPr>
        <w:t>Aside from our concerns in relation to the prescriptive approach adopted in the draft RTS generally (see general remarks above and response to Q12</w:t>
      </w:r>
      <w:proofErr w:type="gramStart"/>
      <w:r w:rsidRPr="00EE6C5A">
        <w:rPr>
          <w:rFonts w:asciiTheme="minorHAnsi" w:hAnsiTheme="minorHAnsi" w:cstheme="minorHAnsi"/>
          <w:sz w:val="22"/>
        </w:rPr>
        <w:t>),  feedback</w:t>
      </w:r>
      <w:proofErr w:type="gramEnd"/>
      <w:r w:rsidRPr="00EE6C5A">
        <w:rPr>
          <w:rFonts w:asciiTheme="minorHAnsi" w:hAnsiTheme="minorHAnsi" w:cstheme="minorHAnsi"/>
          <w:sz w:val="22"/>
        </w:rPr>
        <w:t xml:space="preserve"> from one</w:t>
      </w:r>
      <w:r w:rsidR="00CE5178">
        <w:rPr>
          <w:rFonts w:asciiTheme="minorHAnsi" w:hAnsiTheme="minorHAnsi" w:cstheme="minorHAnsi"/>
          <w:sz w:val="22"/>
        </w:rPr>
        <w:t xml:space="preserve"> leading</w:t>
      </w:r>
      <w:r w:rsidRPr="00EE6C5A">
        <w:rPr>
          <w:rFonts w:asciiTheme="minorHAnsi" w:hAnsiTheme="minorHAnsi" w:cstheme="minorHAnsi"/>
          <w:sz w:val="22"/>
        </w:rPr>
        <w:t xml:space="preserve"> audit firm suggests that the measures chos</w:t>
      </w:r>
      <w:r>
        <w:rPr>
          <w:rFonts w:asciiTheme="minorHAnsi" w:hAnsiTheme="minorHAnsi" w:cstheme="minorHAnsi"/>
          <w:sz w:val="22"/>
        </w:rPr>
        <w:t>en for insurance companies seem</w:t>
      </w:r>
      <w:r w:rsidRPr="00EE6C5A">
        <w:rPr>
          <w:rFonts w:asciiTheme="minorHAnsi" w:hAnsiTheme="minorHAnsi" w:cstheme="minorHAnsi"/>
          <w:sz w:val="22"/>
        </w:rPr>
        <w:t xml:space="preserve"> sensible, as long as the * and # categorisations remain</w:t>
      </w:r>
      <w:r>
        <w:rPr>
          <w:rFonts w:asciiTheme="minorHAnsi" w:hAnsiTheme="minorHAnsi" w:cstheme="minorHAnsi"/>
          <w:sz w:val="22"/>
        </w:rPr>
        <w:t xml:space="preserve"> in the final RTS</w:t>
      </w:r>
      <w:r w:rsidRPr="00EE6C5A">
        <w:rPr>
          <w:rFonts w:asciiTheme="minorHAnsi" w:hAnsiTheme="minorHAnsi" w:cstheme="minorHAnsi"/>
          <w:sz w:val="22"/>
        </w:rPr>
        <w:t xml:space="preserve">. </w:t>
      </w:r>
    </w:p>
    <w:p w14:paraId="3E1E8DDD" w14:textId="46704F2E" w:rsidR="00EE6C5A" w:rsidRPr="00EE6C5A" w:rsidRDefault="00EE6C5A" w:rsidP="00C312B4">
      <w:pPr>
        <w:jc w:val="both"/>
        <w:rPr>
          <w:rFonts w:asciiTheme="minorHAnsi" w:hAnsiTheme="minorHAnsi" w:cstheme="minorHAnsi"/>
          <w:sz w:val="22"/>
        </w:rPr>
      </w:pPr>
    </w:p>
    <w:p w14:paraId="5D9A69FB" w14:textId="1EBEEEC2" w:rsidR="00EE6C5A" w:rsidRPr="00EE6C5A" w:rsidRDefault="00EE6C5A" w:rsidP="00C312B4">
      <w:pPr>
        <w:jc w:val="both"/>
        <w:rPr>
          <w:rFonts w:asciiTheme="minorHAnsi" w:hAnsiTheme="minorHAnsi" w:cstheme="minorHAnsi"/>
          <w:sz w:val="22"/>
        </w:rPr>
      </w:pPr>
      <w:r w:rsidRPr="00EE6C5A">
        <w:rPr>
          <w:rFonts w:asciiTheme="minorHAnsi" w:hAnsiTheme="minorHAnsi" w:cstheme="minorHAnsi"/>
          <w:sz w:val="22"/>
        </w:rPr>
        <w:t>However, see response to Q2 above in relation to concerns for complex financial institutions that have both credit and insurance operations.</w:t>
      </w:r>
      <w:r w:rsidR="005F2020">
        <w:rPr>
          <w:rFonts w:asciiTheme="minorHAnsi" w:hAnsiTheme="minorHAnsi" w:cstheme="minorHAnsi"/>
          <w:sz w:val="22"/>
        </w:rPr>
        <w:t xml:space="preserve"> See also our response to Q8 above in relation to the proposed prescriptive approach having unexpected results in practice</w:t>
      </w:r>
      <w:r w:rsidR="00DB245B">
        <w:rPr>
          <w:rFonts w:asciiTheme="minorHAnsi" w:hAnsiTheme="minorHAnsi" w:cstheme="minorHAnsi"/>
          <w:sz w:val="22"/>
        </w:rPr>
        <w:t xml:space="preserve"> and it generally being preferable to afford issuers the flexibility to disclose the measures that they consider to be key financial information in the context of their own business</w:t>
      </w:r>
      <w:r w:rsidR="005F2020">
        <w:rPr>
          <w:rFonts w:asciiTheme="minorHAnsi" w:hAnsiTheme="minorHAnsi" w:cstheme="minorHAnsi"/>
          <w:sz w:val="22"/>
        </w:rPr>
        <w:t>.</w:t>
      </w:r>
    </w:p>
    <w:permEnd w:id="392848144"/>
    <w:p w14:paraId="2776A92D" w14:textId="09D4D9EA" w:rsidR="00ED4063" w:rsidRDefault="00ED4063" w:rsidP="00ED4063">
      <w:pPr>
        <w:rPr>
          <w:rFonts w:cs="Arial"/>
        </w:rPr>
      </w:pPr>
      <w:r>
        <w:rPr>
          <w:rFonts w:cs="Arial"/>
        </w:rPr>
        <w:t>&lt;ESMA_QUESTION_PR_10&gt;</w:t>
      </w:r>
    </w:p>
    <w:p w14:paraId="45B89D4E" w14:textId="5EB7EE33" w:rsidR="00ED4063" w:rsidRDefault="00ED4063" w:rsidP="00ED4063">
      <w:pPr>
        <w:rPr>
          <w:rFonts w:cs="Arial"/>
        </w:rPr>
      </w:pPr>
    </w:p>
    <w:p w14:paraId="513A12B6" w14:textId="7B68EBE0" w:rsidR="00ED4063" w:rsidRDefault="00ED4063" w:rsidP="00ED4063">
      <w:pPr>
        <w:rPr>
          <w:rFonts w:cs="Arial"/>
        </w:rPr>
      </w:pPr>
    </w:p>
    <w:p w14:paraId="032DF0A8" w14:textId="40581758" w:rsidR="00ED4063" w:rsidRDefault="00ED4063" w:rsidP="00ED4063">
      <w:pPr>
        <w:rPr>
          <w:rFonts w:cs="Arial"/>
        </w:rPr>
      </w:pPr>
    </w:p>
    <w:p w14:paraId="0356B54B"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Do you think it would be useful for retail investors to include a measure of historical performance for closed end funds in the summary?</w:t>
      </w:r>
    </w:p>
    <w:p w14:paraId="3075C248" w14:textId="77777777" w:rsidR="00ED4063" w:rsidRDefault="00ED4063" w:rsidP="00ED4063">
      <w:pPr>
        <w:rPr>
          <w:rFonts w:cs="Arial"/>
        </w:rPr>
      </w:pPr>
      <w:r>
        <w:rPr>
          <w:rFonts w:cs="Arial"/>
        </w:rPr>
        <w:t>&lt;ESMA_QUESTION_PR_11&gt;</w:t>
      </w:r>
    </w:p>
    <w:p w14:paraId="2F4315F7" w14:textId="1C6DE467" w:rsidR="00ED4063" w:rsidRDefault="00BA22AC" w:rsidP="00C312B4">
      <w:pPr>
        <w:jc w:val="both"/>
        <w:rPr>
          <w:rFonts w:cs="Arial"/>
        </w:rPr>
      </w:pPr>
      <w:permStart w:id="74319094" w:edGrp="everyone"/>
      <w:r w:rsidRPr="00592385">
        <w:rPr>
          <w:rFonts w:asciiTheme="minorHAnsi" w:hAnsiTheme="minorHAnsi" w:cstheme="minorHAnsi"/>
          <w:sz w:val="22"/>
        </w:rPr>
        <w:t>ICMA does not express a view on</w:t>
      </w:r>
      <w:r w:rsidR="00CF6C9B">
        <w:rPr>
          <w:rFonts w:asciiTheme="minorHAnsi" w:hAnsiTheme="minorHAnsi" w:cstheme="minorHAnsi"/>
          <w:sz w:val="22"/>
        </w:rPr>
        <w:t xml:space="preserve"> whether </w:t>
      </w:r>
      <w:r w:rsidR="00CF6C9B" w:rsidRPr="00CF6C9B">
        <w:rPr>
          <w:rFonts w:asciiTheme="minorHAnsi" w:hAnsiTheme="minorHAnsi" w:cstheme="minorHAnsi"/>
          <w:sz w:val="22"/>
        </w:rPr>
        <w:t xml:space="preserve">it would be useful for retail investors to include a measure of historical performance for closed end funds in the summary </w:t>
      </w:r>
      <w:r w:rsidRPr="00592385">
        <w:rPr>
          <w:rFonts w:asciiTheme="minorHAnsi" w:hAnsiTheme="minorHAnsi" w:cstheme="minorHAnsi"/>
          <w:sz w:val="22"/>
        </w:rPr>
        <w:t xml:space="preserve">as </w:t>
      </w:r>
      <w:r w:rsidR="00CF6C9B">
        <w:rPr>
          <w:rFonts w:asciiTheme="minorHAnsi" w:hAnsiTheme="minorHAnsi" w:cstheme="minorHAnsi"/>
          <w:sz w:val="22"/>
        </w:rPr>
        <w:t xml:space="preserve">this is not our area of focus. </w:t>
      </w:r>
      <w:permEnd w:id="74319094"/>
      <w:r w:rsidR="00ED4063">
        <w:rPr>
          <w:rFonts w:cs="Arial"/>
        </w:rPr>
        <w:t>&lt;ESMA_QUESTION_PR_11&gt;</w:t>
      </w:r>
    </w:p>
    <w:p w14:paraId="301D056F" w14:textId="3657923A" w:rsidR="00ED4063" w:rsidRDefault="00ED4063" w:rsidP="00ED4063">
      <w:pPr>
        <w:rPr>
          <w:rFonts w:cs="Arial"/>
        </w:rPr>
      </w:pPr>
    </w:p>
    <w:p w14:paraId="58918446" w14:textId="77777777" w:rsidR="00ED4063" w:rsidRDefault="00ED4063" w:rsidP="00ED4063">
      <w:pPr>
        <w:rPr>
          <w:rFonts w:cs="Arial"/>
        </w:rPr>
      </w:pPr>
    </w:p>
    <w:p w14:paraId="3BAE7906" w14:textId="77777777" w:rsidR="00ED4063" w:rsidRDefault="00ED4063" w:rsidP="00ED4063">
      <w:pPr>
        <w:rPr>
          <w:rFonts w:cs="Arial"/>
        </w:rPr>
      </w:pPr>
    </w:p>
    <w:p w14:paraId="2F65C248" w14:textId="77777777" w:rsidR="00ED4063" w:rsidRPr="00B2474F" w:rsidRDefault="00ED4063" w:rsidP="005762EC">
      <w:pPr>
        <w:pStyle w:val="Questionstyle"/>
        <w:numPr>
          <w:ilvl w:val="0"/>
          <w:numId w:val="38"/>
        </w:numPr>
        <w:ind w:hanging="436"/>
        <w:rPr>
          <w:rFonts w:ascii="Arial" w:hAnsi="Arial" w:cs="Arial"/>
        </w:rPr>
      </w:pPr>
      <w:r w:rsidRPr="00B2474F">
        <w:rPr>
          <w:rFonts w:ascii="Arial" w:hAnsi="Arial" w:cs="Arial"/>
        </w:rPr>
        <w:t>: Given the page limit for the summary please provide your views on which items of historical financial information would be most useful for retail investors.</w:t>
      </w:r>
    </w:p>
    <w:p w14:paraId="6DDB1B98" w14:textId="77777777" w:rsidR="00ED4063" w:rsidRDefault="00ED4063" w:rsidP="00ED4063">
      <w:pPr>
        <w:rPr>
          <w:rFonts w:cs="Arial"/>
        </w:rPr>
      </w:pPr>
      <w:r>
        <w:rPr>
          <w:rFonts w:cs="Arial"/>
        </w:rPr>
        <w:t>&lt;ESMA_QUESTION_PR_12&gt;</w:t>
      </w:r>
    </w:p>
    <w:p w14:paraId="0CEA1519" w14:textId="738AD17D" w:rsidR="0033609C" w:rsidRDefault="00A965A3" w:rsidP="00C312B4">
      <w:pPr>
        <w:jc w:val="both"/>
        <w:rPr>
          <w:rFonts w:asciiTheme="minorHAnsi" w:hAnsiTheme="minorHAnsi" w:cstheme="minorHAnsi"/>
          <w:sz w:val="22"/>
        </w:rPr>
      </w:pPr>
      <w:permStart w:id="829886599" w:edGrp="everyone"/>
      <w:r w:rsidRPr="00DF39F9">
        <w:rPr>
          <w:rFonts w:asciiTheme="minorHAnsi" w:hAnsiTheme="minorHAnsi" w:cstheme="minorHAnsi"/>
          <w:sz w:val="22"/>
        </w:rPr>
        <w:t xml:space="preserve">As noted in our general remarks above, prescriptive requirements such as those envisaged in the draft RTS for key financial information in the summary can have unexpected results in practice when they are applied to the wide range of prospectuses prepared under the </w:t>
      </w:r>
      <w:r w:rsidR="00B2474F">
        <w:rPr>
          <w:rFonts w:asciiTheme="minorHAnsi" w:hAnsiTheme="minorHAnsi" w:cstheme="minorHAnsi"/>
          <w:sz w:val="22"/>
        </w:rPr>
        <w:t>EU prospectus regime.</w:t>
      </w:r>
      <w:r w:rsidRPr="00DF39F9">
        <w:rPr>
          <w:rFonts w:asciiTheme="minorHAnsi" w:hAnsiTheme="minorHAnsi" w:cstheme="minorHAnsi"/>
          <w:sz w:val="22"/>
        </w:rPr>
        <w:t xml:space="preserve"> </w:t>
      </w:r>
    </w:p>
    <w:p w14:paraId="01B7C219" w14:textId="77777777" w:rsidR="0033609C" w:rsidRDefault="0033609C" w:rsidP="00C312B4">
      <w:pPr>
        <w:jc w:val="both"/>
        <w:rPr>
          <w:rFonts w:asciiTheme="minorHAnsi" w:hAnsiTheme="minorHAnsi" w:cstheme="minorHAnsi"/>
          <w:sz w:val="22"/>
        </w:rPr>
      </w:pPr>
    </w:p>
    <w:p w14:paraId="632ECB20" w14:textId="160A84D8" w:rsidR="0055346A" w:rsidRDefault="0033609C" w:rsidP="00C312B4">
      <w:pPr>
        <w:jc w:val="both"/>
        <w:rPr>
          <w:rFonts w:asciiTheme="minorHAnsi" w:hAnsiTheme="minorHAnsi" w:cstheme="minorHAnsi"/>
          <w:sz w:val="22"/>
        </w:rPr>
      </w:pPr>
      <w:r>
        <w:rPr>
          <w:rFonts w:asciiTheme="minorHAnsi" w:hAnsiTheme="minorHAnsi" w:cstheme="minorHAnsi"/>
          <w:sz w:val="22"/>
        </w:rPr>
        <w:t xml:space="preserve">It is very difficult (if not impossible) to predict and cater for all types of businesses that may wish to prepare </w:t>
      </w:r>
      <w:r w:rsidR="00D406D1">
        <w:rPr>
          <w:rFonts w:asciiTheme="minorHAnsi" w:hAnsiTheme="minorHAnsi" w:cstheme="minorHAnsi"/>
          <w:sz w:val="22"/>
        </w:rPr>
        <w:t xml:space="preserve">a summary </w:t>
      </w:r>
      <w:proofErr w:type="gramStart"/>
      <w:r w:rsidR="00D406D1">
        <w:rPr>
          <w:rFonts w:asciiTheme="minorHAnsi" w:hAnsiTheme="minorHAnsi" w:cstheme="minorHAnsi"/>
          <w:sz w:val="22"/>
        </w:rPr>
        <w:t>in order to</w:t>
      </w:r>
      <w:proofErr w:type="gramEnd"/>
      <w:r w:rsidR="00D406D1">
        <w:rPr>
          <w:rFonts w:asciiTheme="minorHAnsi" w:hAnsiTheme="minorHAnsi" w:cstheme="minorHAnsi"/>
          <w:sz w:val="22"/>
        </w:rPr>
        <w:t xml:space="preserve"> issue non-equity</w:t>
      </w:r>
      <w:r>
        <w:rPr>
          <w:rFonts w:asciiTheme="minorHAnsi" w:hAnsiTheme="minorHAnsi" w:cstheme="minorHAnsi"/>
          <w:sz w:val="22"/>
        </w:rPr>
        <w:t xml:space="preserve"> securities </w:t>
      </w:r>
      <w:r w:rsidR="00975C3A">
        <w:rPr>
          <w:rFonts w:asciiTheme="minorHAnsi" w:hAnsiTheme="minorHAnsi" w:cstheme="minorHAnsi"/>
          <w:sz w:val="22"/>
        </w:rPr>
        <w:t>with</w:t>
      </w:r>
      <w:r>
        <w:rPr>
          <w:rFonts w:asciiTheme="minorHAnsi" w:hAnsiTheme="minorHAnsi" w:cstheme="minorHAnsi"/>
          <w:sz w:val="22"/>
        </w:rPr>
        <w:t xml:space="preserve"> a low denomination. </w:t>
      </w:r>
    </w:p>
    <w:p w14:paraId="5B27474E" w14:textId="77777777" w:rsidR="0055346A" w:rsidRDefault="0055346A" w:rsidP="00C312B4">
      <w:pPr>
        <w:jc w:val="both"/>
        <w:rPr>
          <w:rFonts w:asciiTheme="minorHAnsi" w:hAnsiTheme="minorHAnsi" w:cstheme="minorHAnsi"/>
          <w:sz w:val="22"/>
        </w:rPr>
      </w:pPr>
    </w:p>
    <w:p w14:paraId="093A8EE4" w14:textId="51F805AD" w:rsidR="00975C3A" w:rsidRDefault="002E256D" w:rsidP="00C312B4">
      <w:pPr>
        <w:jc w:val="both"/>
        <w:rPr>
          <w:rFonts w:asciiTheme="minorHAnsi" w:hAnsiTheme="minorHAnsi" w:cstheme="minorHAnsi"/>
          <w:sz w:val="22"/>
        </w:rPr>
      </w:pPr>
      <w:r>
        <w:rPr>
          <w:rFonts w:asciiTheme="minorHAnsi" w:hAnsiTheme="minorHAnsi" w:cstheme="minorHAnsi"/>
          <w:sz w:val="22"/>
        </w:rPr>
        <w:t>If</w:t>
      </w:r>
      <w:r w:rsidR="00A965A3">
        <w:rPr>
          <w:rFonts w:asciiTheme="minorHAnsi" w:hAnsiTheme="minorHAnsi" w:cstheme="minorHAnsi"/>
          <w:sz w:val="22"/>
        </w:rPr>
        <w:t xml:space="preserve"> an issuer considers there to be several line items from its financial information that are key for an investor and disclosure of </w:t>
      </w:r>
      <w:proofErr w:type="gramStart"/>
      <w:r w:rsidR="00A965A3">
        <w:rPr>
          <w:rFonts w:asciiTheme="minorHAnsi" w:hAnsiTheme="minorHAnsi" w:cstheme="minorHAnsi"/>
          <w:sz w:val="22"/>
        </w:rPr>
        <w:t>all of</w:t>
      </w:r>
      <w:proofErr w:type="gramEnd"/>
      <w:r w:rsidR="00A965A3">
        <w:rPr>
          <w:rFonts w:asciiTheme="minorHAnsi" w:hAnsiTheme="minorHAnsi" w:cstheme="minorHAnsi"/>
          <w:sz w:val="22"/>
        </w:rPr>
        <w:t xml:space="preserve"> those line items is needed for it to meet its obligation under P</w:t>
      </w:r>
      <w:r w:rsidR="000B54AA">
        <w:rPr>
          <w:rFonts w:asciiTheme="minorHAnsi" w:hAnsiTheme="minorHAnsi" w:cstheme="minorHAnsi"/>
          <w:sz w:val="22"/>
        </w:rPr>
        <w:t>rospectus Regulation</w:t>
      </w:r>
      <w:r w:rsidR="00D406D1">
        <w:rPr>
          <w:rFonts w:asciiTheme="minorHAnsi" w:hAnsiTheme="minorHAnsi" w:cstheme="minorHAnsi"/>
          <w:sz w:val="22"/>
        </w:rPr>
        <w:t xml:space="preserve"> Article 7</w:t>
      </w:r>
      <w:r w:rsidR="00A965A3">
        <w:rPr>
          <w:rFonts w:asciiTheme="minorHAnsi" w:hAnsiTheme="minorHAnsi" w:cstheme="minorHAnsi"/>
          <w:sz w:val="22"/>
        </w:rPr>
        <w:t xml:space="preserve">, it should not be restricted from disclosing all those line items by virtue of a </w:t>
      </w:r>
      <w:r w:rsidR="00AC4133">
        <w:rPr>
          <w:rFonts w:asciiTheme="minorHAnsi" w:hAnsiTheme="minorHAnsi" w:cstheme="minorHAnsi"/>
          <w:sz w:val="22"/>
        </w:rPr>
        <w:t>strictly delineated</w:t>
      </w:r>
      <w:r w:rsidR="00A965A3">
        <w:rPr>
          <w:rFonts w:asciiTheme="minorHAnsi" w:hAnsiTheme="minorHAnsi" w:cstheme="minorHAnsi"/>
          <w:sz w:val="22"/>
        </w:rPr>
        <w:t xml:space="preserve"> Level 2 regime.</w:t>
      </w:r>
      <w:r w:rsidR="003737B0">
        <w:rPr>
          <w:rFonts w:asciiTheme="minorHAnsi" w:hAnsiTheme="minorHAnsi" w:cstheme="minorHAnsi"/>
          <w:sz w:val="22"/>
        </w:rPr>
        <w:t xml:space="preserve"> </w:t>
      </w:r>
    </w:p>
    <w:p w14:paraId="14BB94D7" w14:textId="77777777" w:rsidR="00D406D1" w:rsidRDefault="00D406D1" w:rsidP="00C312B4">
      <w:pPr>
        <w:jc w:val="both"/>
        <w:rPr>
          <w:rFonts w:asciiTheme="minorHAnsi" w:hAnsiTheme="minorHAnsi" w:cstheme="minorHAnsi"/>
          <w:sz w:val="22"/>
        </w:rPr>
      </w:pPr>
    </w:p>
    <w:p w14:paraId="5899F5BD" w14:textId="200900BD" w:rsidR="00EE6C5A" w:rsidRDefault="003737B0" w:rsidP="00C312B4">
      <w:pPr>
        <w:jc w:val="both"/>
        <w:rPr>
          <w:rFonts w:asciiTheme="minorHAnsi" w:hAnsiTheme="minorHAnsi" w:cstheme="minorHAnsi"/>
          <w:sz w:val="22"/>
        </w:rPr>
      </w:pPr>
      <w:r>
        <w:rPr>
          <w:rFonts w:asciiTheme="minorHAnsi" w:hAnsiTheme="minorHAnsi" w:cstheme="minorHAnsi"/>
          <w:sz w:val="22"/>
        </w:rPr>
        <w:t xml:space="preserve">Summaries </w:t>
      </w:r>
      <w:proofErr w:type="gramStart"/>
      <w:r>
        <w:rPr>
          <w:rFonts w:asciiTheme="minorHAnsi" w:hAnsiTheme="minorHAnsi" w:cstheme="minorHAnsi"/>
          <w:sz w:val="22"/>
        </w:rPr>
        <w:t>at the moment</w:t>
      </w:r>
      <w:proofErr w:type="gramEnd"/>
      <w:r>
        <w:rPr>
          <w:rFonts w:asciiTheme="minorHAnsi" w:hAnsiTheme="minorHAnsi" w:cstheme="minorHAnsi"/>
          <w:sz w:val="22"/>
        </w:rPr>
        <w:t xml:space="preserve"> will typically include more line items than the ones envisaged by ESMA in the draft RTS annexes and three others.</w:t>
      </w:r>
      <w:r w:rsidR="00A965A3">
        <w:rPr>
          <w:rFonts w:asciiTheme="minorHAnsi" w:hAnsiTheme="minorHAnsi" w:cstheme="minorHAnsi"/>
          <w:sz w:val="22"/>
        </w:rPr>
        <w:t xml:space="preserve"> </w:t>
      </w:r>
      <w:r w:rsidR="00CA2C95">
        <w:rPr>
          <w:rFonts w:asciiTheme="minorHAnsi" w:hAnsiTheme="minorHAnsi" w:cstheme="minorHAnsi"/>
          <w:sz w:val="22"/>
        </w:rPr>
        <w:t>Flexibility is particularly important in</w:t>
      </w:r>
      <w:r w:rsidR="00D406D1">
        <w:rPr>
          <w:rFonts w:asciiTheme="minorHAnsi" w:hAnsiTheme="minorHAnsi" w:cstheme="minorHAnsi"/>
          <w:sz w:val="22"/>
        </w:rPr>
        <w:t xml:space="preserve"> the context of issuance of non-equity</w:t>
      </w:r>
      <w:r w:rsidR="00CA2C95">
        <w:rPr>
          <w:rFonts w:asciiTheme="minorHAnsi" w:hAnsiTheme="minorHAnsi" w:cstheme="minorHAnsi"/>
          <w:sz w:val="22"/>
        </w:rPr>
        <w:t xml:space="preserve"> securities targeted at investors in and outside of Europe</w:t>
      </w:r>
      <w:r w:rsidR="002351C5">
        <w:rPr>
          <w:rFonts w:asciiTheme="minorHAnsi" w:hAnsiTheme="minorHAnsi" w:cstheme="minorHAnsi"/>
          <w:sz w:val="22"/>
        </w:rPr>
        <w:t xml:space="preserve"> as</w:t>
      </w:r>
      <w:r w:rsidR="00CA2C95">
        <w:rPr>
          <w:rFonts w:asciiTheme="minorHAnsi" w:hAnsiTheme="minorHAnsi" w:cstheme="minorHAnsi"/>
          <w:sz w:val="22"/>
        </w:rPr>
        <w:t xml:space="preserve"> t</w:t>
      </w:r>
      <w:r w:rsidR="00CA2C95" w:rsidRPr="00CA2C95">
        <w:rPr>
          <w:rFonts w:asciiTheme="minorHAnsi" w:hAnsiTheme="minorHAnsi" w:cstheme="minorHAnsi"/>
          <w:sz w:val="22"/>
        </w:rPr>
        <w:t xml:space="preserve">here </w:t>
      </w:r>
      <w:r w:rsidR="002351C5">
        <w:rPr>
          <w:rFonts w:asciiTheme="minorHAnsi" w:hAnsiTheme="minorHAnsi" w:cstheme="minorHAnsi"/>
          <w:sz w:val="22"/>
        </w:rPr>
        <w:t>may</w:t>
      </w:r>
      <w:r w:rsidR="00CA2C95" w:rsidRPr="00CA2C95">
        <w:rPr>
          <w:rFonts w:asciiTheme="minorHAnsi" w:hAnsiTheme="minorHAnsi" w:cstheme="minorHAnsi"/>
          <w:sz w:val="22"/>
        </w:rPr>
        <w:t xml:space="preserve"> be occasions where issuers </w:t>
      </w:r>
      <w:r w:rsidR="00CA2C95">
        <w:rPr>
          <w:rFonts w:asciiTheme="minorHAnsi" w:hAnsiTheme="minorHAnsi" w:cstheme="minorHAnsi"/>
          <w:sz w:val="22"/>
        </w:rPr>
        <w:t>need</w:t>
      </w:r>
      <w:r w:rsidR="00CA2C95" w:rsidRPr="00CA2C95">
        <w:rPr>
          <w:rFonts w:asciiTheme="minorHAnsi" w:hAnsiTheme="minorHAnsi" w:cstheme="minorHAnsi"/>
          <w:sz w:val="22"/>
        </w:rPr>
        <w:t xml:space="preserve"> to include additional informati</w:t>
      </w:r>
      <w:r w:rsidR="00CA2C95">
        <w:rPr>
          <w:rFonts w:asciiTheme="minorHAnsi" w:hAnsiTheme="minorHAnsi" w:cstheme="minorHAnsi"/>
          <w:sz w:val="22"/>
        </w:rPr>
        <w:t>on or reflect prac</w:t>
      </w:r>
      <w:r w:rsidR="00CA2C95" w:rsidRPr="00CA2C95">
        <w:rPr>
          <w:rFonts w:asciiTheme="minorHAnsi" w:hAnsiTheme="minorHAnsi" w:cstheme="minorHAnsi"/>
          <w:sz w:val="22"/>
        </w:rPr>
        <w:t xml:space="preserve">tices in other markets </w:t>
      </w:r>
      <w:r w:rsidR="00975C3A">
        <w:rPr>
          <w:rFonts w:asciiTheme="minorHAnsi" w:hAnsiTheme="minorHAnsi" w:cstheme="minorHAnsi"/>
          <w:sz w:val="22"/>
        </w:rPr>
        <w:t>in their prospectus summary</w:t>
      </w:r>
      <w:r w:rsidR="00CA2C95" w:rsidRPr="00CA2C95">
        <w:rPr>
          <w:rFonts w:asciiTheme="minorHAnsi" w:hAnsiTheme="minorHAnsi" w:cstheme="minorHAnsi"/>
          <w:sz w:val="22"/>
        </w:rPr>
        <w:t xml:space="preserve">. </w:t>
      </w:r>
    </w:p>
    <w:p w14:paraId="1BE67319" w14:textId="77777777" w:rsidR="00EE6C5A" w:rsidRDefault="00EE6C5A" w:rsidP="00C312B4">
      <w:pPr>
        <w:jc w:val="both"/>
        <w:rPr>
          <w:rFonts w:asciiTheme="minorHAnsi" w:hAnsiTheme="minorHAnsi" w:cstheme="minorHAnsi"/>
          <w:sz w:val="22"/>
        </w:rPr>
      </w:pPr>
    </w:p>
    <w:p w14:paraId="08ADE62B" w14:textId="2006BBD9" w:rsidR="0033609C" w:rsidRDefault="008D1C7A" w:rsidP="00C312B4">
      <w:pPr>
        <w:jc w:val="both"/>
        <w:rPr>
          <w:rFonts w:asciiTheme="minorHAnsi" w:hAnsiTheme="minorHAnsi" w:cstheme="minorHAnsi"/>
          <w:sz w:val="22"/>
        </w:rPr>
      </w:pPr>
      <w:r>
        <w:rPr>
          <w:rFonts w:asciiTheme="minorHAnsi" w:hAnsiTheme="minorHAnsi" w:cstheme="minorHAnsi"/>
          <w:sz w:val="22"/>
        </w:rPr>
        <w:t>Similarly, if an issuer considers that the mandatory line items in the Annexes are not “key” financial information, they will have used valuable space in the summary on</w:t>
      </w:r>
      <w:r w:rsidR="00FE5F2F">
        <w:rPr>
          <w:rFonts w:asciiTheme="minorHAnsi" w:hAnsiTheme="minorHAnsi" w:cstheme="minorHAnsi"/>
          <w:sz w:val="22"/>
        </w:rPr>
        <w:t xml:space="preserve"> disclosing</w:t>
      </w:r>
      <w:r>
        <w:rPr>
          <w:rFonts w:asciiTheme="minorHAnsi" w:hAnsiTheme="minorHAnsi" w:cstheme="minorHAnsi"/>
          <w:sz w:val="22"/>
        </w:rPr>
        <w:t xml:space="preserve"> information that is not key for investors.</w:t>
      </w:r>
      <w:r w:rsidR="00DB245B">
        <w:rPr>
          <w:rFonts w:asciiTheme="minorHAnsi" w:hAnsiTheme="minorHAnsi" w:cstheme="minorHAnsi"/>
          <w:sz w:val="22"/>
        </w:rPr>
        <w:t xml:space="preserve"> This </w:t>
      </w:r>
      <w:r w:rsidR="00D406D1">
        <w:rPr>
          <w:rFonts w:asciiTheme="minorHAnsi" w:hAnsiTheme="minorHAnsi" w:cstheme="minorHAnsi"/>
          <w:sz w:val="22"/>
        </w:rPr>
        <w:t>may</w:t>
      </w:r>
      <w:r w:rsidR="00DB245B">
        <w:rPr>
          <w:rFonts w:asciiTheme="minorHAnsi" w:hAnsiTheme="minorHAnsi" w:cstheme="minorHAnsi"/>
          <w:sz w:val="22"/>
        </w:rPr>
        <w:t xml:space="preserve"> be particularly relevant in relation to the disclosure of regulatory capital ratios.</w:t>
      </w:r>
      <w:r w:rsidRPr="009C2B37">
        <w:rPr>
          <w:rFonts w:asciiTheme="minorHAnsi" w:hAnsiTheme="minorHAnsi" w:cstheme="minorHAnsi"/>
          <w:color w:val="FF0000"/>
          <w:sz w:val="22"/>
        </w:rPr>
        <w:t xml:space="preserve"> </w:t>
      </w:r>
    </w:p>
    <w:p w14:paraId="65A81CD1" w14:textId="64C070B9" w:rsidR="00C3251C" w:rsidRDefault="00C3251C" w:rsidP="00C312B4">
      <w:pPr>
        <w:jc w:val="both"/>
        <w:rPr>
          <w:rFonts w:asciiTheme="minorHAnsi" w:hAnsiTheme="minorHAnsi" w:cstheme="minorHAnsi"/>
          <w:sz w:val="22"/>
        </w:rPr>
      </w:pPr>
    </w:p>
    <w:p w14:paraId="7747DDB9" w14:textId="4D1BD20A" w:rsidR="00CD36F4" w:rsidRDefault="00AC4133" w:rsidP="00C312B4">
      <w:pPr>
        <w:jc w:val="both"/>
        <w:rPr>
          <w:rFonts w:asciiTheme="minorHAnsi" w:hAnsiTheme="minorHAnsi" w:cstheme="minorHAnsi"/>
          <w:sz w:val="22"/>
        </w:rPr>
      </w:pPr>
      <w:r>
        <w:rPr>
          <w:rFonts w:asciiTheme="minorHAnsi" w:hAnsiTheme="minorHAnsi" w:cstheme="minorHAnsi"/>
          <w:sz w:val="22"/>
        </w:rPr>
        <w:t>In addition, it seems slightly contradictory</w:t>
      </w:r>
      <w:r w:rsidR="00FE5F2F">
        <w:rPr>
          <w:rFonts w:asciiTheme="minorHAnsi" w:hAnsiTheme="minorHAnsi" w:cstheme="minorHAnsi"/>
          <w:sz w:val="22"/>
        </w:rPr>
        <w:t xml:space="preserve"> for ESMA to be mandating a restrictive approach to disclosing key financial information in the summary at a time when IFRS is requiring </w:t>
      </w:r>
      <w:r w:rsidR="0080631D">
        <w:rPr>
          <w:rFonts w:asciiTheme="minorHAnsi" w:hAnsiTheme="minorHAnsi" w:cstheme="minorHAnsi"/>
          <w:sz w:val="22"/>
        </w:rPr>
        <w:t xml:space="preserve">companies to include increasing levels of disclosure in their financial statements. </w:t>
      </w:r>
      <w:r w:rsidR="003737B0">
        <w:rPr>
          <w:rFonts w:asciiTheme="minorHAnsi" w:hAnsiTheme="minorHAnsi" w:cstheme="minorHAnsi"/>
          <w:sz w:val="22"/>
        </w:rPr>
        <w:t>On the other hand, we</w:t>
      </w:r>
      <w:r w:rsidR="00CD36F4">
        <w:rPr>
          <w:rFonts w:asciiTheme="minorHAnsi" w:hAnsiTheme="minorHAnsi" w:cstheme="minorHAnsi"/>
          <w:sz w:val="22"/>
        </w:rPr>
        <w:t xml:space="preserve"> note that</w:t>
      </w:r>
      <w:r w:rsidR="0080631D">
        <w:rPr>
          <w:rFonts w:asciiTheme="minorHAnsi" w:hAnsiTheme="minorHAnsi" w:cstheme="minorHAnsi"/>
          <w:sz w:val="22"/>
        </w:rPr>
        <w:t xml:space="preserve"> certain of the line items mandated by ESMA are not required by IFRS (e.g. </w:t>
      </w:r>
      <w:r w:rsidR="00CD36F4">
        <w:rPr>
          <w:rFonts w:asciiTheme="minorHAnsi" w:hAnsiTheme="minorHAnsi" w:cstheme="minorHAnsi"/>
          <w:sz w:val="22"/>
        </w:rPr>
        <w:t>operating profit/loss in Annexes I and II), although feedback from one</w:t>
      </w:r>
      <w:r w:rsidR="00CE5178">
        <w:rPr>
          <w:rFonts w:asciiTheme="minorHAnsi" w:hAnsiTheme="minorHAnsi" w:cstheme="minorHAnsi"/>
          <w:sz w:val="22"/>
        </w:rPr>
        <w:t xml:space="preserve"> leading</w:t>
      </w:r>
      <w:r w:rsidR="00CD36F4">
        <w:rPr>
          <w:rFonts w:asciiTheme="minorHAnsi" w:hAnsiTheme="minorHAnsi" w:cstheme="minorHAnsi"/>
          <w:sz w:val="22"/>
        </w:rPr>
        <w:t xml:space="preserve"> audit firm suggests that most companies do include this line item or a similar measure in their financial statements. </w:t>
      </w:r>
    </w:p>
    <w:p w14:paraId="1E0A1B46" w14:textId="77777777" w:rsidR="00CD36F4" w:rsidRDefault="00CD36F4" w:rsidP="00C312B4">
      <w:pPr>
        <w:jc w:val="both"/>
        <w:rPr>
          <w:rFonts w:asciiTheme="minorHAnsi" w:hAnsiTheme="minorHAnsi" w:cstheme="minorHAnsi"/>
          <w:sz w:val="22"/>
        </w:rPr>
      </w:pPr>
    </w:p>
    <w:p w14:paraId="2D8AE52D" w14:textId="7EF91E1D" w:rsidR="008D1C7A" w:rsidRDefault="00CD36F4" w:rsidP="00C312B4">
      <w:pPr>
        <w:jc w:val="both"/>
        <w:rPr>
          <w:rFonts w:asciiTheme="minorHAnsi" w:hAnsiTheme="minorHAnsi" w:cstheme="minorHAnsi"/>
          <w:sz w:val="22"/>
        </w:rPr>
      </w:pPr>
      <w:r>
        <w:rPr>
          <w:rFonts w:asciiTheme="minorHAnsi" w:hAnsiTheme="minorHAnsi" w:cstheme="minorHAnsi"/>
          <w:sz w:val="22"/>
        </w:rPr>
        <w:t xml:space="preserve">Another example of the difficulties that can arise when a prescriptive approach is adopted is the question of how complex businesses should approach their disclosure. For example, a </w:t>
      </w:r>
      <w:r w:rsidR="00A12B4F">
        <w:rPr>
          <w:rFonts w:asciiTheme="minorHAnsi" w:hAnsiTheme="minorHAnsi" w:cstheme="minorHAnsi"/>
          <w:sz w:val="22"/>
        </w:rPr>
        <w:t>complex</w:t>
      </w:r>
      <w:r>
        <w:rPr>
          <w:rFonts w:asciiTheme="minorHAnsi" w:hAnsiTheme="minorHAnsi" w:cstheme="minorHAnsi"/>
          <w:sz w:val="22"/>
        </w:rPr>
        <w:t xml:space="preserve"> financial institution may </w:t>
      </w:r>
      <w:r w:rsidR="00A12B4F">
        <w:rPr>
          <w:rFonts w:asciiTheme="minorHAnsi" w:hAnsiTheme="minorHAnsi" w:cstheme="minorHAnsi"/>
          <w:sz w:val="22"/>
        </w:rPr>
        <w:t xml:space="preserve">have both credit and insurance operations, which will be reflected in its financial statements. </w:t>
      </w:r>
      <w:r w:rsidR="003737B0">
        <w:rPr>
          <w:rFonts w:asciiTheme="minorHAnsi" w:hAnsiTheme="minorHAnsi" w:cstheme="minorHAnsi"/>
          <w:sz w:val="22"/>
        </w:rPr>
        <w:t xml:space="preserve">It may </w:t>
      </w:r>
      <w:r w:rsidR="003737B0">
        <w:rPr>
          <w:rFonts w:asciiTheme="minorHAnsi" w:hAnsiTheme="minorHAnsi" w:cstheme="minorHAnsi"/>
          <w:sz w:val="22"/>
        </w:rPr>
        <w:lastRenderedPageBreak/>
        <w:t>therefore not be clear which</w:t>
      </w:r>
      <w:r>
        <w:rPr>
          <w:rFonts w:asciiTheme="minorHAnsi" w:hAnsiTheme="minorHAnsi" w:cstheme="minorHAnsi"/>
          <w:sz w:val="22"/>
        </w:rPr>
        <w:t xml:space="preserve"> annex</w:t>
      </w:r>
      <w:r w:rsidR="00A12B4F">
        <w:rPr>
          <w:rFonts w:asciiTheme="minorHAnsi" w:hAnsiTheme="minorHAnsi" w:cstheme="minorHAnsi"/>
          <w:sz w:val="22"/>
        </w:rPr>
        <w:t xml:space="preserve"> to</w:t>
      </w:r>
      <w:r>
        <w:rPr>
          <w:rFonts w:asciiTheme="minorHAnsi" w:hAnsiTheme="minorHAnsi" w:cstheme="minorHAnsi"/>
          <w:sz w:val="22"/>
        </w:rPr>
        <w:t xml:space="preserve"> the RTS should be used</w:t>
      </w:r>
      <w:r w:rsidR="003737B0">
        <w:rPr>
          <w:rFonts w:asciiTheme="minorHAnsi" w:hAnsiTheme="minorHAnsi" w:cstheme="minorHAnsi"/>
          <w:sz w:val="22"/>
        </w:rPr>
        <w:t xml:space="preserve"> and, even where it is clear, there may be line items from another annex that will be relevant to the issuer</w:t>
      </w:r>
      <w:r>
        <w:rPr>
          <w:rFonts w:asciiTheme="minorHAnsi" w:hAnsiTheme="minorHAnsi" w:cstheme="minorHAnsi"/>
          <w:sz w:val="22"/>
        </w:rPr>
        <w:t>.</w:t>
      </w:r>
      <w:r w:rsidR="00842A18">
        <w:rPr>
          <w:rFonts w:asciiTheme="minorHAnsi" w:hAnsiTheme="minorHAnsi" w:cstheme="minorHAnsi"/>
          <w:sz w:val="22"/>
        </w:rPr>
        <w:t xml:space="preserve"> </w:t>
      </w:r>
      <w:r w:rsidR="00C3251C">
        <w:rPr>
          <w:rFonts w:asciiTheme="minorHAnsi" w:hAnsiTheme="minorHAnsi" w:cstheme="minorHAnsi"/>
          <w:sz w:val="22"/>
        </w:rPr>
        <w:t xml:space="preserve">See also </w:t>
      </w:r>
      <w:r w:rsidR="006333AC">
        <w:rPr>
          <w:rFonts w:asciiTheme="minorHAnsi" w:hAnsiTheme="minorHAnsi" w:cstheme="minorHAnsi"/>
          <w:sz w:val="22"/>
        </w:rPr>
        <w:t xml:space="preserve">our response to </w:t>
      </w:r>
      <w:r w:rsidR="00842A18">
        <w:rPr>
          <w:rFonts w:asciiTheme="minorHAnsi" w:hAnsiTheme="minorHAnsi" w:cstheme="minorHAnsi"/>
          <w:sz w:val="22"/>
        </w:rPr>
        <w:t>Q2 above.</w:t>
      </w:r>
    </w:p>
    <w:p w14:paraId="6C19ED5C" w14:textId="5B85892F" w:rsidR="00CA2C95" w:rsidRDefault="00CA2C95" w:rsidP="00C312B4">
      <w:pPr>
        <w:jc w:val="both"/>
        <w:rPr>
          <w:rFonts w:asciiTheme="minorHAnsi" w:hAnsiTheme="minorHAnsi" w:cstheme="minorHAnsi"/>
          <w:sz w:val="22"/>
        </w:rPr>
      </w:pPr>
    </w:p>
    <w:p w14:paraId="5A4D8CA8" w14:textId="7830B8CF" w:rsidR="00CA2C95" w:rsidRDefault="00CA2C95" w:rsidP="00C312B4">
      <w:pPr>
        <w:jc w:val="both"/>
        <w:rPr>
          <w:rFonts w:asciiTheme="minorHAnsi" w:hAnsiTheme="minorHAnsi" w:cstheme="minorHAnsi"/>
          <w:sz w:val="22"/>
        </w:rPr>
      </w:pPr>
      <w:r>
        <w:rPr>
          <w:rFonts w:asciiTheme="minorHAnsi" w:hAnsiTheme="minorHAnsi" w:cstheme="minorHAnsi"/>
          <w:sz w:val="22"/>
        </w:rPr>
        <w:t xml:space="preserve">More generally, the restrictions envisaged in the draft RTS may further </w:t>
      </w:r>
      <w:proofErr w:type="spellStart"/>
      <w:r>
        <w:rPr>
          <w:rFonts w:asciiTheme="minorHAnsi" w:hAnsiTheme="minorHAnsi" w:cstheme="minorHAnsi"/>
          <w:sz w:val="22"/>
        </w:rPr>
        <w:t>disincentivise</w:t>
      </w:r>
      <w:proofErr w:type="spellEnd"/>
      <w:r>
        <w:rPr>
          <w:rFonts w:asciiTheme="minorHAnsi" w:hAnsiTheme="minorHAnsi" w:cstheme="minorHAnsi"/>
          <w:sz w:val="22"/>
        </w:rPr>
        <w:t xml:space="preserve"> retail bond issuance because issuers will face increased costs in seeking to comply with specific requirements that may not align with their </w:t>
      </w:r>
      <w:proofErr w:type="gramStart"/>
      <w:r>
        <w:rPr>
          <w:rFonts w:asciiTheme="minorHAnsi" w:hAnsiTheme="minorHAnsi" w:cstheme="minorHAnsi"/>
          <w:sz w:val="22"/>
        </w:rPr>
        <w:t>particular disclosure</w:t>
      </w:r>
      <w:proofErr w:type="gramEnd"/>
      <w:r>
        <w:rPr>
          <w:rFonts w:asciiTheme="minorHAnsi" w:hAnsiTheme="minorHAnsi" w:cstheme="minorHAnsi"/>
          <w:sz w:val="22"/>
        </w:rPr>
        <w:t xml:space="preserve"> needs (see further our response to Q13 below). </w:t>
      </w:r>
    </w:p>
    <w:p w14:paraId="2A7B1F5C" w14:textId="77777777" w:rsidR="00CD36F4" w:rsidRDefault="00CD36F4" w:rsidP="00C312B4">
      <w:pPr>
        <w:jc w:val="both"/>
        <w:rPr>
          <w:rFonts w:asciiTheme="minorHAnsi" w:hAnsiTheme="minorHAnsi" w:cstheme="minorHAnsi"/>
          <w:sz w:val="22"/>
        </w:rPr>
      </w:pPr>
    </w:p>
    <w:p w14:paraId="33BF2B80" w14:textId="0C2B53F9" w:rsidR="00FE5F2F" w:rsidRDefault="00A965A3" w:rsidP="00C312B4">
      <w:pPr>
        <w:jc w:val="both"/>
        <w:rPr>
          <w:rFonts w:asciiTheme="minorHAnsi" w:hAnsiTheme="minorHAnsi" w:cstheme="minorHAnsi"/>
          <w:sz w:val="22"/>
          <w:szCs w:val="22"/>
        </w:rPr>
      </w:pPr>
      <w:r w:rsidRPr="00DF39F9">
        <w:rPr>
          <w:rFonts w:asciiTheme="minorHAnsi" w:hAnsiTheme="minorHAnsi" w:cstheme="minorHAnsi"/>
          <w:sz w:val="22"/>
        </w:rPr>
        <w:t>A more flexible approach</w:t>
      </w:r>
      <w:r w:rsidR="00EE6C5A">
        <w:rPr>
          <w:rFonts w:asciiTheme="minorHAnsi" w:hAnsiTheme="minorHAnsi" w:cstheme="minorHAnsi"/>
          <w:sz w:val="22"/>
        </w:rPr>
        <w:t>,</w:t>
      </w:r>
      <w:r w:rsidRPr="00DF39F9">
        <w:rPr>
          <w:rFonts w:asciiTheme="minorHAnsi" w:hAnsiTheme="minorHAnsi" w:cstheme="minorHAnsi"/>
          <w:sz w:val="22"/>
        </w:rPr>
        <w:t xml:space="preserve"> allowing issuers to disclose the financial information that </w:t>
      </w:r>
      <w:r w:rsidR="008D1C7A">
        <w:rPr>
          <w:rFonts w:asciiTheme="minorHAnsi" w:hAnsiTheme="minorHAnsi" w:cstheme="minorHAnsi"/>
          <w:sz w:val="22"/>
        </w:rPr>
        <w:t>t</w:t>
      </w:r>
      <w:r w:rsidRPr="00DF39F9">
        <w:rPr>
          <w:rFonts w:asciiTheme="minorHAnsi" w:hAnsiTheme="minorHAnsi" w:cstheme="minorHAnsi"/>
          <w:sz w:val="22"/>
        </w:rPr>
        <w:t>hey consider to be key for the purposes of the summary and in the context of their own business</w:t>
      </w:r>
      <w:r w:rsidR="00EE6C5A">
        <w:rPr>
          <w:rFonts w:asciiTheme="minorHAnsi" w:hAnsiTheme="minorHAnsi" w:cstheme="minorHAnsi"/>
          <w:sz w:val="22"/>
        </w:rPr>
        <w:t>,</w:t>
      </w:r>
      <w:r w:rsidRPr="00DF39F9">
        <w:rPr>
          <w:rFonts w:asciiTheme="minorHAnsi" w:hAnsiTheme="minorHAnsi" w:cstheme="minorHAnsi"/>
          <w:sz w:val="22"/>
        </w:rPr>
        <w:t xml:space="preserve"> would be preferable.</w:t>
      </w:r>
      <w:r w:rsidR="0033609C">
        <w:rPr>
          <w:rFonts w:asciiTheme="minorHAnsi" w:hAnsiTheme="minorHAnsi" w:cstheme="minorHAnsi"/>
          <w:sz w:val="22"/>
        </w:rPr>
        <w:t xml:space="preserve"> </w:t>
      </w:r>
      <w:r w:rsidR="00EE6C5A">
        <w:rPr>
          <w:rFonts w:asciiTheme="minorHAnsi" w:hAnsiTheme="minorHAnsi" w:cstheme="minorHAnsi"/>
          <w:sz w:val="22"/>
          <w:szCs w:val="22"/>
        </w:rPr>
        <w:t xml:space="preserve">This might </w:t>
      </w:r>
      <w:r w:rsidR="0033609C">
        <w:rPr>
          <w:rFonts w:asciiTheme="minorHAnsi" w:hAnsiTheme="minorHAnsi" w:cstheme="minorHAnsi"/>
          <w:sz w:val="22"/>
          <w:szCs w:val="22"/>
        </w:rPr>
        <w:t>involve an indication from ESMA of the range of line items that might be expected (but not mandated).</w:t>
      </w:r>
      <w:r w:rsidR="00FE5F2F">
        <w:rPr>
          <w:rFonts w:asciiTheme="minorHAnsi" w:hAnsiTheme="minorHAnsi" w:cstheme="minorHAnsi"/>
          <w:sz w:val="22"/>
          <w:szCs w:val="22"/>
        </w:rPr>
        <w:t xml:space="preserve"> </w:t>
      </w:r>
    </w:p>
    <w:p w14:paraId="3FBF42D1" w14:textId="6C499B86" w:rsidR="00A965A3" w:rsidRPr="00DF39F9" w:rsidRDefault="00A965A3" w:rsidP="00C312B4">
      <w:pPr>
        <w:jc w:val="both"/>
        <w:rPr>
          <w:rFonts w:asciiTheme="minorHAnsi" w:hAnsiTheme="minorHAnsi" w:cstheme="minorHAnsi"/>
          <w:sz w:val="22"/>
        </w:rPr>
      </w:pPr>
    </w:p>
    <w:p w14:paraId="4B8E051C" w14:textId="23BBD81E" w:rsidR="0066426E" w:rsidRDefault="001B2F11" w:rsidP="00C312B4">
      <w:pPr>
        <w:jc w:val="both"/>
        <w:rPr>
          <w:rFonts w:asciiTheme="minorHAnsi" w:hAnsiTheme="minorHAnsi" w:cstheme="minorHAnsi"/>
          <w:sz w:val="22"/>
          <w:szCs w:val="22"/>
        </w:rPr>
      </w:pPr>
      <w:r w:rsidRPr="0066426E">
        <w:rPr>
          <w:rFonts w:asciiTheme="minorHAnsi" w:hAnsiTheme="minorHAnsi" w:cstheme="minorHAnsi"/>
          <w:sz w:val="22"/>
          <w:szCs w:val="22"/>
        </w:rPr>
        <w:t xml:space="preserve">However, if the </w:t>
      </w:r>
      <w:r w:rsidR="00AC4133">
        <w:rPr>
          <w:rFonts w:asciiTheme="minorHAnsi" w:hAnsiTheme="minorHAnsi" w:cstheme="minorHAnsi"/>
          <w:sz w:val="22"/>
          <w:szCs w:val="22"/>
        </w:rPr>
        <w:t>proposed</w:t>
      </w:r>
      <w:r w:rsidRPr="0066426E">
        <w:rPr>
          <w:rFonts w:asciiTheme="minorHAnsi" w:hAnsiTheme="minorHAnsi" w:cstheme="minorHAnsi"/>
          <w:sz w:val="22"/>
          <w:szCs w:val="22"/>
        </w:rPr>
        <w:t xml:space="preserve"> annexes to the draft RTS are to be retained,</w:t>
      </w:r>
      <w:r w:rsidRPr="001B2F11">
        <w:rPr>
          <w:rFonts w:asciiTheme="minorHAnsi" w:hAnsiTheme="minorHAnsi" w:cstheme="minorHAnsi"/>
          <w:b/>
          <w:sz w:val="22"/>
          <w:szCs w:val="22"/>
        </w:rPr>
        <w:t xml:space="preserve"> it is very important that the proposed cap on the number of additional line items or APMs that can be included in the summary is removed.</w:t>
      </w:r>
      <w:r>
        <w:rPr>
          <w:rFonts w:asciiTheme="minorHAnsi" w:hAnsiTheme="minorHAnsi" w:cstheme="minorHAnsi"/>
          <w:b/>
          <w:sz w:val="22"/>
          <w:szCs w:val="22"/>
        </w:rPr>
        <w:t xml:space="preserve"> </w:t>
      </w:r>
      <w:r>
        <w:rPr>
          <w:rFonts w:asciiTheme="minorHAnsi" w:hAnsiTheme="minorHAnsi" w:cstheme="minorHAnsi"/>
          <w:sz w:val="22"/>
          <w:szCs w:val="22"/>
        </w:rPr>
        <w:t>This would</w:t>
      </w:r>
      <w:r w:rsidR="0066426E">
        <w:rPr>
          <w:rFonts w:asciiTheme="minorHAnsi" w:hAnsiTheme="minorHAnsi" w:cstheme="minorHAnsi"/>
          <w:sz w:val="22"/>
          <w:szCs w:val="22"/>
        </w:rPr>
        <w:t xml:space="preserve">: </w:t>
      </w:r>
    </w:p>
    <w:p w14:paraId="017C199E" w14:textId="5D9A63FB" w:rsidR="0066426E" w:rsidRPr="0066426E" w:rsidRDefault="001B2F11" w:rsidP="00C312B4">
      <w:pPr>
        <w:pStyle w:val="ListParagraph"/>
        <w:numPr>
          <w:ilvl w:val="0"/>
          <w:numId w:val="40"/>
        </w:numPr>
        <w:jc w:val="both"/>
        <w:rPr>
          <w:rFonts w:asciiTheme="minorHAnsi" w:hAnsiTheme="minorHAnsi" w:cstheme="minorHAnsi"/>
          <w:sz w:val="22"/>
        </w:rPr>
      </w:pPr>
      <w:r w:rsidRPr="0066426E">
        <w:rPr>
          <w:rFonts w:asciiTheme="minorHAnsi" w:hAnsiTheme="minorHAnsi" w:cstheme="minorHAnsi"/>
          <w:sz w:val="22"/>
          <w:szCs w:val="22"/>
        </w:rPr>
        <w:t xml:space="preserve">address the main concern with the current prescriptive approach – namely that an issuer might be prevented from disclosing all key financial information in the </w:t>
      </w:r>
      <w:r w:rsidR="0066426E">
        <w:rPr>
          <w:rFonts w:asciiTheme="minorHAnsi" w:hAnsiTheme="minorHAnsi" w:cstheme="minorHAnsi"/>
          <w:sz w:val="22"/>
          <w:szCs w:val="22"/>
        </w:rPr>
        <w:t>summary;</w:t>
      </w:r>
    </w:p>
    <w:p w14:paraId="1F2C40DF" w14:textId="77777777" w:rsidR="00CA2C95" w:rsidRPr="00CA2C95" w:rsidRDefault="00CA2C95" w:rsidP="00C312B4">
      <w:pPr>
        <w:pStyle w:val="ListParagraph"/>
        <w:numPr>
          <w:ilvl w:val="0"/>
          <w:numId w:val="40"/>
        </w:numPr>
        <w:jc w:val="both"/>
        <w:rPr>
          <w:rFonts w:asciiTheme="minorHAnsi" w:hAnsiTheme="minorHAnsi" w:cstheme="minorHAnsi"/>
          <w:sz w:val="22"/>
        </w:rPr>
      </w:pPr>
      <w:r>
        <w:rPr>
          <w:rFonts w:asciiTheme="minorHAnsi" w:hAnsiTheme="minorHAnsi" w:cstheme="minorHAnsi"/>
          <w:sz w:val="22"/>
          <w:szCs w:val="22"/>
        </w:rPr>
        <w:t xml:space="preserve">ameliorate concerns in relation to securities offerings targeted both inside and outside Europe; </w:t>
      </w:r>
    </w:p>
    <w:p w14:paraId="06FA78D1" w14:textId="3D6136F8" w:rsidR="0066426E" w:rsidRPr="00D406D1" w:rsidRDefault="000D14CB" w:rsidP="00C312B4">
      <w:pPr>
        <w:pStyle w:val="ListParagraph"/>
        <w:numPr>
          <w:ilvl w:val="0"/>
          <w:numId w:val="40"/>
        </w:numPr>
        <w:jc w:val="both"/>
        <w:rPr>
          <w:rFonts w:asciiTheme="minorHAnsi" w:hAnsiTheme="minorHAnsi" w:cstheme="minorHAnsi"/>
          <w:sz w:val="22"/>
        </w:rPr>
      </w:pPr>
      <w:r>
        <w:rPr>
          <w:rFonts w:asciiTheme="minorHAnsi" w:hAnsiTheme="minorHAnsi" w:cstheme="minorHAnsi"/>
          <w:sz w:val="22"/>
          <w:szCs w:val="22"/>
        </w:rPr>
        <w:t>help to address</w:t>
      </w:r>
      <w:r w:rsidR="0066426E" w:rsidRPr="0066426E">
        <w:rPr>
          <w:rFonts w:asciiTheme="minorHAnsi" w:hAnsiTheme="minorHAnsi" w:cstheme="minorHAnsi"/>
          <w:sz w:val="22"/>
          <w:szCs w:val="22"/>
        </w:rPr>
        <w:t xml:space="preserve"> the concerns of large financial institutions that include both credit and insurance entities</w:t>
      </w:r>
      <w:r w:rsidR="0066426E">
        <w:rPr>
          <w:rFonts w:asciiTheme="minorHAnsi" w:hAnsiTheme="minorHAnsi" w:cstheme="minorHAnsi"/>
          <w:sz w:val="22"/>
          <w:szCs w:val="22"/>
        </w:rPr>
        <w:t xml:space="preserve"> and therefore would </w:t>
      </w:r>
      <w:r w:rsidR="0066426E" w:rsidRPr="0066426E">
        <w:rPr>
          <w:rFonts w:asciiTheme="minorHAnsi" w:hAnsiTheme="minorHAnsi" w:cstheme="minorHAnsi"/>
          <w:sz w:val="22"/>
          <w:szCs w:val="22"/>
        </w:rPr>
        <w:t>be unduly restricted by following either Annex III or IV</w:t>
      </w:r>
      <w:r w:rsidR="002E6273">
        <w:rPr>
          <w:rFonts w:asciiTheme="minorHAnsi" w:hAnsiTheme="minorHAnsi" w:cstheme="minorHAnsi"/>
          <w:sz w:val="22"/>
          <w:szCs w:val="22"/>
        </w:rPr>
        <w:t xml:space="preserve"> of the draft RTS; </w:t>
      </w:r>
    </w:p>
    <w:p w14:paraId="55869857" w14:textId="11E645CC" w:rsidR="00D406D1" w:rsidRPr="002E6273" w:rsidRDefault="00D406D1" w:rsidP="00C312B4">
      <w:pPr>
        <w:pStyle w:val="ListParagraph"/>
        <w:numPr>
          <w:ilvl w:val="0"/>
          <w:numId w:val="40"/>
        </w:numPr>
        <w:jc w:val="both"/>
        <w:rPr>
          <w:rFonts w:asciiTheme="minorHAnsi" w:hAnsiTheme="minorHAnsi" w:cstheme="minorHAnsi"/>
          <w:sz w:val="22"/>
        </w:rPr>
      </w:pPr>
      <w:r>
        <w:rPr>
          <w:rFonts w:asciiTheme="minorHAnsi" w:hAnsiTheme="minorHAnsi" w:cstheme="minorHAnsi"/>
          <w:sz w:val="22"/>
          <w:szCs w:val="22"/>
        </w:rPr>
        <w:t>also help to address concerns in relation to ABS issued by SPVs (see our response to Q2 above);</w:t>
      </w:r>
    </w:p>
    <w:p w14:paraId="649E00AA" w14:textId="5826EB32" w:rsidR="002E6273" w:rsidRPr="0066426E" w:rsidRDefault="002E6273" w:rsidP="00C312B4">
      <w:pPr>
        <w:pStyle w:val="ListParagraph"/>
        <w:numPr>
          <w:ilvl w:val="0"/>
          <w:numId w:val="40"/>
        </w:numPr>
        <w:jc w:val="both"/>
        <w:rPr>
          <w:rFonts w:asciiTheme="minorHAnsi" w:hAnsiTheme="minorHAnsi" w:cstheme="minorHAnsi"/>
          <w:sz w:val="22"/>
        </w:rPr>
      </w:pPr>
      <w:r>
        <w:rPr>
          <w:rFonts w:asciiTheme="minorHAnsi" w:hAnsiTheme="minorHAnsi" w:cstheme="minorHAnsi"/>
          <w:sz w:val="22"/>
          <w:szCs w:val="22"/>
        </w:rPr>
        <w:t xml:space="preserve">address concerns in relation to disclosure of APMs that are considered to be key financial </w:t>
      </w:r>
      <w:proofErr w:type="gramStart"/>
      <w:r>
        <w:rPr>
          <w:rFonts w:asciiTheme="minorHAnsi" w:hAnsiTheme="minorHAnsi" w:cstheme="minorHAnsi"/>
          <w:sz w:val="22"/>
          <w:szCs w:val="22"/>
        </w:rPr>
        <w:t>information</w:t>
      </w:r>
      <w:proofErr w:type="gramEnd"/>
      <w:r>
        <w:rPr>
          <w:rFonts w:asciiTheme="minorHAnsi" w:hAnsiTheme="minorHAnsi" w:cstheme="minorHAnsi"/>
          <w:sz w:val="22"/>
          <w:szCs w:val="22"/>
        </w:rPr>
        <w:t xml:space="preserve"> but which are themselves comprised of other APMs that also need to be </w:t>
      </w:r>
      <w:r w:rsidR="00842A18">
        <w:rPr>
          <w:rFonts w:asciiTheme="minorHAnsi" w:hAnsiTheme="minorHAnsi" w:cstheme="minorHAnsi"/>
          <w:sz w:val="22"/>
          <w:szCs w:val="22"/>
        </w:rPr>
        <w:t>referenced</w:t>
      </w:r>
      <w:r>
        <w:rPr>
          <w:rFonts w:asciiTheme="minorHAnsi" w:hAnsiTheme="minorHAnsi" w:cstheme="minorHAnsi"/>
          <w:sz w:val="22"/>
          <w:szCs w:val="22"/>
        </w:rPr>
        <w:t xml:space="preserve"> in order to ensure that the summary disclosure is fair, clear and not misleading; and </w:t>
      </w:r>
    </w:p>
    <w:p w14:paraId="5F508885" w14:textId="6CD9FF3F" w:rsidR="0066426E" w:rsidRPr="0066426E" w:rsidRDefault="00FE5F2F" w:rsidP="00C312B4">
      <w:pPr>
        <w:pStyle w:val="ListParagraph"/>
        <w:numPr>
          <w:ilvl w:val="0"/>
          <w:numId w:val="40"/>
        </w:numPr>
        <w:jc w:val="both"/>
        <w:rPr>
          <w:rFonts w:asciiTheme="minorHAnsi" w:hAnsiTheme="minorHAnsi" w:cstheme="minorHAnsi"/>
          <w:sz w:val="22"/>
        </w:rPr>
      </w:pPr>
      <w:r w:rsidRPr="0066426E">
        <w:rPr>
          <w:rFonts w:asciiTheme="minorHAnsi" w:hAnsiTheme="minorHAnsi" w:cstheme="minorHAnsi"/>
          <w:sz w:val="22"/>
          <w:szCs w:val="22"/>
        </w:rPr>
        <w:t>help to reduce costs of compliance with</w:t>
      </w:r>
      <w:r w:rsidR="00CD36F4" w:rsidRPr="0066426E">
        <w:rPr>
          <w:rFonts w:asciiTheme="minorHAnsi" w:hAnsiTheme="minorHAnsi" w:cstheme="minorHAnsi"/>
          <w:sz w:val="22"/>
          <w:szCs w:val="22"/>
        </w:rPr>
        <w:t xml:space="preserve"> the new regime (see </w:t>
      </w:r>
      <w:r w:rsidR="006333AC">
        <w:rPr>
          <w:rFonts w:asciiTheme="minorHAnsi" w:hAnsiTheme="minorHAnsi" w:cstheme="minorHAnsi"/>
          <w:sz w:val="22"/>
          <w:szCs w:val="22"/>
        </w:rPr>
        <w:t xml:space="preserve">our response to </w:t>
      </w:r>
      <w:r w:rsidR="00CD36F4" w:rsidRPr="0066426E">
        <w:rPr>
          <w:rFonts w:asciiTheme="minorHAnsi" w:hAnsiTheme="minorHAnsi" w:cstheme="minorHAnsi"/>
          <w:sz w:val="22"/>
          <w:szCs w:val="22"/>
        </w:rPr>
        <w:t>Q13 be</w:t>
      </w:r>
      <w:r w:rsidR="0066426E">
        <w:rPr>
          <w:rFonts w:asciiTheme="minorHAnsi" w:hAnsiTheme="minorHAnsi" w:cstheme="minorHAnsi"/>
          <w:sz w:val="22"/>
          <w:szCs w:val="22"/>
        </w:rPr>
        <w:t xml:space="preserve">low). </w:t>
      </w:r>
    </w:p>
    <w:p w14:paraId="1C11FDA1" w14:textId="77777777" w:rsidR="00EE6C5A" w:rsidRDefault="00EE6C5A" w:rsidP="00C312B4">
      <w:pPr>
        <w:jc w:val="both"/>
        <w:rPr>
          <w:rFonts w:asciiTheme="minorHAnsi" w:hAnsiTheme="minorHAnsi" w:cstheme="minorHAnsi"/>
          <w:sz w:val="22"/>
        </w:rPr>
      </w:pPr>
    </w:p>
    <w:p w14:paraId="1B474EB7" w14:textId="1642E87A" w:rsidR="001446FA" w:rsidRDefault="00CD36F4" w:rsidP="00C312B4">
      <w:pPr>
        <w:jc w:val="both"/>
        <w:rPr>
          <w:rFonts w:asciiTheme="minorHAnsi" w:hAnsiTheme="minorHAnsi" w:cstheme="minorHAnsi"/>
          <w:sz w:val="22"/>
        </w:rPr>
      </w:pPr>
      <w:r w:rsidRPr="0066426E">
        <w:rPr>
          <w:rFonts w:asciiTheme="minorHAnsi" w:hAnsiTheme="minorHAnsi" w:cstheme="minorHAnsi"/>
          <w:sz w:val="22"/>
        </w:rPr>
        <w:t xml:space="preserve">Given the length of the summary is limited to seven pages and there are a significant number of other disclosure requirements besides key financial information, </w:t>
      </w:r>
      <w:r w:rsidR="0066426E">
        <w:rPr>
          <w:rFonts w:asciiTheme="minorHAnsi" w:hAnsiTheme="minorHAnsi" w:cstheme="minorHAnsi"/>
          <w:sz w:val="22"/>
        </w:rPr>
        <w:t xml:space="preserve">the issuer is </w:t>
      </w:r>
      <w:r w:rsidR="00D17B69">
        <w:rPr>
          <w:rFonts w:asciiTheme="minorHAnsi" w:hAnsiTheme="minorHAnsi" w:cstheme="minorHAnsi"/>
          <w:sz w:val="22"/>
        </w:rPr>
        <w:t xml:space="preserve">already </w:t>
      </w:r>
      <w:r w:rsidR="0066426E" w:rsidRPr="0066426E">
        <w:rPr>
          <w:rFonts w:asciiTheme="minorHAnsi" w:hAnsiTheme="minorHAnsi" w:cstheme="minorHAnsi"/>
          <w:sz w:val="22"/>
        </w:rPr>
        <w:t>restricted from disclosing lengthy key financial information in the summary</w:t>
      </w:r>
      <w:r w:rsidR="0066426E">
        <w:rPr>
          <w:rFonts w:asciiTheme="minorHAnsi" w:hAnsiTheme="minorHAnsi" w:cstheme="minorHAnsi"/>
          <w:sz w:val="22"/>
        </w:rPr>
        <w:t xml:space="preserve"> </w:t>
      </w:r>
      <w:r w:rsidR="00EE6C5A">
        <w:rPr>
          <w:rFonts w:asciiTheme="minorHAnsi" w:hAnsiTheme="minorHAnsi" w:cstheme="minorHAnsi"/>
          <w:sz w:val="22"/>
        </w:rPr>
        <w:t xml:space="preserve">and so there is no </w:t>
      </w:r>
      <w:r w:rsidR="0066426E">
        <w:rPr>
          <w:rFonts w:asciiTheme="minorHAnsi" w:hAnsiTheme="minorHAnsi" w:cstheme="minorHAnsi"/>
          <w:sz w:val="22"/>
        </w:rPr>
        <w:t xml:space="preserve">need for an additional arbitrary cap on the number of additional line items or APMs that </w:t>
      </w:r>
      <w:r w:rsidR="001446FA">
        <w:rPr>
          <w:rFonts w:asciiTheme="minorHAnsi" w:hAnsiTheme="minorHAnsi" w:cstheme="minorHAnsi"/>
          <w:sz w:val="22"/>
        </w:rPr>
        <w:t>can be included in the summary.</w:t>
      </w:r>
    </w:p>
    <w:p w14:paraId="36BC1B4D" w14:textId="5227F3FC" w:rsidR="00EE6C5A" w:rsidRDefault="00EE6C5A" w:rsidP="00C312B4">
      <w:pPr>
        <w:jc w:val="both"/>
        <w:rPr>
          <w:rFonts w:asciiTheme="minorHAnsi" w:hAnsiTheme="minorHAnsi" w:cstheme="minorHAnsi"/>
          <w:sz w:val="22"/>
        </w:rPr>
      </w:pPr>
    </w:p>
    <w:p w14:paraId="63D9BE70" w14:textId="146E1F77" w:rsidR="00B8173D" w:rsidRDefault="00EE6C5A" w:rsidP="00C312B4">
      <w:pPr>
        <w:jc w:val="both"/>
        <w:rPr>
          <w:rFonts w:asciiTheme="minorHAnsi" w:hAnsiTheme="minorHAnsi" w:cstheme="minorHAnsi"/>
          <w:sz w:val="22"/>
        </w:rPr>
      </w:pPr>
      <w:r w:rsidRPr="00EE6C5A">
        <w:rPr>
          <w:rFonts w:asciiTheme="minorHAnsi" w:hAnsiTheme="minorHAnsi" w:cstheme="minorHAnsi"/>
          <w:b/>
          <w:sz w:val="22"/>
        </w:rPr>
        <w:t xml:space="preserve">The removal of the </w:t>
      </w:r>
      <w:r w:rsidRPr="00EE6C5A">
        <w:rPr>
          <w:rFonts w:asciiTheme="minorHAnsi" w:hAnsiTheme="minorHAnsi" w:cstheme="minorHAnsi"/>
          <w:b/>
          <w:sz w:val="22"/>
          <w:szCs w:val="22"/>
        </w:rPr>
        <w:t>cap on the number of additional line items or APMs that can be included in the</w:t>
      </w:r>
      <w:r w:rsidRPr="001B2F11">
        <w:rPr>
          <w:rFonts w:asciiTheme="minorHAnsi" w:hAnsiTheme="minorHAnsi" w:cstheme="minorHAnsi"/>
          <w:b/>
          <w:sz w:val="22"/>
          <w:szCs w:val="22"/>
        </w:rPr>
        <w:t xml:space="preserve"> summary is</w:t>
      </w:r>
      <w:r>
        <w:rPr>
          <w:rFonts w:asciiTheme="minorHAnsi" w:hAnsiTheme="minorHAnsi" w:cstheme="minorHAnsi"/>
          <w:b/>
          <w:sz w:val="22"/>
          <w:szCs w:val="22"/>
        </w:rPr>
        <w:t xml:space="preserve"> therefore </w:t>
      </w:r>
      <w:r w:rsidR="002351C5">
        <w:rPr>
          <w:rFonts w:asciiTheme="minorHAnsi" w:hAnsiTheme="minorHAnsi" w:cstheme="minorHAnsi"/>
          <w:b/>
          <w:sz w:val="22"/>
          <w:szCs w:val="22"/>
        </w:rPr>
        <w:t>critical</w:t>
      </w:r>
      <w:r>
        <w:rPr>
          <w:rFonts w:asciiTheme="minorHAnsi" w:hAnsiTheme="minorHAnsi" w:cstheme="minorHAnsi"/>
          <w:b/>
          <w:sz w:val="22"/>
          <w:szCs w:val="22"/>
        </w:rPr>
        <w:t>.</w:t>
      </w:r>
    </w:p>
    <w:permEnd w:id="829886599"/>
    <w:p w14:paraId="6F7820BC" w14:textId="1A110DB3" w:rsidR="00ED4063" w:rsidRPr="001446FA" w:rsidRDefault="00ED4063" w:rsidP="00ED4063">
      <w:pPr>
        <w:rPr>
          <w:rFonts w:asciiTheme="minorHAnsi" w:hAnsiTheme="minorHAnsi" w:cstheme="minorHAnsi"/>
          <w:sz w:val="22"/>
        </w:rPr>
      </w:pPr>
      <w:r>
        <w:rPr>
          <w:rFonts w:cs="Arial"/>
        </w:rPr>
        <w:t>&lt;ESMA_QUESTION_PR_12&gt;</w:t>
      </w:r>
    </w:p>
    <w:p w14:paraId="5E23A4D6" w14:textId="7802492F" w:rsidR="00ED4063" w:rsidRDefault="00ED4063" w:rsidP="00ED4063">
      <w:pPr>
        <w:rPr>
          <w:rFonts w:cs="Arial"/>
        </w:rPr>
      </w:pPr>
    </w:p>
    <w:p w14:paraId="0ABE7648" w14:textId="77777777" w:rsidR="00ED4063" w:rsidRDefault="00ED4063" w:rsidP="00ED4063">
      <w:pPr>
        <w:rPr>
          <w:rFonts w:cs="Arial"/>
        </w:rPr>
      </w:pPr>
    </w:p>
    <w:p w14:paraId="6E8CC2D5" w14:textId="77777777" w:rsidR="00ED4063" w:rsidRDefault="00ED4063" w:rsidP="00ED4063">
      <w:pPr>
        <w:rPr>
          <w:rFonts w:cs="Arial"/>
        </w:rPr>
      </w:pPr>
    </w:p>
    <w:p w14:paraId="291B4D02"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Would the issuer, offeror or person asking for admission to trading incur costs if the proposed provisions are adopted? If so, please specify the nature of such costs, including quantifying them.</w:t>
      </w:r>
    </w:p>
    <w:p w14:paraId="1766014C" w14:textId="77777777" w:rsidR="00ED4063" w:rsidRDefault="00ED4063" w:rsidP="00ED4063">
      <w:pPr>
        <w:rPr>
          <w:rFonts w:cs="Arial"/>
        </w:rPr>
      </w:pPr>
      <w:r>
        <w:rPr>
          <w:rFonts w:cs="Arial"/>
        </w:rPr>
        <w:t>&lt;ESMA_QUESTION_PR_13&gt;</w:t>
      </w:r>
    </w:p>
    <w:p w14:paraId="16A31BE6" w14:textId="7F81BB85" w:rsidR="00D25A2F" w:rsidRDefault="003A4411" w:rsidP="00C312B4">
      <w:pPr>
        <w:jc w:val="both"/>
        <w:rPr>
          <w:rFonts w:asciiTheme="minorHAnsi" w:hAnsiTheme="minorHAnsi" w:cstheme="minorHAnsi"/>
          <w:sz w:val="22"/>
          <w:szCs w:val="22"/>
        </w:rPr>
      </w:pPr>
      <w:permStart w:id="662264291" w:edGrp="everyone"/>
      <w:r>
        <w:rPr>
          <w:rFonts w:asciiTheme="minorHAnsi" w:hAnsiTheme="minorHAnsi" w:cstheme="minorHAnsi"/>
          <w:sz w:val="22"/>
          <w:szCs w:val="22"/>
        </w:rPr>
        <w:t>I</w:t>
      </w:r>
      <w:r w:rsidRPr="003A4411">
        <w:rPr>
          <w:rFonts w:asciiTheme="minorHAnsi" w:hAnsiTheme="minorHAnsi" w:cstheme="minorHAnsi"/>
          <w:sz w:val="22"/>
          <w:szCs w:val="22"/>
        </w:rPr>
        <w:t xml:space="preserve">ssuers will incur additional legal costs in adjusting to the new, prescriptive regime for disclosure of key financial information in the summary, because </w:t>
      </w:r>
      <w:r>
        <w:rPr>
          <w:rFonts w:asciiTheme="minorHAnsi" w:hAnsiTheme="minorHAnsi" w:cstheme="minorHAnsi"/>
          <w:sz w:val="22"/>
          <w:szCs w:val="22"/>
        </w:rPr>
        <w:t xml:space="preserve">issuers and their legal advisors </w:t>
      </w:r>
      <w:r w:rsidRPr="003A4411">
        <w:rPr>
          <w:rFonts w:asciiTheme="minorHAnsi" w:hAnsiTheme="minorHAnsi" w:cstheme="minorHAnsi"/>
          <w:sz w:val="22"/>
          <w:szCs w:val="22"/>
        </w:rPr>
        <w:t xml:space="preserve">will need to consider </w:t>
      </w:r>
      <w:r w:rsidR="006374E4">
        <w:rPr>
          <w:rFonts w:asciiTheme="minorHAnsi" w:hAnsiTheme="minorHAnsi" w:cstheme="minorHAnsi"/>
          <w:sz w:val="22"/>
          <w:szCs w:val="22"/>
        </w:rPr>
        <w:t xml:space="preserve">how best </w:t>
      </w:r>
      <w:r>
        <w:rPr>
          <w:rFonts w:asciiTheme="minorHAnsi" w:hAnsiTheme="minorHAnsi" w:cstheme="minorHAnsi"/>
          <w:sz w:val="22"/>
          <w:szCs w:val="22"/>
        </w:rPr>
        <w:t xml:space="preserve">to </w:t>
      </w:r>
      <w:r w:rsidRPr="003A4411">
        <w:rPr>
          <w:rFonts w:asciiTheme="minorHAnsi" w:hAnsiTheme="minorHAnsi" w:cstheme="minorHAnsi"/>
          <w:sz w:val="22"/>
          <w:szCs w:val="22"/>
        </w:rPr>
        <w:t xml:space="preserve">meet the general obligation to provide key information in the summary pursuant to </w:t>
      </w:r>
      <w:r w:rsidR="00842A18">
        <w:rPr>
          <w:rFonts w:asciiTheme="minorHAnsi" w:hAnsiTheme="minorHAnsi" w:cstheme="minorHAnsi"/>
          <w:sz w:val="22"/>
          <w:szCs w:val="22"/>
        </w:rPr>
        <w:t xml:space="preserve">Prospectus Regulation Article 7 </w:t>
      </w:r>
      <w:r w:rsidR="006374E4">
        <w:rPr>
          <w:rFonts w:asciiTheme="minorHAnsi" w:hAnsiTheme="minorHAnsi" w:cstheme="minorHAnsi"/>
          <w:sz w:val="22"/>
          <w:szCs w:val="22"/>
        </w:rPr>
        <w:t>in line with the prescriptive requirements</w:t>
      </w:r>
      <w:r w:rsidR="00B8173D">
        <w:rPr>
          <w:rFonts w:asciiTheme="minorHAnsi" w:hAnsiTheme="minorHAnsi" w:cstheme="minorHAnsi"/>
          <w:sz w:val="22"/>
          <w:szCs w:val="22"/>
        </w:rPr>
        <w:t>.</w:t>
      </w:r>
      <w:r w:rsidRPr="003A4411">
        <w:rPr>
          <w:rFonts w:asciiTheme="minorHAnsi" w:hAnsiTheme="minorHAnsi" w:cstheme="minorHAnsi"/>
          <w:sz w:val="22"/>
          <w:szCs w:val="22"/>
        </w:rPr>
        <w:t xml:space="preserve"> </w:t>
      </w:r>
    </w:p>
    <w:p w14:paraId="60C5D702" w14:textId="77777777" w:rsidR="00D25A2F" w:rsidRDefault="00D25A2F" w:rsidP="00C312B4">
      <w:pPr>
        <w:jc w:val="both"/>
        <w:rPr>
          <w:rFonts w:asciiTheme="minorHAnsi" w:hAnsiTheme="minorHAnsi" w:cstheme="minorHAnsi"/>
          <w:sz w:val="22"/>
          <w:szCs w:val="22"/>
        </w:rPr>
      </w:pPr>
    </w:p>
    <w:p w14:paraId="310ECEC2" w14:textId="0EADFA46" w:rsidR="00D25A2F" w:rsidRDefault="003A4411" w:rsidP="00C312B4">
      <w:pPr>
        <w:jc w:val="both"/>
        <w:rPr>
          <w:rFonts w:asciiTheme="minorHAnsi" w:hAnsiTheme="minorHAnsi" w:cstheme="minorHAnsi"/>
          <w:sz w:val="22"/>
          <w:szCs w:val="22"/>
        </w:rPr>
      </w:pPr>
      <w:r>
        <w:rPr>
          <w:rFonts w:asciiTheme="minorHAnsi" w:hAnsiTheme="minorHAnsi" w:cstheme="minorHAnsi"/>
          <w:sz w:val="22"/>
          <w:szCs w:val="22"/>
        </w:rPr>
        <w:t xml:space="preserve">These additional costs would be reduced </w:t>
      </w:r>
      <w:r w:rsidRPr="003A4411">
        <w:rPr>
          <w:rFonts w:asciiTheme="minorHAnsi" w:hAnsiTheme="minorHAnsi" w:cstheme="minorHAnsi"/>
          <w:sz w:val="22"/>
          <w:szCs w:val="22"/>
        </w:rPr>
        <w:t>if the cap on the number of additional line</w:t>
      </w:r>
      <w:r>
        <w:rPr>
          <w:rFonts w:asciiTheme="minorHAnsi" w:hAnsiTheme="minorHAnsi" w:cstheme="minorHAnsi"/>
          <w:sz w:val="22"/>
          <w:szCs w:val="22"/>
        </w:rPr>
        <w:t xml:space="preserve"> items or APMs were to be removed, because issuers would have more flexibility and therefore be able to meet their</w:t>
      </w:r>
      <w:r w:rsidR="00B8173D">
        <w:rPr>
          <w:rFonts w:asciiTheme="minorHAnsi" w:hAnsiTheme="minorHAnsi" w:cstheme="minorHAnsi"/>
          <w:sz w:val="22"/>
          <w:szCs w:val="22"/>
        </w:rPr>
        <w:t xml:space="preserve"> disclosure requirements without being </w:t>
      </w:r>
      <w:r w:rsidR="00A1252D">
        <w:rPr>
          <w:rFonts w:asciiTheme="minorHAnsi" w:hAnsiTheme="minorHAnsi" w:cstheme="minorHAnsi"/>
          <w:sz w:val="22"/>
          <w:szCs w:val="22"/>
        </w:rPr>
        <w:t xml:space="preserve">so </w:t>
      </w:r>
      <w:r w:rsidR="00B8173D">
        <w:rPr>
          <w:rFonts w:asciiTheme="minorHAnsi" w:hAnsiTheme="minorHAnsi" w:cstheme="minorHAnsi"/>
          <w:sz w:val="22"/>
          <w:szCs w:val="22"/>
        </w:rPr>
        <w:t xml:space="preserve">restricted by prescriptive Level 2 measures. To the extent a cap is retained, this </w:t>
      </w:r>
      <w:r w:rsidR="00933F5B">
        <w:rPr>
          <w:rFonts w:asciiTheme="minorHAnsi" w:hAnsiTheme="minorHAnsi" w:cstheme="minorHAnsi"/>
          <w:sz w:val="22"/>
          <w:szCs w:val="22"/>
        </w:rPr>
        <w:t>could result in</w:t>
      </w:r>
      <w:r w:rsidR="00B8173D">
        <w:rPr>
          <w:rFonts w:asciiTheme="minorHAnsi" w:hAnsiTheme="minorHAnsi" w:cstheme="minorHAnsi"/>
          <w:sz w:val="22"/>
          <w:szCs w:val="22"/>
        </w:rPr>
        <w:t xml:space="preserve"> increased costs from both a legal and reporting accountant perspective, as both </w:t>
      </w:r>
      <w:r w:rsidR="00E14A7C">
        <w:rPr>
          <w:rFonts w:asciiTheme="minorHAnsi" w:hAnsiTheme="minorHAnsi" w:cstheme="minorHAnsi"/>
          <w:sz w:val="22"/>
          <w:szCs w:val="22"/>
        </w:rPr>
        <w:t xml:space="preserve">sets of advisors </w:t>
      </w:r>
      <w:r w:rsidR="00B8173D">
        <w:rPr>
          <w:rFonts w:asciiTheme="minorHAnsi" w:hAnsiTheme="minorHAnsi" w:cstheme="minorHAnsi"/>
          <w:sz w:val="22"/>
          <w:szCs w:val="22"/>
        </w:rPr>
        <w:t>may be involved in forming a view on which three additional items are the most useful to investors.</w:t>
      </w:r>
      <w:r w:rsidR="00D25A2F">
        <w:rPr>
          <w:rFonts w:asciiTheme="minorHAnsi" w:hAnsiTheme="minorHAnsi" w:cstheme="minorHAnsi"/>
          <w:sz w:val="22"/>
          <w:szCs w:val="22"/>
        </w:rPr>
        <w:t xml:space="preserve"> These costs will vary, depending on the complexity of the issuer’s and any guarantors’ businesses.</w:t>
      </w:r>
    </w:p>
    <w:p w14:paraId="41DD4E7F" w14:textId="35DD9295" w:rsidR="00842A18" w:rsidRDefault="00842A18" w:rsidP="00C312B4">
      <w:pPr>
        <w:jc w:val="both"/>
        <w:rPr>
          <w:rFonts w:asciiTheme="minorHAnsi" w:hAnsiTheme="minorHAnsi" w:cstheme="minorHAnsi"/>
          <w:sz w:val="22"/>
          <w:szCs w:val="22"/>
        </w:rPr>
      </w:pPr>
    </w:p>
    <w:p w14:paraId="104D3666" w14:textId="172ED4D1" w:rsidR="00842A18" w:rsidRDefault="00842A18" w:rsidP="00C312B4">
      <w:pPr>
        <w:jc w:val="both"/>
        <w:rPr>
          <w:rFonts w:asciiTheme="minorHAnsi" w:hAnsiTheme="minorHAnsi" w:cstheme="minorHAnsi"/>
          <w:sz w:val="22"/>
          <w:szCs w:val="22"/>
        </w:rPr>
      </w:pPr>
      <w:r>
        <w:rPr>
          <w:rFonts w:asciiTheme="minorHAnsi" w:hAnsiTheme="minorHAnsi" w:cstheme="minorHAnsi"/>
          <w:sz w:val="22"/>
          <w:szCs w:val="22"/>
        </w:rPr>
        <w:t>Separately, the proposals could contribute to increased costs for retail investors. This is because the prescriptive approach taken in the proposed draft RTS could be viewed as a further disincentive to issuance of bonds directly to retail investors, which could result in a further decline in the availability of bonds that can be bought directly by retail investors (who may need access to fixed income securities e.g. during their retirement). Those retail investors may therefore face increased costs associated with investing via funds.</w:t>
      </w:r>
    </w:p>
    <w:permEnd w:id="662264291"/>
    <w:p w14:paraId="756146E4" w14:textId="02C3EAAE" w:rsidR="00ED4063" w:rsidRPr="00B8173D" w:rsidRDefault="00ED4063" w:rsidP="00ED4063">
      <w:pPr>
        <w:rPr>
          <w:rFonts w:asciiTheme="minorHAnsi" w:hAnsiTheme="minorHAnsi" w:cstheme="minorHAnsi"/>
          <w:sz w:val="22"/>
          <w:szCs w:val="22"/>
        </w:rPr>
      </w:pPr>
      <w:r>
        <w:rPr>
          <w:rFonts w:cs="Arial"/>
        </w:rPr>
        <w:t>&lt;ESMA_QUESTION_PR_13&gt;</w:t>
      </w:r>
    </w:p>
    <w:p w14:paraId="4C8B8FB3" w14:textId="20F4791E" w:rsidR="00ED4063" w:rsidRDefault="00ED4063" w:rsidP="00ED4063">
      <w:pPr>
        <w:rPr>
          <w:rFonts w:cs="Arial"/>
        </w:rPr>
      </w:pPr>
    </w:p>
    <w:p w14:paraId="5DD7342F" w14:textId="311D8780" w:rsidR="00ED4063" w:rsidRDefault="00ED4063" w:rsidP="00ED4063">
      <w:pPr>
        <w:rPr>
          <w:rFonts w:cs="Arial"/>
        </w:rPr>
      </w:pPr>
    </w:p>
    <w:p w14:paraId="54E411D7" w14:textId="77777777" w:rsidR="00993D1B" w:rsidRDefault="00993D1B" w:rsidP="00ED4063">
      <w:pPr>
        <w:rPr>
          <w:rFonts w:cs="Arial"/>
        </w:rPr>
      </w:pPr>
    </w:p>
    <w:p w14:paraId="49D3F5AC" w14:textId="77777777" w:rsidR="00C761FA" w:rsidRPr="00931870" w:rsidRDefault="00C761FA" w:rsidP="00C761FA">
      <w:pPr>
        <w:pStyle w:val="Heading1"/>
        <w:numPr>
          <w:ilvl w:val="0"/>
          <w:numId w:val="0"/>
        </w:numPr>
      </w:pPr>
      <w:r w:rsidRPr="00931870">
        <w:t>Data and machine readability</w:t>
      </w:r>
    </w:p>
    <w:p w14:paraId="2FE98F84" w14:textId="77777777" w:rsidR="00ED4063" w:rsidRPr="00BD3C97" w:rsidRDefault="00ED4063" w:rsidP="00BD3C97">
      <w:pPr>
        <w:spacing w:before="240" w:after="60"/>
        <w:rPr>
          <w:rFonts w:cs="Arial"/>
        </w:rPr>
      </w:pPr>
    </w:p>
    <w:p w14:paraId="2E338A01"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Do you believe that the data related to the amount raised should be made mandatory? Please explain your reasons.</w:t>
      </w:r>
    </w:p>
    <w:p w14:paraId="0A42140B" w14:textId="77777777" w:rsidR="00ED4063" w:rsidRDefault="00ED4063" w:rsidP="00ED4063">
      <w:pPr>
        <w:rPr>
          <w:rFonts w:cs="Arial"/>
        </w:rPr>
      </w:pPr>
      <w:r>
        <w:rPr>
          <w:rFonts w:cs="Arial"/>
        </w:rPr>
        <w:t>&lt;ESMA_QUESTION_PR_14&gt;</w:t>
      </w:r>
    </w:p>
    <w:p w14:paraId="55D19E5E" w14:textId="0865A6D1" w:rsidR="00ED4063" w:rsidRDefault="000720D2" w:rsidP="00C312B4">
      <w:pPr>
        <w:jc w:val="both"/>
        <w:rPr>
          <w:rFonts w:cs="Arial"/>
        </w:rPr>
      </w:pPr>
      <w:permStart w:id="1767077294" w:edGrp="everyone"/>
      <w:r w:rsidRPr="000720D2">
        <w:rPr>
          <w:rFonts w:asciiTheme="minorHAnsi" w:hAnsiTheme="minorHAnsi" w:cstheme="minorHAnsi"/>
          <w:sz w:val="22"/>
          <w:szCs w:val="22"/>
        </w:rPr>
        <w:t xml:space="preserve">No. See our general comments on the proposals relating to data and machine readability in </w:t>
      </w:r>
      <w:r w:rsidR="006333AC">
        <w:rPr>
          <w:rFonts w:asciiTheme="minorHAnsi" w:hAnsiTheme="minorHAnsi" w:cstheme="minorHAnsi"/>
          <w:sz w:val="22"/>
          <w:szCs w:val="22"/>
        </w:rPr>
        <w:t>our response to Q</w:t>
      </w:r>
      <w:r>
        <w:rPr>
          <w:rFonts w:asciiTheme="minorHAnsi" w:hAnsiTheme="minorHAnsi" w:cstheme="minorHAnsi"/>
          <w:sz w:val="22"/>
          <w:szCs w:val="22"/>
        </w:rPr>
        <w:t xml:space="preserve">15 below. Briefly, the data required should be kept to a minimum to </w:t>
      </w:r>
      <w:r w:rsidR="00D406D1">
        <w:rPr>
          <w:rFonts w:asciiTheme="minorHAnsi" w:hAnsiTheme="minorHAnsi" w:cstheme="minorHAnsi"/>
          <w:sz w:val="22"/>
          <w:szCs w:val="22"/>
        </w:rPr>
        <w:t xml:space="preserve">reduce administrative burdens and </w:t>
      </w:r>
      <w:r w:rsidR="00CB5910">
        <w:rPr>
          <w:rFonts w:asciiTheme="minorHAnsi" w:hAnsiTheme="minorHAnsi" w:cstheme="minorHAnsi"/>
          <w:sz w:val="22"/>
          <w:szCs w:val="22"/>
        </w:rPr>
        <w:t>ensure the ESMA storage mechanism</w:t>
      </w:r>
      <w:r w:rsidR="00D406D1">
        <w:rPr>
          <w:rFonts w:asciiTheme="minorHAnsi" w:hAnsiTheme="minorHAnsi" w:cstheme="minorHAnsi"/>
          <w:sz w:val="22"/>
          <w:szCs w:val="22"/>
        </w:rPr>
        <w:t xml:space="preserve"> does not develop into a tool that allows investors to compare and assess securities</w:t>
      </w:r>
      <w:r w:rsidR="00CB5910">
        <w:rPr>
          <w:rFonts w:asciiTheme="minorHAnsi" w:hAnsiTheme="minorHAnsi" w:cstheme="minorHAnsi"/>
          <w:sz w:val="22"/>
          <w:szCs w:val="22"/>
        </w:rPr>
        <w:t xml:space="preserve"> without reference to the underlying prospectus.</w:t>
      </w:r>
      <w:r>
        <w:rPr>
          <w:rFonts w:asciiTheme="minorHAnsi" w:hAnsiTheme="minorHAnsi" w:cstheme="minorHAnsi"/>
          <w:sz w:val="22"/>
          <w:szCs w:val="22"/>
        </w:rPr>
        <w:t xml:space="preserve"> </w:t>
      </w:r>
      <w:permEnd w:id="1767077294"/>
      <w:r w:rsidR="00ED4063">
        <w:rPr>
          <w:rFonts w:cs="Arial"/>
        </w:rPr>
        <w:t>&lt;ESMA_QUESTION_PR_14&gt;</w:t>
      </w:r>
    </w:p>
    <w:p w14:paraId="5CF45F7A" w14:textId="231BB49E" w:rsidR="00ED4063" w:rsidRDefault="00ED4063" w:rsidP="00ED4063">
      <w:pPr>
        <w:rPr>
          <w:rFonts w:cs="Arial"/>
        </w:rPr>
      </w:pPr>
    </w:p>
    <w:p w14:paraId="78ECE3BE" w14:textId="77777777" w:rsidR="00ED4063" w:rsidRDefault="00ED4063" w:rsidP="00ED4063">
      <w:pPr>
        <w:rPr>
          <w:rFonts w:cs="Arial"/>
        </w:rPr>
      </w:pPr>
    </w:p>
    <w:p w14:paraId="65B5504A" w14:textId="77777777" w:rsidR="00ED4063" w:rsidRDefault="00ED4063" w:rsidP="00ED4063">
      <w:pPr>
        <w:rPr>
          <w:rFonts w:cs="Arial"/>
        </w:rPr>
      </w:pPr>
    </w:p>
    <w:p w14:paraId="77D62668"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xml:space="preserve">: Do you agree with the data items that have been identified as necessary </w:t>
      </w:r>
      <w:proofErr w:type="gramStart"/>
      <w:r w:rsidRPr="00ED4063">
        <w:rPr>
          <w:rFonts w:ascii="Arial" w:hAnsi="Arial" w:cs="Arial"/>
        </w:rPr>
        <w:t>for the purpose of</w:t>
      </w:r>
      <w:proofErr w:type="gramEnd"/>
      <w:r w:rsidRPr="00ED4063">
        <w:rPr>
          <w:rFonts w:ascii="Arial" w:hAnsi="Arial" w:cs="Arial"/>
        </w:rPr>
        <w:t xml:space="preserve"> classification as well as to allow for the compilation of the annual report under Article 47 of the Prospectus Regulation? Would you like to propose any additional items or suggest items that should in your view be deleted? Please explain your reasons.</w:t>
      </w:r>
    </w:p>
    <w:p w14:paraId="6D8C69D3" w14:textId="77777777" w:rsidR="00ED4063" w:rsidRDefault="00ED4063" w:rsidP="00ED4063">
      <w:pPr>
        <w:rPr>
          <w:rFonts w:cs="Arial"/>
        </w:rPr>
      </w:pPr>
      <w:r>
        <w:rPr>
          <w:rFonts w:cs="Arial"/>
        </w:rPr>
        <w:t>&lt;ESMA_QUESTION_PR_15&gt;</w:t>
      </w:r>
    </w:p>
    <w:p w14:paraId="04CD9F51" w14:textId="42D35950" w:rsidR="00797D14" w:rsidRDefault="00797D14" w:rsidP="00C312B4">
      <w:pPr>
        <w:jc w:val="both"/>
        <w:rPr>
          <w:rFonts w:asciiTheme="minorHAnsi" w:hAnsiTheme="minorHAnsi" w:cstheme="minorHAnsi"/>
          <w:sz w:val="22"/>
          <w:szCs w:val="22"/>
        </w:rPr>
      </w:pPr>
      <w:permStart w:id="933257420" w:edGrp="everyone"/>
      <w:r>
        <w:rPr>
          <w:rFonts w:asciiTheme="minorHAnsi" w:hAnsiTheme="minorHAnsi" w:cstheme="minorHAnsi"/>
          <w:sz w:val="22"/>
          <w:szCs w:val="22"/>
        </w:rPr>
        <w:t>Generally, t</w:t>
      </w:r>
      <w:r w:rsidR="00CB5910" w:rsidRPr="00CB5910">
        <w:rPr>
          <w:rFonts w:asciiTheme="minorHAnsi" w:hAnsiTheme="minorHAnsi" w:cstheme="minorHAnsi"/>
          <w:sz w:val="22"/>
          <w:szCs w:val="22"/>
        </w:rPr>
        <w:t xml:space="preserve">he data items </w:t>
      </w:r>
      <w:r w:rsidR="00EC1101">
        <w:rPr>
          <w:rFonts w:asciiTheme="minorHAnsi" w:hAnsiTheme="minorHAnsi" w:cstheme="minorHAnsi"/>
          <w:sz w:val="22"/>
          <w:szCs w:val="22"/>
        </w:rPr>
        <w:t>listed in Annex VII seem relatively numerous.</w:t>
      </w:r>
    </w:p>
    <w:p w14:paraId="550244CA" w14:textId="77777777" w:rsidR="00797D14" w:rsidRDefault="00797D14" w:rsidP="00C312B4">
      <w:pPr>
        <w:jc w:val="both"/>
        <w:rPr>
          <w:rFonts w:asciiTheme="minorHAnsi" w:hAnsiTheme="minorHAnsi" w:cstheme="minorHAnsi"/>
          <w:sz w:val="22"/>
          <w:szCs w:val="22"/>
        </w:rPr>
      </w:pPr>
    </w:p>
    <w:p w14:paraId="2E02388F" w14:textId="712A3B59" w:rsidR="00797D14" w:rsidRDefault="00797D14" w:rsidP="00C312B4">
      <w:pPr>
        <w:jc w:val="both"/>
        <w:rPr>
          <w:rFonts w:asciiTheme="minorHAnsi" w:hAnsiTheme="minorHAnsi" w:cstheme="minorHAnsi"/>
          <w:sz w:val="22"/>
          <w:szCs w:val="22"/>
        </w:rPr>
      </w:pPr>
      <w:r>
        <w:rPr>
          <w:rFonts w:asciiTheme="minorHAnsi" w:hAnsiTheme="minorHAnsi" w:cstheme="minorHAnsi"/>
          <w:sz w:val="22"/>
          <w:szCs w:val="22"/>
        </w:rPr>
        <w:t>In considering the information to be provided to ESMA, it is important to note the purpose for which such information will be used. It appears that the s</w:t>
      </w:r>
      <w:r w:rsidRPr="00797D14">
        <w:rPr>
          <w:rFonts w:asciiTheme="minorHAnsi" w:hAnsiTheme="minorHAnsi" w:cstheme="minorHAnsi"/>
          <w:sz w:val="22"/>
          <w:szCs w:val="22"/>
        </w:rPr>
        <w:t xml:space="preserve">ubmission of data to ESMA has two purposes: (1) to allow </w:t>
      </w:r>
      <w:r>
        <w:rPr>
          <w:rFonts w:asciiTheme="minorHAnsi" w:hAnsiTheme="minorHAnsi" w:cstheme="minorHAnsi"/>
          <w:sz w:val="22"/>
          <w:szCs w:val="22"/>
        </w:rPr>
        <w:t>ESMA to compile its report on prospectuses in accordance with P</w:t>
      </w:r>
      <w:r w:rsidR="000B54AA">
        <w:rPr>
          <w:rFonts w:asciiTheme="minorHAnsi" w:hAnsiTheme="minorHAnsi" w:cstheme="minorHAnsi"/>
          <w:sz w:val="22"/>
          <w:szCs w:val="22"/>
        </w:rPr>
        <w:t>rospectus Regulation</w:t>
      </w:r>
      <w:r>
        <w:rPr>
          <w:rFonts w:asciiTheme="minorHAnsi" w:hAnsiTheme="minorHAnsi" w:cstheme="minorHAnsi"/>
          <w:sz w:val="22"/>
          <w:szCs w:val="22"/>
        </w:rPr>
        <w:t xml:space="preserve"> Article 47 which seems to be intended to facilitate </w:t>
      </w:r>
      <w:r w:rsidRPr="00797D14">
        <w:rPr>
          <w:rFonts w:asciiTheme="minorHAnsi" w:hAnsiTheme="minorHAnsi" w:cstheme="minorHAnsi"/>
          <w:sz w:val="22"/>
          <w:szCs w:val="22"/>
        </w:rPr>
        <w:t xml:space="preserve">regulatory oversight of prospectuses and issuance within the scope of the </w:t>
      </w:r>
      <w:r w:rsidR="00072546">
        <w:rPr>
          <w:rFonts w:asciiTheme="minorHAnsi" w:hAnsiTheme="minorHAnsi" w:cstheme="minorHAnsi"/>
          <w:sz w:val="22"/>
          <w:szCs w:val="22"/>
        </w:rPr>
        <w:t>P</w:t>
      </w:r>
      <w:r w:rsidR="000B54AA">
        <w:rPr>
          <w:rFonts w:asciiTheme="minorHAnsi" w:hAnsiTheme="minorHAnsi" w:cstheme="minorHAnsi"/>
          <w:sz w:val="22"/>
          <w:szCs w:val="22"/>
        </w:rPr>
        <w:t>rospectus Regulation</w:t>
      </w:r>
      <w:r w:rsidRPr="00797D14">
        <w:rPr>
          <w:rFonts w:asciiTheme="minorHAnsi" w:hAnsiTheme="minorHAnsi" w:cstheme="minorHAnsi"/>
          <w:sz w:val="22"/>
          <w:szCs w:val="22"/>
        </w:rPr>
        <w:t xml:space="preserve">; and (2) to allow investors to search for </w:t>
      </w:r>
      <w:r w:rsidR="00072546">
        <w:rPr>
          <w:rFonts w:asciiTheme="minorHAnsi" w:hAnsiTheme="minorHAnsi" w:cstheme="minorHAnsi"/>
          <w:sz w:val="22"/>
          <w:szCs w:val="22"/>
        </w:rPr>
        <w:t>prospectuses published under the P</w:t>
      </w:r>
      <w:r w:rsidR="000B54AA">
        <w:rPr>
          <w:rFonts w:asciiTheme="minorHAnsi" w:hAnsiTheme="minorHAnsi" w:cstheme="minorHAnsi"/>
          <w:sz w:val="22"/>
          <w:szCs w:val="22"/>
        </w:rPr>
        <w:t>rospectus Regulation</w:t>
      </w:r>
      <w:r w:rsidRPr="00797D14">
        <w:rPr>
          <w:rFonts w:asciiTheme="minorHAnsi" w:hAnsiTheme="minorHAnsi" w:cstheme="minorHAnsi"/>
          <w:sz w:val="22"/>
          <w:szCs w:val="22"/>
        </w:rPr>
        <w:t xml:space="preserve">. </w:t>
      </w:r>
    </w:p>
    <w:p w14:paraId="147625A4" w14:textId="77777777" w:rsidR="00797D14" w:rsidRDefault="00797D14" w:rsidP="00C312B4">
      <w:pPr>
        <w:jc w:val="both"/>
        <w:rPr>
          <w:rFonts w:asciiTheme="minorHAnsi" w:hAnsiTheme="minorHAnsi" w:cstheme="minorHAnsi"/>
          <w:sz w:val="22"/>
          <w:szCs w:val="22"/>
        </w:rPr>
      </w:pPr>
    </w:p>
    <w:p w14:paraId="5DECDBC2" w14:textId="21BABC81" w:rsidR="00797D14" w:rsidRDefault="00797D14" w:rsidP="00C312B4">
      <w:pPr>
        <w:jc w:val="both"/>
        <w:rPr>
          <w:rFonts w:asciiTheme="minorHAnsi" w:hAnsiTheme="minorHAnsi" w:cstheme="minorHAnsi"/>
          <w:sz w:val="22"/>
          <w:szCs w:val="22"/>
        </w:rPr>
      </w:pPr>
      <w:r>
        <w:rPr>
          <w:rFonts w:asciiTheme="minorHAnsi" w:hAnsiTheme="minorHAnsi" w:cstheme="minorHAnsi"/>
          <w:sz w:val="22"/>
          <w:szCs w:val="22"/>
        </w:rPr>
        <w:t xml:space="preserve">Purpose (1) is unobjectionable, </w:t>
      </w:r>
      <w:r w:rsidRPr="00797D14">
        <w:rPr>
          <w:rFonts w:asciiTheme="minorHAnsi" w:hAnsiTheme="minorHAnsi" w:cstheme="minorHAnsi"/>
          <w:sz w:val="22"/>
          <w:szCs w:val="22"/>
        </w:rPr>
        <w:t xml:space="preserve">but the data that ESMA requires should be kept to a minimum to avoid </w:t>
      </w:r>
      <w:r w:rsidR="00072546">
        <w:rPr>
          <w:rFonts w:asciiTheme="minorHAnsi" w:hAnsiTheme="minorHAnsi" w:cstheme="minorHAnsi"/>
          <w:sz w:val="22"/>
          <w:szCs w:val="22"/>
        </w:rPr>
        <w:t xml:space="preserve">any unnecessary cost and administrative </w:t>
      </w:r>
      <w:r w:rsidRPr="00797D14">
        <w:rPr>
          <w:rFonts w:asciiTheme="minorHAnsi" w:hAnsiTheme="minorHAnsi" w:cstheme="minorHAnsi"/>
          <w:sz w:val="22"/>
          <w:szCs w:val="22"/>
        </w:rPr>
        <w:t xml:space="preserve">burdens on </w:t>
      </w:r>
      <w:r>
        <w:rPr>
          <w:rFonts w:asciiTheme="minorHAnsi" w:hAnsiTheme="minorHAnsi" w:cstheme="minorHAnsi"/>
          <w:sz w:val="22"/>
          <w:szCs w:val="22"/>
        </w:rPr>
        <w:t xml:space="preserve">NCAs and </w:t>
      </w:r>
      <w:r w:rsidR="00BA4C1C">
        <w:rPr>
          <w:rFonts w:asciiTheme="minorHAnsi" w:hAnsiTheme="minorHAnsi" w:cstheme="minorHAnsi"/>
          <w:sz w:val="22"/>
          <w:szCs w:val="22"/>
        </w:rPr>
        <w:t>market participants</w:t>
      </w:r>
      <w:r w:rsidRPr="00797D14">
        <w:rPr>
          <w:rFonts w:asciiTheme="minorHAnsi" w:hAnsiTheme="minorHAnsi" w:cstheme="minorHAnsi"/>
          <w:sz w:val="22"/>
          <w:szCs w:val="22"/>
        </w:rPr>
        <w:t xml:space="preserve">. </w:t>
      </w:r>
    </w:p>
    <w:p w14:paraId="38AE6E4D" w14:textId="77777777" w:rsidR="00797D14" w:rsidRDefault="00797D14" w:rsidP="00C312B4">
      <w:pPr>
        <w:jc w:val="both"/>
        <w:rPr>
          <w:rFonts w:asciiTheme="minorHAnsi" w:hAnsiTheme="minorHAnsi" w:cstheme="minorHAnsi"/>
          <w:sz w:val="22"/>
          <w:szCs w:val="22"/>
        </w:rPr>
      </w:pPr>
    </w:p>
    <w:p w14:paraId="5347FFEC" w14:textId="7CC4A90E" w:rsidR="00BA4C1C" w:rsidRDefault="00F37013" w:rsidP="00C312B4">
      <w:pPr>
        <w:jc w:val="both"/>
        <w:rPr>
          <w:rFonts w:asciiTheme="minorHAnsi" w:hAnsiTheme="minorHAnsi" w:cstheme="minorHAnsi"/>
          <w:sz w:val="22"/>
          <w:szCs w:val="22"/>
        </w:rPr>
      </w:pPr>
      <w:r>
        <w:rPr>
          <w:rFonts w:asciiTheme="minorHAnsi" w:hAnsiTheme="minorHAnsi" w:cstheme="minorHAnsi"/>
          <w:sz w:val="22"/>
          <w:szCs w:val="22"/>
        </w:rPr>
        <w:t>P</w:t>
      </w:r>
      <w:r w:rsidR="00797D14">
        <w:rPr>
          <w:rFonts w:asciiTheme="minorHAnsi" w:hAnsiTheme="minorHAnsi" w:cstheme="minorHAnsi"/>
          <w:sz w:val="22"/>
          <w:szCs w:val="22"/>
        </w:rPr>
        <w:t xml:space="preserve">urpose (2) is </w:t>
      </w:r>
      <w:r w:rsidR="00797D14" w:rsidRPr="00797D14">
        <w:rPr>
          <w:rFonts w:asciiTheme="minorHAnsi" w:hAnsiTheme="minorHAnsi" w:cstheme="minorHAnsi"/>
          <w:sz w:val="22"/>
          <w:szCs w:val="22"/>
        </w:rPr>
        <w:t xml:space="preserve">envisaged </w:t>
      </w:r>
      <w:r w:rsidR="00797D14">
        <w:rPr>
          <w:rFonts w:asciiTheme="minorHAnsi" w:hAnsiTheme="minorHAnsi" w:cstheme="minorHAnsi"/>
          <w:sz w:val="22"/>
          <w:szCs w:val="22"/>
        </w:rPr>
        <w:t xml:space="preserve">in </w:t>
      </w:r>
      <w:r w:rsidR="000B54AA">
        <w:rPr>
          <w:rFonts w:asciiTheme="minorHAnsi" w:hAnsiTheme="minorHAnsi" w:cstheme="minorHAnsi"/>
          <w:sz w:val="22"/>
          <w:szCs w:val="22"/>
        </w:rPr>
        <w:t>Prospectus Regulation</w:t>
      </w:r>
      <w:r w:rsidR="00797D14">
        <w:rPr>
          <w:rFonts w:asciiTheme="minorHAnsi" w:hAnsiTheme="minorHAnsi" w:cstheme="minorHAnsi"/>
          <w:sz w:val="22"/>
          <w:szCs w:val="22"/>
        </w:rPr>
        <w:t xml:space="preserve"> Article 21(6) and recital 63,</w:t>
      </w:r>
      <w:r>
        <w:rPr>
          <w:rFonts w:asciiTheme="minorHAnsi" w:hAnsiTheme="minorHAnsi" w:cstheme="minorHAnsi"/>
          <w:sz w:val="22"/>
          <w:szCs w:val="22"/>
        </w:rPr>
        <w:t xml:space="preserve"> and </w:t>
      </w:r>
      <w:r w:rsidR="007B678B">
        <w:rPr>
          <w:rFonts w:asciiTheme="minorHAnsi" w:hAnsiTheme="minorHAnsi" w:cstheme="minorHAnsi"/>
          <w:sz w:val="22"/>
          <w:szCs w:val="22"/>
        </w:rPr>
        <w:t>the</w:t>
      </w:r>
      <w:r>
        <w:rPr>
          <w:rFonts w:asciiTheme="minorHAnsi" w:hAnsiTheme="minorHAnsi" w:cstheme="minorHAnsi"/>
          <w:sz w:val="22"/>
          <w:szCs w:val="22"/>
        </w:rPr>
        <w:t xml:space="preserve"> general principle</w:t>
      </w:r>
      <w:r w:rsidR="007B678B">
        <w:rPr>
          <w:rFonts w:asciiTheme="minorHAnsi" w:hAnsiTheme="minorHAnsi" w:cstheme="minorHAnsi"/>
          <w:sz w:val="22"/>
          <w:szCs w:val="22"/>
        </w:rPr>
        <w:t xml:space="preserve"> of facilitating investor access to documents published under the Prospectus Regulation</w:t>
      </w:r>
      <w:r>
        <w:rPr>
          <w:rFonts w:asciiTheme="minorHAnsi" w:hAnsiTheme="minorHAnsi" w:cstheme="minorHAnsi"/>
          <w:sz w:val="22"/>
          <w:szCs w:val="22"/>
        </w:rPr>
        <w:t xml:space="preserve"> is understandable</w:t>
      </w:r>
      <w:r w:rsidR="007B678B">
        <w:rPr>
          <w:rFonts w:asciiTheme="minorHAnsi" w:hAnsiTheme="minorHAnsi" w:cstheme="minorHAnsi"/>
          <w:sz w:val="22"/>
          <w:szCs w:val="22"/>
        </w:rPr>
        <w:t xml:space="preserve">. </w:t>
      </w:r>
      <w:proofErr w:type="gramStart"/>
      <w:r w:rsidR="007B678B">
        <w:rPr>
          <w:rFonts w:asciiTheme="minorHAnsi" w:hAnsiTheme="minorHAnsi" w:cstheme="minorHAnsi"/>
          <w:sz w:val="22"/>
          <w:szCs w:val="22"/>
        </w:rPr>
        <w:t>However</w:t>
      </w:r>
      <w:proofErr w:type="gramEnd"/>
      <w:r w:rsidR="007B678B">
        <w:rPr>
          <w:rFonts w:asciiTheme="minorHAnsi" w:hAnsiTheme="minorHAnsi" w:cstheme="minorHAnsi"/>
          <w:sz w:val="22"/>
          <w:szCs w:val="22"/>
        </w:rPr>
        <w:t xml:space="preserve"> </w:t>
      </w:r>
      <w:r w:rsidR="00797D14">
        <w:rPr>
          <w:rFonts w:asciiTheme="minorHAnsi" w:hAnsiTheme="minorHAnsi" w:cstheme="minorHAnsi"/>
          <w:sz w:val="22"/>
          <w:szCs w:val="22"/>
        </w:rPr>
        <w:t>it is</w:t>
      </w:r>
      <w:r w:rsidR="00072546">
        <w:rPr>
          <w:rFonts w:asciiTheme="minorHAnsi" w:hAnsiTheme="minorHAnsi" w:cstheme="minorHAnsi"/>
          <w:sz w:val="22"/>
          <w:szCs w:val="22"/>
        </w:rPr>
        <w:t xml:space="preserve"> not clear that investors have actually requested or intend to make use of any search function on the updated Prospectus Regist</w:t>
      </w:r>
      <w:r w:rsidR="00BA4C1C">
        <w:rPr>
          <w:rFonts w:asciiTheme="minorHAnsi" w:hAnsiTheme="minorHAnsi" w:cstheme="minorHAnsi"/>
          <w:sz w:val="22"/>
          <w:szCs w:val="22"/>
        </w:rPr>
        <w:t>er</w:t>
      </w:r>
      <w:r>
        <w:rPr>
          <w:rFonts w:asciiTheme="minorHAnsi" w:hAnsiTheme="minorHAnsi" w:cstheme="minorHAnsi"/>
          <w:sz w:val="22"/>
          <w:szCs w:val="22"/>
        </w:rPr>
        <w:t xml:space="preserve"> and w</w:t>
      </w:r>
      <w:r w:rsidR="00BA4C1C">
        <w:rPr>
          <w:rFonts w:asciiTheme="minorHAnsi" w:hAnsiTheme="minorHAnsi" w:cstheme="minorHAnsi"/>
          <w:sz w:val="22"/>
          <w:szCs w:val="22"/>
        </w:rPr>
        <w:t xml:space="preserve">ithout such requests from investors, it is important to keep the data items required by the RTS to a minimum in order to avoid unnecessary costs and administrative burdens for NCAs and market participants.  </w:t>
      </w:r>
    </w:p>
    <w:p w14:paraId="72A04848" w14:textId="77777777" w:rsidR="00BA4C1C" w:rsidRDefault="00BA4C1C" w:rsidP="00C312B4">
      <w:pPr>
        <w:jc w:val="both"/>
        <w:rPr>
          <w:rFonts w:asciiTheme="minorHAnsi" w:hAnsiTheme="minorHAnsi" w:cstheme="minorHAnsi"/>
          <w:sz w:val="22"/>
          <w:szCs w:val="22"/>
        </w:rPr>
      </w:pPr>
    </w:p>
    <w:p w14:paraId="0F6CDE25" w14:textId="2B1BEA8C" w:rsidR="00BA4C1C" w:rsidRDefault="00BA4C1C" w:rsidP="00C312B4">
      <w:pPr>
        <w:jc w:val="both"/>
        <w:rPr>
          <w:rFonts w:asciiTheme="minorHAnsi" w:hAnsiTheme="minorHAnsi" w:cstheme="minorHAnsi"/>
          <w:sz w:val="22"/>
          <w:szCs w:val="22"/>
        </w:rPr>
      </w:pPr>
      <w:r>
        <w:rPr>
          <w:rFonts w:asciiTheme="minorHAnsi" w:hAnsiTheme="minorHAnsi" w:cstheme="minorHAnsi"/>
          <w:sz w:val="22"/>
          <w:szCs w:val="22"/>
        </w:rPr>
        <w:t xml:space="preserve">Separately, from an investor protection perspective, it is very important </w:t>
      </w:r>
      <w:r w:rsidR="00797D14">
        <w:rPr>
          <w:rFonts w:asciiTheme="minorHAnsi" w:hAnsiTheme="minorHAnsi" w:cstheme="minorHAnsi"/>
          <w:sz w:val="22"/>
          <w:szCs w:val="22"/>
        </w:rPr>
        <w:t>that the</w:t>
      </w:r>
      <w:r>
        <w:rPr>
          <w:rFonts w:asciiTheme="minorHAnsi" w:hAnsiTheme="minorHAnsi" w:cstheme="minorHAnsi"/>
          <w:sz w:val="22"/>
          <w:szCs w:val="22"/>
        </w:rPr>
        <w:t xml:space="preserve"> updated Prospectus Register </w:t>
      </w:r>
      <w:r w:rsidR="00797D14">
        <w:rPr>
          <w:rFonts w:asciiTheme="minorHAnsi" w:hAnsiTheme="minorHAnsi" w:cstheme="minorHAnsi"/>
          <w:sz w:val="22"/>
          <w:szCs w:val="22"/>
        </w:rPr>
        <w:t xml:space="preserve">does not </w:t>
      </w:r>
      <w:r w:rsidR="007B678B">
        <w:rPr>
          <w:rFonts w:asciiTheme="minorHAnsi" w:hAnsiTheme="minorHAnsi" w:cstheme="minorHAnsi"/>
          <w:sz w:val="22"/>
          <w:szCs w:val="22"/>
        </w:rPr>
        <w:t xml:space="preserve">develop into more than a simple tool allowing investors to search and access documents published under the Prospectus Regulation, for example by giving information on securities outside of the </w:t>
      </w:r>
      <w:r w:rsidR="001A4F8C">
        <w:rPr>
          <w:rFonts w:asciiTheme="minorHAnsi" w:hAnsiTheme="minorHAnsi" w:cstheme="minorHAnsi"/>
          <w:sz w:val="22"/>
          <w:szCs w:val="22"/>
        </w:rPr>
        <w:t xml:space="preserve">published </w:t>
      </w:r>
      <w:r w:rsidR="007B678B">
        <w:rPr>
          <w:rFonts w:asciiTheme="minorHAnsi" w:hAnsiTheme="minorHAnsi" w:cstheme="minorHAnsi"/>
          <w:sz w:val="22"/>
          <w:szCs w:val="22"/>
        </w:rPr>
        <w:t xml:space="preserve">documents and/or allowing </w:t>
      </w:r>
      <w:r w:rsidR="00072546">
        <w:rPr>
          <w:rFonts w:asciiTheme="minorHAnsi" w:hAnsiTheme="minorHAnsi" w:cstheme="minorHAnsi"/>
          <w:sz w:val="22"/>
          <w:szCs w:val="22"/>
        </w:rPr>
        <w:t xml:space="preserve">investors to compare different securities without looking at the relevant prospectuses. This </w:t>
      </w:r>
      <w:r>
        <w:rPr>
          <w:rFonts w:asciiTheme="minorHAnsi" w:hAnsiTheme="minorHAnsi" w:cstheme="minorHAnsi"/>
          <w:sz w:val="22"/>
          <w:szCs w:val="22"/>
        </w:rPr>
        <w:t xml:space="preserve">pitfall </w:t>
      </w:r>
      <w:r w:rsidR="00072546">
        <w:rPr>
          <w:rFonts w:asciiTheme="minorHAnsi" w:hAnsiTheme="minorHAnsi" w:cstheme="minorHAnsi"/>
          <w:sz w:val="22"/>
          <w:szCs w:val="22"/>
        </w:rPr>
        <w:t xml:space="preserve">should be avoided through both the design of the updated Prospectus Register </w:t>
      </w:r>
      <w:proofErr w:type="gramStart"/>
      <w:r w:rsidR="00072546">
        <w:rPr>
          <w:rFonts w:asciiTheme="minorHAnsi" w:hAnsiTheme="minorHAnsi" w:cstheme="minorHAnsi"/>
          <w:sz w:val="22"/>
          <w:szCs w:val="22"/>
        </w:rPr>
        <w:t>and also</w:t>
      </w:r>
      <w:proofErr w:type="gramEnd"/>
      <w:r w:rsidR="00072546">
        <w:rPr>
          <w:rFonts w:asciiTheme="minorHAnsi" w:hAnsiTheme="minorHAnsi" w:cstheme="minorHAnsi"/>
          <w:sz w:val="22"/>
          <w:szCs w:val="22"/>
        </w:rPr>
        <w:t xml:space="preserve"> by minimising the information that is available to the public in the database. </w:t>
      </w:r>
    </w:p>
    <w:p w14:paraId="435C68F1" w14:textId="77777777" w:rsidR="00BA4C1C" w:rsidRDefault="00BA4C1C" w:rsidP="00C312B4">
      <w:pPr>
        <w:jc w:val="both"/>
        <w:rPr>
          <w:rFonts w:asciiTheme="minorHAnsi" w:hAnsiTheme="minorHAnsi" w:cstheme="minorHAnsi"/>
          <w:sz w:val="22"/>
          <w:szCs w:val="22"/>
        </w:rPr>
      </w:pPr>
    </w:p>
    <w:p w14:paraId="6643CAF6" w14:textId="147FFFE0" w:rsidR="00F943C3" w:rsidRDefault="00BA4C1C" w:rsidP="00C312B4">
      <w:pPr>
        <w:jc w:val="both"/>
        <w:rPr>
          <w:rFonts w:asciiTheme="minorHAnsi" w:hAnsiTheme="minorHAnsi" w:cstheme="minorHAnsi"/>
          <w:sz w:val="22"/>
          <w:szCs w:val="22"/>
        </w:rPr>
      </w:pPr>
      <w:r>
        <w:rPr>
          <w:rFonts w:asciiTheme="minorHAnsi" w:hAnsiTheme="minorHAnsi" w:cstheme="minorHAnsi"/>
          <w:sz w:val="22"/>
          <w:szCs w:val="22"/>
        </w:rPr>
        <w:t xml:space="preserve">For these reasons, </w:t>
      </w:r>
      <w:r w:rsidR="00F943C3">
        <w:rPr>
          <w:rFonts w:asciiTheme="minorHAnsi" w:hAnsiTheme="minorHAnsi" w:cstheme="minorHAnsi"/>
          <w:sz w:val="22"/>
          <w:szCs w:val="22"/>
        </w:rPr>
        <w:t>we suggest removing</w:t>
      </w:r>
      <w:r>
        <w:rPr>
          <w:rFonts w:asciiTheme="minorHAnsi" w:hAnsiTheme="minorHAnsi" w:cstheme="minorHAnsi"/>
          <w:sz w:val="22"/>
          <w:szCs w:val="22"/>
        </w:rPr>
        <w:t xml:space="preserve"> the following items from the list of information to be provided to ESMA: </w:t>
      </w:r>
    </w:p>
    <w:p w14:paraId="78961128" w14:textId="77777777" w:rsidR="00F943C3" w:rsidRDefault="00F943C3" w:rsidP="00C312B4">
      <w:pPr>
        <w:pStyle w:val="ListParagraph"/>
        <w:numPr>
          <w:ilvl w:val="0"/>
          <w:numId w:val="41"/>
        </w:numPr>
        <w:jc w:val="both"/>
        <w:rPr>
          <w:rFonts w:asciiTheme="minorHAnsi" w:hAnsiTheme="minorHAnsi" w:cstheme="minorHAnsi"/>
          <w:sz w:val="22"/>
          <w:szCs w:val="22"/>
        </w:rPr>
      </w:pPr>
      <w:r>
        <w:rPr>
          <w:rFonts w:asciiTheme="minorHAnsi" w:hAnsiTheme="minorHAnsi" w:cstheme="minorHAnsi"/>
          <w:sz w:val="22"/>
          <w:szCs w:val="22"/>
        </w:rPr>
        <w:t xml:space="preserve">Approval or filing date; </w:t>
      </w:r>
    </w:p>
    <w:p w14:paraId="726520EC" w14:textId="00367B1D" w:rsidR="00F943C3" w:rsidRDefault="00F943C3" w:rsidP="00C312B4">
      <w:pPr>
        <w:pStyle w:val="ListParagraph"/>
        <w:numPr>
          <w:ilvl w:val="0"/>
          <w:numId w:val="41"/>
        </w:numPr>
        <w:jc w:val="both"/>
        <w:rPr>
          <w:rFonts w:asciiTheme="minorHAnsi" w:hAnsiTheme="minorHAnsi" w:cstheme="minorHAnsi"/>
          <w:sz w:val="22"/>
          <w:szCs w:val="22"/>
        </w:rPr>
      </w:pPr>
      <w:r>
        <w:rPr>
          <w:rFonts w:asciiTheme="minorHAnsi" w:hAnsiTheme="minorHAnsi" w:cstheme="minorHAnsi"/>
          <w:sz w:val="22"/>
          <w:szCs w:val="22"/>
        </w:rPr>
        <w:t>Language;</w:t>
      </w:r>
    </w:p>
    <w:p w14:paraId="0981554A" w14:textId="77777777" w:rsidR="00F943C3" w:rsidRDefault="00F943C3" w:rsidP="00C312B4">
      <w:pPr>
        <w:pStyle w:val="ListParagraph"/>
        <w:numPr>
          <w:ilvl w:val="0"/>
          <w:numId w:val="41"/>
        </w:numPr>
        <w:jc w:val="both"/>
        <w:rPr>
          <w:rFonts w:asciiTheme="minorHAnsi" w:hAnsiTheme="minorHAnsi" w:cstheme="minorHAnsi"/>
          <w:sz w:val="22"/>
          <w:szCs w:val="22"/>
        </w:rPr>
      </w:pPr>
      <w:r>
        <w:rPr>
          <w:rFonts w:asciiTheme="minorHAnsi" w:hAnsiTheme="minorHAnsi" w:cstheme="minorHAnsi"/>
          <w:sz w:val="22"/>
          <w:szCs w:val="22"/>
        </w:rPr>
        <w:t>Issuer, Offeror and Guarantor registration country;</w:t>
      </w:r>
    </w:p>
    <w:p w14:paraId="22FF7CC1" w14:textId="4507FEE8" w:rsidR="00F943C3" w:rsidRDefault="00F943C3" w:rsidP="00C312B4">
      <w:pPr>
        <w:pStyle w:val="ListParagraph"/>
        <w:numPr>
          <w:ilvl w:val="0"/>
          <w:numId w:val="41"/>
        </w:numPr>
        <w:jc w:val="both"/>
        <w:rPr>
          <w:rFonts w:asciiTheme="minorHAnsi" w:hAnsiTheme="minorHAnsi" w:cstheme="minorHAnsi"/>
          <w:sz w:val="22"/>
          <w:szCs w:val="22"/>
        </w:rPr>
      </w:pPr>
      <w:r>
        <w:rPr>
          <w:rFonts w:asciiTheme="minorHAnsi" w:hAnsiTheme="minorHAnsi" w:cstheme="minorHAnsi"/>
          <w:sz w:val="22"/>
          <w:szCs w:val="22"/>
        </w:rPr>
        <w:t>FISN Code;</w:t>
      </w:r>
    </w:p>
    <w:p w14:paraId="43C2D57C" w14:textId="1ADA82E2" w:rsidR="00F943C3" w:rsidRDefault="00F943C3" w:rsidP="00C312B4">
      <w:pPr>
        <w:pStyle w:val="ListParagraph"/>
        <w:numPr>
          <w:ilvl w:val="0"/>
          <w:numId w:val="41"/>
        </w:numPr>
        <w:jc w:val="both"/>
        <w:rPr>
          <w:rFonts w:asciiTheme="minorHAnsi" w:hAnsiTheme="minorHAnsi" w:cstheme="minorHAnsi"/>
          <w:sz w:val="22"/>
          <w:szCs w:val="22"/>
        </w:rPr>
      </w:pPr>
      <w:r>
        <w:rPr>
          <w:rFonts w:asciiTheme="minorHAnsi" w:hAnsiTheme="minorHAnsi" w:cstheme="minorHAnsi"/>
          <w:sz w:val="22"/>
          <w:szCs w:val="22"/>
        </w:rPr>
        <w:t>CFI Code;</w:t>
      </w:r>
    </w:p>
    <w:p w14:paraId="4D05D7A8" w14:textId="15279931" w:rsidR="00F943C3" w:rsidRDefault="00F943C3" w:rsidP="00C312B4">
      <w:pPr>
        <w:pStyle w:val="ListParagraph"/>
        <w:numPr>
          <w:ilvl w:val="0"/>
          <w:numId w:val="41"/>
        </w:numPr>
        <w:jc w:val="both"/>
        <w:rPr>
          <w:rFonts w:asciiTheme="minorHAnsi" w:hAnsiTheme="minorHAnsi" w:cstheme="minorHAnsi"/>
          <w:sz w:val="22"/>
          <w:szCs w:val="22"/>
        </w:rPr>
      </w:pPr>
      <w:r>
        <w:rPr>
          <w:rFonts w:asciiTheme="minorHAnsi" w:hAnsiTheme="minorHAnsi" w:cstheme="minorHAnsi"/>
          <w:sz w:val="22"/>
          <w:szCs w:val="22"/>
        </w:rPr>
        <w:t>Maturity Date;</w:t>
      </w:r>
    </w:p>
    <w:p w14:paraId="2B2CB27C" w14:textId="6D9EC0D8" w:rsidR="00392296" w:rsidRDefault="00392296" w:rsidP="00C312B4">
      <w:pPr>
        <w:pStyle w:val="ListParagraph"/>
        <w:numPr>
          <w:ilvl w:val="0"/>
          <w:numId w:val="41"/>
        </w:numPr>
        <w:jc w:val="both"/>
        <w:rPr>
          <w:rFonts w:asciiTheme="minorHAnsi" w:hAnsiTheme="minorHAnsi" w:cstheme="minorHAnsi"/>
          <w:sz w:val="22"/>
          <w:szCs w:val="22"/>
        </w:rPr>
      </w:pPr>
      <w:r>
        <w:rPr>
          <w:rFonts w:asciiTheme="minorHAnsi" w:hAnsiTheme="minorHAnsi" w:cstheme="minorHAnsi"/>
          <w:sz w:val="22"/>
          <w:szCs w:val="22"/>
        </w:rPr>
        <w:t>Volume offered;</w:t>
      </w:r>
    </w:p>
    <w:p w14:paraId="7E58FD40" w14:textId="026AE6B5" w:rsidR="00392296" w:rsidRDefault="00392296" w:rsidP="00C312B4">
      <w:pPr>
        <w:pStyle w:val="ListParagraph"/>
        <w:numPr>
          <w:ilvl w:val="0"/>
          <w:numId w:val="41"/>
        </w:numPr>
        <w:jc w:val="both"/>
        <w:rPr>
          <w:rFonts w:asciiTheme="minorHAnsi" w:hAnsiTheme="minorHAnsi" w:cstheme="minorHAnsi"/>
          <w:sz w:val="22"/>
          <w:szCs w:val="22"/>
        </w:rPr>
      </w:pPr>
      <w:r>
        <w:rPr>
          <w:rFonts w:asciiTheme="minorHAnsi" w:hAnsiTheme="minorHAnsi" w:cstheme="minorHAnsi"/>
          <w:sz w:val="22"/>
          <w:szCs w:val="22"/>
        </w:rPr>
        <w:t>Price offered; and</w:t>
      </w:r>
    </w:p>
    <w:p w14:paraId="74E74F44" w14:textId="57640F9E" w:rsidR="00392296" w:rsidRPr="005F547D" w:rsidRDefault="00F943C3" w:rsidP="00C312B4">
      <w:pPr>
        <w:pStyle w:val="ListParagraph"/>
        <w:numPr>
          <w:ilvl w:val="0"/>
          <w:numId w:val="41"/>
        </w:numPr>
        <w:jc w:val="both"/>
        <w:rPr>
          <w:rFonts w:asciiTheme="minorHAnsi" w:hAnsiTheme="minorHAnsi" w:cstheme="minorHAnsi"/>
          <w:sz w:val="22"/>
          <w:szCs w:val="22"/>
        </w:rPr>
      </w:pPr>
      <w:r>
        <w:rPr>
          <w:rFonts w:asciiTheme="minorHAnsi" w:hAnsiTheme="minorHAnsi" w:cstheme="minorHAnsi"/>
          <w:sz w:val="22"/>
          <w:szCs w:val="22"/>
        </w:rPr>
        <w:t>Market identifier of the trading venue</w:t>
      </w:r>
      <w:r w:rsidR="00392296" w:rsidRPr="005F547D">
        <w:rPr>
          <w:rFonts w:asciiTheme="minorHAnsi" w:hAnsiTheme="minorHAnsi" w:cstheme="minorHAnsi"/>
          <w:sz w:val="22"/>
          <w:szCs w:val="22"/>
        </w:rPr>
        <w:t>.</w:t>
      </w:r>
    </w:p>
    <w:p w14:paraId="3CC6DD82" w14:textId="24394751" w:rsidR="00392296" w:rsidRDefault="00392296" w:rsidP="00C312B4">
      <w:pPr>
        <w:jc w:val="both"/>
        <w:rPr>
          <w:rFonts w:asciiTheme="minorHAnsi" w:hAnsiTheme="minorHAnsi" w:cstheme="minorHAnsi"/>
          <w:sz w:val="22"/>
          <w:szCs w:val="22"/>
        </w:rPr>
      </w:pPr>
    </w:p>
    <w:p w14:paraId="32F3F370" w14:textId="6C820AC9" w:rsidR="0030391B" w:rsidRDefault="0030391B" w:rsidP="00C312B4">
      <w:pPr>
        <w:jc w:val="both"/>
        <w:rPr>
          <w:rFonts w:asciiTheme="minorHAnsi" w:hAnsiTheme="minorHAnsi" w:cstheme="minorHAnsi"/>
          <w:sz w:val="22"/>
          <w:szCs w:val="22"/>
        </w:rPr>
      </w:pPr>
      <w:r>
        <w:rPr>
          <w:rFonts w:asciiTheme="minorHAnsi" w:hAnsiTheme="minorHAnsi" w:cstheme="minorHAnsi"/>
          <w:sz w:val="22"/>
          <w:szCs w:val="22"/>
        </w:rPr>
        <w:t xml:space="preserve">None of these items appear to be essential to allow ESMA to comply with its obligations under </w:t>
      </w:r>
      <w:r w:rsidR="000B54AA">
        <w:rPr>
          <w:rFonts w:asciiTheme="minorHAnsi" w:hAnsiTheme="minorHAnsi" w:cstheme="minorHAnsi"/>
          <w:sz w:val="22"/>
          <w:szCs w:val="22"/>
        </w:rPr>
        <w:t xml:space="preserve">Prospectus Regulation </w:t>
      </w:r>
      <w:r>
        <w:rPr>
          <w:rFonts w:asciiTheme="minorHAnsi" w:hAnsiTheme="minorHAnsi" w:cstheme="minorHAnsi"/>
          <w:sz w:val="22"/>
          <w:szCs w:val="22"/>
        </w:rPr>
        <w:t xml:space="preserve">Article 21(6) or Article 47. </w:t>
      </w:r>
    </w:p>
    <w:p w14:paraId="28E74D8A" w14:textId="77777777" w:rsidR="0030391B" w:rsidRDefault="0030391B" w:rsidP="00C312B4">
      <w:pPr>
        <w:jc w:val="both"/>
        <w:rPr>
          <w:rFonts w:asciiTheme="minorHAnsi" w:hAnsiTheme="minorHAnsi" w:cstheme="minorHAnsi"/>
          <w:sz w:val="22"/>
          <w:szCs w:val="22"/>
        </w:rPr>
      </w:pPr>
    </w:p>
    <w:p w14:paraId="3D363C79" w14:textId="100A3246" w:rsidR="000D14CB" w:rsidRDefault="00E220B8" w:rsidP="00C312B4">
      <w:pPr>
        <w:jc w:val="both"/>
        <w:rPr>
          <w:rFonts w:asciiTheme="minorHAnsi" w:hAnsiTheme="minorHAnsi" w:cstheme="minorHAnsi"/>
          <w:sz w:val="22"/>
          <w:szCs w:val="22"/>
        </w:rPr>
      </w:pPr>
      <w:r>
        <w:rPr>
          <w:rFonts w:asciiTheme="minorHAnsi" w:hAnsiTheme="minorHAnsi" w:cstheme="minorHAnsi"/>
          <w:sz w:val="22"/>
          <w:szCs w:val="22"/>
        </w:rPr>
        <w:t xml:space="preserve">Separately, we note that the precise breakdown of information that is to be supplied </w:t>
      </w:r>
      <w:r w:rsidR="000D14CB">
        <w:rPr>
          <w:rFonts w:asciiTheme="minorHAnsi" w:hAnsiTheme="minorHAnsi" w:cstheme="minorHAnsi"/>
          <w:sz w:val="22"/>
          <w:szCs w:val="22"/>
        </w:rPr>
        <w:t>may need some clarification. For example:</w:t>
      </w:r>
    </w:p>
    <w:p w14:paraId="7D48035B" w14:textId="08A33371" w:rsidR="000D14CB" w:rsidRPr="000D14CB" w:rsidRDefault="000D14CB" w:rsidP="00C312B4">
      <w:pPr>
        <w:pStyle w:val="ListParagraph"/>
        <w:numPr>
          <w:ilvl w:val="0"/>
          <w:numId w:val="46"/>
        </w:numPr>
        <w:jc w:val="both"/>
        <w:rPr>
          <w:rFonts w:asciiTheme="minorHAnsi" w:hAnsiTheme="minorHAnsi" w:cstheme="minorHAnsi"/>
          <w:color w:val="000000" w:themeColor="text1"/>
          <w:sz w:val="22"/>
          <w:szCs w:val="22"/>
        </w:rPr>
      </w:pPr>
      <w:r w:rsidRPr="000D14CB">
        <w:rPr>
          <w:rFonts w:asciiTheme="minorHAnsi" w:hAnsiTheme="minorHAnsi" w:cstheme="minorHAnsi"/>
          <w:i/>
          <w:color w:val="000000" w:themeColor="text1"/>
          <w:sz w:val="22"/>
          <w:szCs w:val="22"/>
        </w:rPr>
        <w:t>Item 6, Annex VII to the proposed draft RTS (Structure type)</w:t>
      </w:r>
      <w:r w:rsidRPr="000D14CB">
        <w:rPr>
          <w:rFonts w:asciiTheme="minorHAnsi" w:hAnsiTheme="minorHAnsi" w:cstheme="minorHAnsi"/>
          <w:color w:val="000000" w:themeColor="text1"/>
          <w:sz w:val="22"/>
          <w:szCs w:val="22"/>
        </w:rPr>
        <w:t>: Should base prospectus be listed as an option under “Structure type”</w:t>
      </w:r>
      <w:r w:rsidR="00A1252D">
        <w:rPr>
          <w:rFonts w:asciiTheme="minorHAnsi" w:hAnsiTheme="minorHAnsi" w:cstheme="minorHAnsi"/>
          <w:color w:val="000000" w:themeColor="text1"/>
          <w:sz w:val="22"/>
          <w:szCs w:val="22"/>
        </w:rPr>
        <w:t>, or would a base prospectus</w:t>
      </w:r>
      <w:r w:rsidRPr="000D14CB">
        <w:rPr>
          <w:rFonts w:asciiTheme="minorHAnsi" w:hAnsiTheme="minorHAnsi" w:cstheme="minorHAnsi"/>
          <w:color w:val="000000" w:themeColor="text1"/>
          <w:sz w:val="22"/>
          <w:szCs w:val="22"/>
        </w:rPr>
        <w:t xml:space="preserve"> be a “single document prospectus”?</w:t>
      </w:r>
    </w:p>
    <w:p w14:paraId="5F0FE476" w14:textId="691D2E02" w:rsidR="000D14CB" w:rsidRPr="00D406D1" w:rsidRDefault="000D14CB" w:rsidP="00C312B4">
      <w:pPr>
        <w:pStyle w:val="ListParagraph"/>
        <w:numPr>
          <w:ilvl w:val="0"/>
          <w:numId w:val="46"/>
        </w:numPr>
        <w:jc w:val="both"/>
        <w:rPr>
          <w:rFonts w:asciiTheme="minorHAnsi" w:hAnsiTheme="minorHAnsi" w:cstheme="minorHAnsi"/>
          <w:color w:val="000000" w:themeColor="text1"/>
          <w:sz w:val="22"/>
          <w:szCs w:val="22"/>
        </w:rPr>
      </w:pPr>
      <w:r w:rsidRPr="00D406D1">
        <w:rPr>
          <w:rFonts w:asciiTheme="minorHAnsi" w:hAnsiTheme="minorHAnsi" w:cstheme="minorHAnsi"/>
          <w:i/>
          <w:color w:val="000000" w:themeColor="text1"/>
          <w:sz w:val="22"/>
          <w:szCs w:val="22"/>
        </w:rPr>
        <w:t xml:space="preserve">Item 27, Annex VII to the proposed draft RTS (Consideration offered): </w:t>
      </w:r>
      <w:r w:rsidRPr="00D406D1">
        <w:rPr>
          <w:rFonts w:asciiTheme="minorHAnsi" w:hAnsiTheme="minorHAnsi" w:cstheme="minorHAnsi"/>
          <w:color w:val="000000" w:themeColor="text1"/>
          <w:sz w:val="22"/>
          <w:szCs w:val="22"/>
        </w:rPr>
        <w:t>The “C</w:t>
      </w:r>
      <w:r w:rsidR="00E220B8" w:rsidRPr="00D406D1">
        <w:rPr>
          <w:rFonts w:asciiTheme="minorHAnsi" w:hAnsiTheme="minorHAnsi" w:cstheme="minorHAnsi"/>
          <w:color w:val="000000" w:themeColor="text1"/>
          <w:sz w:val="22"/>
          <w:szCs w:val="22"/>
        </w:rPr>
        <w:t>onsideration</w:t>
      </w:r>
      <w:r w:rsidRPr="00D406D1">
        <w:rPr>
          <w:rFonts w:asciiTheme="minorHAnsi" w:hAnsiTheme="minorHAnsi" w:cstheme="minorHAnsi"/>
          <w:color w:val="000000" w:themeColor="text1"/>
          <w:sz w:val="22"/>
          <w:szCs w:val="22"/>
        </w:rPr>
        <w:t xml:space="preserve"> offered</w:t>
      </w:r>
      <w:r w:rsidR="00E220B8" w:rsidRPr="00D406D1">
        <w:rPr>
          <w:rFonts w:asciiTheme="minorHAnsi" w:hAnsiTheme="minorHAnsi" w:cstheme="minorHAnsi"/>
          <w:color w:val="000000" w:themeColor="text1"/>
          <w:sz w:val="22"/>
          <w:szCs w:val="22"/>
        </w:rPr>
        <w:t>” point</w:t>
      </w:r>
      <w:r w:rsidRPr="00D406D1">
        <w:rPr>
          <w:rFonts w:asciiTheme="minorHAnsi" w:hAnsiTheme="minorHAnsi" w:cstheme="minorHAnsi"/>
          <w:color w:val="000000" w:themeColor="text1"/>
          <w:sz w:val="22"/>
          <w:szCs w:val="22"/>
        </w:rPr>
        <w:t xml:space="preserve"> in Table 7 of the Consultation Paper (page 44)</w:t>
      </w:r>
      <w:r w:rsidR="00E220B8" w:rsidRPr="00D406D1">
        <w:rPr>
          <w:rFonts w:asciiTheme="minorHAnsi" w:hAnsiTheme="minorHAnsi" w:cstheme="minorHAnsi"/>
          <w:color w:val="000000" w:themeColor="text1"/>
          <w:sz w:val="22"/>
          <w:szCs w:val="22"/>
        </w:rPr>
        <w:t xml:space="preserve"> </w:t>
      </w:r>
      <w:r w:rsidR="00A51FFB" w:rsidRPr="00D406D1">
        <w:rPr>
          <w:rFonts w:asciiTheme="minorHAnsi" w:hAnsiTheme="minorHAnsi" w:cstheme="minorHAnsi"/>
          <w:color w:val="000000" w:themeColor="text1"/>
          <w:sz w:val="22"/>
          <w:szCs w:val="22"/>
        </w:rPr>
        <w:t>is broken down in to</w:t>
      </w:r>
      <w:r w:rsidR="00E220B8" w:rsidRPr="00D406D1">
        <w:rPr>
          <w:rFonts w:asciiTheme="minorHAnsi" w:hAnsiTheme="minorHAnsi" w:cstheme="minorHAnsi"/>
          <w:color w:val="000000" w:themeColor="text1"/>
          <w:sz w:val="22"/>
          <w:szCs w:val="22"/>
          <w:lang w:val="en-US"/>
        </w:rPr>
        <w:t xml:space="preserve"> three differ</w:t>
      </w:r>
      <w:r w:rsidR="00A51FFB" w:rsidRPr="00D406D1">
        <w:rPr>
          <w:rFonts w:asciiTheme="minorHAnsi" w:hAnsiTheme="minorHAnsi" w:cstheme="minorHAnsi"/>
          <w:color w:val="000000" w:themeColor="text1"/>
          <w:sz w:val="22"/>
          <w:szCs w:val="22"/>
          <w:lang w:val="en-US"/>
        </w:rPr>
        <w:t xml:space="preserve">ent pieces of information: </w:t>
      </w:r>
      <w:r w:rsidR="00E220B8" w:rsidRPr="00D406D1">
        <w:rPr>
          <w:rFonts w:asciiTheme="minorHAnsi" w:hAnsiTheme="minorHAnsi" w:cstheme="minorHAnsi"/>
          <w:color w:val="000000" w:themeColor="text1"/>
          <w:sz w:val="22"/>
          <w:szCs w:val="22"/>
          <w:lang w:val="en-US"/>
        </w:rPr>
        <w:t>number of securities, price per unit an</w:t>
      </w:r>
      <w:r w:rsidR="00DB245B" w:rsidRPr="00D406D1">
        <w:rPr>
          <w:rFonts w:asciiTheme="minorHAnsi" w:hAnsiTheme="minorHAnsi" w:cstheme="minorHAnsi"/>
          <w:color w:val="000000" w:themeColor="text1"/>
          <w:sz w:val="22"/>
          <w:szCs w:val="22"/>
          <w:lang w:val="en-US"/>
        </w:rPr>
        <w:t>d overall consideration offered</w:t>
      </w:r>
      <w:r w:rsidR="00A51FFB" w:rsidRPr="00D406D1">
        <w:rPr>
          <w:rFonts w:asciiTheme="minorHAnsi" w:hAnsiTheme="minorHAnsi" w:cstheme="minorHAnsi"/>
          <w:color w:val="000000" w:themeColor="text1"/>
          <w:sz w:val="22"/>
          <w:szCs w:val="22"/>
          <w:lang w:val="en-US"/>
        </w:rPr>
        <w:t>. We understand that</w:t>
      </w:r>
      <w:r w:rsidR="00E220B8" w:rsidRPr="00D406D1">
        <w:rPr>
          <w:rFonts w:asciiTheme="minorHAnsi" w:hAnsiTheme="minorHAnsi" w:cstheme="minorHAnsi"/>
          <w:color w:val="000000" w:themeColor="text1"/>
          <w:sz w:val="22"/>
          <w:szCs w:val="22"/>
          <w:lang w:val="en-US"/>
        </w:rPr>
        <w:t xml:space="preserve"> </w:t>
      </w:r>
      <w:r w:rsidR="00A51FFB" w:rsidRPr="00D406D1">
        <w:rPr>
          <w:rFonts w:asciiTheme="minorHAnsi" w:hAnsiTheme="minorHAnsi" w:cstheme="minorHAnsi"/>
          <w:color w:val="000000" w:themeColor="text1"/>
          <w:sz w:val="22"/>
          <w:szCs w:val="22"/>
          <w:lang w:val="en-US"/>
        </w:rPr>
        <w:t>this</w:t>
      </w:r>
      <w:r w:rsidR="00E220B8" w:rsidRPr="00D406D1">
        <w:rPr>
          <w:rStyle w:val="apple-converted-space"/>
          <w:rFonts w:asciiTheme="minorHAnsi" w:hAnsiTheme="minorHAnsi" w:cstheme="minorHAnsi"/>
          <w:color w:val="000000" w:themeColor="text1"/>
          <w:sz w:val="22"/>
          <w:szCs w:val="22"/>
          <w:lang w:val="en-US"/>
        </w:rPr>
        <w:t> </w:t>
      </w:r>
      <w:r w:rsidR="00E220B8" w:rsidRPr="00D406D1">
        <w:rPr>
          <w:rFonts w:asciiTheme="minorHAnsi" w:hAnsiTheme="minorHAnsi" w:cstheme="minorHAnsi"/>
          <w:color w:val="000000" w:themeColor="text1"/>
          <w:sz w:val="22"/>
          <w:szCs w:val="22"/>
          <w:lang w:val="en-US"/>
        </w:rPr>
        <w:t xml:space="preserve">could be problematic in the context of certain types of offers which take place over </w:t>
      </w:r>
      <w:proofErr w:type="gramStart"/>
      <w:r w:rsidR="00E220B8" w:rsidRPr="00D406D1">
        <w:rPr>
          <w:rFonts w:asciiTheme="minorHAnsi" w:hAnsiTheme="minorHAnsi" w:cstheme="minorHAnsi"/>
          <w:color w:val="000000" w:themeColor="text1"/>
          <w:sz w:val="22"/>
          <w:szCs w:val="22"/>
          <w:lang w:val="en-US"/>
        </w:rPr>
        <w:t>a period of time</w:t>
      </w:r>
      <w:proofErr w:type="gramEnd"/>
      <w:r w:rsidR="00E220B8" w:rsidRPr="00D406D1">
        <w:rPr>
          <w:rFonts w:asciiTheme="minorHAnsi" w:hAnsiTheme="minorHAnsi" w:cstheme="minorHAnsi"/>
          <w:color w:val="000000" w:themeColor="text1"/>
          <w:sz w:val="22"/>
          <w:szCs w:val="22"/>
        </w:rPr>
        <w:t>.</w:t>
      </w:r>
      <w:r w:rsidR="00A51FFB" w:rsidRPr="00D406D1">
        <w:rPr>
          <w:rFonts w:asciiTheme="minorHAnsi" w:hAnsiTheme="minorHAnsi" w:cstheme="minorHAnsi"/>
          <w:color w:val="000000" w:themeColor="text1"/>
          <w:sz w:val="22"/>
          <w:szCs w:val="22"/>
        </w:rPr>
        <w:t xml:space="preserve"> </w:t>
      </w:r>
      <w:r w:rsidRPr="00D406D1">
        <w:rPr>
          <w:rFonts w:asciiTheme="minorHAnsi" w:hAnsiTheme="minorHAnsi" w:cstheme="minorHAnsi"/>
          <w:color w:val="000000" w:themeColor="text1"/>
          <w:sz w:val="22"/>
          <w:szCs w:val="22"/>
        </w:rPr>
        <w:t xml:space="preserve">We note, however, that this breakdown </w:t>
      </w:r>
      <w:r w:rsidR="00A1252D" w:rsidRPr="00D406D1">
        <w:rPr>
          <w:rFonts w:asciiTheme="minorHAnsi" w:hAnsiTheme="minorHAnsi" w:cstheme="minorHAnsi"/>
          <w:color w:val="000000" w:themeColor="text1"/>
          <w:sz w:val="22"/>
          <w:szCs w:val="22"/>
        </w:rPr>
        <w:t>does not appear to be</w:t>
      </w:r>
      <w:r w:rsidRPr="00D406D1">
        <w:rPr>
          <w:rFonts w:asciiTheme="minorHAnsi" w:hAnsiTheme="minorHAnsi" w:cstheme="minorHAnsi"/>
          <w:color w:val="000000" w:themeColor="text1"/>
          <w:sz w:val="22"/>
          <w:szCs w:val="22"/>
        </w:rPr>
        <w:t xml:space="preserve"> reflected in </w:t>
      </w:r>
      <w:r w:rsidR="00D17B69" w:rsidRPr="00D406D1">
        <w:rPr>
          <w:rFonts w:asciiTheme="minorHAnsi" w:hAnsiTheme="minorHAnsi" w:cstheme="minorHAnsi"/>
          <w:color w:val="000000" w:themeColor="text1"/>
          <w:sz w:val="22"/>
          <w:szCs w:val="22"/>
        </w:rPr>
        <w:t xml:space="preserve">item 27 of </w:t>
      </w:r>
      <w:r w:rsidRPr="00D406D1">
        <w:rPr>
          <w:rFonts w:asciiTheme="minorHAnsi" w:hAnsiTheme="minorHAnsi" w:cstheme="minorHAnsi"/>
          <w:color w:val="000000" w:themeColor="text1"/>
          <w:sz w:val="22"/>
          <w:szCs w:val="22"/>
        </w:rPr>
        <w:t>Annex VII to the proposed draft RTS.</w:t>
      </w:r>
    </w:p>
    <w:p w14:paraId="1047CD5F" w14:textId="7D0E2978" w:rsidR="000D14CB" w:rsidRPr="000D14CB" w:rsidRDefault="000D14CB" w:rsidP="00C312B4">
      <w:pPr>
        <w:pStyle w:val="ListParagraph"/>
        <w:numPr>
          <w:ilvl w:val="0"/>
          <w:numId w:val="46"/>
        </w:numPr>
        <w:jc w:val="both"/>
        <w:rPr>
          <w:rFonts w:asciiTheme="minorHAnsi" w:hAnsiTheme="minorHAnsi" w:cstheme="minorHAnsi"/>
          <w:color w:val="000000" w:themeColor="text1"/>
          <w:sz w:val="22"/>
          <w:szCs w:val="22"/>
        </w:rPr>
      </w:pPr>
      <w:r w:rsidRPr="00D406D1">
        <w:rPr>
          <w:rFonts w:asciiTheme="minorHAnsi" w:hAnsiTheme="minorHAnsi" w:cstheme="minorHAnsi"/>
          <w:i/>
          <w:color w:val="000000" w:themeColor="text1"/>
          <w:sz w:val="22"/>
          <w:szCs w:val="22"/>
        </w:rPr>
        <w:t>Item 28, Annex VII to the prop</w:t>
      </w:r>
      <w:r w:rsidR="00E14A7C" w:rsidRPr="00D406D1">
        <w:rPr>
          <w:rFonts w:asciiTheme="minorHAnsi" w:hAnsiTheme="minorHAnsi" w:cstheme="minorHAnsi"/>
          <w:i/>
          <w:color w:val="000000" w:themeColor="text1"/>
          <w:sz w:val="22"/>
          <w:szCs w:val="22"/>
        </w:rPr>
        <w:t>o</w:t>
      </w:r>
      <w:r w:rsidRPr="00D406D1">
        <w:rPr>
          <w:rFonts w:asciiTheme="minorHAnsi" w:hAnsiTheme="minorHAnsi" w:cstheme="minorHAnsi"/>
          <w:i/>
          <w:color w:val="000000" w:themeColor="text1"/>
          <w:sz w:val="22"/>
          <w:szCs w:val="22"/>
        </w:rPr>
        <w:t>sed</w:t>
      </w:r>
      <w:r w:rsidRPr="000D14CB">
        <w:rPr>
          <w:rFonts w:asciiTheme="minorHAnsi" w:hAnsiTheme="minorHAnsi" w:cstheme="minorHAnsi"/>
          <w:i/>
          <w:color w:val="000000" w:themeColor="text1"/>
          <w:sz w:val="22"/>
          <w:szCs w:val="22"/>
        </w:rPr>
        <w:t xml:space="preserve"> draft RTS (Type of security)</w:t>
      </w:r>
      <w:r w:rsidRPr="000D14CB">
        <w:rPr>
          <w:rFonts w:asciiTheme="minorHAnsi" w:hAnsiTheme="minorHAnsi" w:cstheme="minorHAnsi"/>
          <w:color w:val="000000" w:themeColor="text1"/>
          <w:sz w:val="22"/>
          <w:szCs w:val="22"/>
        </w:rPr>
        <w:t xml:space="preserve">: The options for derivative securities all reference a denomination. However, not all derivative securities have a denomination.  </w:t>
      </w:r>
    </w:p>
    <w:p w14:paraId="797D1B55" w14:textId="0B36A937" w:rsidR="00E220B8" w:rsidRDefault="00E220B8" w:rsidP="00C312B4">
      <w:pPr>
        <w:jc w:val="both"/>
        <w:rPr>
          <w:rFonts w:asciiTheme="minorHAnsi" w:hAnsiTheme="minorHAnsi" w:cstheme="minorHAnsi"/>
          <w:sz w:val="22"/>
          <w:szCs w:val="22"/>
        </w:rPr>
      </w:pPr>
    </w:p>
    <w:p w14:paraId="2DEB8417" w14:textId="4572E1C8" w:rsidR="009840D9" w:rsidRDefault="008B62B5" w:rsidP="00C312B4">
      <w:pPr>
        <w:jc w:val="both"/>
        <w:rPr>
          <w:rFonts w:asciiTheme="minorHAnsi" w:hAnsiTheme="minorHAnsi" w:cstheme="minorHAnsi"/>
          <w:sz w:val="22"/>
          <w:szCs w:val="22"/>
        </w:rPr>
      </w:pPr>
      <w:r>
        <w:rPr>
          <w:rFonts w:asciiTheme="minorHAnsi" w:hAnsiTheme="minorHAnsi" w:cstheme="minorHAnsi"/>
          <w:sz w:val="22"/>
          <w:szCs w:val="22"/>
        </w:rPr>
        <w:t xml:space="preserve">In relation to the optional information suggested in the consultation paper (consideration raised and document date), we do not believe this information should be requested by ESMA. This information does not </w:t>
      </w:r>
      <w:r>
        <w:rPr>
          <w:rFonts w:asciiTheme="minorHAnsi" w:hAnsiTheme="minorHAnsi" w:cstheme="minorHAnsi"/>
          <w:sz w:val="22"/>
          <w:szCs w:val="22"/>
        </w:rPr>
        <w:lastRenderedPageBreak/>
        <w:t xml:space="preserve">appear to be </w:t>
      </w:r>
      <w:r w:rsidR="0030391B">
        <w:rPr>
          <w:rFonts w:asciiTheme="minorHAnsi" w:hAnsiTheme="minorHAnsi" w:cstheme="minorHAnsi"/>
          <w:sz w:val="22"/>
          <w:szCs w:val="22"/>
        </w:rPr>
        <w:t xml:space="preserve">essential to allow ESMA to comply with its obligations under </w:t>
      </w:r>
      <w:r w:rsidR="000B54AA">
        <w:rPr>
          <w:rFonts w:asciiTheme="minorHAnsi" w:hAnsiTheme="minorHAnsi" w:cstheme="minorHAnsi"/>
          <w:sz w:val="22"/>
          <w:szCs w:val="22"/>
        </w:rPr>
        <w:t>Prospectus Regulation</w:t>
      </w:r>
      <w:r w:rsidR="0030391B">
        <w:rPr>
          <w:rFonts w:asciiTheme="minorHAnsi" w:hAnsiTheme="minorHAnsi" w:cstheme="minorHAnsi"/>
          <w:sz w:val="22"/>
          <w:szCs w:val="22"/>
        </w:rPr>
        <w:t xml:space="preserve"> Article 21(6) or Article 47 </w:t>
      </w:r>
      <w:r>
        <w:rPr>
          <w:rFonts w:asciiTheme="minorHAnsi" w:hAnsiTheme="minorHAnsi" w:cstheme="minorHAnsi"/>
          <w:sz w:val="22"/>
          <w:szCs w:val="22"/>
        </w:rPr>
        <w:t>and, for the reasons given above, the information required by ESMA and included in the updated Prospectus Register should be kept to a minimum.</w:t>
      </w:r>
    </w:p>
    <w:p w14:paraId="634C9291" w14:textId="26B40C83" w:rsidR="00E360E4" w:rsidRDefault="00E360E4" w:rsidP="00C312B4">
      <w:pPr>
        <w:jc w:val="both"/>
        <w:rPr>
          <w:rFonts w:asciiTheme="minorHAnsi" w:hAnsiTheme="minorHAnsi" w:cstheme="minorHAnsi"/>
          <w:sz w:val="22"/>
          <w:szCs w:val="22"/>
        </w:rPr>
      </w:pPr>
    </w:p>
    <w:p w14:paraId="6450C8BE" w14:textId="40070C05" w:rsidR="00E360E4" w:rsidRPr="009840D9" w:rsidRDefault="00E360E4" w:rsidP="00C312B4">
      <w:pPr>
        <w:jc w:val="both"/>
        <w:rPr>
          <w:rFonts w:asciiTheme="minorHAnsi" w:hAnsiTheme="minorHAnsi" w:cstheme="minorHAnsi"/>
          <w:sz w:val="22"/>
          <w:szCs w:val="22"/>
        </w:rPr>
      </w:pPr>
      <w:r>
        <w:rPr>
          <w:rFonts w:asciiTheme="minorHAnsi" w:hAnsiTheme="minorHAnsi" w:cstheme="minorHAnsi"/>
          <w:sz w:val="22"/>
          <w:szCs w:val="22"/>
        </w:rPr>
        <w:t xml:space="preserve">Finally, </w:t>
      </w:r>
      <w:r w:rsidR="008B7146">
        <w:rPr>
          <w:rFonts w:asciiTheme="minorHAnsi" w:hAnsiTheme="minorHAnsi" w:cstheme="minorHAnsi"/>
          <w:sz w:val="22"/>
          <w:szCs w:val="22"/>
        </w:rPr>
        <w:t xml:space="preserve">we query the proposal in paragraph 75 of the consultation paper that information in respect of registration documents and URDs </w:t>
      </w:r>
      <w:r w:rsidR="001A4F8C">
        <w:rPr>
          <w:rFonts w:asciiTheme="minorHAnsi" w:hAnsiTheme="minorHAnsi" w:cstheme="minorHAnsi"/>
          <w:sz w:val="22"/>
          <w:szCs w:val="22"/>
        </w:rPr>
        <w:t xml:space="preserve">will </w:t>
      </w:r>
      <w:r w:rsidR="008B7146">
        <w:rPr>
          <w:rFonts w:asciiTheme="minorHAnsi" w:hAnsiTheme="minorHAnsi" w:cstheme="minorHAnsi"/>
          <w:sz w:val="22"/>
          <w:szCs w:val="22"/>
        </w:rPr>
        <w:t xml:space="preserve">be submitted to ESMA at the time of approval of the related securities note and summary (if applicable). As registration documents and URDs are </w:t>
      </w:r>
      <w:proofErr w:type="gramStart"/>
      <w:r w:rsidR="008B7146">
        <w:rPr>
          <w:rFonts w:asciiTheme="minorHAnsi" w:hAnsiTheme="minorHAnsi" w:cstheme="minorHAnsi"/>
          <w:sz w:val="22"/>
          <w:szCs w:val="22"/>
        </w:rPr>
        <w:t>approved in their own right, it</w:t>
      </w:r>
      <w:proofErr w:type="gramEnd"/>
      <w:r w:rsidR="008B7146">
        <w:rPr>
          <w:rFonts w:asciiTheme="minorHAnsi" w:hAnsiTheme="minorHAnsi" w:cstheme="minorHAnsi"/>
          <w:sz w:val="22"/>
          <w:szCs w:val="22"/>
        </w:rPr>
        <w:t xml:space="preserve"> might make more sense for those documents and the related data to be submitted to ESMA at the time they are approved. This would </w:t>
      </w:r>
      <w:r w:rsidR="001A4F8C">
        <w:rPr>
          <w:rFonts w:asciiTheme="minorHAnsi" w:hAnsiTheme="minorHAnsi" w:cstheme="minorHAnsi"/>
          <w:sz w:val="22"/>
          <w:szCs w:val="22"/>
        </w:rPr>
        <w:t xml:space="preserve">allow investors to access registration documents and URDs before a securities note is available (which they may wish to do) and </w:t>
      </w:r>
      <w:r w:rsidR="008B7146">
        <w:rPr>
          <w:rFonts w:asciiTheme="minorHAnsi" w:hAnsiTheme="minorHAnsi" w:cstheme="minorHAnsi"/>
          <w:sz w:val="22"/>
          <w:szCs w:val="22"/>
        </w:rPr>
        <w:t xml:space="preserve">avoid uncertainty </w:t>
      </w:r>
      <w:r w:rsidR="001A4F8C">
        <w:rPr>
          <w:rFonts w:asciiTheme="minorHAnsi" w:hAnsiTheme="minorHAnsi" w:cstheme="minorHAnsi"/>
          <w:sz w:val="22"/>
          <w:szCs w:val="22"/>
        </w:rPr>
        <w:t>i</w:t>
      </w:r>
      <w:r w:rsidR="008B7146">
        <w:rPr>
          <w:rFonts w:asciiTheme="minorHAnsi" w:hAnsiTheme="minorHAnsi" w:cstheme="minorHAnsi"/>
          <w:sz w:val="22"/>
          <w:szCs w:val="22"/>
        </w:rPr>
        <w:t>n relation to a situation where several related securities notes are approved (as it is not clear whether the registration document or URD and related data would need to be submitted to ESMA in respect of each approved securities note).</w:t>
      </w:r>
    </w:p>
    <w:permEnd w:id="933257420"/>
    <w:p w14:paraId="1D5B3D27" w14:textId="49B56AE8" w:rsidR="00ED4063" w:rsidRPr="00392296" w:rsidRDefault="00ED4063" w:rsidP="00392296">
      <w:pPr>
        <w:rPr>
          <w:rFonts w:asciiTheme="minorHAnsi" w:hAnsiTheme="minorHAnsi" w:cstheme="minorHAnsi"/>
          <w:sz w:val="22"/>
          <w:szCs w:val="22"/>
        </w:rPr>
      </w:pPr>
      <w:r w:rsidRPr="00392296">
        <w:rPr>
          <w:rFonts w:cs="Arial"/>
        </w:rPr>
        <w:t>&lt;ESMA_QUESTION_PR_15&gt;</w:t>
      </w:r>
    </w:p>
    <w:p w14:paraId="458DCEA2" w14:textId="3C3036CE" w:rsidR="00ED4063" w:rsidRDefault="00ED4063" w:rsidP="00ED4063">
      <w:pPr>
        <w:rPr>
          <w:rFonts w:cs="Arial"/>
        </w:rPr>
      </w:pPr>
    </w:p>
    <w:p w14:paraId="20B35780" w14:textId="4145369D" w:rsidR="00ED4063" w:rsidRDefault="00ED4063" w:rsidP="00ED4063">
      <w:pPr>
        <w:rPr>
          <w:rFonts w:cs="Arial"/>
        </w:rPr>
      </w:pPr>
    </w:p>
    <w:p w14:paraId="174D0C10" w14:textId="737EC7FB" w:rsidR="00ED4063" w:rsidRDefault="00ED4063" w:rsidP="00ED4063">
      <w:pPr>
        <w:rPr>
          <w:rFonts w:cs="Arial"/>
        </w:rPr>
      </w:pPr>
    </w:p>
    <w:p w14:paraId="2040AC4F"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Do you agree with the ESMA proposal to maintain the current system in place whereby NCAs submit data to ESMA in XML format as the practical arrangement to ensure that such data is machine readable? Do you agree that, by keeping the data submission system unchanged, adaptation costs are minimised for the market at large?</w:t>
      </w:r>
    </w:p>
    <w:p w14:paraId="6C1F1F93" w14:textId="77777777" w:rsidR="00ED4063" w:rsidRDefault="00ED4063" w:rsidP="00ED4063">
      <w:pPr>
        <w:rPr>
          <w:rFonts w:cs="Arial"/>
        </w:rPr>
      </w:pPr>
      <w:r>
        <w:rPr>
          <w:rFonts w:cs="Arial"/>
        </w:rPr>
        <w:t>&lt;ESMA_QUESTION_PR_16&gt;</w:t>
      </w:r>
    </w:p>
    <w:p w14:paraId="140C4017" w14:textId="4A29A5A7" w:rsidR="00C86E93" w:rsidRDefault="005F547D" w:rsidP="00C312B4">
      <w:pPr>
        <w:jc w:val="both"/>
        <w:rPr>
          <w:rFonts w:asciiTheme="minorHAnsi" w:hAnsiTheme="minorHAnsi" w:cstheme="minorHAnsi"/>
          <w:sz w:val="22"/>
        </w:rPr>
      </w:pPr>
      <w:permStart w:id="1938244308" w:edGrp="everyone"/>
      <w:r w:rsidRPr="005F547D">
        <w:rPr>
          <w:rFonts w:asciiTheme="minorHAnsi" w:hAnsiTheme="minorHAnsi" w:cstheme="minorHAnsi"/>
          <w:sz w:val="22"/>
        </w:rPr>
        <w:t xml:space="preserve">Yes, we agree with the ESMA proposal to maintain the current system </w:t>
      </w:r>
      <w:proofErr w:type="gramStart"/>
      <w:r w:rsidR="00B2474F">
        <w:rPr>
          <w:rFonts w:asciiTheme="minorHAnsi" w:hAnsiTheme="minorHAnsi" w:cstheme="minorHAnsi"/>
          <w:sz w:val="22"/>
        </w:rPr>
        <w:t>in order to</w:t>
      </w:r>
      <w:proofErr w:type="gramEnd"/>
      <w:r w:rsidR="00B2474F">
        <w:rPr>
          <w:rFonts w:asciiTheme="minorHAnsi" w:hAnsiTheme="minorHAnsi" w:cstheme="minorHAnsi"/>
          <w:sz w:val="22"/>
        </w:rPr>
        <w:t xml:space="preserve"> minimise ad</w:t>
      </w:r>
      <w:r w:rsidRPr="005F547D">
        <w:rPr>
          <w:rFonts w:asciiTheme="minorHAnsi" w:hAnsiTheme="minorHAnsi" w:cstheme="minorHAnsi"/>
          <w:sz w:val="22"/>
        </w:rPr>
        <w:t>aptation costs for the market at large.</w:t>
      </w:r>
    </w:p>
    <w:permEnd w:id="1938244308"/>
    <w:p w14:paraId="2590D838" w14:textId="4621A6E4" w:rsidR="00ED4063" w:rsidRDefault="00ED4063" w:rsidP="00ED4063">
      <w:pPr>
        <w:rPr>
          <w:rFonts w:cs="Arial"/>
        </w:rPr>
      </w:pPr>
      <w:r>
        <w:rPr>
          <w:rFonts w:cs="Arial"/>
        </w:rPr>
        <w:t>&lt;ESMA_QUESTION_PR_16&gt;</w:t>
      </w:r>
    </w:p>
    <w:p w14:paraId="27B794CA" w14:textId="03725B4C" w:rsidR="00ED4063" w:rsidRDefault="00ED4063" w:rsidP="00ED4063">
      <w:pPr>
        <w:rPr>
          <w:rFonts w:cs="Arial"/>
        </w:rPr>
      </w:pPr>
    </w:p>
    <w:p w14:paraId="55253525" w14:textId="77777777" w:rsidR="00ED4063" w:rsidRDefault="00ED4063" w:rsidP="00ED4063">
      <w:pPr>
        <w:rPr>
          <w:rFonts w:cs="Arial"/>
        </w:rPr>
      </w:pPr>
    </w:p>
    <w:p w14:paraId="40C39717" w14:textId="77777777" w:rsidR="00ED4063" w:rsidRDefault="00ED4063" w:rsidP="00ED4063">
      <w:pPr>
        <w:rPr>
          <w:rFonts w:cs="Arial"/>
        </w:rPr>
      </w:pPr>
    </w:p>
    <w:p w14:paraId="2A881BEB" w14:textId="77777777" w:rsidR="00ED4063" w:rsidRPr="00ED4063" w:rsidRDefault="00ED4063" w:rsidP="005762EC">
      <w:pPr>
        <w:pStyle w:val="Questionstyle"/>
        <w:numPr>
          <w:ilvl w:val="0"/>
          <w:numId w:val="38"/>
        </w:numPr>
        <w:ind w:hanging="436"/>
        <w:rPr>
          <w:rFonts w:ascii="Arial" w:hAnsi="Arial" w:cs="Arial"/>
        </w:rPr>
      </w:pPr>
      <w:r w:rsidRPr="00ED4063">
        <w:rPr>
          <w:rFonts w:ascii="Arial" w:hAnsi="Arial" w:cs="Arial"/>
        </w:rPr>
        <w:t>: Do you agree that the proposed amendment to the technical advice on prospectus approval could contribute to provide clarity on the way data referred to in Annex VII are collected by NCAs?</w:t>
      </w:r>
    </w:p>
    <w:p w14:paraId="42A3DE56" w14:textId="77777777" w:rsidR="00ED4063" w:rsidRDefault="00ED4063" w:rsidP="00ED4063">
      <w:pPr>
        <w:rPr>
          <w:rFonts w:cs="Arial"/>
        </w:rPr>
      </w:pPr>
      <w:r>
        <w:rPr>
          <w:rFonts w:cs="Arial"/>
        </w:rPr>
        <w:t>&lt;ESMA_QUESTION_PR_17&gt;</w:t>
      </w:r>
    </w:p>
    <w:p w14:paraId="7B568520" w14:textId="5941FB65" w:rsidR="004D51C7" w:rsidRDefault="00E36A3D" w:rsidP="00C312B4">
      <w:pPr>
        <w:jc w:val="both"/>
        <w:rPr>
          <w:rFonts w:asciiTheme="minorHAnsi" w:hAnsiTheme="minorHAnsi" w:cstheme="minorHAnsi"/>
          <w:sz w:val="22"/>
        </w:rPr>
      </w:pPr>
      <w:r>
        <w:rPr>
          <w:rFonts w:asciiTheme="minorHAnsi" w:hAnsiTheme="minorHAnsi" w:cstheme="minorHAnsi"/>
          <w:sz w:val="22"/>
        </w:rPr>
        <w:t xml:space="preserve">We disagree </w:t>
      </w:r>
      <w:r w:rsidR="004D51C7">
        <w:rPr>
          <w:rFonts w:asciiTheme="minorHAnsi" w:hAnsiTheme="minorHAnsi" w:cstheme="minorHAnsi"/>
          <w:sz w:val="22"/>
        </w:rPr>
        <w:t xml:space="preserve">with the suggestion that NCAs may require issuers to submit the data required by Annex VII to the draft RTS to them. </w:t>
      </w:r>
    </w:p>
    <w:p w14:paraId="08A52E97" w14:textId="77777777" w:rsidR="004D51C7" w:rsidRDefault="004D51C7" w:rsidP="00C312B4">
      <w:pPr>
        <w:jc w:val="both"/>
        <w:rPr>
          <w:rFonts w:asciiTheme="minorHAnsi" w:hAnsiTheme="minorHAnsi" w:cstheme="minorHAnsi"/>
          <w:sz w:val="22"/>
        </w:rPr>
      </w:pPr>
    </w:p>
    <w:p w14:paraId="20406F93" w14:textId="77777777" w:rsidR="0030391B" w:rsidRDefault="004D51C7" w:rsidP="00C312B4">
      <w:pPr>
        <w:jc w:val="both"/>
        <w:rPr>
          <w:rFonts w:asciiTheme="minorHAnsi" w:hAnsiTheme="minorHAnsi" w:cstheme="minorHAnsi"/>
          <w:sz w:val="22"/>
        </w:rPr>
      </w:pPr>
      <w:r>
        <w:rPr>
          <w:rFonts w:asciiTheme="minorHAnsi" w:hAnsiTheme="minorHAnsi" w:cstheme="minorHAnsi"/>
          <w:sz w:val="22"/>
        </w:rPr>
        <w:t xml:space="preserve">The suggestion will result in a doubling up of compliance costs and administrative burden, with the issuer providing the information to the NCA and the NCA then needing to check the information provided to it by the issuer </w:t>
      </w:r>
      <w:proofErr w:type="gramStart"/>
      <w:r>
        <w:rPr>
          <w:rFonts w:asciiTheme="minorHAnsi" w:hAnsiTheme="minorHAnsi" w:cstheme="minorHAnsi"/>
          <w:sz w:val="22"/>
        </w:rPr>
        <w:t>in order to</w:t>
      </w:r>
      <w:proofErr w:type="gramEnd"/>
      <w:r>
        <w:rPr>
          <w:rFonts w:asciiTheme="minorHAnsi" w:hAnsiTheme="minorHAnsi" w:cstheme="minorHAnsi"/>
          <w:sz w:val="22"/>
        </w:rPr>
        <w:t xml:space="preserve"> ensure it is providing correct information to ESMA. </w:t>
      </w:r>
    </w:p>
    <w:p w14:paraId="5470BCB8" w14:textId="77777777" w:rsidR="0030391B" w:rsidRDefault="0030391B" w:rsidP="00C312B4">
      <w:pPr>
        <w:jc w:val="both"/>
        <w:rPr>
          <w:rFonts w:asciiTheme="minorHAnsi" w:hAnsiTheme="minorHAnsi" w:cstheme="minorHAnsi"/>
          <w:sz w:val="22"/>
        </w:rPr>
      </w:pPr>
    </w:p>
    <w:p w14:paraId="6B6CB81A" w14:textId="0D87DFFD" w:rsidR="004D51C7" w:rsidRDefault="004D51C7" w:rsidP="00C312B4">
      <w:pPr>
        <w:jc w:val="both"/>
        <w:rPr>
          <w:rFonts w:asciiTheme="minorHAnsi" w:hAnsiTheme="minorHAnsi" w:cstheme="minorHAnsi"/>
          <w:sz w:val="22"/>
        </w:rPr>
      </w:pPr>
      <w:r>
        <w:rPr>
          <w:rFonts w:asciiTheme="minorHAnsi" w:hAnsiTheme="minorHAnsi" w:cstheme="minorHAnsi"/>
          <w:sz w:val="22"/>
        </w:rPr>
        <w:t xml:space="preserve">Also, given the information required is relatively straightforward and, in many cases, better known by the NCA than the issuer, it is unclear why issuers should be required to provide this information to NCAs. For example, NCAs will know the content to be reported in respect of the national identifier, related national identifier, sending member state and receiving member state more easily than the issuer and its advisers. </w:t>
      </w:r>
    </w:p>
    <w:p w14:paraId="30A89573" w14:textId="4E7A1A85" w:rsidR="002A5F69" w:rsidRDefault="002A5F69" w:rsidP="00C312B4">
      <w:pPr>
        <w:jc w:val="both"/>
        <w:rPr>
          <w:rFonts w:asciiTheme="minorHAnsi" w:hAnsiTheme="minorHAnsi" w:cstheme="minorHAnsi"/>
          <w:sz w:val="22"/>
        </w:rPr>
      </w:pPr>
    </w:p>
    <w:p w14:paraId="0BEEF461" w14:textId="2CC978E9" w:rsidR="0025080E" w:rsidRDefault="002A5F69" w:rsidP="00C312B4">
      <w:pPr>
        <w:jc w:val="both"/>
        <w:rPr>
          <w:rFonts w:asciiTheme="minorHAnsi" w:hAnsiTheme="minorHAnsi" w:cstheme="minorHAnsi"/>
          <w:sz w:val="22"/>
        </w:rPr>
      </w:pPr>
      <w:r>
        <w:rPr>
          <w:rFonts w:asciiTheme="minorHAnsi" w:hAnsiTheme="minorHAnsi" w:cstheme="minorHAnsi"/>
          <w:sz w:val="22"/>
        </w:rPr>
        <w:lastRenderedPageBreak/>
        <w:t xml:space="preserve">Furthermore, we understand that </w:t>
      </w:r>
      <w:r w:rsidR="00D17B69">
        <w:rPr>
          <w:rFonts w:asciiTheme="minorHAnsi" w:hAnsiTheme="minorHAnsi" w:cstheme="minorHAnsi"/>
          <w:sz w:val="22"/>
        </w:rPr>
        <w:t xml:space="preserve">some </w:t>
      </w:r>
      <w:r>
        <w:rPr>
          <w:rFonts w:asciiTheme="minorHAnsi" w:hAnsiTheme="minorHAnsi" w:cstheme="minorHAnsi"/>
          <w:sz w:val="22"/>
        </w:rPr>
        <w:t>of the</w:t>
      </w:r>
      <w:r w:rsidR="0025080E">
        <w:rPr>
          <w:rFonts w:asciiTheme="minorHAnsi" w:hAnsiTheme="minorHAnsi" w:cstheme="minorHAnsi"/>
          <w:sz w:val="22"/>
        </w:rPr>
        <w:t xml:space="preserve"> information that would be required by the proposed draft RTS</w:t>
      </w:r>
      <w:r>
        <w:rPr>
          <w:rFonts w:asciiTheme="minorHAnsi" w:hAnsiTheme="minorHAnsi" w:cstheme="minorHAnsi"/>
          <w:sz w:val="22"/>
        </w:rPr>
        <w:t xml:space="preserve"> is </w:t>
      </w:r>
      <w:r w:rsidR="0025080E">
        <w:rPr>
          <w:rFonts w:asciiTheme="minorHAnsi" w:hAnsiTheme="minorHAnsi" w:cstheme="minorHAnsi"/>
          <w:sz w:val="22"/>
        </w:rPr>
        <w:t xml:space="preserve">already </w:t>
      </w:r>
      <w:r>
        <w:rPr>
          <w:rFonts w:asciiTheme="minorHAnsi" w:hAnsiTheme="minorHAnsi" w:cstheme="minorHAnsi"/>
          <w:sz w:val="22"/>
        </w:rPr>
        <w:t>required to be reported to ESMA by the ICSDs and market</w:t>
      </w:r>
      <w:r w:rsidR="00E14A7C">
        <w:rPr>
          <w:rFonts w:asciiTheme="minorHAnsi" w:hAnsiTheme="minorHAnsi" w:cstheme="minorHAnsi"/>
          <w:sz w:val="22"/>
        </w:rPr>
        <w:t xml:space="preserve"> operators</w:t>
      </w:r>
      <w:r>
        <w:rPr>
          <w:rFonts w:asciiTheme="minorHAnsi" w:hAnsiTheme="minorHAnsi" w:cstheme="minorHAnsi"/>
          <w:sz w:val="22"/>
        </w:rPr>
        <w:t xml:space="preserve"> pursuant to other supervisory </w:t>
      </w:r>
      <w:r w:rsidR="00D17B69">
        <w:rPr>
          <w:rFonts w:asciiTheme="minorHAnsi" w:hAnsiTheme="minorHAnsi" w:cstheme="minorHAnsi"/>
          <w:sz w:val="22"/>
        </w:rPr>
        <w:t>reporting requirements (e.g. under MAR)</w:t>
      </w:r>
      <w:r>
        <w:rPr>
          <w:rFonts w:asciiTheme="minorHAnsi" w:hAnsiTheme="minorHAnsi" w:cstheme="minorHAnsi"/>
          <w:sz w:val="22"/>
        </w:rPr>
        <w:t xml:space="preserve">. </w:t>
      </w:r>
      <w:proofErr w:type="gramStart"/>
      <w:r>
        <w:rPr>
          <w:rFonts w:asciiTheme="minorHAnsi" w:hAnsiTheme="minorHAnsi" w:cstheme="minorHAnsi"/>
          <w:sz w:val="22"/>
        </w:rPr>
        <w:t>As a result of</w:t>
      </w:r>
      <w:proofErr w:type="gramEnd"/>
      <w:r>
        <w:rPr>
          <w:rFonts w:asciiTheme="minorHAnsi" w:hAnsiTheme="minorHAnsi" w:cstheme="minorHAnsi"/>
          <w:sz w:val="22"/>
        </w:rPr>
        <w:t xml:space="preserve"> those requirements,</w:t>
      </w:r>
      <w:r w:rsidR="0025080E">
        <w:rPr>
          <w:rFonts w:asciiTheme="minorHAnsi" w:hAnsiTheme="minorHAnsi" w:cstheme="minorHAnsi"/>
          <w:sz w:val="22"/>
        </w:rPr>
        <w:t xml:space="preserve"> the ICSDs and market</w:t>
      </w:r>
      <w:r w:rsidR="00E14A7C">
        <w:rPr>
          <w:rFonts w:asciiTheme="minorHAnsi" w:hAnsiTheme="minorHAnsi" w:cstheme="minorHAnsi"/>
          <w:sz w:val="22"/>
        </w:rPr>
        <w:t xml:space="preserve"> operator</w:t>
      </w:r>
      <w:r w:rsidR="0025080E">
        <w:rPr>
          <w:rFonts w:asciiTheme="minorHAnsi" w:hAnsiTheme="minorHAnsi" w:cstheme="minorHAnsi"/>
          <w:sz w:val="22"/>
        </w:rPr>
        <w:t>s are already requiring</w:t>
      </w:r>
      <w:r>
        <w:rPr>
          <w:rFonts w:asciiTheme="minorHAnsi" w:hAnsiTheme="minorHAnsi" w:cstheme="minorHAnsi"/>
          <w:sz w:val="22"/>
        </w:rPr>
        <w:t xml:space="preserve"> issuers </w:t>
      </w:r>
      <w:r w:rsidR="00A03AAC">
        <w:rPr>
          <w:rFonts w:asciiTheme="minorHAnsi" w:hAnsiTheme="minorHAnsi" w:cstheme="minorHAnsi"/>
          <w:sz w:val="22"/>
        </w:rPr>
        <w:t xml:space="preserve">to report </w:t>
      </w:r>
      <w:r w:rsidR="0025080E">
        <w:rPr>
          <w:rFonts w:asciiTheme="minorHAnsi" w:hAnsiTheme="minorHAnsi" w:cstheme="minorHAnsi"/>
          <w:sz w:val="22"/>
        </w:rPr>
        <w:t xml:space="preserve">information to them, so that they can pass it on to </w:t>
      </w:r>
      <w:r w:rsidR="00E14A7C">
        <w:rPr>
          <w:rFonts w:asciiTheme="minorHAnsi" w:hAnsiTheme="minorHAnsi" w:cstheme="minorHAnsi"/>
          <w:sz w:val="22"/>
        </w:rPr>
        <w:t xml:space="preserve">NCAs and </w:t>
      </w:r>
      <w:r w:rsidR="0025080E">
        <w:rPr>
          <w:rFonts w:asciiTheme="minorHAnsi" w:hAnsiTheme="minorHAnsi" w:cstheme="minorHAnsi"/>
          <w:sz w:val="22"/>
        </w:rPr>
        <w:t>ESMA</w:t>
      </w:r>
      <w:r>
        <w:rPr>
          <w:rFonts w:asciiTheme="minorHAnsi" w:hAnsiTheme="minorHAnsi" w:cstheme="minorHAnsi"/>
          <w:sz w:val="22"/>
        </w:rPr>
        <w:t xml:space="preserve">. The </w:t>
      </w:r>
      <w:r w:rsidR="00E14A7C">
        <w:rPr>
          <w:rFonts w:asciiTheme="minorHAnsi" w:hAnsiTheme="minorHAnsi" w:cstheme="minorHAnsi"/>
          <w:sz w:val="22"/>
        </w:rPr>
        <w:t xml:space="preserve">European </w:t>
      </w:r>
      <w:r>
        <w:rPr>
          <w:rFonts w:asciiTheme="minorHAnsi" w:hAnsiTheme="minorHAnsi" w:cstheme="minorHAnsi"/>
          <w:sz w:val="22"/>
        </w:rPr>
        <w:t>Commission is c</w:t>
      </w:r>
      <w:r w:rsidR="0025080E">
        <w:rPr>
          <w:rFonts w:asciiTheme="minorHAnsi" w:hAnsiTheme="minorHAnsi" w:cstheme="minorHAnsi"/>
          <w:sz w:val="22"/>
        </w:rPr>
        <w:t>urrently undertaking a Fitness Check on Supervisory Reporting in relation to reporting requirements in force at the end of December 2016. The background to this is concerns raised by market participants in relation to overlaps and inconsistencies between reporting requirements and</w:t>
      </w:r>
      <w:r>
        <w:rPr>
          <w:rFonts w:asciiTheme="minorHAnsi" w:hAnsiTheme="minorHAnsi" w:cstheme="minorHAnsi"/>
          <w:sz w:val="22"/>
        </w:rPr>
        <w:t xml:space="preserve"> </w:t>
      </w:r>
      <w:r w:rsidR="0025080E">
        <w:rPr>
          <w:rFonts w:asciiTheme="minorHAnsi" w:hAnsiTheme="minorHAnsi" w:cstheme="minorHAnsi"/>
          <w:sz w:val="22"/>
        </w:rPr>
        <w:t xml:space="preserve">an excessive number of reporting requirements. </w:t>
      </w:r>
      <w:proofErr w:type="gramStart"/>
      <w:r w:rsidR="0025080E">
        <w:rPr>
          <w:rFonts w:asciiTheme="minorHAnsi" w:hAnsiTheme="minorHAnsi" w:cstheme="minorHAnsi"/>
          <w:sz w:val="22"/>
        </w:rPr>
        <w:t>So</w:t>
      </w:r>
      <w:proofErr w:type="gramEnd"/>
      <w:r w:rsidR="0025080E">
        <w:rPr>
          <w:rFonts w:asciiTheme="minorHAnsi" w:hAnsiTheme="minorHAnsi" w:cstheme="minorHAnsi"/>
          <w:sz w:val="22"/>
        </w:rPr>
        <w:t xml:space="preserve"> there is already an acknowledgment by the official sector that overlaps in reporting requirements need to be addressed. </w:t>
      </w:r>
    </w:p>
    <w:p w14:paraId="534F22CF" w14:textId="77777777" w:rsidR="0025080E" w:rsidRDefault="0025080E" w:rsidP="00C312B4">
      <w:pPr>
        <w:jc w:val="both"/>
        <w:rPr>
          <w:rFonts w:asciiTheme="minorHAnsi" w:hAnsiTheme="minorHAnsi" w:cstheme="minorHAnsi"/>
          <w:sz w:val="22"/>
        </w:rPr>
      </w:pPr>
    </w:p>
    <w:p w14:paraId="39904E68" w14:textId="13A1B324" w:rsidR="000636CD" w:rsidRPr="00324E52" w:rsidRDefault="0025080E" w:rsidP="00C312B4">
      <w:pPr>
        <w:jc w:val="both"/>
        <w:rPr>
          <w:rFonts w:asciiTheme="minorHAnsi" w:hAnsiTheme="minorHAnsi" w:cstheme="minorHAnsi"/>
          <w:sz w:val="22"/>
        </w:rPr>
      </w:pPr>
      <w:r w:rsidRPr="000B25CB">
        <w:rPr>
          <w:rFonts w:asciiTheme="minorHAnsi" w:hAnsiTheme="minorHAnsi" w:cstheme="minorHAnsi"/>
          <w:b/>
          <w:sz w:val="22"/>
        </w:rPr>
        <w:t xml:space="preserve">We therefore </w:t>
      </w:r>
      <w:r w:rsidR="00324E52">
        <w:rPr>
          <w:rFonts w:asciiTheme="minorHAnsi" w:hAnsiTheme="minorHAnsi" w:cstheme="minorHAnsi"/>
          <w:b/>
          <w:sz w:val="22"/>
        </w:rPr>
        <w:t xml:space="preserve">strongly </w:t>
      </w:r>
      <w:r w:rsidRPr="000B25CB">
        <w:rPr>
          <w:rFonts w:asciiTheme="minorHAnsi" w:hAnsiTheme="minorHAnsi" w:cstheme="minorHAnsi"/>
          <w:b/>
          <w:sz w:val="22"/>
        </w:rPr>
        <w:t>encourage ESMA to re-consider the proposal to require issuers to report information to NCAs</w:t>
      </w:r>
      <w:r w:rsidR="00E14A7C">
        <w:rPr>
          <w:rFonts w:asciiTheme="minorHAnsi" w:hAnsiTheme="minorHAnsi" w:cstheme="minorHAnsi"/>
          <w:b/>
          <w:sz w:val="22"/>
        </w:rPr>
        <w:t xml:space="preserve"> and not to proceed with draft Article C(2a)</w:t>
      </w:r>
      <w:r w:rsidRPr="000B25CB">
        <w:rPr>
          <w:rFonts w:asciiTheme="minorHAnsi" w:hAnsiTheme="minorHAnsi" w:cstheme="minorHAnsi"/>
          <w:b/>
          <w:sz w:val="22"/>
        </w:rPr>
        <w:t xml:space="preserve">. </w:t>
      </w:r>
      <w:r w:rsidRPr="00324E52">
        <w:rPr>
          <w:rFonts w:asciiTheme="minorHAnsi" w:hAnsiTheme="minorHAnsi" w:cstheme="minorHAnsi"/>
          <w:sz w:val="22"/>
        </w:rPr>
        <w:t xml:space="preserve">Rather, ESMA should consider whether it can obtain the necessary information it needs via other reporting frameworks </w:t>
      </w:r>
      <w:r w:rsidR="00A03AAC" w:rsidRPr="00324E52">
        <w:rPr>
          <w:rFonts w:asciiTheme="minorHAnsi" w:hAnsiTheme="minorHAnsi" w:cstheme="minorHAnsi"/>
          <w:sz w:val="22"/>
        </w:rPr>
        <w:t xml:space="preserve">that are already </w:t>
      </w:r>
      <w:r w:rsidRPr="00324E52">
        <w:rPr>
          <w:rFonts w:asciiTheme="minorHAnsi" w:hAnsiTheme="minorHAnsi" w:cstheme="minorHAnsi"/>
          <w:sz w:val="22"/>
        </w:rPr>
        <w:t>in place</w:t>
      </w:r>
      <w:r w:rsidR="000B25CB" w:rsidRPr="00324E52">
        <w:rPr>
          <w:rFonts w:asciiTheme="minorHAnsi" w:hAnsiTheme="minorHAnsi" w:cstheme="minorHAnsi"/>
          <w:sz w:val="22"/>
        </w:rPr>
        <w:t xml:space="preserve">. If there is any outstanding information that ESMA would not already have under those other reporting frameworks, </w:t>
      </w:r>
      <w:r w:rsidR="000636CD" w:rsidRPr="00324E52">
        <w:rPr>
          <w:rFonts w:asciiTheme="minorHAnsi" w:hAnsiTheme="minorHAnsi" w:cstheme="minorHAnsi"/>
          <w:sz w:val="22"/>
        </w:rPr>
        <w:t xml:space="preserve">NCAs should report to ESMA in accordance with the draft RTS without </w:t>
      </w:r>
      <w:r w:rsidR="0030391B" w:rsidRPr="00324E52">
        <w:rPr>
          <w:rFonts w:asciiTheme="minorHAnsi" w:hAnsiTheme="minorHAnsi" w:cstheme="minorHAnsi"/>
          <w:sz w:val="22"/>
        </w:rPr>
        <w:t xml:space="preserve">placing additional burdens on issuers. </w:t>
      </w:r>
      <w:r w:rsidR="000636CD" w:rsidRPr="00324E52">
        <w:rPr>
          <w:rFonts w:asciiTheme="minorHAnsi" w:hAnsiTheme="minorHAnsi" w:cstheme="minorHAnsi"/>
          <w:sz w:val="22"/>
        </w:rPr>
        <w:t xml:space="preserve"> </w:t>
      </w:r>
    </w:p>
    <w:p w14:paraId="36711E02" w14:textId="242DE2FA" w:rsidR="00ED4063" w:rsidRDefault="00ED4063" w:rsidP="00ED4063">
      <w:pPr>
        <w:rPr>
          <w:rFonts w:cs="Arial"/>
        </w:rPr>
      </w:pPr>
      <w:r>
        <w:rPr>
          <w:rFonts w:cs="Arial"/>
        </w:rPr>
        <w:t>&lt;ESMA_QUESTION_PR_17&gt;</w:t>
      </w:r>
    </w:p>
    <w:p w14:paraId="322821BB" w14:textId="1C00DA44" w:rsidR="00ED4063" w:rsidRDefault="00ED4063" w:rsidP="00ED4063">
      <w:pPr>
        <w:rPr>
          <w:rFonts w:cs="Arial"/>
        </w:rPr>
      </w:pPr>
    </w:p>
    <w:p w14:paraId="67C235B9" w14:textId="77777777" w:rsidR="00ED4063" w:rsidRDefault="00ED4063" w:rsidP="00ED4063">
      <w:pPr>
        <w:rPr>
          <w:rFonts w:cs="Arial"/>
        </w:rPr>
      </w:pPr>
    </w:p>
    <w:p w14:paraId="2C98F796" w14:textId="77777777" w:rsidR="00ED4063" w:rsidRDefault="00ED4063" w:rsidP="00ED4063">
      <w:pPr>
        <w:rPr>
          <w:rFonts w:cs="Arial"/>
        </w:rPr>
      </w:pPr>
    </w:p>
    <w:p w14:paraId="035F0C90" w14:textId="77777777" w:rsidR="00ED4063" w:rsidRPr="00ED4063" w:rsidRDefault="00ED4063" w:rsidP="00630CD7">
      <w:pPr>
        <w:pStyle w:val="Questionstyle"/>
        <w:numPr>
          <w:ilvl w:val="0"/>
          <w:numId w:val="38"/>
        </w:numPr>
        <w:ind w:hanging="436"/>
        <w:rPr>
          <w:rFonts w:ascii="Arial" w:hAnsi="Arial" w:cs="Arial"/>
        </w:rPr>
      </w:pPr>
      <w:r w:rsidRPr="00ED4063">
        <w:rPr>
          <w:rFonts w:ascii="Arial" w:hAnsi="Arial" w:cs="Arial"/>
        </w:rPr>
        <w:t>: Do you have suggestions in relation to how the efficiency, accuracy and timeliness of the data compilation and submission process can be further improved? In your experience, is there any specific reporting format or standard that you would deem most appropriate in this context?</w:t>
      </w:r>
    </w:p>
    <w:p w14:paraId="7071A655" w14:textId="77777777" w:rsidR="00ED4063" w:rsidRDefault="00ED4063" w:rsidP="00ED4063">
      <w:pPr>
        <w:rPr>
          <w:rFonts w:cs="Arial"/>
        </w:rPr>
      </w:pPr>
      <w:r>
        <w:rPr>
          <w:rFonts w:cs="Arial"/>
        </w:rPr>
        <w:t>&lt;ESMA_QUESTION_PR_18&gt;</w:t>
      </w:r>
    </w:p>
    <w:p w14:paraId="01FA59D2" w14:textId="77777777" w:rsidR="0030391B" w:rsidRPr="0030391B" w:rsidRDefault="0030391B" w:rsidP="00C312B4">
      <w:pPr>
        <w:jc w:val="both"/>
        <w:rPr>
          <w:rFonts w:asciiTheme="minorHAnsi" w:hAnsiTheme="minorHAnsi" w:cstheme="minorHAnsi"/>
        </w:rPr>
      </w:pPr>
      <w:permStart w:id="1314027049" w:edGrp="everyone"/>
      <w:r w:rsidRPr="0030391B">
        <w:rPr>
          <w:rFonts w:asciiTheme="minorHAnsi" w:hAnsiTheme="minorHAnsi" w:cstheme="minorHAnsi"/>
          <w:sz w:val="22"/>
        </w:rPr>
        <w:t xml:space="preserve">We have nothing to add to the points raised in our responses to Q14 – 17 above. </w:t>
      </w:r>
    </w:p>
    <w:permEnd w:id="1314027049"/>
    <w:p w14:paraId="500A58C2" w14:textId="1DE1FED8" w:rsidR="00ED4063" w:rsidRDefault="00ED4063" w:rsidP="00ED4063">
      <w:pPr>
        <w:rPr>
          <w:rFonts w:cs="Arial"/>
        </w:rPr>
      </w:pPr>
      <w:r>
        <w:rPr>
          <w:rFonts w:cs="Arial"/>
        </w:rPr>
        <w:t>&lt;ESMA_QUESTION_PR_18&gt;</w:t>
      </w:r>
    </w:p>
    <w:p w14:paraId="5716C92B" w14:textId="5F175063" w:rsidR="00ED4063" w:rsidRDefault="00ED4063" w:rsidP="00ED4063">
      <w:pPr>
        <w:rPr>
          <w:rFonts w:cs="Arial"/>
        </w:rPr>
      </w:pPr>
    </w:p>
    <w:p w14:paraId="1C73D4B6" w14:textId="5E8ABE43" w:rsidR="00ED4063" w:rsidRDefault="00ED4063" w:rsidP="00ED4063">
      <w:pPr>
        <w:rPr>
          <w:rFonts w:cs="Arial"/>
        </w:rPr>
      </w:pPr>
    </w:p>
    <w:p w14:paraId="0BB1E649" w14:textId="77777777" w:rsidR="00315895" w:rsidRDefault="00315895" w:rsidP="00ED4063">
      <w:pPr>
        <w:rPr>
          <w:rFonts w:cs="Arial"/>
        </w:rPr>
      </w:pPr>
    </w:p>
    <w:p w14:paraId="439448AE" w14:textId="2F666290" w:rsidR="00C761FA" w:rsidRDefault="00C761FA" w:rsidP="00C761FA">
      <w:pPr>
        <w:pStyle w:val="Heading1"/>
        <w:numPr>
          <w:ilvl w:val="0"/>
          <w:numId w:val="0"/>
        </w:numPr>
      </w:pPr>
      <w:r w:rsidRPr="00931870">
        <w:t>Advertisements</w:t>
      </w:r>
    </w:p>
    <w:p w14:paraId="37FBE571" w14:textId="77777777" w:rsidR="00ED4063" w:rsidRPr="00BD3C97" w:rsidRDefault="00ED4063" w:rsidP="00BD3C97">
      <w:pPr>
        <w:spacing w:before="240" w:after="60"/>
        <w:rPr>
          <w:rFonts w:cs="Arial"/>
        </w:rPr>
      </w:pPr>
    </w:p>
    <w:p w14:paraId="559DE728" w14:textId="77777777" w:rsidR="00ED4063" w:rsidRPr="00ED4063" w:rsidRDefault="00ED4063" w:rsidP="00630CD7">
      <w:pPr>
        <w:pStyle w:val="Questionstyle"/>
        <w:numPr>
          <w:ilvl w:val="0"/>
          <w:numId w:val="38"/>
        </w:numPr>
        <w:ind w:hanging="436"/>
        <w:rPr>
          <w:rFonts w:ascii="Arial" w:hAnsi="Arial" w:cs="Arial"/>
        </w:rPr>
      </w:pPr>
      <w:r w:rsidRPr="00ED4063">
        <w:rPr>
          <w:rFonts w:ascii="Arial" w:hAnsi="Arial" w:cs="Arial"/>
        </w:rPr>
        <w:t>: Do you consider that an advertisement should contain at least a hyperlink to the website where it is published and where available and technically feasible additional information that would facilitate tracing the prospectus? Please provide examples of the additional information that you think would be helpful to include in the advertisement.</w:t>
      </w:r>
    </w:p>
    <w:p w14:paraId="25B9D1D5" w14:textId="77777777" w:rsidR="00ED4063" w:rsidRDefault="00ED4063" w:rsidP="00ED4063">
      <w:pPr>
        <w:rPr>
          <w:rFonts w:cs="Arial"/>
        </w:rPr>
      </w:pPr>
      <w:r>
        <w:rPr>
          <w:rFonts w:cs="Arial"/>
        </w:rPr>
        <w:t>&lt;ESMA_QUESTION_PR_19&gt;</w:t>
      </w:r>
    </w:p>
    <w:p w14:paraId="2521E018" w14:textId="4915E535" w:rsidR="004534C8" w:rsidRDefault="00F7016A" w:rsidP="00C312B4">
      <w:pPr>
        <w:jc w:val="both"/>
        <w:rPr>
          <w:rFonts w:asciiTheme="minorHAnsi" w:hAnsiTheme="minorHAnsi" w:cstheme="minorHAnsi"/>
          <w:sz w:val="22"/>
        </w:rPr>
      </w:pPr>
      <w:permStart w:id="707815204" w:edGrp="everyone"/>
      <w:r>
        <w:rPr>
          <w:rFonts w:asciiTheme="minorHAnsi" w:hAnsiTheme="minorHAnsi" w:cstheme="minorHAnsi"/>
          <w:sz w:val="22"/>
        </w:rPr>
        <w:t xml:space="preserve">As noted in our general remarks above, the wide definition of “advertisement” is likely to mean that any specific obligations relating to advertisements could be problematic when they are applied in practice to the very wide range of “communications” to which they relate. </w:t>
      </w:r>
      <w:r w:rsidR="004534C8">
        <w:rPr>
          <w:rFonts w:asciiTheme="minorHAnsi" w:hAnsiTheme="minorHAnsi" w:cstheme="minorHAnsi"/>
          <w:sz w:val="22"/>
        </w:rPr>
        <w:t xml:space="preserve">An example might be conversations that an experienced </w:t>
      </w:r>
      <w:r w:rsidR="008F52B9">
        <w:rPr>
          <w:rFonts w:asciiTheme="minorHAnsi" w:hAnsiTheme="minorHAnsi" w:cstheme="minorHAnsi"/>
          <w:sz w:val="22"/>
        </w:rPr>
        <w:t>retail investor has with their</w:t>
      </w:r>
      <w:r w:rsidR="004534C8">
        <w:rPr>
          <w:rFonts w:asciiTheme="minorHAnsi" w:hAnsiTheme="minorHAnsi" w:cstheme="minorHAnsi"/>
          <w:sz w:val="22"/>
        </w:rPr>
        <w:t xml:space="preserve"> broker on a frequent basis.</w:t>
      </w:r>
      <w:r w:rsidR="005920E5">
        <w:rPr>
          <w:rFonts w:asciiTheme="minorHAnsi" w:hAnsiTheme="minorHAnsi" w:cstheme="minorHAnsi"/>
          <w:sz w:val="22"/>
        </w:rPr>
        <w:t xml:space="preserve"> Some parts of those conversations may at times fulfil the definition </w:t>
      </w:r>
      <w:r w:rsidR="00746A5C">
        <w:rPr>
          <w:rFonts w:asciiTheme="minorHAnsi" w:hAnsiTheme="minorHAnsi" w:cstheme="minorHAnsi"/>
          <w:sz w:val="22"/>
        </w:rPr>
        <w:t>of “advertisement” under the Prospectus Regulation.</w:t>
      </w:r>
      <w:r w:rsidR="005920E5">
        <w:rPr>
          <w:rFonts w:asciiTheme="minorHAnsi" w:hAnsiTheme="minorHAnsi" w:cstheme="minorHAnsi"/>
          <w:sz w:val="22"/>
        </w:rPr>
        <w:t xml:space="preserve"> In that</w:t>
      </w:r>
      <w:r w:rsidR="008F52B9">
        <w:rPr>
          <w:rFonts w:asciiTheme="minorHAnsi" w:hAnsiTheme="minorHAnsi" w:cstheme="minorHAnsi"/>
          <w:sz w:val="22"/>
        </w:rPr>
        <w:t xml:space="preserve"> context, it </w:t>
      </w:r>
      <w:r w:rsidR="008F52B9">
        <w:rPr>
          <w:rFonts w:asciiTheme="minorHAnsi" w:hAnsiTheme="minorHAnsi" w:cstheme="minorHAnsi"/>
          <w:sz w:val="22"/>
        </w:rPr>
        <w:lastRenderedPageBreak/>
        <w:t>might not be</w:t>
      </w:r>
      <w:r w:rsidR="005920E5">
        <w:rPr>
          <w:rFonts w:asciiTheme="minorHAnsi" w:hAnsiTheme="minorHAnsi" w:cstheme="minorHAnsi"/>
          <w:sz w:val="22"/>
        </w:rPr>
        <w:t xml:space="preserve"> </w:t>
      </w:r>
      <w:r w:rsidR="00A1252D">
        <w:rPr>
          <w:rFonts w:asciiTheme="minorHAnsi" w:hAnsiTheme="minorHAnsi" w:cstheme="minorHAnsi"/>
          <w:sz w:val="22"/>
        </w:rPr>
        <w:t>realistic</w:t>
      </w:r>
      <w:r w:rsidR="005920E5">
        <w:rPr>
          <w:rFonts w:asciiTheme="minorHAnsi" w:hAnsiTheme="minorHAnsi" w:cstheme="minorHAnsi"/>
          <w:sz w:val="22"/>
        </w:rPr>
        <w:t xml:space="preserve">, or indeed necessary from an investor protection perspective, </w:t>
      </w:r>
      <w:r w:rsidR="00A1252D">
        <w:rPr>
          <w:rFonts w:asciiTheme="minorHAnsi" w:hAnsiTheme="minorHAnsi" w:cstheme="minorHAnsi"/>
          <w:sz w:val="22"/>
        </w:rPr>
        <w:t xml:space="preserve">to expect </w:t>
      </w:r>
      <w:r w:rsidR="005920E5">
        <w:rPr>
          <w:rFonts w:asciiTheme="minorHAnsi" w:hAnsiTheme="minorHAnsi" w:cstheme="minorHAnsi"/>
          <w:sz w:val="22"/>
        </w:rPr>
        <w:t>the</w:t>
      </w:r>
      <w:r w:rsidR="00E84674">
        <w:rPr>
          <w:rFonts w:asciiTheme="minorHAnsi" w:hAnsiTheme="minorHAnsi" w:cstheme="minorHAnsi"/>
          <w:sz w:val="22"/>
        </w:rPr>
        <w:t xml:space="preserve"> part of the conversation that is an</w:t>
      </w:r>
      <w:r w:rsidR="005920E5">
        <w:rPr>
          <w:rFonts w:asciiTheme="minorHAnsi" w:hAnsiTheme="minorHAnsi" w:cstheme="minorHAnsi"/>
          <w:sz w:val="22"/>
        </w:rPr>
        <w:t xml:space="preserve"> “advertisement” to comply with the RTS as proposed (for example, by clearly identifying the website where the prospectus is published or will be published)</w:t>
      </w:r>
      <w:r w:rsidR="00D406D1">
        <w:rPr>
          <w:rFonts w:asciiTheme="minorHAnsi" w:hAnsiTheme="minorHAnsi" w:cstheme="minorHAnsi"/>
          <w:sz w:val="22"/>
        </w:rPr>
        <w:t>.</w:t>
      </w:r>
      <w:r w:rsidR="00E23649" w:rsidRPr="00FD0713">
        <w:rPr>
          <w:rFonts w:asciiTheme="minorHAnsi" w:hAnsiTheme="minorHAnsi" w:cstheme="minorHAnsi"/>
          <w:sz w:val="22"/>
          <w:highlight w:val="yellow"/>
        </w:rPr>
        <w:t xml:space="preserve"> </w:t>
      </w:r>
    </w:p>
    <w:p w14:paraId="2570BD6B" w14:textId="77777777" w:rsidR="004534C8" w:rsidRDefault="004534C8" w:rsidP="00C312B4">
      <w:pPr>
        <w:jc w:val="both"/>
        <w:rPr>
          <w:rFonts w:asciiTheme="minorHAnsi" w:hAnsiTheme="minorHAnsi" w:cstheme="minorHAnsi"/>
          <w:sz w:val="22"/>
        </w:rPr>
      </w:pPr>
    </w:p>
    <w:p w14:paraId="30FE8EC3" w14:textId="2DEB66D0" w:rsidR="005920E5" w:rsidRDefault="00F7016A" w:rsidP="00C312B4">
      <w:pPr>
        <w:jc w:val="both"/>
        <w:rPr>
          <w:rFonts w:asciiTheme="minorHAnsi" w:hAnsiTheme="minorHAnsi" w:cstheme="minorHAnsi"/>
          <w:sz w:val="22"/>
        </w:rPr>
      </w:pPr>
      <w:r>
        <w:rPr>
          <w:rFonts w:asciiTheme="minorHAnsi" w:hAnsiTheme="minorHAnsi" w:cstheme="minorHAnsi"/>
          <w:sz w:val="22"/>
        </w:rPr>
        <w:t xml:space="preserve">It is for this reason that ICMA previously suggested that the term “communication” in the Level 1 text be interpreted to mean a communication that is of general import or is widely disseminated, and not a bilateral communication. We note that ESMA provides some examples of the types of communication that it considers to be captured by the new definition </w:t>
      </w:r>
      <w:r w:rsidR="00213099">
        <w:rPr>
          <w:rFonts w:asciiTheme="minorHAnsi" w:hAnsiTheme="minorHAnsi" w:cstheme="minorHAnsi"/>
          <w:sz w:val="22"/>
        </w:rPr>
        <w:t xml:space="preserve">of advertisement </w:t>
      </w:r>
      <w:r>
        <w:rPr>
          <w:rFonts w:asciiTheme="minorHAnsi" w:hAnsiTheme="minorHAnsi" w:cstheme="minorHAnsi"/>
          <w:sz w:val="22"/>
        </w:rPr>
        <w:t>in paragraph 131 of the consultation paper</w:t>
      </w:r>
      <w:r w:rsidR="005920E5">
        <w:rPr>
          <w:rFonts w:asciiTheme="minorHAnsi" w:hAnsiTheme="minorHAnsi" w:cstheme="minorHAnsi"/>
          <w:sz w:val="22"/>
        </w:rPr>
        <w:t>. These examples appear to be helpful and generally in line with the concept of a communicat</w:t>
      </w:r>
      <w:r w:rsidR="00DB245B">
        <w:rPr>
          <w:rFonts w:asciiTheme="minorHAnsi" w:hAnsiTheme="minorHAnsi" w:cstheme="minorHAnsi"/>
          <w:sz w:val="22"/>
        </w:rPr>
        <w:t xml:space="preserve">ion that is widely disseminated </w:t>
      </w:r>
      <w:r w:rsidR="008F52B9">
        <w:rPr>
          <w:rFonts w:asciiTheme="minorHAnsi" w:hAnsiTheme="minorHAnsi" w:cstheme="minorHAnsi"/>
          <w:sz w:val="22"/>
        </w:rPr>
        <w:t>(regardless of whether each individual</w:t>
      </w:r>
      <w:r w:rsidR="00213099">
        <w:rPr>
          <w:rFonts w:asciiTheme="minorHAnsi" w:hAnsiTheme="minorHAnsi" w:cstheme="minorHAnsi"/>
          <w:sz w:val="22"/>
        </w:rPr>
        <w:t xml:space="preserve"> communication is bilateral or not),</w:t>
      </w:r>
      <w:r w:rsidR="005920E5">
        <w:rPr>
          <w:rFonts w:asciiTheme="minorHAnsi" w:hAnsiTheme="minorHAnsi" w:cstheme="minorHAnsi"/>
          <w:sz w:val="22"/>
        </w:rPr>
        <w:t xml:space="preserve"> rather than a bespoke or specific bilateral communication that might happen on a one-off basis</w:t>
      </w:r>
      <w:r w:rsidR="00E84674">
        <w:rPr>
          <w:rFonts w:asciiTheme="minorHAnsi" w:hAnsiTheme="minorHAnsi" w:cstheme="minorHAnsi"/>
          <w:sz w:val="22"/>
        </w:rPr>
        <w:t>, such as the example given above</w:t>
      </w:r>
      <w:r w:rsidR="005920E5">
        <w:rPr>
          <w:rFonts w:asciiTheme="minorHAnsi" w:hAnsiTheme="minorHAnsi" w:cstheme="minorHAnsi"/>
          <w:sz w:val="22"/>
        </w:rPr>
        <w:t xml:space="preserve">. </w:t>
      </w:r>
    </w:p>
    <w:p w14:paraId="31A118B1" w14:textId="77777777" w:rsidR="005920E5" w:rsidRDefault="005920E5" w:rsidP="00C312B4">
      <w:pPr>
        <w:jc w:val="both"/>
        <w:rPr>
          <w:rFonts w:asciiTheme="minorHAnsi" w:hAnsiTheme="minorHAnsi" w:cstheme="minorHAnsi"/>
          <w:sz w:val="22"/>
        </w:rPr>
      </w:pPr>
    </w:p>
    <w:p w14:paraId="5BB4E8A8" w14:textId="130A0C9F" w:rsidR="00F7016A" w:rsidRDefault="00DB245B" w:rsidP="00C312B4">
      <w:pPr>
        <w:jc w:val="both"/>
        <w:rPr>
          <w:rFonts w:asciiTheme="minorHAnsi" w:hAnsiTheme="minorHAnsi" w:cstheme="minorHAnsi"/>
          <w:sz w:val="22"/>
        </w:rPr>
      </w:pPr>
      <w:r>
        <w:rPr>
          <w:rFonts w:asciiTheme="minorHAnsi" w:hAnsiTheme="minorHAnsi" w:cstheme="minorHAnsi"/>
          <w:sz w:val="22"/>
        </w:rPr>
        <w:t>However</w:t>
      </w:r>
      <w:r w:rsidR="00213099">
        <w:rPr>
          <w:rFonts w:asciiTheme="minorHAnsi" w:hAnsiTheme="minorHAnsi" w:cstheme="minorHAnsi"/>
          <w:sz w:val="22"/>
        </w:rPr>
        <w:t xml:space="preserve">, </w:t>
      </w:r>
      <w:r w:rsidR="005920E5">
        <w:rPr>
          <w:rFonts w:asciiTheme="minorHAnsi" w:hAnsiTheme="minorHAnsi" w:cstheme="minorHAnsi"/>
          <w:sz w:val="22"/>
        </w:rPr>
        <w:t xml:space="preserve">concerns </w:t>
      </w:r>
      <w:proofErr w:type="gramStart"/>
      <w:r w:rsidR="005920E5">
        <w:rPr>
          <w:rFonts w:asciiTheme="minorHAnsi" w:hAnsiTheme="minorHAnsi" w:cstheme="minorHAnsi"/>
          <w:sz w:val="22"/>
        </w:rPr>
        <w:t>still remain</w:t>
      </w:r>
      <w:proofErr w:type="gramEnd"/>
      <w:r w:rsidR="005920E5">
        <w:rPr>
          <w:rFonts w:asciiTheme="minorHAnsi" w:hAnsiTheme="minorHAnsi" w:cstheme="minorHAnsi"/>
          <w:sz w:val="22"/>
        </w:rPr>
        <w:t xml:space="preserve"> </w:t>
      </w:r>
      <w:r w:rsidR="00213099">
        <w:rPr>
          <w:rFonts w:asciiTheme="minorHAnsi" w:hAnsiTheme="minorHAnsi" w:cstheme="minorHAnsi"/>
          <w:sz w:val="22"/>
        </w:rPr>
        <w:t xml:space="preserve">in relation to how </w:t>
      </w:r>
      <w:r w:rsidR="0015720C">
        <w:rPr>
          <w:rFonts w:asciiTheme="minorHAnsi" w:hAnsiTheme="minorHAnsi" w:cstheme="minorHAnsi"/>
          <w:sz w:val="22"/>
        </w:rPr>
        <w:t>certain elements of the</w:t>
      </w:r>
      <w:r w:rsidR="00213099">
        <w:rPr>
          <w:rFonts w:asciiTheme="minorHAnsi" w:hAnsiTheme="minorHAnsi" w:cstheme="minorHAnsi"/>
          <w:sz w:val="22"/>
        </w:rPr>
        <w:t xml:space="preserve"> proposed draft RTS will apply in practice</w:t>
      </w:r>
      <w:r w:rsidR="005920E5">
        <w:rPr>
          <w:rFonts w:asciiTheme="minorHAnsi" w:hAnsiTheme="minorHAnsi" w:cstheme="minorHAnsi"/>
          <w:sz w:val="22"/>
        </w:rPr>
        <w:t>.</w:t>
      </w:r>
    </w:p>
    <w:p w14:paraId="16DA3B13" w14:textId="77777777" w:rsidR="005920E5" w:rsidRDefault="005920E5" w:rsidP="00C312B4">
      <w:pPr>
        <w:jc w:val="both"/>
        <w:rPr>
          <w:rFonts w:asciiTheme="minorHAnsi" w:hAnsiTheme="minorHAnsi" w:cstheme="minorHAnsi"/>
          <w:sz w:val="22"/>
        </w:rPr>
      </w:pPr>
    </w:p>
    <w:p w14:paraId="19D1E9F6" w14:textId="7E3B4857" w:rsidR="00CF777F" w:rsidRDefault="005920E5" w:rsidP="00C312B4">
      <w:pPr>
        <w:jc w:val="both"/>
        <w:rPr>
          <w:rFonts w:asciiTheme="minorHAnsi" w:hAnsiTheme="minorHAnsi" w:cstheme="minorHAnsi"/>
          <w:sz w:val="22"/>
        </w:rPr>
      </w:pPr>
      <w:r>
        <w:rPr>
          <w:rFonts w:asciiTheme="minorHAnsi" w:hAnsiTheme="minorHAnsi" w:cstheme="minorHAnsi"/>
          <w:sz w:val="22"/>
        </w:rPr>
        <w:t>In relation to p</w:t>
      </w:r>
      <w:r w:rsidR="00CF777F" w:rsidRPr="00CF777F">
        <w:rPr>
          <w:rFonts w:asciiTheme="minorHAnsi" w:hAnsiTheme="minorHAnsi" w:cstheme="minorHAnsi"/>
          <w:sz w:val="22"/>
        </w:rPr>
        <w:t xml:space="preserve">roposed draft RTS Article 12.1, which sets out requirements relating to the identification of the prospectus in an advertisement, </w:t>
      </w:r>
      <w:r w:rsidR="00D406D1">
        <w:rPr>
          <w:rFonts w:asciiTheme="minorHAnsi" w:hAnsiTheme="minorHAnsi" w:cstheme="minorHAnsi"/>
          <w:sz w:val="22"/>
        </w:rPr>
        <w:t>we encourag</w:t>
      </w:r>
      <w:r w:rsidR="0045318F">
        <w:rPr>
          <w:rFonts w:asciiTheme="minorHAnsi" w:hAnsiTheme="minorHAnsi" w:cstheme="minorHAnsi"/>
          <w:sz w:val="22"/>
        </w:rPr>
        <w:t>e ESMA</w:t>
      </w:r>
      <w:r w:rsidR="00E84674">
        <w:rPr>
          <w:rFonts w:asciiTheme="minorHAnsi" w:hAnsiTheme="minorHAnsi" w:cstheme="minorHAnsi"/>
          <w:sz w:val="22"/>
        </w:rPr>
        <w:t xml:space="preserve"> to consider the</w:t>
      </w:r>
      <w:r w:rsidR="001C2A04">
        <w:rPr>
          <w:rFonts w:asciiTheme="minorHAnsi" w:hAnsiTheme="minorHAnsi" w:cstheme="minorHAnsi"/>
          <w:sz w:val="22"/>
        </w:rPr>
        <w:t xml:space="preserve"> following</w:t>
      </w:r>
      <w:r w:rsidR="00E84674">
        <w:rPr>
          <w:rFonts w:asciiTheme="minorHAnsi" w:hAnsiTheme="minorHAnsi" w:cstheme="minorHAnsi"/>
          <w:sz w:val="22"/>
        </w:rPr>
        <w:t xml:space="preserve"> points</w:t>
      </w:r>
      <w:r w:rsidR="0071064E">
        <w:rPr>
          <w:rFonts w:asciiTheme="minorHAnsi" w:hAnsiTheme="minorHAnsi" w:cstheme="minorHAnsi"/>
          <w:sz w:val="22"/>
        </w:rPr>
        <w:t>.</w:t>
      </w:r>
    </w:p>
    <w:p w14:paraId="4129EAF1" w14:textId="77777777" w:rsidR="00CF777F" w:rsidRDefault="00CF777F" w:rsidP="00C312B4">
      <w:pPr>
        <w:jc w:val="both"/>
        <w:rPr>
          <w:rFonts w:asciiTheme="minorHAnsi" w:hAnsiTheme="minorHAnsi" w:cstheme="minorHAnsi"/>
          <w:sz w:val="22"/>
        </w:rPr>
      </w:pPr>
    </w:p>
    <w:p w14:paraId="6A56EE10" w14:textId="6751C3F9" w:rsidR="0071064E" w:rsidRDefault="00D406D1" w:rsidP="00C312B4">
      <w:pPr>
        <w:pStyle w:val="ListParagraph"/>
        <w:numPr>
          <w:ilvl w:val="0"/>
          <w:numId w:val="42"/>
        </w:numPr>
        <w:ind w:left="426" w:hanging="426"/>
        <w:jc w:val="both"/>
        <w:rPr>
          <w:rFonts w:asciiTheme="minorHAnsi" w:hAnsiTheme="minorHAnsi" w:cstheme="minorHAnsi"/>
          <w:sz w:val="22"/>
        </w:rPr>
      </w:pPr>
      <w:r>
        <w:rPr>
          <w:rFonts w:asciiTheme="minorHAnsi" w:hAnsiTheme="minorHAnsi" w:cstheme="minorHAnsi"/>
          <w:sz w:val="22"/>
        </w:rPr>
        <w:t>Issuers of non-equity</w:t>
      </w:r>
      <w:r w:rsidR="00E84674">
        <w:rPr>
          <w:rFonts w:asciiTheme="minorHAnsi" w:hAnsiTheme="minorHAnsi" w:cstheme="minorHAnsi"/>
          <w:sz w:val="22"/>
        </w:rPr>
        <w:t xml:space="preserve"> securities, who </w:t>
      </w:r>
      <w:r w:rsidR="001C2A04">
        <w:rPr>
          <w:rFonts w:asciiTheme="minorHAnsi" w:hAnsiTheme="minorHAnsi" w:cstheme="minorHAnsi"/>
          <w:sz w:val="22"/>
        </w:rPr>
        <w:t>typically</w:t>
      </w:r>
      <w:r w:rsidR="00E84674">
        <w:rPr>
          <w:rFonts w:asciiTheme="minorHAnsi" w:hAnsiTheme="minorHAnsi" w:cstheme="minorHAnsi"/>
          <w:sz w:val="22"/>
        </w:rPr>
        <w:t xml:space="preserve"> publish their prospectuses on the website of the relevant regulated market, are unlikely to have control over the direct link to the prospectus. A link to a webpage where the prospectus is or </w:t>
      </w:r>
      <w:r w:rsidR="008F52B9">
        <w:rPr>
          <w:rFonts w:asciiTheme="minorHAnsi" w:hAnsiTheme="minorHAnsi" w:cstheme="minorHAnsi"/>
          <w:sz w:val="22"/>
        </w:rPr>
        <w:t xml:space="preserve">is </w:t>
      </w:r>
      <w:r w:rsidR="00E84674">
        <w:rPr>
          <w:rFonts w:asciiTheme="minorHAnsi" w:hAnsiTheme="minorHAnsi" w:cstheme="minorHAnsi"/>
          <w:sz w:val="22"/>
        </w:rPr>
        <w:t xml:space="preserve">likely to be published </w:t>
      </w:r>
      <w:r w:rsidR="008F52B9">
        <w:rPr>
          <w:rFonts w:asciiTheme="minorHAnsi" w:hAnsiTheme="minorHAnsi" w:cstheme="minorHAnsi"/>
          <w:sz w:val="22"/>
        </w:rPr>
        <w:t>would</w:t>
      </w:r>
      <w:r w:rsidR="00E84674">
        <w:rPr>
          <w:rFonts w:asciiTheme="minorHAnsi" w:hAnsiTheme="minorHAnsi" w:cstheme="minorHAnsi"/>
          <w:sz w:val="22"/>
        </w:rPr>
        <w:t xml:space="preserve"> be more practical for those issuers, and</w:t>
      </w:r>
      <w:r w:rsidR="008F52B9">
        <w:rPr>
          <w:rFonts w:asciiTheme="minorHAnsi" w:hAnsiTheme="minorHAnsi" w:cstheme="minorHAnsi"/>
          <w:sz w:val="22"/>
        </w:rPr>
        <w:t xml:space="preserve"> it</w:t>
      </w:r>
      <w:r w:rsidR="00E84674">
        <w:rPr>
          <w:rFonts w:asciiTheme="minorHAnsi" w:hAnsiTheme="minorHAnsi" w:cstheme="minorHAnsi"/>
          <w:sz w:val="22"/>
        </w:rPr>
        <w:t xml:space="preserve"> is unlikely to be significantly more burdensome for i</w:t>
      </w:r>
      <w:r w:rsidR="0015720C">
        <w:rPr>
          <w:rFonts w:asciiTheme="minorHAnsi" w:hAnsiTheme="minorHAnsi" w:cstheme="minorHAnsi"/>
          <w:sz w:val="22"/>
        </w:rPr>
        <w:t>nvestors to find the prospectus</w:t>
      </w:r>
      <w:r w:rsidR="008F52B9">
        <w:rPr>
          <w:rFonts w:asciiTheme="minorHAnsi" w:hAnsiTheme="minorHAnsi" w:cstheme="minorHAnsi"/>
          <w:sz w:val="22"/>
        </w:rPr>
        <w:t xml:space="preserve"> if a hyperlink to a specific webpage is given</w:t>
      </w:r>
      <w:r w:rsidR="00E84674">
        <w:rPr>
          <w:rFonts w:asciiTheme="minorHAnsi" w:hAnsiTheme="minorHAnsi" w:cstheme="minorHAnsi"/>
          <w:sz w:val="22"/>
        </w:rPr>
        <w:t xml:space="preserve">. </w:t>
      </w:r>
      <w:proofErr w:type="gramStart"/>
      <w:r w:rsidR="00E84674">
        <w:rPr>
          <w:rFonts w:asciiTheme="minorHAnsi" w:hAnsiTheme="minorHAnsi" w:cstheme="minorHAnsi"/>
          <w:sz w:val="22"/>
        </w:rPr>
        <w:t>Therefore</w:t>
      </w:r>
      <w:proofErr w:type="gramEnd"/>
      <w:r w:rsidR="00E84674">
        <w:rPr>
          <w:rFonts w:asciiTheme="minorHAnsi" w:hAnsiTheme="minorHAnsi" w:cstheme="minorHAnsi"/>
          <w:sz w:val="22"/>
        </w:rPr>
        <w:t xml:space="preserve"> it would be helpful if s</w:t>
      </w:r>
      <w:r w:rsidR="00CF777F">
        <w:rPr>
          <w:rFonts w:asciiTheme="minorHAnsi" w:hAnsiTheme="minorHAnsi" w:cstheme="minorHAnsi"/>
          <w:sz w:val="22"/>
        </w:rPr>
        <w:t>ub-paragraph (b)</w:t>
      </w:r>
      <w:r w:rsidR="00E84674">
        <w:rPr>
          <w:rFonts w:asciiTheme="minorHAnsi" w:hAnsiTheme="minorHAnsi" w:cstheme="minorHAnsi"/>
          <w:sz w:val="22"/>
        </w:rPr>
        <w:t xml:space="preserve"> were to be </w:t>
      </w:r>
      <w:r w:rsidR="0071064E">
        <w:rPr>
          <w:rFonts w:asciiTheme="minorHAnsi" w:hAnsiTheme="minorHAnsi" w:cstheme="minorHAnsi"/>
          <w:sz w:val="22"/>
        </w:rPr>
        <w:t xml:space="preserve">amended to allow flexibility to link directly to the prospectus </w:t>
      </w:r>
      <w:r w:rsidR="0071064E" w:rsidRPr="00E84674">
        <w:rPr>
          <w:rFonts w:asciiTheme="minorHAnsi" w:hAnsiTheme="minorHAnsi" w:cstheme="minorHAnsi"/>
          <w:b/>
          <w:sz w:val="22"/>
          <w:u w:val="single"/>
        </w:rPr>
        <w:t>or</w:t>
      </w:r>
      <w:r w:rsidR="0071064E">
        <w:rPr>
          <w:rFonts w:asciiTheme="minorHAnsi" w:hAnsiTheme="minorHAnsi" w:cstheme="minorHAnsi"/>
          <w:sz w:val="22"/>
        </w:rPr>
        <w:t xml:space="preserve"> a specific page of the website where the prospectus is </w:t>
      </w:r>
      <w:r w:rsidR="00E84674">
        <w:rPr>
          <w:rFonts w:asciiTheme="minorHAnsi" w:hAnsiTheme="minorHAnsi" w:cstheme="minorHAnsi"/>
          <w:sz w:val="22"/>
        </w:rPr>
        <w:t xml:space="preserve">published </w:t>
      </w:r>
      <w:r w:rsidR="0071064E">
        <w:rPr>
          <w:rFonts w:asciiTheme="minorHAnsi" w:hAnsiTheme="minorHAnsi" w:cstheme="minorHAnsi"/>
          <w:sz w:val="22"/>
        </w:rPr>
        <w:t>or will be published</w:t>
      </w:r>
      <w:r w:rsidR="00E84674">
        <w:rPr>
          <w:rFonts w:asciiTheme="minorHAnsi" w:hAnsiTheme="minorHAnsi" w:cstheme="minorHAnsi"/>
          <w:sz w:val="22"/>
        </w:rPr>
        <w:t xml:space="preserve">. </w:t>
      </w:r>
    </w:p>
    <w:p w14:paraId="7701B690" w14:textId="77777777" w:rsidR="0071064E" w:rsidRDefault="0071064E" w:rsidP="00C312B4">
      <w:pPr>
        <w:pStyle w:val="ListParagraph"/>
        <w:ind w:left="426" w:hanging="426"/>
        <w:jc w:val="both"/>
        <w:rPr>
          <w:rFonts w:asciiTheme="minorHAnsi" w:hAnsiTheme="minorHAnsi" w:cstheme="minorHAnsi"/>
          <w:sz w:val="22"/>
        </w:rPr>
      </w:pPr>
    </w:p>
    <w:p w14:paraId="264810CF" w14:textId="77777777" w:rsidR="00E84674" w:rsidRDefault="0071064E" w:rsidP="00C312B4">
      <w:pPr>
        <w:pStyle w:val="ListParagraph"/>
        <w:numPr>
          <w:ilvl w:val="0"/>
          <w:numId w:val="42"/>
        </w:numPr>
        <w:ind w:left="426" w:hanging="426"/>
        <w:jc w:val="both"/>
        <w:rPr>
          <w:rFonts w:asciiTheme="minorHAnsi" w:hAnsiTheme="minorHAnsi" w:cstheme="minorHAnsi"/>
          <w:sz w:val="22"/>
        </w:rPr>
      </w:pPr>
      <w:r w:rsidRPr="00E84674">
        <w:rPr>
          <w:rFonts w:asciiTheme="minorHAnsi" w:hAnsiTheme="minorHAnsi" w:cstheme="minorHAnsi"/>
          <w:sz w:val="22"/>
        </w:rPr>
        <w:t>Sub-paragraph (b) currently applies to advertisements disseminated by “electronic means”. We believe</w:t>
      </w:r>
      <w:r w:rsidR="00E84674" w:rsidRPr="00E84674">
        <w:rPr>
          <w:rFonts w:asciiTheme="minorHAnsi" w:hAnsiTheme="minorHAnsi" w:cstheme="minorHAnsi"/>
          <w:sz w:val="22"/>
        </w:rPr>
        <w:t xml:space="preserve"> ESMA intends to capture only advertisements disseminated by </w:t>
      </w:r>
      <w:r w:rsidR="00E84674" w:rsidRPr="00E84674">
        <w:rPr>
          <w:rFonts w:asciiTheme="minorHAnsi" w:hAnsiTheme="minorHAnsi" w:cstheme="minorHAnsi"/>
          <w:b/>
          <w:sz w:val="22"/>
        </w:rPr>
        <w:t xml:space="preserve">written </w:t>
      </w:r>
      <w:r w:rsidR="00E84674" w:rsidRPr="00E84674">
        <w:rPr>
          <w:rFonts w:asciiTheme="minorHAnsi" w:hAnsiTheme="minorHAnsi" w:cstheme="minorHAnsi"/>
          <w:sz w:val="22"/>
        </w:rPr>
        <w:t xml:space="preserve">electronic means, rather than Skype calls, for example, but it would be helpful if sub-paragraph (b) were to be clarified on that point. </w:t>
      </w:r>
    </w:p>
    <w:p w14:paraId="3549B72F" w14:textId="77777777" w:rsidR="00E84674" w:rsidRPr="00E84674" w:rsidRDefault="00E84674" w:rsidP="00C312B4">
      <w:pPr>
        <w:pStyle w:val="ListParagraph"/>
        <w:ind w:left="426" w:hanging="426"/>
        <w:jc w:val="both"/>
        <w:rPr>
          <w:rFonts w:asciiTheme="minorHAnsi" w:hAnsiTheme="minorHAnsi" w:cstheme="minorHAnsi"/>
          <w:sz w:val="22"/>
        </w:rPr>
      </w:pPr>
    </w:p>
    <w:p w14:paraId="61DE8130" w14:textId="35671E3F" w:rsidR="001C2A04" w:rsidRPr="001C2A04" w:rsidRDefault="0071064E" w:rsidP="00C312B4">
      <w:pPr>
        <w:pStyle w:val="ListParagraph"/>
        <w:numPr>
          <w:ilvl w:val="0"/>
          <w:numId w:val="42"/>
        </w:numPr>
        <w:ind w:left="426" w:hanging="426"/>
        <w:jc w:val="both"/>
        <w:rPr>
          <w:rFonts w:cs="Arial"/>
        </w:rPr>
      </w:pPr>
      <w:r w:rsidRPr="001C2A04">
        <w:rPr>
          <w:rFonts w:asciiTheme="minorHAnsi" w:hAnsiTheme="minorHAnsi" w:cstheme="minorHAnsi"/>
          <w:sz w:val="22"/>
        </w:rPr>
        <w:t>The circumstances in which sub-paragraph (c) appl</w:t>
      </w:r>
      <w:r w:rsidR="0015720C">
        <w:rPr>
          <w:rFonts w:asciiTheme="minorHAnsi" w:hAnsiTheme="minorHAnsi" w:cstheme="minorHAnsi"/>
          <w:sz w:val="22"/>
        </w:rPr>
        <w:t>ies are</w:t>
      </w:r>
      <w:r w:rsidRPr="001C2A04">
        <w:rPr>
          <w:rFonts w:asciiTheme="minorHAnsi" w:hAnsiTheme="minorHAnsi" w:cstheme="minorHAnsi"/>
          <w:sz w:val="22"/>
        </w:rPr>
        <w:t xml:space="preserve"> currently unclear. The current drafting of the proposed </w:t>
      </w:r>
      <w:r w:rsidR="006333AC">
        <w:rPr>
          <w:rFonts w:asciiTheme="minorHAnsi" w:hAnsiTheme="minorHAnsi" w:cstheme="minorHAnsi"/>
          <w:sz w:val="22"/>
        </w:rPr>
        <w:t xml:space="preserve">draft </w:t>
      </w:r>
      <w:r w:rsidRPr="001C2A04">
        <w:rPr>
          <w:rFonts w:asciiTheme="minorHAnsi" w:hAnsiTheme="minorHAnsi" w:cstheme="minorHAnsi"/>
          <w:sz w:val="22"/>
        </w:rPr>
        <w:t>RTS appears to suggest that th</w:t>
      </w:r>
      <w:r w:rsidR="00E84674" w:rsidRPr="001C2A04">
        <w:rPr>
          <w:rFonts w:asciiTheme="minorHAnsi" w:hAnsiTheme="minorHAnsi" w:cstheme="minorHAnsi"/>
          <w:sz w:val="22"/>
        </w:rPr>
        <w:t>is</w:t>
      </w:r>
      <w:r w:rsidRPr="001C2A04">
        <w:rPr>
          <w:rFonts w:asciiTheme="minorHAnsi" w:hAnsiTheme="minorHAnsi" w:cstheme="minorHAnsi"/>
          <w:sz w:val="22"/>
        </w:rPr>
        <w:t xml:space="preserve"> requirement </w:t>
      </w:r>
      <w:r w:rsidR="00E84674" w:rsidRPr="001C2A04">
        <w:rPr>
          <w:rFonts w:asciiTheme="minorHAnsi" w:hAnsiTheme="minorHAnsi" w:cstheme="minorHAnsi"/>
          <w:sz w:val="22"/>
        </w:rPr>
        <w:t xml:space="preserve">(i.e. </w:t>
      </w:r>
      <w:r w:rsidRPr="001C2A04">
        <w:rPr>
          <w:rFonts w:asciiTheme="minorHAnsi" w:hAnsiTheme="minorHAnsi" w:cstheme="minorHAnsi"/>
          <w:sz w:val="22"/>
        </w:rPr>
        <w:t>for the advertisement to contain information to identify the prospectus and offer or admission to trading</w:t>
      </w:r>
      <w:r w:rsidR="00E84674" w:rsidRPr="001C2A04">
        <w:rPr>
          <w:rFonts w:asciiTheme="minorHAnsi" w:hAnsiTheme="minorHAnsi" w:cstheme="minorHAnsi"/>
          <w:sz w:val="22"/>
        </w:rPr>
        <w:t xml:space="preserve">) </w:t>
      </w:r>
      <w:r w:rsidRPr="001C2A04">
        <w:rPr>
          <w:rFonts w:asciiTheme="minorHAnsi" w:hAnsiTheme="minorHAnsi" w:cstheme="minorHAnsi"/>
          <w:sz w:val="22"/>
        </w:rPr>
        <w:t>applies to all advertisements relating to a public offer or admission to trading on a regulated market. However, paragraph 136 of the consultation paper suggests that this requirement only applies to</w:t>
      </w:r>
      <w:r w:rsidR="00E84674" w:rsidRPr="001C2A04">
        <w:rPr>
          <w:rFonts w:asciiTheme="minorHAnsi" w:hAnsiTheme="minorHAnsi" w:cstheme="minorHAnsi"/>
          <w:sz w:val="22"/>
        </w:rPr>
        <w:t xml:space="preserve"> advertisements disseminated by written electronic means</w:t>
      </w:r>
      <w:r w:rsidR="008F52B9">
        <w:rPr>
          <w:rFonts w:asciiTheme="minorHAnsi" w:hAnsiTheme="minorHAnsi" w:cstheme="minorHAnsi"/>
          <w:sz w:val="22"/>
        </w:rPr>
        <w:t xml:space="preserve">, which seems to be a more sensible approach. The drafting of sub-paragraph (c) should be amended so that </w:t>
      </w:r>
      <w:proofErr w:type="gramStart"/>
      <w:r w:rsidR="008F52B9">
        <w:rPr>
          <w:rFonts w:asciiTheme="minorHAnsi" w:hAnsiTheme="minorHAnsi" w:cstheme="minorHAnsi"/>
          <w:sz w:val="22"/>
        </w:rPr>
        <w:t>it is clear that it</w:t>
      </w:r>
      <w:proofErr w:type="gramEnd"/>
      <w:r w:rsidR="008F52B9">
        <w:rPr>
          <w:rFonts w:asciiTheme="minorHAnsi" w:hAnsiTheme="minorHAnsi" w:cstheme="minorHAnsi"/>
          <w:sz w:val="22"/>
        </w:rPr>
        <w:t xml:space="preserve"> applies only to advertisements disseminated by written electronic means</w:t>
      </w:r>
      <w:r w:rsidR="00E84674" w:rsidRPr="001C2A04">
        <w:rPr>
          <w:rFonts w:asciiTheme="minorHAnsi" w:hAnsiTheme="minorHAnsi" w:cstheme="minorHAnsi"/>
          <w:sz w:val="22"/>
        </w:rPr>
        <w:t xml:space="preserve">. </w:t>
      </w:r>
    </w:p>
    <w:permEnd w:id="707815204"/>
    <w:p w14:paraId="5BE2EA5C" w14:textId="4EA3180D" w:rsidR="00ED4063" w:rsidRPr="001C2A04" w:rsidRDefault="00ED4063" w:rsidP="001C2A04">
      <w:pPr>
        <w:jc w:val="both"/>
        <w:rPr>
          <w:rFonts w:cs="Arial"/>
        </w:rPr>
      </w:pPr>
      <w:r w:rsidRPr="001C2A04">
        <w:rPr>
          <w:rFonts w:cs="Arial"/>
        </w:rPr>
        <w:t>&lt;ESMA_QUESTION_PR_19&gt;</w:t>
      </w:r>
    </w:p>
    <w:p w14:paraId="721FE989" w14:textId="3F6E9BB0" w:rsidR="00ED4063" w:rsidRDefault="00ED4063" w:rsidP="00ED4063">
      <w:pPr>
        <w:rPr>
          <w:rFonts w:cs="Arial"/>
        </w:rPr>
      </w:pPr>
    </w:p>
    <w:p w14:paraId="115776CC" w14:textId="02CAD291" w:rsidR="00ED4063" w:rsidRDefault="00ED4063" w:rsidP="00ED4063">
      <w:pPr>
        <w:rPr>
          <w:rFonts w:cs="Arial"/>
        </w:rPr>
      </w:pPr>
    </w:p>
    <w:p w14:paraId="39FCB228" w14:textId="1E268FD2" w:rsidR="00ED4063" w:rsidRDefault="00ED4063" w:rsidP="00ED4063">
      <w:pPr>
        <w:rPr>
          <w:rFonts w:cs="Arial"/>
        </w:rPr>
      </w:pPr>
    </w:p>
    <w:p w14:paraId="2D3A6679" w14:textId="77777777" w:rsidR="00ED4063" w:rsidRPr="00ED4063" w:rsidRDefault="00ED4063" w:rsidP="00630CD7">
      <w:pPr>
        <w:pStyle w:val="Questionstyle"/>
        <w:numPr>
          <w:ilvl w:val="0"/>
          <w:numId w:val="38"/>
        </w:numPr>
        <w:ind w:hanging="436"/>
        <w:rPr>
          <w:rFonts w:ascii="Arial" w:hAnsi="Arial" w:cs="Arial"/>
        </w:rPr>
      </w:pPr>
      <w:r w:rsidRPr="00ED4063">
        <w:rPr>
          <w:rFonts w:ascii="Arial" w:hAnsi="Arial" w:cs="Arial"/>
        </w:rPr>
        <w:t>: Do you consider that the definition for complex securities set out in para 140 provides clarity to issuers and would be helpful in deciding when the comprehension alert referred to in Article 8(3)(b) of the PRIIPs Regulation should be included in an advertisement?</w:t>
      </w:r>
    </w:p>
    <w:p w14:paraId="347A08E6" w14:textId="77777777" w:rsidR="00ED4063" w:rsidRDefault="00ED4063" w:rsidP="00ED4063">
      <w:pPr>
        <w:rPr>
          <w:rFonts w:cs="Arial"/>
        </w:rPr>
      </w:pPr>
      <w:r>
        <w:rPr>
          <w:rFonts w:cs="Arial"/>
        </w:rPr>
        <w:lastRenderedPageBreak/>
        <w:t>&lt;ESMA_QUESTION_PR_20&gt;</w:t>
      </w:r>
    </w:p>
    <w:p w14:paraId="0EF3B20E" w14:textId="6465792E" w:rsidR="00511E6D" w:rsidRPr="00511E6D" w:rsidRDefault="001C2A04" w:rsidP="00C312B4">
      <w:pPr>
        <w:jc w:val="both"/>
        <w:rPr>
          <w:rFonts w:asciiTheme="minorHAnsi" w:hAnsiTheme="minorHAnsi" w:cstheme="minorHAnsi"/>
          <w:sz w:val="22"/>
        </w:rPr>
      </w:pPr>
      <w:permStart w:id="988946985" w:edGrp="everyone"/>
      <w:r w:rsidRPr="00511E6D">
        <w:rPr>
          <w:rFonts w:asciiTheme="minorHAnsi" w:hAnsiTheme="minorHAnsi" w:cstheme="minorHAnsi"/>
          <w:sz w:val="22"/>
        </w:rPr>
        <w:t>PRIIPs Delegated Regulation 2017/653 provides that a comprehension alert should be included in a KID when the PRIIP does “not meet the requirements laid down in points (</w:t>
      </w:r>
      <w:proofErr w:type="spellStart"/>
      <w:r w:rsidRPr="00511E6D">
        <w:rPr>
          <w:rFonts w:asciiTheme="minorHAnsi" w:hAnsiTheme="minorHAnsi" w:cstheme="minorHAnsi"/>
          <w:sz w:val="22"/>
        </w:rPr>
        <w:t>i</w:t>
      </w:r>
      <w:proofErr w:type="spellEnd"/>
      <w:r w:rsidRPr="00511E6D">
        <w:rPr>
          <w:rFonts w:asciiTheme="minorHAnsi" w:hAnsiTheme="minorHAnsi" w:cstheme="minorHAnsi"/>
          <w:sz w:val="22"/>
        </w:rPr>
        <w:t>)</w:t>
      </w:r>
      <w:r w:rsidR="008F52B9">
        <w:rPr>
          <w:rFonts w:asciiTheme="minorHAnsi" w:hAnsiTheme="minorHAnsi" w:cstheme="minorHAnsi"/>
          <w:sz w:val="22"/>
        </w:rPr>
        <w:t xml:space="preserve"> </w:t>
      </w:r>
      <w:r w:rsidRPr="00511E6D">
        <w:rPr>
          <w:rFonts w:asciiTheme="minorHAnsi" w:hAnsiTheme="minorHAnsi" w:cstheme="minorHAnsi"/>
          <w:sz w:val="22"/>
        </w:rPr>
        <w:t>-</w:t>
      </w:r>
      <w:r w:rsidR="008F52B9">
        <w:rPr>
          <w:rFonts w:asciiTheme="minorHAnsi" w:hAnsiTheme="minorHAnsi" w:cstheme="minorHAnsi"/>
          <w:sz w:val="22"/>
        </w:rPr>
        <w:t xml:space="preserve"> </w:t>
      </w:r>
      <w:r w:rsidRPr="00511E6D">
        <w:rPr>
          <w:rFonts w:asciiTheme="minorHAnsi" w:hAnsiTheme="minorHAnsi" w:cstheme="minorHAnsi"/>
          <w:sz w:val="22"/>
        </w:rPr>
        <w:t xml:space="preserve">(vi) of Article 25(4)(a) of </w:t>
      </w:r>
      <w:r w:rsidR="006A0451" w:rsidRPr="00511E6D">
        <w:rPr>
          <w:rFonts w:asciiTheme="minorHAnsi" w:hAnsiTheme="minorHAnsi" w:cstheme="minorHAnsi"/>
          <w:sz w:val="22"/>
        </w:rPr>
        <w:t>[MiFID II]</w:t>
      </w:r>
      <w:r w:rsidRPr="00511E6D">
        <w:rPr>
          <w:rFonts w:asciiTheme="minorHAnsi" w:hAnsiTheme="minorHAnsi" w:cstheme="minorHAnsi"/>
          <w:sz w:val="22"/>
        </w:rPr>
        <w:t>”</w:t>
      </w:r>
      <w:r w:rsidR="006A0451" w:rsidRPr="00511E6D">
        <w:rPr>
          <w:rFonts w:asciiTheme="minorHAnsi" w:hAnsiTheme="minorHAnsi" w:cstheme="minorHAnsi"/>
          <w:sz w:val="22"/>
        </w:rPr>
        <w:t xml:space="preserve">. </w:t>
      </w:r>
    </w:p>
    <w:p w14:paraId="11E4161C" w14:textId="77777777" w:rsidR="00511E6D" w:rsidRPr="00511E6D" w:rsidRDefault="00511E6D" w:rsidP="00C312B4">
      <w:pPr>
        <w:jc w:val="both"/>
        <w:rPr>
          <w:rFonts w:asciiTheme="minorHAnsi" w:hAnsiTheme="minorHAnsi" w:cstheme="minorHAnsi"/>
          <w:sz w:val="22"/>
        </w:rPr>
      </w:pPr>
    </w:p>
    <w:p w14:paraId="6C1DCE92" w14:textId="76A2723D" w:rsidR="000D3C2F" w:rsidRDefault="006A0451" w:rsidP="00C312B4">
      <w:pPr>
        <w:jc w:val="both"/>
        <w:rPr>
          <w:rFonts w:asciiTheme="minorHAnsi" w:hAnsiTheme="minorHAnsi" w:cstheme="minorHAnsi"/>
          <w:sz w:val="22"/>
        </w:rPr>
      </w:pPr>
      <w:r w:rsidRPr="00511E6D">
        <w:rPr>
          <w:rFonts w:asciiTheme="minorHAnsi" w:hAnsiTheme="minorHAnsi" w:cstheme="minorHAnsi"/>
          <w:sz w:val="22"/>
        </w:rPr>
        <w:t>Proposed draft A</w:t>
      </w:r>
      <w:r w:rsidR="001C2A04" w:rsidRPr="00511E6D">
        <w:rPr>
          <w:rFonts w:asciiTheme="minorHAnsi" w:hAnsiTheme="minorHAnsi" w:cstheme="minorHAnsi"/>
          <w:sz w:val="22"/>
        </w:rPr>
        <w:t>rt</w:t>
      </w:r>
      <w:r w:rsidRPr="00511E6D">
        <w:rPr>
          <w:rFonts w:asciiTheme="minorHAnsi" w:hAnsiTheme="minorHAnsi" w:cstheme="minorHAnsi"/>
          <w:sz w:val="22"/>
        </w:rPr>
        <w:t>icle</w:t>
      </w:r>
      <w:r w:rsidR="001C2A04" w:rsidRPr="00511E6D">
        <w:rPr>
          <w:rFonts w:asciiTheme="minorHAnsi" w:hAnsiTheme="minorHAnsi" w:cstheme="minorHAnsi"/>
          <w:sz w:val="22"/>
        </w:rPr>
        <w:t xml:space="preserve"> 12.2(c)</w:t>
      </w:r>
      <w:r w:rsidR="0015720C">
        <w:rPr>
          <w:rFonts w:asciiTheme="minorHAnsi" w:hAnsiTheme="minorHAnsi" w:cstheme="minorHAnsi"/>
          <w:sz w:val="22"/>
        </w:rPr>
        <w:t xml:space="preserve"> </w:t>
      </w:r>
      <w:r w:rsidRPr="00511E6D">
        <w:rPr>
          <w:rFonts w:asciiTheme="minorHAnsi" w:hAnsiTheme="minorHAnsi" w:cstheme="minorHAnsi"/>
          <w:sz w:val="22"/>
        </w:rPr>
        <w:t>therefore a</w:t>
      </w:r>
      <w:r w:rsidR="0015720C">
        <w:rPr>
          <w:rFonts w:asciiTheme="minorHAnsi" w:hAnsiTheme="minorHAnsi" w:cstheme="minorHAnsi"/>
          <w:sz w:val="22"/>
        </w:rPr>
        <w:t>ppears to be a</w:t>
      </w:r>
      <w:r w:rsidRPr="00511E6D">
        <w:rPr>
          <w:rFonts w:asciiTheme="minorHAnsi" w:hAnsiTheme="minorHAnsi" w:cstheme="minorHAnsi"/>
          <w:sz w:val="22"/>
        </w:rPr>
        <w:t xml:space="preserve"> refinement of this requirement</w:t>
      </w:r>
      <w:r w:rsidR="00213099">
        <w:rPr>
          <w:rFonts w:asciiTheme="minorHAnsi" w:hAnsiTheme="minorHAnsi" w:cstheme="minorHAnsi"/>
          <w:sz w:val="22"/>
        </w:rPr>
        <w:t xml:space="preserve"> in respect of advertisements</w:t>
      </w:r>
      <w:r w:rsidR="0015720C">
        <w:rPr>
          <w:rFonts w:asciiTheme="minorHAnsi" w:hAnsiTheme="minorHAnsi" w:cstheme="minorHAnsi"/>
          <w:sz w:val="22"/>
        </w:rPr>
        <w:t xml:space="preserve"> and so seems </w:t>
      </w:r>
      <w:r w:rsidRPr="00511E6D">
        <w:rPr>
          <w:rFonts w:asciiTheme="minorHAnsi" w:hAnsiTheme="minorHAnsi" w:cstheme="minorHAnsi"/>
          <w:sz w:val="22"/>
        </w:rPr>
        <w:t xml:space="preserve">unobjectionable, </w:t>
      </w:r>
      <w:r w:rsidR="00511E6D" w:rsidRPr="000D3C2F">
        <w:rPr>
          <w:rFonts w:asciiTheme="minorHAnsi" w:hAnsiTheme="minorHAnsi" w:cstheme="minorHAnsi"/>
          <w:b/>
          <w:sz w:val="22"/>
        </w:rPr>
        <w:t xml:space="preserve">but only </w:t>
      </w:r>
      <w:r w:rsidRPr="000D3C2F">
        <w:rPr>
          <w:rFonts w:asciiTheme="minorHAnsi" w:hAnsiTheme="minorHAnsi" w:cstheme="minorHAnsi"/>
          <w:b/>
          <w:sz w:val="22"/>
        </w:rPr>
        <w:t xml:space="preserve">to the extent that Article 12.2 </w:t>
      </w:r>
      <w:r w:rsidR="00DB245B">
        <w:rPr>
          <w:rFonts w:asciiTheme="minorHAnsi" w:hAnsiTheme="minorHAnsi" w:cstheme="minorHAnsi"/>
          <w:b/>
          <w:sz w:val="22"/>
        </w:rPr>
        <w:t xml:space="preserve">is amended so that it </w:t>
      </w:r>
      <w:r w:rsidRPr="000D3C2F">
        <w:rPr>
          <w:rFonts w:asciiTheme="minorHAnsi" w:hAnsiTheme="minorHAnsi" w:cstheme="minorHAnsi"/>
          <w:b/>
          <w:sz w:val="22"/>
        </w:rPr>
        <w:t>applies to written advertisements only</w:t>
      </w:r>
      <w:r w:rsidRPr="00511E6D">
        <w:rPr>
          <w:rFonts w:asciiTheme="minorHAnsi" w:hAnsiTheme="minorHAnsi" w:cstheme="minorHAnsi"/>
          <w:sz w:val="22"/>
        </w:rPr>
        <w:t xml:space="preserve">. </w:t>
      </w:r>
    </w:p>
    <w:p w14:paraId="359FB101" w14:textId="77777777" w:rsidR="000D3C2F" w:rsidRDefault="000D3C2F" w:rsidP="00C312B4">
      <w:pPr>
        <w:jc w:val="both"/>
        <w:rPr>
          <w:rFonts w:asciiTheme="minorHAnsi" w:hAnsiTheme="minorHAnsi" w:cstheme="minorHAnsi"/>
          <w:sz w:val="22"/>
        </w:rPr>
      </w:pPr>
    </w:p>
    <w:p w14:paraId="1A1A82D1" w14:textId="198A0D46" w:rsidR="00D356E1" w:rsidRDefault="0015720C" w:rsidP="00C312B4">
      <w:pPr>
        <w:jc w:val="both"/>
        <w:rPr>
          <w:rFonts w:asciiTheme="minorHAnsi" w:hAnsiTheme="minorHAnsi" w:cstheme="minorHAnsi"/>
          <w:sz w:val="22"/>
        </w:rPr>
      </w:pPr>
      <w:r>
        <w:rPr>
          <w:rFonts w:asciiTheme="minorHAnsi" w:hAnsiTheme="minorHAnsi" w:cstheme="minorHAnsi"/>
          <w:sz w:val="22"/>
        </w:rPr>
        <w:t xml:space="preserve">This is because it is </w:t>
      </w:r>
      <w:r w:rsidR="008F52B9">
        <w:rPr>
          <w:rFonts w:asciiTheme="minorHAnsi" w:hAnsiTheme="minorHAnsi" w:cstheme="minorHAnsi"/>
          <w:sz w:val="22"/>
        </w:rPr>
        <w:t>un</w:t>
      </w:r>
      <w:r>
        <w:rPr>
          <w:rFonts w:asciiTheme="minorHAnsi" w:hAnsiTheme="minorHAnsi" w:cstheme="minorHAnsi"/>
          <w:sz w:val="22"/>
        </w:rPr>
        <w:t>likely to</w:t>
      </w:r>
      <w:r w:rsidR="008F52B9">
        <w:rPr>
          <w:rFonts w:asciiTheme="minorHAnsi" w:hAnsiTheme="minorHAnsi" w:cstheme="minorHAnsi"/>
          <w:sz w:val="22"/>
        </w:rPr>
        <w:t xml:space="preserve"> be feasible</w:t>
      </w:r>
      <w:r w:rsidR="006A0451" w:rsidRPr="00511E6D">
        <w:rPr>
          <w:rFonts w:asciiTheme="minorHAnsi" w:hAnsiTheme="minorHAnsi" w:cstheme="minorHAnsi"/>
          <w:sz w:val="22"/>
        </w:rPr>
        <w:t xml:space="preserve"> for market participants to determine whether the PRIIPs comprehension alert is required</w:t>
      </w:r>
      <w:r>
        <w:rPr>
          <w:rFonts w:asciiTheme="minorHAnsi" w:hAnsiTheme="minorHAnsi" w:cstheme="minorHAnsi"/>
          <w:sz w:val="22"/>
        </w:rPr>
        <w:t xml:space="preserve"> in all oral communications that could possibly come within the definition of </w:t>
      </w:r>
      <w:r w:rsidR="00DB245B">
        <w:rPr>
          <w:rFonts w:asciiTheme="minorHAnsi" w:hAnsiTheme="minorHAnsi" w:cstheme="minorHAnsi"/>
          <w:sz w:val="22"/>
        </w:rPr>
        <w:t>“</w:t>
      </w:r>
      <w:r>
        <w:rPr>
          <w:rFonts w:asciiTheme="minorHAnsi" w:hAnsiTheme="minorHAnsi" w:cstheme="minorHAnsi"/>
          <w:sz w:val="22"/>
        </w:rPr>
        <w:t>advertisement</w:t>
      </w:r>
      <w:r w:rsidR="00DB245B">
        <w:rPr>
          <w:rFonts w:asciiTheme="minorHAnsi" w:hAnsiTheme="minorHAnsi" w:cstheme="minorHAnsi"/>
          <w:sz w:val="22"/>
        </w:rPr>
        <w:t>”</w:t>
      </w:r>
      <w:r w:rsidR="008F52B9">
        <w:rPr>
          <w:rFonts w:asciiTheme="minorHAnsi" w:hAnsiTheme="minorHAnsi" w:cstheme="minorHAnsi"/>
          <w:sz w:val="22"/>
        </w:rPr>
        <w:t>.</w:t>
      </w:r>
      <w:r w:rsidR="006333AC">
        <w:rPr>
          <w:rFonts w:asciiTheme="minorHAnsi" w:hAnsiTheme="minorHAnsi" w:cstheme="minorHAnsi"/>
          <w:sz w:val="22"/>
        </w:rPr>
        <w:t xml:space="preserve"> For example (as mentioned in our response to Q</w:t>
      </w:r>
      <w:r w:rsidR="008F52B9">
        <w:rPr>
          <w:rFonts w:asciiTheme="minorHAnsi" w:hAnsiTheme="minorHAnsi" w:cstheme="minorHAnsi"/>
          <w:sz w:val="22"/>
        </w:rPr>
        <w:t>19 above), a</w:t>
      </w:r>
      <w:r>
        <w:rPr>
          <w:rFonts w:asciiTheme="minorHAnsi" w:hAnsiTheme="minorHAnsi" w:cstheme="minorHAnsi"/>
          <w:sz w:val="22"/>
        </w:rPr>
        <w:t xml:space="preserve"> conversation between a retail investor and their financial adviser regarding possible changes to their investment portfolio might include elements that could be classed as an “advertisement”. While ESMA’s statements in paragraph 131 are helpful in indicating that such conversations might not be caught by the definition of ad</w:t>
      </w:r>
      <w:r w:rsidR="006333AC">
        <w:rPr>
          <w:rFonts w:asciiTheme="minorHAnsi" w:hAnsiTheme="minorHAnsi" w:cstheme="minorHAnsi"/>
          <w:sz w:val="22"/>
        </w:rPr>
        <w:t>vertisement</w:t>
      </w:r>
      <w:r w:rsidR="00DB245B">
        <w:rPr>
          <w:rFonts w:asciiTheme="minorHAnsi" w:hAnsiTheme="minorHAnsi" w:cstheme="minorHAnsi"/>
          <w:sz w:val="22"/>
        </w:rPr>
        <w:t xml:space="preserve"> </w:t>
      </w:r>
      <w:r w:rsidR="006333AC">
        <w:rPr>
          <w:rFonts w:asciiTheme="minorHAnsi" w:hAnsiTheme="minorHAnsi" w:cstheme="minorHAnsi"/>
          <w:sz w:val="22"/>
        </w:rPr>
        <w:t>(see response to Q</w:t>
      </w:r>
      <w:r>
        <w:rPr>
          <w:rFonts w:asciiTheme="minorHAnsi" w:hAnsiTheme="minorHAnsi" w:cstheme="minorHAnsi"/>
          <w:sz w:val="22"/>
        </w:rPr>
        <w:t xml:space="preserve">19 above), if such elements were to </w:t>
      </w:r>
      <w:r w:rsidR="008F52B9">
        <w:rPr>
          <w:rFonts w:asciiTheme="minorHAnsi" w:hAnsiTheme="minorHAnsi" w:cstheme="minorHAnsi"/>
          <w:sz w:val="22"/>
        </w:rPr>
        <w:t>be viewed as</w:t>
      </w:r>
      <w:r>
        <w:rPr>
          <w:rFonts w:asciiTheme="minorHAnsi" w:hAnsiTheme="minorHAnsi" w:cstheme="minorHAnsi"/>
          <w:sz w:val="22"/>
        </w:rPr>
        <w:t xml:space="preserve"> within the advertisements regime, it is unlikely to be practicable for the financial adviser to decide during the course of the conversation with the retail investor whether the PRIIPs comprehension alert is required </w:t>
      </w:r>
      <w:r w:rsidR="008F52B9">
        <w:rPr>
          <w:rFonts w:asciiTheme="minorHAnsi" w:hAnsiTheme="minorHAnsi" w:cstheme="minorHAnsi"/>
          <w:sz w:val="22"/>
        </w:rPr>
        <w:t>on the basis of the test in Article 12.2(</w:t>
      </w:r>
      <w:r w:rsidR="00097776">
        <w:rPr>
          <w:rFonts w:asciiTheme="minorHAnsi" w:hAnsiTheme="minorHAnsi" w:cstheme="minorHAnsi"/>
          <w:sz w:val="22"/>
        </w:rPr>
        <w:t>c</w:t>
      </w:r>
      <w:r w:rsidR="008F52B9">
        <w:rPr>
          <w:rFonts w:asciiTheme="minorHAnsi" w:hAnsiTheme="minorHAnsi" w:cstheme="minorHAnsi"/>
          <w:sz w:val="22"/>
        </w:rPr>
        <w:t>)</w:t>
      </w:r>
      <w:r w:rsidR="00511E6D" w:rsidRPr="00511E6D">
        <w:rPr>
          <w:rFonts w:asciiTheme="minorHAnsi" w:hAnsiTheme="minorHAnsi" w:cstheme="minorHAnsi"/>
          <w:sz w:val="22"/>
        </w:rPr>
        <w:t>.</w:t>
      </w:r>
      <w:r w:rsidR="008F52B9">
        <w:rPr>
          <w:rFonts w:asciiTheme="minorHAnsi" w:hAnsiTheme="minorHAnsi" w:cstheme="minorHAnsi"/>
          <w:sz w:val="22"/>
        </w:rPr>
        <w:t xml:space="preserve"> </w:t>
      </w:r>
    </w:p>
    <w:p w14:paraId="139C0D55" w14:textId="77777777" w:rsidR="00D356E1" w:rsidRDefault="00D356E1" w:rsidP="00C312B4">
      <w:pPr>
        <w:jc w:val="both"/>
        <w:rPr>
          <w:rFonts w:asciiTheme="minorHAnsi" w:hAnsiTheme="minorHAnsi" w:cstheme="minorHAnsi"/>
          <w:sz w:val="22"/>
        </w:rPr>
      </w:pPr>
    </w:p>
    <w:p w14:paraId="1451245D" w14:textId="0CBF7144" w:rsidR="00097776" w:rsidRDefault="008F52B9" w:rsidP="00C312B4">
      <w:pPr>
        <w:jc w:val="both"/>
        <w:rPr>
          <w:rFonts w:asciiTheme="minorHAnsi" w:hAnsiTheme="minorHAnsi" w:cstheme="minorHAnsi"/>
          <w:sz w:val="22"/>
        </w:rPr>
      </w:pPr>
      <w:r>
        <w:rPr>
          <w:rFonts w:asciiTheme="minorHAnsi" w:hAnsiTheme="minorHAnsi" w:cstheme="minorHAnsi"/>
          <w:sz w:val="22"/>
        </w:rPr>
        <w:t xml:space="preserve">Furthermore, the PRIIPs comprehension alert </w:t>
      </w:r>
      <w:r w:rsidRPr="00DB245B">
        <w:rPr>
          <w:rFonts w:asciiTheme="minorHAnsi" w:hAnsiTheme="minorHAnsi" w:cstheme="minorHAnsi"/>
          <w:color w:val="000000" w:themeColor="text1"/>
          <w:sz w:val="22"/>
        </w:rPr>
        <w:t>(“You are about to purchase a product that is not simple and may be difficult to understand”)</w:t>
      </w:r>
      <w:r>
        <w:rPr>
          <w:rFonts w:asciiTheme="minorHAnsi" w:hAnsiTheme="minorHAnsi" w:cstheme="minorHAnsi"/>
          <w:sz w:val="22"/>
        </w:rPr>
        <w:t xml:space="preserve"> was drafted for the PRIIPs KID and is therefore inherently more appropriate for a written communication.</w:t>
      </w:r>
      <w:r w:rsidR="00097776">
        <w:rPr>
          <w:rFonts w:asciiTheme="minorHAnsi" w:hAnsiTheme="minorHAnsi" w:cstheme="minorHAnsi"/>
          <w:sz w:val="22"/>
        </w:rPr>
        <w:t xml:space="preserve"> </w:t>
      </w:r>
    </w:p>
    <w:p w14:paraId="1F0B9958" w14:textId="77777777" w:rsidR="00097776" w:rsidRDefault="00097776" w:rsidP="00C312B4">
      <w:pPr>
        <w:jc w:val="both"/>
        <w:rPr>
          <w:rFonts w:asciiTheme="minorHAnsi" w:hAnsiTheme="minorHAnsi" w:cstheme="minorHAnsi"/>
          <w:sz w:val="22"/>
        </w:rPr>
      </w:pPr>
    </w:p>
    <w:p w14:paraId="01923432" w14:textId="25E470E4" w:rsidR="00511E6D" w:rsidRDefault="00097776" w:rsidP="00C312B4">
      <w:pPr>
        <w:jc w:val="both"/>
        <w:rPr>
          <w:rFonts w:asciiTheme="minorHAnsi" w:hAnsiTheme="minorHAnsi" w:cstheme="minorHAnsi"/>
          <w:sz w:val="22"/>
        </w:rPr>
      </w:pPr>
      <w:r>
        <w:rPr>
          <w:rFonts w:asciiTheme="minorHAnsi" w:hAnsiTheme="minorHAnsi" w:cstheme="minorHAnsi"/>
          <w:sz w:val="22"/>
        </w:rPr>
        <w:t xml:space="preserve">More generally, ESMA may wish to consider whether re-purposing the PRIIPs comprehension alert </w:t>
      </w:r>
      <w:r w:rsidR="00B420FF">
        <w:rPr>
          <w:rFonts w:asciiTheme="minorHAnsi" w:hAnsiTheme="minorHAnsi" w:cstheme="minorHAnsi"/>
          <w:sz w:val="22"/>
        </w:rPr>
        <w:t xml:space="preserve">for the purposes of advertisements under the Prospectus Regulation </w:t>
      </w:r>
      <w:r>
        <w:rPr>
          <w:rFonts w:asciiTheme="minorHAnsi" w:hAnsiTheme="minorHAnsi" w:cstheme="minorHAnsi"/>
          <w:sz w:val="22"/>
        </w:rPr>
        <w:t xml:space="preserve">could be confusing for retail </w:t>
      </w:r>
      <w:proofErr w:type="gramStart"/>
      <w:r>
        <w:rPr>
          <w:rFonts w:asciiTheme="minorHAnsi" w:hAnsiTheme="minorHAnsi" w:cstheme="minorHAnsi"/>
          <w:sz w:val="22"/>
        </w:rPr>
        <w:t>investors, and</w:t>
      </w:r>
      <w:proofErr w:type="gramEnd"/>
      <w:r>
        <w:rPr>
          <w:rFonts w:asciiTheme="minorHAnsi" w:hAnsiTheme="minorHAnsi" w:cstheme="minorHAnsi"/>
          <w:sz w:val="22"/>
        </w:rPr>
        <w:t xml:space="preserve"> cut across the warning that is proposed by draft RTS Article 12.2(b), which quite correctly states that potential investors should read the prospectus before making an investment decision. In other words, a retail investor should not be told they are “about to purchase” the product when they read or hear an advertisement. Rather, they should be directed to the prospectus before making an investment decision, in line with the warning that is required pursuant to Article 12.2(b).</w:t>
      </w:r>
    </w:p>
    <w:p w14:paraId="463B141C" w14:textId="5866731B" w:rsidR="000D3C2F" w:rsidRDefault="000D3C2F" w:rsidP="00C312B4">
      <w:pPr>
        <w:jc w:val="both"/>
        <w:rPr>
          <w:rFonts w:asciiTheme="minorHAnsi" w:hAnsiTheme="minorHAnsi" w:cstheme="minorHAnsi"/>
          <w:sz w:val="22"/>
        </w:rPr>
      </w:pPr>
    </w:p>
    <w:p w14:paraId="6D5AB27E" w14:textId="3BA0E256" w:rsidR="000D3C2F" w:rsidRPr="000D3C2F" w:rsidRDefault="000D3C2F" w:rsidP="00C312B4">
      <w:pPr>
        <w:jc w:val="both"/>
        <w:rPr>
          <w:rFonts w:asciiTheme="minorHAnsi" w:hAnsiTheme="minorHAnsi" w:cstheme="minorHAnsi"/>
          <w:sz w:val="22"/>
        </w:rPr>
      </w:pPr>
      <w:r>
        <w:rPr>
          <w:rFonts w:asciiTheme="minorHAnsi" w:hAnsiTheme="minorHAnsi" w:cstheme="minorHAnsi"/>
          <w:sz w:val="22"/>
        </w:rPr>
        <w:t xml:space="preserve">Separately, it would be helpful to know whether ESMA views the criteria in draft RTS Article 12.2(c) as conjunctive or not. </w:t>
      </w:r>
      <w:r w:rsidRPr="000D3C2F">
        <w:rPr>
          <w:rFonts w:asciiTheme="minorHAnsi" w:hAnsiTheme="minorHAnsi" w:cstheme="minorHAnsi"/>
          <w:sz w:val="22"/>
        </w:rPr>
        <w:t>In other words, is the comprehens</w:t>
      </w:r>
      <w:r>
        <w:rPr>
          <w:rFonts w:asciiTheme="minorHAnsi" w:hAnsiTheme="minorHAnsi" w:cstheme="minorHAnsi"/>
          <w:sz w:val="22"/>
        </w:rPr>
        <w:t>ion a</w:t>
      </w:r>
      <w:r w:rsidRPr="000D3C2F">
        <w:rPr>
          <w:rFonts w:asciiTheme="minorHAnsi" w:hAnsiTheme="minorHAnsi" w:cstheme="minorHAnsi"/>
          <w:sz w:val="22"/>
        </w:rPr>
        <w:t>lert only required where the summary includes</w:t>
      </w:r>
      <w:r w:rsidR="00DB245B">
        <w:rPr>
          <w:rFonts w:asciiTheme="minorHAnsi" w:hAnsiTheme="minorHAnsi" w:cstheme="minorHAnsi"/>
          <w:sz w:val="22"/>
        </w:rPr>
        <w:t xml:space="preserve"> or will include</w:t>
      </w:r>
      <w:r w:rsidRPr="000D3C2F">
        <w:rPr>
          <w:rFonts w:asciiTheme="minorHAnsi" w:hAnsiTheme="minorHAnsi" w:cstheme="minorHAnsi"/>
          <w:sz w:val="22"/>
        </w:rPr>
        <w:t xml:space="preserve"> a PRIIPs KID and the product is also co</w:t>
      </w:r>
      <w:r>
        <w:rPr>
          <w:rFonts w:asciiTheme="minorHAnsi" w:hAnsiTheme="minorHAnsi" w:cstheme="minorHAnsi"/>
          <w:sz w:val="22"/>
        </w:rPr>
        <w:t>mplex</w:t>
      </w:r>
      <w:r w:rsidR="00DB245B">
        <w:rPr>
          <w:rFonts w:asciiTheme="minorHAnsi" w:hAnsiTheme="minorHAnsi" w:cstheme="minorHAnsi"/>
          <w:sz w:val="22"/>
        </w:rPr>
        <w:t xml:space="preserve"> under MiFID II</w:t>
      </w:r>
      <w:r>
        <w:rPr>
          <w:rFonts w:asciiTheme="minorHAnsi" w:hAnsiTheme="minorHAnsi" w:cstheme="minorHAnsi"/>
          <w:sz w:val="22"/>
        </w:rPr>
        <w:t>, or is the comprehension a</w:t>
      </w:r>
      <w:r w:rsidRPr="000D3C2F">
        <w:rPr>
          <w:rFonts w:asciiTheme="minorHAnsi" w:hAnsiTheme="minorHAnsi" w:cstheme="minorHAnsi"/>
          <w:sz w:val="22"/>
        </w:rPr>
        <w:t>lert required in three scenarios – (1) where the summary</w:t>
      </w:r>
      <w:r>
        <w:rPr>
          <w:rFonts w:asciiTheme="minorHAnsi" w:hAnsiTheme="minorHAnsi" w:cstheme="minorHAnsi"/>
          <w:sz w:val="22"/>
        </w:rPr>
        <w:t xml:space="preserve"> inc</w:t>
      </w:r>
      <w:r w:rsidR="00B420FF">
        <w:rPr>
          <w:rFonts w:asciiTheme="minorHAnsi" w:hAnsiTheme="minorHAnsi" w:cstheme="minorHAnsi"/>
          <w:sz w:val="22"/>
        </w:rPr>
        <w:t>l</w:t>
      </w:r>
      <w:r>
        <w:rPr>
          <w:rFonts w:asciiTheme="minorHAnsi" w:hAnsiTheme="minorHAnsi" w:cstheme="minorHAnsi"/>
          <w:sz w:val="22"/>
        </w:rPr>
        <w:t>udes or will include</w:t>
      </w:r>
      <w:r w:rsidRPr="000D3C2F">
        <w:rPr>
          <w:rFonts w:asciiTheme="minorHAnsi" w:hAnsiTheme="minorHAnsi" w:cstheme="minorHAnsi"/>
          <w:sz w:val="22"/>
        </w:rPr>
        <w:t xml:space="preserve"> a PRIIPs KID (and therefore a comprehension alert), (2) where the product is complex</w:t>
      </w:r>
      <w:r w:rsidR="00DB245B">
        <w:rPr>
          <w:rFonts w:asciiTheme="minorHAnsi" w:hAnsiTheme="minorHAnsi" w:cstheme="minorHAnsi"/>
          <w:sz w:val="22"/>
        </w:rPr>
        <w:t xml:space="preserve"> under MiFID II</w:t>
      </w:r>
      <w:r w:rsidRPr="000D3C2F">
        <w:rPr>
          <w:rFonts w:asciiTheme="minorHAnsi" w:hAnsiTheme="minorHAnsi" w:cstheme="minorHAnsi"/>
          <w:sz w:val="22"/>
        </w:rPr>
        <w:t xml:space="preserve">, </w:t>
      </w:r>
      <w:r w:rsidR="009366DE">
        <w:rPr>
          <w:rFonts w:asciiTheme="minorHAnsi" w:hAnsiTheme="minorHAnsi" w:cstheme="minorHAnsi"/>
          <w:sz w:val="22"/>
        </w:rPr>
        <w:t>and</w:t>
      </w:r>
      <w:r w:rsidRPr="000D3C2F">
        <w:rPr>
          <w:rFonts w:asciiTheme="minorHAnsi" w:hAnsiTheme="minorHAnsi" w:cstheme="minorHAnsi"/>
          <w:sz w:val="22"/>
        </w:rPr>
        <w:t xml:space="preserve"> (3) the summary includes</w:t>
      </w:r>
      <w:r>
        <w:rPr>
          <w:rFonts w:asciiTheme="minorHAnsi" w:hAnsiTheme="minorHAnsi" w:cstheme="minorHAnsi"/>
          <w:sz w:val="22"/>
        </w:rPr>
        <w:t xml:space="preserve"> or will include</w:t>
      </w:r>
      <w:r w:rsidRPr="000D3C2F">
        <w:rPr>
          <w:rFonts w:asciiTheme="minorHAnsi" w:hAnsiTheme="minorHAnsi" w:cstheme="minorHAnsi"/>
          <w:sz w:val="22"/>
        </w:rPr>
        <w:t xml:space="preserve"> a PRIIPs KID </w:t>
      </w:r>
      <w:r w:rsidRPr="00FD0713">
        <w:rPr>
          <w:rFonts w:asciiTheme="minorHAnsi" w:hAnsiTheme="minorHAnsi" w:cstheme="minorHAnsi"/>
          <w:b/>
          <w:sz w:val="22"/>
          <w:u w:val="single"/>
        </w:rPr>
        <w:t>and</w:t>
      </w:r>
      <w:r w:rsidRPr="000D3C2F">
        <w:rPr>
          <w:rFonts w:asciiTheme="minorHAnsi" w:hAnsiTheme="minorHAnsi" w:cstheme="minorHAnsi"/>
          <w:sz w:val="22"/>
        </w:rPr>
        <w:t xml:space="preserve"> the product is complex</w:t>
      </w:r>
      <w:r w:rsidR="00DB245B">
        <w:rPr>
          <w:rFonts w:asciiTheme="minorHAnsi" w:hAnsiTheme="minorHAnsi" w:cstheme="minorHAnsi"/>
          <w:sz w:val="22"/>
        </w:rPr>
        <w:t xml:space="preserve"> under MiFID II?</w:t>
      </w:r>
    </w:p>
    <w:permEnd w:id="988946985"/>
    <w:p w14:paraId="42C8E35C" w14:textId="61EAA393" w:rsidR="00ED4063" w:rsidRDefault="00ED4063" w:rsidP="00ED4063">
      <w:pPr>
        <w:rPr>
          <w:rFonts w:cs="Arial"/>
        </w:rPr>
      </w:pPr>
      <w:r>
        <w:rPr>
          <w:rFonts w:cs="Arial"/>
        </w:rPr>
        <w:t>&lt;ESMA_QUESTION_PR_20&gt;</w:t>
      </w:r>
    </w:p>
    <w:p w14:paraId="561831B0" w14:textId="2D8495EA" w:rsidR="00ED4063" w:rsidRDefault="00ED4063" w:rsidP="00ED4063">
      <w:pPr>
        <w:rPr>
          <w:rFonts w:cs="Arial"/>
        </w:rPr>
      </w:pPr>
    </w:p>
    <w:p w14:paraId="5277FAD6" w14:textId="77777777" w:rsidR="00ED4063" w:rsidRDefault="00ED4063" w:rsidP="00ED4063">
      <w:pPr>
        <w:rPr>
          <w:rFonts w:cs="Arial"/>
        </w:rPr>
      </w:pPr>
    </w:p>
    <w:p w14:paraId="2FC70A27" w14:textId="77777777" w:rsidR="00ED4063" w:rsidRDefault="00ED4063" w:rsidP="00ED4063">
      <w:pPr>
        <w:rPr>
          <w:rFonts w:cs="Arial"/>
        </w:rPr>
      </w:pPr>
    </w:p>
    <w:p w14:paraId="01DD49D2" w14:textId="77777777" w:rsidR="00ED4063" w:rsidRPr="00ED4063" w:rsidRDefault="00ED4063" w:rsidP="00630CD7">
      <w:pPr>
        <w:pStyle w:val="Questionstyle"/>
        <w:numPr>
          <w:ilvl w:val="0"/>
          <w:numId w:val="38"/>
        </w:numPr>
        <w:ind w:hanging="436"/>
        <w:rPr>
          <w:rFonts w:ascii="Arial" w:hAnsi="Arial" w:cs="Arial"/>
        </w:rPr>
      </w:pPr>
      <w:r w:rsidRPr="00ED4063">
        <w:rPr>
          <w:rFonts w:ascii="Arial" w:hAnsi="Arial" w:cs="Arial"/>
        </w:rPr>
        <w:t>: Do you agree with the requirements suggested for Article 12 of the RTS? If not, please provide your reasoning.</w:t>
      </w:r>
    </w:p>
    <w:p w14:paraId="2165B3FD" w14:textId="77777777" w:rsidR="00ED4063" w:rsidRDefault="00ED4063" w:rsidP="00ED4063">
      <w:pPr>
        <w:rPr>
          <w:rFonts w:cs="Arial"/>
        </w:rPr>
      </w:pPr>
      <w:r>
        <w:rPr>
          <w:rFonts w:cs="Arial"/>
        </w:rPr>
        <w:t>&lt;ESMA_QUESTION_PR_21&gt;</w:t>
      </w:r>
    </w:p>
    <w:p w14:paraId="50ED9C9A" w14:textId="4A024640" w:rsidR="00DB245B" w:rsidRDefault="00DB245B" w:rsidP="00C312B4">
      <w:pPr>
        <w:jc w:val="both"/>
        <w:rPr>
          <w:rFonts w:asciiTheme="minorHAnsi" w:hAnsiTheme="minorHAnsi" w:cstheme="minorHAnsi"/>
          <w:sz w:val="22"/>
        </w:rPr>
      </w:pPr>
      <w:permStart w:id="79763437" w:edGrp="everyone"/>
      <w:r>
        <w:rPr>
          <w:rFonts w:asciiTheme="minorHAnsi" w:hAnsiTheme="minorHAnsi" w:cstheme="minorHAnsi"/>
          <w:sz w:val="22"/>
        </w:rPr>
        <w:t>We appreciate the general intention behind the provisions in Article 12. However, there are some concerns in relation to how the proposals will work in practice</w:t>
      </w:r>
      <w:r w:rsidR="001E47AA">
        <w:rPr>
          <w:rFonts w:asciiTheme="minorHAnsi" w:hAnsiTheme="minorHAnsi" w:cstheme="minorHAnsi"/>
          <w:sz w:val="22"/>
        </w:rPr>
        <w:t>, particularly where they apply to oral advertisements</w:t>
      </w:r>
      <w:r>
        <w:rPr>
          <w:rFonts w:asciiTheme="minorHAnsi" w:hAnsiTheme="minorHAnsi" w:cstheme="minorHAnsi"/>
          <w:sz w:val="22"/>
        </w:rPr>
        <w:t xml:space="preserve">. </w:t>
      </w:r>
    </w:p>
    <w:p w14:paraId="298E69C2" w14:textId="77777777" w:rsidR="00DB245B" w:rsidRDefault="00DB245B" w:rsidP="00C312B4">
      <w:pPr>
        <w:jc w:val="both"/>
        <w:rPr>
          <w:rFonts w:asciiTheme="minorHAnsi" w:hAnsiTheme="minorHAnsi" w:cstheme="minorHAnsi"/>
          <w:sz w:val="22"/>
        </w:rPr>
      </w:pPr>
    </w:p>
    <w:p w14:paraId="55B6BB51" w14:textId="2FF36488" w:rsidR="00ED4063" w:rsidRPr="00511E6D" w:rsidRDefault="00BC313E" w:rsidP="00C312B4">
      <w:pPr>
        <w:jc w:val="both"/>
        <w:rPr>
          <w:rFonts w:asciiTheme="minorHAnsi" w:hAnsiTheme="minorHAnsi" w:cstheme="minorHAnsi"/>
          <w:sz w:val="22"/>
        </w:rPr>
      </w:pPr>
      <w:r>
        <w:rPr>
          <w:rFonts w:asciiTheme="minorHAnsi" w:hAnsiTheme="minorHAnsi" w:cstheme="minorHAnsi"/>
          <w:b/>
          <w:sz w:val="22"/>
        </w:rPr>
        <w:t xml:space="preserve">Article 12.1: </w:t>
      </w:r>
      <w:r w:rsidR="009827F0">
        <w:rPr>
          <w:rFonts w:asciiTheme="minorHAnsi" w:hAnsiTheme="minorHAnsi" w:cstheme="minorHAnsi"/>
          <w:sz w:val="22"/>
        </w:rPr>
        <w:t>Please see our response to Q</w:t>
      </w:r>
      <w:r w:rsidR="001E47AA">
        <w:rPr>
          <w:rFonts w:asciiTheme="minorHAnsi" w:hAnsiTheme="minorHAnsi" w:cstheme="minorHAnsi"/>
          <w:sz w:val="22"/>
        </w:rPr>
        <w:t>19</w:t>
      </w:r>
      <w:r w:rsidR="006A0451" w:rsidRPr="00511E6D">
        <w:rPr>
          <w:rFonts w:asciiTheme="minorHAnsi" w:hAnsiTheme="minorHAnsi" w:cstheme="minorHAnsi"/>
          <w:sz w:val="22"/>
        </w:rPr>
        <w:t xml:space="preserve"> above for suggestions in relation to Article 12.1. </w:t>
      </w:r>
    </w:p>
    <w:p w14:paraId="3C25CFA3" w14:textId="052BC78E" w:rsidR="006A0451" w:rsidRPr="00511E6D" w:rsidRDefault="006A0451" w:rsidP="00C312B4">
      <w:pPr>
        <w:jc w:val="both"/>
        <w:rPr>
          <w:rFonts w:asciiTheme="minorHAnsi" w:hAnsiTheme="minorHAnsi" w:cstheme="minorHAnsi"/>
          <w:sz w:val="22"/>
        </w:rPr>
      </w:pPr>
    </w:p>
    <w:p w14:paraId="7F445731" w14:textId="191ADE71" w:rsidR="00511E6D" w:rsidRPr="00511E6D" w:rsidRDefault="00BC313E" w:rsidP="00C312B4">
      <w:pPr>
        <w:jc w:val="both"/>
        <w:rPr>
          <w:rFonts w:asciiTheme="minorHAnsi" w:hAnsiTheme="minorHAnsi" w:cstheme="minorHAnsi"/>
          <w:sz w:val="22"/>
        </w:rPr>
      </w:pPr>
      <w:r>
        <w:rPr>
          <w:rFonts w:asciiTheme="minorHAnsi" w:hAnsiTheme="minorHAnsi" w:cstheme="minorHAnsi"/>
          <w:b/>
          <w:sz w:val="22"/>
        </w:rPr>
        <w:t>Article 12.2</w:t>
      </w:r>
      <w:r w:rsidR="00A03AAC">
        <w:rPr>
          <w:rFonts w:asciiTheme="minorHAnsi" w:hAnsiTheme="minorHAnsi" w:cstheme="minorHAnsi"/>
          <w:b/>
          <w:sz w:val="22"/>
        </w:rPr>
        <w:t>:</w:t>
      </w:r>
      <w:r w:rsidR="00511E6D" w:rsidRPr="00511E6D">
        <w:rPr>
          <w:rFonts w:asciiTheme="minorHAnsi" w:hAnsiTheme="minorHAnsi" w:cstheme="minorHAnsi"/>
          <w:sz w:val="22"/>
        </w:rPr>
        <w:t xml:space="preserve"> </w:t>
      </w:r>
    </w:p>
    <w:p w14:paraId="7C5D03C5" w14:textId="77777777" w:rsidR="00511E6D" w:rsidRDefault="00511E6D" w:rsidP="00C312B4">
      <w:pPr>
        <w:jc w:val="both"/>
        <w:rPr>
          <w:rFonts w:cs="Arial"/>
        </w:rPr>
      </w:pPr>
    </w:p>
    <w:p w14:paraId="5CA87540" w14:textId="2001CCE6" w:rsidR="00511E6D" w:rsidRPr="00511E6D" w:rsidRDefault="001E47AA" w:rsidP="00C312B4">
      <w:pPr>
        <w:pStyle w:val="ListParagraph"/>
        <w:numPr>
          <w:ilvl w:val="0"/>
          <w:numId w:val="43"/>
        </w:numPr>
        <w:ind w:left="426" w:hanging="426"/>
        <w:jc w:val="both"/>
        <w:rPr>
          <w:rFonts w:asciiTheme="minorHAnsi" w:hAnsiTheme="minorHAnsi" w:cstheme="minorHAnsi"/>
          <w:sz w:val="22"/>
        </w:rPr>
      </w:pPr>
      <w:r>
        <w:rPr>
          <w:rFonts w:asciiTheme="minorHAnsi" w:hAnsiTheme="minorHAnsi" w:cstheme="minorHAnsi"/>
          <w:sz w:val="22"/>
        </w:rPr>
        <w:t>As noted in our response to Q20 above, t</w:t>
      </w:r>
      <w:r w:rsidR="00511E6D" w:rsidRPr="00511E6D">
        <w:rPr>
          <w:rFonts w:asciiTheme="minorHAnsi" w:hAnsiTheme="minorHAnsi" w:cstheme="minorHAnsi"/>
          <w:sz w:val="22"/>
        </w:rPr>
        <w:t xml:space="preserve">he requirements in Article 12.2 </w:t>
      </w:r>
      <w:r w:rsidR="00A03AAC">
        <w:rPr>
          <w:rFonts w:asciiTheme="minorHAnsi" w:hAnsiTheme="minorHAnsi" w:cstheme="minorHAnsi"/>
          <w:sz w:val="22"/>
        </w:rPr>
        <w:t>are</w:t>
      </w:r>
      <w:r w:rsidR="00511E6D" w:rsidRPr="00511E6D">
        <w:rPr>
          <w:rFonts w:asciiTheme="minorHAnsi" w:hAnsiTheme="minorHAnsi" w:cstheme="minorHAnsi"/>
          <w:sz w:val="22"/>
        </w:rPr>
        <w:t xml:space="preserve"> unlikely to be practical in the context of oral advertisements, particularly given the wide definition of the term “advertisement”. As such, </w:t>
      </w:r>
      <w:r w:rsidR="00511E6D" w:rsidRPr="00D406D1">
        <w:rPr>
          <w:rFonts w:asciiTheme="minorHAnsi" w:hAnsiTheme="minorHAnsi" w:cstheme="minorHAnsi"/>
          <w:b/>
          <w:sz w:val="22"/>
        </w:rPr>
        <w:t xml:space="preserve">it is important that </w:t>
      </w:r>
      <w:r w:rsidRPr="00D406D1">
        <w:rPr>
          <w:rFonts w:asciiTheme="minorHAnsi" w:hAnsiTheme="minorHAnsi" w:cstheme="minorHAnsi"/>
          <w:b/>
          <w:sz w:val="22"/>
        </w:rPr>
        <w:t>Article 12.2 is amended so that it</w:t>
      </w:r>
      <w:r w:rsidR="00511E6D" w:rsidRPr="00D406D1">
        <w:rPr>
          <w:rFonts w:asciiTheme="minorHAnsi" w:hAnsiTheme="minorHAnsi" w:cstheme="minorHAnsi"/>
          <w:b/>
          <w:sz w:val="22"/>
        </w:rPr>
        <w:t xml:space="preserve"> </w:t>
      </w:r>
      <w:r w:rsidRPr="00D406D1">
        <w:rPr>
          <w:rFonts w:asciiTheme="minorHAnsi" w:hAnsiTheme="minorHAnsi" w:cstheme="minorHAnsi"/>
          <w:b/>
          <w:sz w:val="22"/>
        </w:rPr>
        <w:t xml:space="preserve">applies </w:t>
      </w:r>
      <w:r w:rsidR="00511E6D" w:rsidRPr="00D406D1">
        <w:rPr>
          <w:rFonts w:asciiTheme="minorHAnsi" w:hAnsiTheme="minorHAnsi" w:cstheme="minorHAnsi"/>
          <w:b/>
          <w:sz w:val="22"/>
        </w:rPr>
        <w:t>to written advertisements only</w:t>
      </w:r>
      <w:r w:rsidR="00511E6D" w:rsidRPr="00511E6D">
        <w:rPr>
          <w:rFonts w:asciiTheme="minorHAnsi" w:hAnsiTheme="minorHAnsi" w:cstheme="minorHAnsi"/>
          <w:sz w:val="22"/>
        </w:rPr>
        <w:t>.</w:t>
      </w:r>
    </w:p>
    <w:p w14:paraId="724C49D3" w14:textId="77777777" w:rsidR="00511E6D" w:rsidRPr="00511E6D" w:rsidRDefault="00511E6D" w:rsidP="00C312B4">
      <w:pPr>
        <w:pStyle w:val="ListParagraph"/>
        <w:ind w:left="426"/>
        <w:jc w:val="both"/>
        <w:rPr>
          <w:rFonts w:asciiTheme="minorHAnsi" w:hAnsiTheme="minorHAnsi" w:cstheme="minorHAnsi"/>
          <w:sz w:val="22"/>
        </w:rPr>
      </w:pPr>
    </w:p>
    <w:p w14:paraId="72CAB9DE" w14:textId="77777777" w:rsidR="00511E6D" w:rsidRPr="00511E6D" w:rsidRDefault="00511E6D" w:rsidP="00C312B4">
      <w:pPr>
        <w:pStyle w:val="ListParagraph"/>
        <w:numPr>
          <w:ilvl w:val="0"/>
          <w:numId w:val="43"/>
        </w:numPr>
        <w:ind w:left="426" w:hanging="426"/>
        <w:jc w:val="both"/>
        <w:rPr>
          <w:rFonts w:cs="Arial"/>
        </w:rPr>
      </w:pPr>
      <w:r w:rsidRPr="00511E6D">
        <w:rPr>
          <w:rFonts w:asciiTheme="minorHAnsi" w:hAnsiTheme="minorHAnsi" w:cstheme="minorHAnsi"/>
          <w:sz w:val="22"/>
        </w:rPr>
        <w:t>The term “retail investor” is not used in the Prospectus Regulation and is not defined in the proposed draft RTS. It would be helpful if the RTS were to</w:t>
      </w:r>
      <w:r>
        <w:rPr>
          <w:rFonts w:asciiTheme="minorHAnsi" w:hAnsiTheme="minorHAnsi" w:cstheme="minorHAnsi"/>
          <w:sz w:val="22"/>
        </w:rPr>
        <w:t xml:space="preserve"> define this term, for example by reference to MiFID II.</w:t>
      </w:r>
    </w:p>
    <w:p w14:paraId="3EA0467D" w14:textId="77777777" w:rsidR="00511E6D" w:rsidRPr="00511E6D" w:rsidRDefault="00511E6D" w:rsidP="00C312B4">
      <w:pPr>
        <w:pStyle w:val="ListParagraph"/>
        <w:jc w:val="both"/>
        <w:rPr>
          <w:rFonts w:asciiTheme="minorHAnsi" w:hAnsiTheme="minorHAnsi" w:cstheme="minorHAnsi"/>
          <w:sz w:val="22"/>
        </w:rPr>
      </w:pPr>
    </w:p>
    <w:p w14:paraId="4D58F4A0" w14:textId="0B5C58CB" w:rsidR="001F4EBD" w:rsidRDefault="00BC313E" w:rsidP="00C312B4">
      <w:pPr>
        <w:jc w:val="both"/>
        <w:rPr>
          <w:rFonts w:asciiTheme="minorHAnsi" w:hAnsiTheme="minorHAnsi" w:cstheme="minorHAnsi"/>
          <w:sz w:val="22"/>
        </w:rPr>
      </w:pPr>
      <w:r>
        <w:rPr>
          <w:rFonts w:asciiTheme="minorHAnsi" w:hAnsiTheme="minorHAnsi" w:cstheme="minorHAnsi"/>
          <w:b/>
          <w:sz w:val="22"/>
        </w:rPr>
        <w:t xml:space="preserve">Article 12.3: </w:t>
      </w:r>
      <w:r w:rsidR="001F4EBD">
        <w:rPr>
          <w:rFonts w:asciiTheme="minorHAnsi" w:hAnsiTheme="minorHAnsi" w:cstheme="minorHAnsi"/>
          <w:sz w:val="22"/>
        </w:rPr>
        <w:t xml:space="preserve">Article 12.3 should also be </w:t>
      </w:r>
      <w:r w:rsidR="001F4EBD" w:rsidRPr="00D406D1">
        <w:rPr>
          <w:rFonts w:asciiTheme="minorHAnsi" w:hAnsiTheme="minorHAnsi" w:cstheme="minorHAnsi"/>
          <w:b/>
          <w:sz w:val="22"/>
        </w:rPr>
        <w:t>restricted to written advertisements only</w:t>
      </w:r>
      <w:r w:rsidR="001F4EBD">
        <w:rPr>
          <w:rFonts w:asciiTheme="minorHAnsi" w:hAnsiTheme="minorHAnsi" w:cstheme="minorHAnsi"/>
          <w:sz w:val="22"/>
        </w:rPr>
        <w:t xml:space="preserve"> (i.e. the second sentence should be d</w:t>
      </w:r>
      <w:r>
        <w:rPr>
          <w:rFonts w:asciiTheme="minorHAnsi" w:hAnsiTheme="minorHAnsi" w:cstheme="minorHAnsi"/>
          <w:sz w:val="22"/>
        </w:rPr>
        <w:t>eleted and the word “written” should be included in the first sentence)</w:t>
      </w:r>
      <w:r w:rsidR="001E47AA">
        <w:rPr>
          <w:rFonts w:asciiTheme="minorHAnsi" w:hAnsiTheme="minorHAnsi" w:cstheme="minorHAnsi"/>
          <w:sz w:val="22"/>
        </w:rPr>
        <w:t>. This is because t</w:t>
      </w:r>
      <w:r w:rsidR="001F4EBD" w:rsidRPr="001F4EBD">
        <w:rPr>
          <w:rFonts w:asciiTheme="minorHAnsi" w:hAnsiTheme="minorHAnsi" w:cstheme="minorHAnsi"/>
          <w:sz w:val="22"/>
        </w:rPr>
        <w:t xml:space="preserve">he requirement in the second </w:t>
      </w:r>
      <w:r>
        <w:rPr>
          <w:rFonts w:asciiTheme="minorHAnsi" w:hAnsiTheme="minorHAnsi" w:cstheme="minorHAnsi"/>
          <w:sz w:val="22"/>
        </w:rPr>
        <w:t>sentence</w:t>
      </w:r>
      <w:r w:rsidR="00D356E1">
        <w:rPr>
          <w:rFonts w:asciiTheme="minorHAnsi" w:hAnsiTheme="minorHAnsi" w:cstheme="minorHAnsi"/>
          <w:sz w:val="22"/>
        </w:rPr>
        <w:t xml:space="preserve"> that</w:t>
      </w:r>
      <w:r w:rsidR="001F4EBD" w:rsidRPr="001F4EBD">
        <w:rPr>
          <w:rFonts w:asciiTheme="minorHAnsi" w:hAnsiTheme="minorHAnsi" w:cstheme="minorHAnsi"/>
          <w:sz w:val="22"/>
        </w:rPr>
        <w:t xml:space="preserve"> the purpose of the </w:t>
      </w:r>
      <w:r>
        <w:rPr>
          <w:rFonts w:asciiTheme="minorHAnsi" w:hAnsiTheme="minorHAnsi" w:cstheme="minorHAnsi"/>
          <w:sz w:val="22"/>
        </w:rPr>
        <w:t xml:space="preserve">oral </w:t>
      </w:r>
      <w:r w:rsidR="00D356E1">
        <w:rPr>
          <w:rFonts w:asciiTheme="minorHAnsi" w:hAnsiTheme="minorHAnsi" w:cstheme="minorHAnsi"/>
          <w:sz w:val="22"/>
        </w:rPr>
        <w:t xml:space="preserve">communication </w:t>
      </w:r>
      <w:r w:rsidR="001F4EBD" w:rsidRPr="001F4EBD">
        <w:rPr>
          <w:rFonts w:asciiTheme="minorHAnsi" w:hAnsiTheme="minorHAnsi" w:cstheme="minorHAnsi"/>
          <w:sz w:val="22"/>
        </w:rPr>
        <w:t xml:space="preserve">be clearly identified at the beginning </w:t>
      </w:r>
      <w:r w:rsidR="00D356E1">
        <w:rPr>
          <w:rFonts w:asciiTheme="minorHAnsi" w:hAnsiTheme="minorHAnsi" w:cstheme="minorHAnsi"/>
          <w:sz w:val="22"/>
        </w:rPr>
        <w:t xml:space="preserve">of </w:t>
      </w:r>
      <w:r>
        <w:rPr>
          <w:rFonts w:asciiTheme="minorHAnsi" w:hAnsiTheme="minorHAnsi" w:cstheme="minorHAnsi"/>
          <w:sz w:val="22"/>
        </w:rPr>
        <w:t>the message</w:t>
      </w:r>
      <w:r w:rsidR="001F4EBD" w:rsidRPr="001F4EBD">
        <w:rPr>
          <w:rFonts w:asciiTheme="minorHAnsi" w:hAnsiTheme="minorHAnsi" w:cstheme="minorHAnsi"/>
          <w:sz w:val="22"/>
        </w:rPr>
        <w:t xml:space="preserve"> is unlikely to be workable </w:t>
      </w:r>
      <w:r w:rsidR="00A03AAC">
        <w:rPr>
          <w:rFonts w:asciiTheme="minorHAnsi" w:hAnsiTheme="minorHAnsi" w:cstheme="minorHAnsi"/>
          <w:sz w:val="22"/>
        </w:rPr>
        <w:t>in practice</w:t>
      </w:r>
      <w:r w:rsidR="001F4EBD" w:rsidRPr="001F4EBD">
        <w:rPr>
          <w:rFonts w:asciiTheme="minorHAnsi" w:hAnsiTheme="minorHAnsi" w:cstheme="minorHAnsi"/>
          <w:sz w:val="22"/>
        </w:rPr>
        <w:t xml:space="preserve">. </w:t>
      </w:r>
      <w:r w:rsidR="0045318F">
        <w:rPr>
          <w:rFonts w:asciiTheme="minorHAnsi" w:hAnsiTheme="minorHAnsi" w:cstheme="minorHAnsi"/>
          <w:sz w:val="22"/>
        </w:rPr>
        <w:t>For example, c</w:t>
      </w:r>
      <w:r w:rsidR="001F4EBD">
        <w:rPr>
          <w:rFonts w:asciiTheme="minorHAnsi" w:hAnsiTheme="minorHAnsi" w:cstheme="minorHAnsi"/>
          <w:sz w:val="22"/>
        </w:rPr>
        <w:t xml:space="preserve">onversations between investors and their financial advisors or brokers may be frequent and </w:t>
      </w:r>
      <w:r w:rsidR="00D356E1">
        <w:rPr>
          <w:rFonts w:asciiTheme="minorHAnsi" w:hAnsiTheme="minorHAnsi" w:cstheme="minorHAnsi"/>
          <w:sz w:val="22"/>
        </w:rPr>
        <w:t>contain</w:t>
      </w:r>
      <w:r w:rsidR="001F4EBD">
        <w:rPr>
          <w:rFonts w:asciiTheme="minorHAnsi" w:hAnsiTheme="minorHAnsi" w:cstheme="minorHAnsi"/>
          <w:sz w:val="22"/>
        </w:rPr>
        <w:t xml:space="preserve"> elements that fall under the definition of “advertisement” and elements that do not. Those conversations may also be initiated by the investor, rather than the financial advisor or broker. In those circumstances, it is not clear how the financial intermediary </w:t>
      </w:r>
      <w:r>
        <w:rPr>
          <w:rFonts w:asciiTheme="minorHAnsi" w:hAnsiTheme="minorHAnsi" w:cstheme="minorHAnsi"/>
          <w:sz w:val="22"/>
        </w:rPr>
        <w:t>could</w:t>
      </w:r>
      <w:r w:rsidR="001F4EBD">
        <w:rPr>
          <w:rFonts w:asciiTheme="minorHAnsi" w:hAnsiTheme="minorHAnsi" w:cstheme="minorHAnsi"/>
          <w:sz w:val="22"/>
        </w:rPr>
        <w:t xml:space="preserve"> practically ensure complia</w:t>
      </w:r>
      <w:r>
        <w:rPr>
          <w:rFonts w:asciiTheme="minorHAnsi" w:hAnsiTheme="minorHAnsi" w:cstheme="minorHAnsi"/>
          <w:sz w:val="22"/>
        </w:rPr>
        <w:t>nce with proposed draft Article 12.</w:t>
      </w:r>
      <w:r w:rsidRPr="001E47AA">
        <w:rPr>
          <w:rFonts w:asciiTheme="minorHAnsi" w:hAnsiTheme="minorHAnsi" w:cstheme="minorHAnsi"/>
          <w:color w:val="000000" w:themeColor="text1"/>
          <w:sz w:val="22"/>
        </w:rPr>
        <w:t>3.</w:t>
      </w:r>
      <w:r w:rsidR="00D356E1" w:rsidRPr="001E47AA">
        <w:rPr>
          <w:rFonts w:asciiTheme="minorHAnsi" w:hAnsiTheme="minorHAnsi" w:cstheme="minorHAnsi"/>
          <w:color w:val="000000" w:themeColor="text1"/>
          <w:sz w:val="22"/>
        </w:rPr>
        <w:t xml:space="preserve"> </w:t>
      </w:r>
      <w:r w:rsidR="0045318F">
        <w:rPr>
          <w:rFonts w:asciiTheme="minorHAnsi" w:hAnsiTheme="minorHAnsi" w:cstheme="minorHAnsi"/>
          <w:color w:val="000000" w:themeColor="text1"/>
          <w:sz w:val="22"/>
        </w:rPr>
        <w:t>Furthermore, t</w:t>
      </w:r>
      <w:r w:rsidR="001E47AA" w:rsidRPr="001E47AA">
        <w:rPr>
          <w:rFonts w:asciiTheme="minorHAnsi" w:hAnsiTheme="minorHAnsi" w:cstheme="minorHAnsi"/>
          <w:color w:val="000000" w:themeColor="text1"/>
          <w:sz w:val="22"/>
        </w:rPr>
        <w:t>he</w:t>
      </w:r>
      <w:r w:rsidR="00A03AAC" w:rsidRPr="001E47AA">
        <w:rPr>
          <w:rFonts w:asciiTheme="minorHAnsi" w:hAnsiTheme="minorHAnsi" w:cstheme="minorHAnsi"/>
          <w:color w:val="000000" w:themeColor="text1"/>
          <w:sz w:val="22"/>
        </w:rPr>
        <w:t xml:space="preserve"> requirement</w:t>
      </w:r>
      <w:r w:rsidR="001E47AA" w:rsidRPr="001E47AA">
        <w:rPr>
          <w:rFonts w:asciiTheme="minorHAnsi" w:hAnsiTheme="minorHAnsi" w:cstheme="minorHAnsi"/>
          <w:color w:val="000000" w:themeColor="text1"/>
          <w:sz w:val="22"/>
        </w:rPr>
        <w:t xml:space="preserve"> in relation to oral advertisements </w:t>
      </w:r>
      <w:r w:rsidR="00A03AAC" w:rsidRPr="001E47AA">
        <w:rPr>
          <w:rFonts w:asciiTheme="minorHAnsi" w:hAnsiTheme="minorHAnsi" w:cstheme="minorHAnsi"/>
          <w:color w:val="000000" w:themeColor="text1"/>
          <w:sz w:val="22"/>
        </w:rPr>
        <w:t>seems</w:t>
      </w:r>
      <w:r w:rsidR="001E47AA" w:rsidRPr="001E47AA">
        <w:rPr>
          <w:rFonts w:asciiTheme="minorHAnsi" w:hAnsiTheme="minorHAnsi" w:cstheme="minorHAnsi"/>
          <w:color w:val="000000" w:themeColor="text1"/>
          <w:sz w:val="22"/>
        </w:rPr>
        <w:t xml:space="preserve"> particularly</w:t>
      </w:r>
      <w:r w:rsidR="00A03AAC" w:rsidRPr="001E47AA">
        <w:rPr>
          <w:rFonts w:asciiTheme="minorHAnsi" w:hAnsiTheme="minorHAnsi" w:cstheme="minorHAnsi"/>
          <w:color w:val="000000" w:themeColor="text1"/>
          <w:sz w:val="22"/>
        </w:rPr>
        <w:t xml:space="preserve"> unnecessary in relation to financial intermediaries dealing with professional clients or ECPs, who do not need to be told what the purpose of the communication is, because they are professionals and it will be obvious from the context.</w:t>
      </w:r>
      <w:r w:rsidR="00A03AAC" w:rsidRPr="00A03AAC">
        <w:rPr>
          <w:rFonts w:asciiTheme="minorHAnsi" w:hAnsiTheme="minorHAnsi" w:cstheme="minorHAnsi"/>
          <w:color w:val="FF0000"/>
          <w:sz w:val="22"/>
        </w:rPr>
        <w:t xml:space="preserve"> </w:t>
      </w:r>
    </w:p>
    <w:p w14:paraId="1EB34904" w14:textId="4E9F139C" w:rsidR="00BC313E" w:rsidRDefault="00BC313E" w:rsidP="00C312B4">
      <w:pPr>
        <w:jc w:val="both"/>
        <w:rPr>
          <w:rFonts w:asciiTheme="minorHAnsi" w:hAnsiTheme="minorHAnsi" w:cstheme="minorHAnsi"/>
          <w:sz w:val="22"/>
        </w:rPr>
      </w:pPr>
    </w:p>
    <w:p w14:paraId="47C02DE0" w14:textId="1BA2FCF6" w:rsidR="00BC313E" w:rsidRPr="00BC313E" w:rsidRDefault="00BC313E" w:rsidP="00C312B4">
      <w:pPr>
        <w:jc w:val="both"/>
        <w:rPr>
          <w:rFonts w:asciiTheme="minorHAnsi" w:hAnsiTheme="minorHAnsi" w:cstheme="minorHAnsi"/>
          <w:sz w:val="22"/>
        </w:rPr>
      </w:pPr>
      <w:r>
        <w:rPr>
          <w:rFonts w:asciiTheme="minorHAnsi" w:hAnsiTheme="minorHAnsi" w:cstheme="minorHAnsi"/>
          <w:b/>
          <w:sz w:val="22"/>
        </w:rPr>
        <w:t xml:space="preserve">Article 12.4: </w:t>
      </w:r>
      <w:r>
        <w:rPr>
          <w:rFonts w:asciiTheme="minorHAnsi" w:hAnsiTheme="minorHAnsi" w:cstheme="minorHAnsi"/>
          <w:sz w:val="22"/>
        </w:rPr>
        <w:t>The purpose of Article 12.4 appears to be to ensure that written advertisements are recognisable as such</w:t>
      </w:r>
      <w:r w:rsidR="00D356E1">
        <w:rPr>
          <w:rFonts w:asciiTheme="minorHAnsi" w:hAnsiTheme="minorHAnsi" w:cstheme="minorHAnsi"/>
          <w:sz w:val="22"/>
        </w:rPr>
        <w:t xml:space="preserve"> so that retail investors do not confuse an advertisement with the prospectus</w:t>
      </w:r>
      <w:r>
        <w:rPr>
          <w:rFonts w:asciiTheme="minorHAnsi" w:hAnsiTheme="minorHAnsi" w:cstheme="minorHAnsi"/>
          <w:sz w:val="22"/>
        </w:rPr>
        <w:t>. However, this requirement is already contained in the Prospectus Regulation at Article 22.3 (“</w:t>
      </w:r>
      <w:r>
        <w:rPr>
          <w:rFonts w:asciiTheme="minorHAnsi" w:hAnsiTheme="minorHAnsi" w:cstheme="minorHAnsi"/>
          <w:i/>
          <w:sz w:val="22"/>
        </w:rPr>
        <w:t>Advertisements shall be clearly recognisable as such”</w:t>
      </w:r>
      <w:r>
        <w:rPr>
          <w:rFonts w:asciiTheme="minorHAnsi" w:hAnsiTheme="minorHAnsi" w:cstheme="minorHAnsi"/>
          <w:sz w:val="22"/>
        </w:rPr>
        <w:t xml:space="preserve">).  In addition, proposed draft RTS Article 12.2 and 12.3 will impose requirements for various </w:t>
      </w:r>
      <w:r w:rsidRPr="00D406D1">
        <w:rPr>
          <w:rFonts w:asciiTheme="minorHAnsi" w:hAnsiTheme="minorHAnsi" w:cstheme="minorHAnsi"/>
          <w:sz w:val="22"/>
        </w:rPr>
        <w:t xml:space="preserve">warnings and the word “Advertisement” to be included in a prominent place on written advertisements. Article 12.4 therefore seems redundant. It could also potentially cause confusion in practice by imposing an </w:t>
      </w:r>
      <w:r w:rsidRPr="00D406D1">
        <w:rPr>
          <w:rFonts w:asciiTheme="minorHAnsi" w:hAnsiTheme="minorHAnsi" w:cstheme="minorHAnsi"/>
          <w:color w:val="000000" w:themeColor="text1"/>
          <w:sz w:val="22"/>
        </w:rPr>
        <w:t>unclear and subjective requirement</w:t>
      </w:r>
      <w:r w:rsidRPr="00A03AAC">
        <w:rPr>
          <w:rFonts w:asciiTheme="minorHAnsi" w:hAnsiTheme="minorHAnsi" w:cstheme="minorHAnsi"/>
          <w:color w:val="000000" w:themeColor="text1"/>
          <w:sz w:val="22"/>
        </w:rPr>
        <w:t xml:space="preserve"> </w:t>
      </w:r>
      <w:r>
        <w:rPr>
          <w:rFonts w:asciiTheme="minorHAnsi" w:hAnsiTheme="minorHAnsi" w:cstheme="minorHAnsi"/>
          <w:sz w:val="22"/>
        </w:rPr>
        <w:t xml:space="preserve">on issuers. As such, </w:t>
      </w:r>
      <w:r w:rsidRPr="00D406D1">
        <w:rPr>
          <w:rFonts w:asciiTheme="minorHAnsi" w:hAnsiTheme="minorHAnsi" w:cstheme="minorHAnsi"/>
          <w:b/>
          <w:sz w:val="22"/>
        </w:rPr>
        <w:t>Article 12.4 should be deleted</w:t>
      </w:r>
      <w:r>
        <w:rPr>
          <w:rFonts w:asciiTheme="minorHAnsi" w:hAnsiTheme="minorHAnsi" w:cstheme="minorHAnsi"/>
          <w:sz w:val="22"/>
        </w:rPr>
        <w:t>.</w:t>
      </w:r>
    </w:p>
    <w:p w14:paraId="6E90A707" w14:textId="77777777" w:rsidR="00BC313E" w:rsidRDefault="00BC313E" w:rsidP="00C312B4">
      <w:pPr>
        <w:jc w:val="both"/>
        <w:rPr>
          <w:rFonts w:cs="Arial"/>
        </w:rPr>
      </w:pPr>
    </w:p>
    <w:p w14:paraId="6CB73235" w14:textId="4CDF8C25" w:rsidR="00FF0AF4" w:rsidRPr="00204C5D" w:rsidRDefault="00BC313E" w:rsidP="00C312B4">
      <w:pPr>
        <w:jc w:val="both"/>
        <w:rPr>
          <w:rFonts w:cs="Arial"/>
          <w:color w:val="FF0000"/>
        </w:rPr>
      </w:pPr>
      <w:r w:rsidRPr="00A03AAC">
        <w:rPr>
          <w:rFonts w:asciiTheme="minorHAnsi" w:hAnsiTheme="minorHAnsi" w:cstheme="minorHAnsi"/>
          <w:color w:val="000000" w:themeColor="text1"/>
          <w:sz w:val="22"/>
        </w:rPr>
        <w:t>As a m</w:t>
      </w:r>
      <w:r w:rsidR="001F4EBD" w:rsidRPr="00A03AAC">
        <w:rPr>
          <w:rFonts w:asciiTheme="minorHAnsi" w:hAnsiTheme="minorHAnsi" w:cstheme="minorHAnsi"/>
          <w:color w:val="000000" w:themeColor="text1"/>
          <w:sz w:val="22"/>
        </w:rPr>
        <w:t>ore general</w:t>
      </w:r>
      <w:r w:rsidRPr="00A03AAC">
        <w:rPr>
          <w:rFonts w:asciiTheme="minorHAnsi" w:hAnsiTheme="minorHAnsi" w:cstheme="minorHAnsi"/>
          <w:color w:val="000000" w:themeColor="text1"/>
          <w:sz w:val="22"/>
        </w:rPr>
        <w:t xml:space="preserve"> comment</w:t>
      </w:r>
      <w:r w:rsidR="001F4EBD" w:rsidRPr="00A03AAC">
        <w:rPr>
          <w:rFonts w:asciiTheme="minorHAnsi" w:hAnsiTheme="minorHAnsi" w:cstheme="minorHAnsi"/>
          <w:color w:val="000000" w:themeColor="text1"/>
          <w:sz w:val="22"/>
        </w:rPr>
        <w:t xml:space="preserve">, it is not clear how the advertisement provisions </w:t>
      </w:r>
      <w:r w:rsidRPr="00A03AAC">
        <w:rPr>
          <w:rFonts w:asciiTheme="minorHAnsi" w:hAnsiTheme="minorHAnsi" w:cstheme="minorHAnsi"/>
          <w:color w:val="000000" w:themeColor="text1"/>
          <w:sz w:val="22"/>
        </w:rPr>
        <w:t xml:space="preserve">will </w:t>
      </w:r>
      <w:r w:rsidR="001F4EBD" w:rsidRPr="00A03AAC">
        <w:rPr>
          <w:rFonts w:asciiTheme="minorHAnsi" w:hAnsiTheme="minorHAnsi" w:cstheme="minorHAnsi"/>
          <w:color w:val="000000" w:themeColor="text1"/>
          <w:sz w:val="22"/>
        </w:rPr>
        <w:t xml:space="preserve">apply to </w:t>
      </w:r>
      <w:proofErr w:type="gramStart"/>
      <w:r w:rsidR="001F4EBD" w:rsidRPr="00A03AAC">
        <w:rPr>
          <w:rFonts w:asciiTheme="minorHAnsi" w:hAnsiTheme="minorHAnsi" w:cstheme="minorHAnsi"/>
          <w:color w:val="000000" w:themeColor="text1"/>
          <w:sz w:val="22"/>
        </w:rPr>
        <w:t xml:space="preserve">a </w:t>
      </w:r>
      <w:r w:rsidR="00B420FF">
        <w:rPr>
          <w:rFonts w:asciiTheme="minorHAnsi" w:hAnsiTheme="minorHAnsi" w:cstheme="minorHAnsi"/>
          <w:color w:val="000000" w:themeColor="text1"/>
          <w:sz w:val="22"/>
        </w:rPr>
        <w:t>securities</w:t>
      </w:r>
      <w:proofErr w:type="gramEnd"/>
      <w:r w:rsidR="00B420FF">
        <w:rPr>
          <w:rFonts w:asciiTheme="minorHAnsi" w:hAnsiTheme="minorHAnsi" w:cstheme="minorHAnsi"/>
          <w:color w:val="000000" w:themeColor="text1"/>
          <w:sz w:val="22"/>
        </w:rPr>
        <w:t xml:space="preserve"> note</w:t>
      </w:r>
      <w:r w:rsidRPr="00A03AAC">
        <w:rPr>
          <w:rFonts w:asciiTheme="minorHAnsi" w:hAnsiTheme="minorHAnsi" w:cstheme="minorHAnsi"/>
          <w:color w:val="000000" w:themeColor="text1"/>
          <w:sz w:val="22"/>
        </w:rPr>
        <w:t xml:space="preserve"> that might be circulated without th</w:t>
      </w:r>
      <w:r w:rsidR="00A03AAC">
        <w:rPr>
          <w:rFonts w:asciiTheme="minorHAnsi" w:hAnsiTheme="minorHAnsi" w:cstheme="minorHAnsi"/>
          <w:color w:val="000000" w:themeColor="text1"/>
          <w:sz w:val="22"/>
        </w:rPr>
        <w:t xml:space="preserve">e relevant </w:t>
      </w:r>
      <w:r w:rsidR="00B420FF">
        <w:rPr>
          <w:rFonts w:asciiTheme="minorHAnsi" w:hAnsiTheme="minorHAnsi" w:cstheme="minorHAnsi"/>
          <w:color w:val="000000" w:themeColor="text1"/>
          <w:sz w:val="22"/>
        </w:rPr>
        <w:t xml:space="preserve">registration document or URD and </w:t>
      </w:r>
      <w:r w:rsidR="00B420FF">
        <w:rPr>
          <w:rFonts w:asciiTheme="minorHAnsi" w:hAnsiTheme="minorHAnsi" w:cstheme="minorHAnsi"/>
          <w:i/>
          <w:color w:val="000000" w:themeColor="text1"/>
          <w:sz w:val="22"/>
        </w:rPr>
        <w:t>vice versa</w:t>
      </w:r>
      <w:r w:rsidR="00A03AAC">
        <w:rPr>
          <w:rFonts w:asciiTheme="minorHAnsi" w:hAnsiTheme="minorHAnsi" w:cstheme="minorHAnsi"/>
          <w:color w:val="000000" w:themeColor="text1"/>
          <w:sz w:val="22"/>
        </w:rPr>
        <w:t>. From the wide definition of “advertisement”,</w:t>
      </w:r>
      <w:r w:rsidR="009366DE">
        <w:rPr>
          <w:rFonts w:asciiTheme="minorHAnsi" w:hAnsiTheme="minorHAnsi" w:cstheme="minorHAnsi"/>
          <w:color w:val="000000" w:themeColor="text1"/>
          <w:sz w:val="22"/>
        </w:rPr>
        <w:t xml:space="preserve"> there is a risk that there are</w:t>
      </w:r>
      <w:r w:rsidR="00B420FF">
        <w:rPr>
          <w:rFonts w:asciiTheme="minorHAnsi" w:hAnsiTheme="minorHAnsi" w:cstheme="minorHAnsi"/>
          <w:color w:val="000000" w:themeColor="text1"/>
          <w:sz w:val="22"/>
        </w:rPr>
        <w:t xml:space="preserve"> scenarios in which </w:t>
      </w:r>
      <w:r w:rsidR="00A03AAC">
        <w:rPr>
          <w:rFonts w:asciiTheme="minorHAnsi" w:hAnsiTheme="minorHAnsi" w:cstheme="minorHAnsi"/>
          <w:color w:val="000000" w:themeColor="text1"/>
          <w:sz w:val="22"/>
        </w:rPr>
        <w:t>t</w:t>
      </w:r>
      <w:r w:rsidRPr="00A03AAC">
        <w:rPr>
          <w:rFonts w:asciiTheme="minorHAnsi" w:hAnsiTheme="minorHAnsi" w:cstheme="minorHAnsi"/>
          <w:color w:val="000000" w:themeColor="text1"/>
          <w:sz w:val="22"/>
        </w:rPr>
        <w:t>hose documents</w:t>
      </w:r>
      <w:r w:rsidR="009366DE">
        <w:rPr>
          <w:rFonts w:asciiTheme="minorHAnsi" w:hAnsiTheme="minorHAnsi" w:cstheme="minorHAnsi"/>
          <w:color w:val="000000" w:themeColor="text1"/>
          <w:sz w:val="22"/>
        </w:rPr>
        <w:t xml:space="preserve"> might be interpreted to</w:t>
      </w:r>
      <w:r w:rsidR="00A03AAC">
        <w:rPr>
          <w:rFonts w:asciiTheme="minorHAnsi" w:hAnsiTheme="minorHAnsi" w:cstheme="minorHAnsi"/>
          <w:color w:val="000000" w:themeColor="text1"/>
          <w:sz w:val="22"/>
        </w:rPr>
        <w:t xml:space="preserve"> be “advertisements”</w:t>
      </w:r>
      <w:r w:rsidR="005754D1">
        <w:rPr>
          <w:rFonts w:asciiTheme="minorHAnsi" w:hAnsiTheme="minorHAnsi" w:cstheme="minorHAnsi"/>
          <w:color w:val="000000" w:themeColor="text1"/>
          <w:sz w:val="22"/>
        </w:rPr>
        <w:t>.</w:t>
      </w:r>
      <w:r w:rsidR="00B420FF">
        <w:rPr>
          <w:rFonts w:asciiTheme="minorHAnsi" w:hAnsiTheme="minorHAnsi" w:cstheme="minorHAnsi"/>
          <w:color w:val="000000" w:themeColor="text1"/>
          <w:sz w:val="22"/>
        </w:rPr>
        <w:t xml:space="preserve"> </w:t>
      </w:r>
      <w:r w:rsidR="005754D1">
        <w:rPr>
          <w:rFonts w:asciiTheme="minorHAnsi" w:hAnsiTheme="minorHAnsi" w:cstheme="minorHAnsi"/>
          <w:color w:val="000000" w:themeColor="text1"/>
          <w:sz w:val="22"/>
        </w:rPr>
        <w:t xml:space="preserve">This </w:t>
      </w:r>
      <w:r w:rsidR="00A03AAC">
        <w:rPr>
          <w:rFonts w:asciiTheme="minorHAnsi" w:hAnsiTheme="minorHAnsi" w:cstheme="minorHAnsi"/>
          <w:color w:val="000000" w:themeColor="text1"/>
          <w:sz w:val="22"/>
        </w:rPr>
        <w:t xml:space="preserve">serves to illustrate the concerns in relation to the very wide </w:t>
      </w:r>
      <w:r w:rsidR="00B420FF">
        <w:rPr>
          <w:rFonts w:asciiTheme="minorHAnsi" w:hAnsiTheme="minorHAnsi" w:cstheme="minorHAnsi"/>
          <w:color w:val="000000" w:themeColor="text1"/>
          <w:sz w:val="22"/>
        </w:rPr>
        <w:t>definition of the term “</w:t>
      </w:r>
      <w:r w:rsidR="00A03AAC">
        <w:rPr>
          <w:rFonts w:asciiTheme="minorHAnsi" w:hAnsiTheme="minorHAnsi" w:cstheme="minorHAnsi"/>
          <w:color w:val="000000" w:themeColor="text1"/>
          <w:sz w:val="22"/>
        </w:rPr>
        <w:t>advertisement</w:t>
      </w:r>
      <w:r w:rsidR="00B420FF">
        <w:rPr>
          <w:rFonts w:asciiTheme="minorHAnsi" w:hAnsiTheme="minorHAnsi" w:cstheme="minorHAnsi"/>
          <w:color w:val="000000" w:themeColor="text1"/>
          <w:sz w:val="22"/>
        </w:rPr>
        <w:t>”</w:t>
      </w:r>
      <w:r w:rsidR="005754D1">
        <w:rPr>
          <w:rFonts w:asciiTheme="minorHAnsi" w:hAnsiTheme="minorHAnsi" w:cstheme="minorHAnsi"/>
          <w:color w:val="000000" w:themeColor="text1"/>
          <w:sz w:val="22"/>
        </w:rPr>
        <w:t xml:space="preserve">, </w:t>
      </w:r>
      <w:r w:rsidR="009366DE">
        <w:rPr>
          <w:rFonts w:asciiTheme="minorHAnsi" w:hAnsiTheme="minorHAnsi" w:cstheme="minorHAnsi"/>
          <w:color w:val="000000" w:themeColor="text1"/>
          <w:sz w:val="22"/>
        </w:rPr>
        <w:t>and it would be</w:t>
      </w:r>
      <w:r w:rsidR="005754D1">
        <w:rPr>
          <w:rFonts w:asciiTheme="minorHAnsi" w:hAnsiTheme="minorHAnsi" w:cstheme="minorHAnsi"/>
          <w:color w:val="000000" w:themeColor="text1"/>
          <w:sz w:val="22"/>
        </w:rPr>
        <w:t xml:space="preserve"> likely to be confusing for investors if those documents compl</w:t>
      </w:r>
      <w:r w:rsidR="009366DE">
        <w:rPr>
          <w:rFonts w:asciiTheme="minorHAnsi" w:hAnsiTheme="minorHAnsi" w:cstheme="minorHAnsi"/>
          <w:color w:val="000000" w:themeColor="text1"/>
          <w:sz w:val="22"/>
        </w:rPr>
        <w:t>ied</w:t>
      </w:r>
      <w:r w:rsidR="005754D1">
        <w:rPr>
          <w:rFonts w:asciiTheme="minorHAnsi" w:hAnsiTheme="minorHAnsi" w:cstheme="minorHAnsi"/>
          <w:color w:val="000000" w:themeColor="text1"/>
          <w:sz w:val="22"/>
        </w:rPr>
        <w:t xml:space="preserve"> with the RTS (e.g. by having the word “Advertisement” in a prominent place)</w:t>
      </w:r>
      <w:r w:rsidR="00A03AAC">
        <w:rPr>
          <w:rFonts w:asciiTheme="minorHAnsi" w:hAnsiTheme="minorHAnsi" w:cstheme="minorHAnsi"/>
          <w:color w:val="000000" w:themeColor="text1"/>
          <w:sz w:val="22"/>
        </w:rPr>
        <w:t>.</w:t>
      </w:r>
      <w:r w:rsidR="00B420FF">
        <w:rPr>
          <w:rFonts w:asciiTheme="minorHAnsi" w:hAnsiTheme="minorHAnsi" w:cstheme="minorHAnsi"/>
          <w:color w:val="000000" w:themeColor="text1"/>
          <w:sz w:val="22"/>
        </w:rPr>
        <w:t xml:space="preserve"> However, </w:t>
      </w:r>
      <w:r w:rsidR="009366DE">
        <w:rPr>
          <w:rFonts w:asciiTheme="minorHAnsi" w:hAnsiTheme="minorHAnsi" w:cstheme="minorHAnsi"/>
          <w:color w:val="000000" w:themeColor="text1"/>
          <w:sz w:val="22"/>
        </w:rPr>
        <w:t xml:space="preserve">ICMA assumes that, </w:t>
      </w:r>
      <w:r w:rsidR="005754D1">
        <w:rPr>
          <w:rFonts w:asciiTheme="minorHAnsi" w:hAnsiTheme="minorHAnsi" w:cstheme="minorHAnsi"/>
          <w:color w:val="000000" w:themeColor="text1"/>
          <w:sz w:val="22"/>
        </w:rPr>
        <w:t xml:space="preserve">where </w:t>
      </w:r>
      <w:r w:rsidR="00B420FF">
        <w:rPr>
          <w:rFonts w:asciiTheme="minorHAnsi" w:hAnsiTheme="minorHAnsi" w:cstheme="minorHAnsi"/>
          <w:color w:val="000000" w:themeColor="text1"/>
          <w:sz w:val="22"/>
        </w:rPr>
        <w:t>documents are component parts of a prospectus</w:t>
      </w:r>
      <w:r w:rsidR="005754D1">
        <w:rPr>
          <w:rFonts w:asciiTheme="minorHAnsi" w:hAnsiTheme="minorHAnsi" w:cstheme="minorHAnsi"/>
          <w:color w:val="000000" w:themeColor="text1"/>
          <w:sz w:val="22"/>
        </w:rPr>
        <w:t xml:space="preserve"> and</w:t>
      </w:r>
      <w:r w:rsidR="00B420FF">
        <w:rPr>
          <w:rFonts w:asciiTheme="minorHAnsi" w:hAnsiTheme="minorHAnsi" w:cstheme="minorHAnsi"/>
          <w:color w:val="000000" w:themeColor="text1"/>
          <w:sz w:val="22"/>
        </w:rPr>
        <w:t xml:space="preserve"> are subject to the prospectus requirements, </w:t>
      </w:r>
      <w:r w:rsidR="005754D1">
        <w:rPr>
          <w:rFonts w:asciiTheme="minorHAnsi" w:hAnsiTheme="minorHAnsi" w:cstheme="minorHAnsi"/>
          <w:color w:val="000000" w:themeColor="text1"/>
          <w:sz w:val="22"/>
        </w:rPr>
        <w:t xml:space="preserve">they are </w:t>
      </w:r>
      <w:r w:rsidR="005754D1" w:rsidRPr="00A21AB1">
        <w:rPr>
          <w:rFonts w:asciiTheme="minorHAnsi" w:hAnsiTheme="minorHAnsi" w:cstheme="minorHAnsi"/>
          <w:b/>
          <w:color w:val="000000" w:themeColor="text1"/>
          <w:sz w:val="22"/>
          <w:u w:val="single"/>
        </w:rPr>
        <w:t>not</w:t>
      </w:r>
      <w:r w:rsidR="005754D1" w:rsidRPr="00A21AB1">
        <w:rPr>
          <w:rFonts w:asciiTheme="minorHAnsi" w:hAnsiTheme="minorHAnsi" w:cstheme="minorHAnsi"/>
          <w:b/>
          <w:color w:val="000000" w:themeColor="text1"/>
          <w:sz w:val="22"/>
        </w:rPr>
        <w:t xml:space="preserve"> </w:t>
      </w:r>
      <w:r w:rsidR="005754D1">
        <w:rPr>
          <w:rFonts w:asciiTheme="minorHAnsi" w:hAnsiTheme="minorHAnsi" w:cstheme="minorHAnsi"/>
          <w:color w:val="000000" w:themeColor="text1"/>
          <w:sz w:val="22"/>
        </w:rPr>
        <w:t xml:space="preserve">subject to the </w:t>
      </w:r>
      <w:r w:rsidR="00B420FF">
        <w:rPr>
          <w:rFonts w:asciiTheme="minorHAnsi" w:hAnsiTheme="minorHAnsi" w:cstheme="minorHAnsi"/>
          <w:color w:val="000000" w:themeColor="text1"/>
          <w:sz w:val="22"/>
        </w:rPr>
        <w:t>advertisements regime</w:t>
      </w:r>
      <w:r w:rsidR="009366DE">
        <w:rPr>
          <w:rFonts w:asciiTheme="minorHAnsi" w:hAnsiTheme="minorHAnsi" w:cstheme="minorHAnsi"/>
          <w:color w:val="000000" w:themeColor="text1"/>
          <w:sz w:val="22"/>
        </w:rPr>
        <w:t xml:space="preserve"> and do not need to comply with the draft RTS</w:t>
      </w:r>
      <w:r w:rsidR="00B420FF">
        <w:rPr>
          <w:rFonts w:asciiTheme="minorHAnsi" w:hAnsiTheme="minorHAnsi" w:cstheme="minorHAnsi"/>
          <w:color w:val="000000" w:themeColor="text1"/>
          <w:sz w:val="22"/>
        </w:rPr>
        <w:t xml:space="preserve">.  </w:t>
      </w:r>
      <w:r w:rsidR="00A03AAC">
        <w:rPr>
          <w:rFonts w:asciiTheme="minorHAnsi" w:hAnsiTheme="minorHAnsi" w:cstheme="minorHAnsi"/>
          <w:color w:val="000000" w:themeColor="text1"/>
          <w:sz w:val="22"/>
        </w:rPr>
        <w:t xml:space="preserve"> </w:t>
      </w:r>
    </w:p>
    <w:permEnd w:id="79763437"/>
    <w:p w14:paraId="5E3CEB10" w14:textId="0A90B688" w:rsidR="00ED4063" w:rsidRPr="00511E6D" w:rsidRDefault="00ED4063" w:rsidP="00FF0AF4">
      <w:pPr>
        <w:jc w:val="both"/>
        <w:rPr>
          <w:rFonts w:cs="Arial"/>
        </w:rPr>
      </w:pPr>
      <w:r w:rsidRPr="00511E6D">
        <w:rPr>
          <w:rFonts w:cs="Arial"/>
        </w:rPr>
        <w:t>&lt;ESMA_QUESTION_PR_21&gt;</w:t>
      </w:r>
    </w:p>
    <w:p w14:paraId="52D98B99" w14:textId="007B7424" w:rsidR="00ED4063" w:rsidRDefault="00ED4063" w:rsidP="00ED4063">
      <w:pPr>
        <w:rPr>
          <w:rFonts w:cs="Arial"/>
        </w:rPr>
      </w:pPr>
    </w:p>
    <w:p w14:paraId="1B23366A" w14:textId="77777777" w:rsidR="00ED4063" w:rsidRDefault="00ED4063" w:rsidP="00ED4063">
      <w:pPr>
        <w:rPr>
          <w:rFonts w:cs="Arial"/>
        </w:rPr>
      </w:pPr>
    </w:p>
    <w:p w14:paraId="6212C071" w14:textId="77777777" w:rsidR="00ED4063" w:rsidRDefault="00ED4063" w:rsidP="00ED4063">
      <w:pPr>
        <w:rPr>
          <w:rFonts w:cs="Arial"/>
        </w:rPr>
      </w:pPr>
    </w:p>
    <w:p w14:paraId="046DA405" w14:textId="77777777" w:rsidR="00ED4063" w:rsidRPr="00ED4063" w:rsidRDefault="00ED4063" w:rsidP="00630CD7">
      <w:pPr>
        <w:pStyle w:val="Questionstyle"/>
        <w:numPr>
          <w:ilvl w:val="0"/>
          <w:numId w:val="38"/>
        </w:numPr>
        <w:ind w:hanging="436"/>
        <w:rPr>
          <w:rFonts w:ascii="Arial" w:hAnsi="Arial" w:cs="Arial"/>
        </w:rPr>
      </w:pPr>
      <w:proofErr w:type="gramStart"/>
      <w:r w:rsidRPr="00ED4063">
        <w:rPr>
          <w:rFonts w:ascii="Arial" w:hAnsi="Arial" w:cs="Arial"/>
        </w:rPr>
        <w:lastRenderedPageBreak/>
        <w:t>: In particular, do</w:t>
      </w:r>
      <w:proofErr w:type="gramEnd"/>
      <w:r w:rsidRPr="00ED4063">
        <w:rPr>
          <w:rFonts w:ascii="Arial" w:hAnsi="Arial" w:cs="Arial"/>
        </w:rPr>
        <w:t xml:space="preserve"> you agree with the requirement to include warnings in advertisements? Do you consider that the suggested warnings are fit for purpose in terms of investor protection?</w:t>
      </w:r>
    </w:p>
    <w:p w14:paraId="7D39F5AE" w14:textId="77777777" w:rsidR="00ED4063" w:rsidRDefault="00ED4063" w:rsidP="00ED4063">
      <w:pPr>
        <w:rPr>
          <w:rFonts w:cs="Arial"/>
        </w:rPr>
      </w:pPr>
      <w:r>
        <w:rPr>
          <w:rFonts w:cs="Arial"/>
        </w:rPr>
        <w:t>&lt;ESMA_QUESTION_PR_22&gt;</w:t>
      </w:r>
    </w:p>
    <w:p w14:paraId="4A7AA77A" w14:textId="18DAEC0B" w:rsidR="00365797" w:rsidRDefault="009827F0" w:rsidP="00D356E1">
      <w:pPr>
        <w:jc w:val="both"/>
        <w:rPr>
          <w:rFonts w:asciiTheme="minorHAnsi" w:hAnsiTheme="minorHAnsi" w:cstheme="minorHAnsi"/>
          <w:sz w:val="22"/>
          <w:szCs w:val="22"/>
        </w:rPr>
      </w:pPr>
      <w:permStart w:id="953031212" w:edGrp="everyone"/>
      <w:r>
        <w:rPr>
          <w:rFonts w:asciiTheme="minorHAnsi" w:hAnsiTheme="minorHAnsi" w:cstheme="minorHAnsi"/>
          <w:sz w:val="22"/>
          <w:szCs w:val="22"/>
        </w:rPr>
        <w:t>As noted in our response to</w:t>
      </w:r>
      <w:r w:rsidR="00365797" w:rsidRPr="00365797">
        <w:rPr>
          <w:rFonts w:asciiTheme="minorHAnsi" w:hAnsiTheme="minorHAnsi" w:cstheme="minorHAnsi"/>
          <w:sz w:val="22"/>
          <w:szCs w:val="22"/>
        </w:rPr>
        <w:t xml:space="preserve"> Q21 above, it </w:t>
      </w:r>
      <w:r w:rsidR="001E47AA">
        <w:rPr>
          <w:rFonts w:asciiTheme="minorHAnsi" w:hAnsiTheme="minorHAnsi" w:cstheme="minorHAnsi"/>
          <w:sz w:val="22"/>
          <w:szCs w:val="22"/>
        </w:rPr>
        <w:t>may</w:t>
      </w:r>
      <w:r w:rsidR="00365797" w:rsidRPr="00365797">
        <w:rPr>
          <w:rFonts w:asciiTheme="minorHAnsi" w:hAnsiTheme="minorHAnsi" w:cstheme="minorHAnsi"/>
          <w:sz w:val="22"/>
          <w:szCs w:val="22"/>
        </w:rPr>
        <w:t xml:space="preserve"> be impractical for the requirements relating to warnings in advertisements to apply to oral advertisements.</w:t>
      </w:r>
      <w:r w:rsidR="00365797">
        <w:rPr>
          <w:rFonts w:asciiTheme="minorHAnsi" w:hAnsiTheme="minorHAnsi" w:cstheme="minorHAnsi"/>
          <w:sz w:val="22"/>
          <w:szCs w:val="22"/>
        </w:rPr>
        <w:t xml:space="preserve"> </w:t>
      </w:r>
      <w:r w:rsidR="00365797" w:rsidRPr="00324E52">
        <w:rPr>
          <w:rFonts w:asciiTheme="minorHAnsi" w:hAnsiTheme="minorHAnsi" w:cstheme="minorHAnsi"/>
          <w:b/>
          <w:sz w:val="22"/>
          <w:szCs w:val="22"/>
        </w:rPr>
        <w:t xml:space="preserve">Proposed draft RTS Article 12.2 should therefore be </w:t>
      </w:r>
      <w:r w:rsidR="001E47AA" w:rsidRPr="00324E52">
        <w:rPr>
          <w:rFonts w:asciiTheme="minorHAnsi" w:hAnsiTheme="minorHAnsi" w:cstheme="minorHAnsi"/>
          <w:b/>
          <w:sz w:val="22"/>
          <w:szCs w:val="22"/>
        </w:rPr>
        <w:t xml:space="preserve">amended so that it applies </w:t>
      </w:r>
      <w:r w:rsidR="00365797" w:rsidRPr="00324E52">
        <w:rPr>
          <w:rFonts w:asciiTheme="minorHAnsi" w:hAnsiTheme="minorHAnsi" w:cstheme="minorHAnsi"/>
          <w:b/>
          <w:sz w:val="22"/>
          <w:szCs w:val="22"/>
        </w:rPr>
        <w:t>to written advertisements only.</w:t>
      </w:r>
    </w:p>
    <w:permEnd w:id="953031212"/>
    <w:p w14:paraId="2D187188" w14:textId="4665CD1D" w:rsidR="00ED4063" w:rsidRDefault="00ED4063" w:rsidP="00ED4063">
      <w:pPr>
        <w:rPr>
          <w:rFonts w:cs="Arial"/>
        </w:rPr>
      </w:pPr>
      <w:r>
        <w:rPr>
          <w:rFonts w:cs="Arial"/>
        </w:rPr>
        <w:t>&lt;ESMA_QUESTION_PR_22&gt;</w:t>
      </w:r>
    </w:p>
    <w:p w14:paraId="69C04FF6" w14:textId="7BA00A4B" w:rsidR="00ED4063" w:rsidRDefault="00ED4063" w:rsidP="00ED4063">
      <w:pPr>
        <w:rPr>
          <w:rFonts w:cs="Arial"/>
        </w:rPr>
      </w:pPr>
    </w:p>
    <w:p w14:paraId="45B7C96B" w14:textId="77777777" w:rsidR="00ED4063" w:rsidRDefault="00ED4063" w:rsidP="00ED4063">
      <w:pPr>
        <w:rPr>
          <w:rFonts w:cs="Arial"/>
        </w:rPr>
      </w:pPr>
    </w:p>
    <w:p w14:paraId="1DC8384A" w14:textId="77777777" w:rsidR="00ED4063" w:rsidRDefault="00ED4063" w:rsidP="00ED4063">
      <w:pPr>
        <w:rPr>
          <w:rFonts w:cs="Arial"/>
        </w:rPr>
      </w:pPr>
    </w:p>
    <w:p w14:paraId="2524261B" w14:textId="77777777" w:rsidR="00ED4063" w:rsidRPr="00ED4063" w:rsidRDefault="00ED4063" w:rsidP="00630CD7">
      <w:pPr>
        <w:pStyle w:val="Questionstyle"/>
        <w:numPr>
          <w:ilvl w:val="0"/>
          <w:numId w:val="38"/>
        </w:numPr>
        <w:ind w:hanging="436"/>
        <w:rPr>
          <w:rFonts w:ascii="Arial" w:hAnsi="Arial" w:cs="Arial"/>
        </w:rPr>
      </w:pPr>
      <w:r w:rsidRPr="00ED4063">
        <w:rPr>
          <w:rFonts w:ascii="Arial" w:hAnsi="Arial" w:cs="Arial"/>
        </w:rPr>
        <w:t xml:space="preserve">: Would the issuer, offeror or person asking for admission to trading incur costs if the </w:t>
      </w:r>
      <w:proofErr w:type="gramStart"/>
      <w:r w:rsidRPr="00ED4063">
        <w:rPr>
          <w:rFonts w:ascii="Arial" w:hAnsi="Arial" w:cs="Arial"/>
        </w:rPr>
        <w:t>aforementioned provisions</w:t>
      </w:r>
      <w:proofErr w:type="gramEnd"/>
      <w:r w:rsidRPr="00ED4063">
        <w:rPr>
          <w:rFonts w:ascii="Arial" w:hAnsi="Arial" w:cs="Arial"/>
        </w:rPr>
        <w:t xml:space="preserve"> are adopted? If so, please specify the nature of such costs, including whether they are one-off or ongoing and, quantify them.</w:t>
      </w:r>
    </w:p>
    <w:p w14:paraId="76D6AEA0" w14:textId="77777777" w:rsidR="00ED4063" w:rsidRDefault="00ED4063" w:rsidP="00ED4063">
      <w:pPr>
        <w:rPr>
          <w:rFonts w:cs="Arial"/>
        </w:rPr>
      </w:pPr>
      <w:r>
        <w:rPr>
          <w:rFonts w:cs="Arial"/>
        </w:rPr>
        <w:t>&lt;ESMA_QUESTION_PR_23&gt;</w:t>
      </w:r>
    </w:p>
    <w:p w14:paraId="700986A9" w14:textId="77777777" w:rsidR="003B5C41" w:rsidRPr="003B5C41" w:rsidRDefault="00365797" w:rsidP="00C312B4">
      <w:pPr>
        <w:jc w:val="both"/>
        <w:rPr>
          <w:rFonts w:asciiTheme="minorHAnsi" w:hAnsiTheme="minorHAnsi" w:cstheme="minorHAnsi"/>
          <w:color w:val="000000" w:themeColor="text1"/>
          <w:sz w:val="22"/>
          <w:szCs w:val="22"/>
        </w:rPr>
      </w:pPr>
      <w:permStart w:id="852165299" w:edGrp="everyone"/>
      <w:r w:rsidRPr="003B5C41">
        <w:rPr>
          <w:rFonts w:asciiTheme="minorHAnsi" w:hAnsiTheme="minorHAnsi" w:cstheme="minorHAnsi"/>
          <w:color w:val="000000" w:themeColor="text1"/>
          <w:sz w:val="22"/>
          <w:szCs w:val="22"/>
        </w:rPr>
        <w:t xml:space="preserve"> </w:t>
      </w:r>
      <w:r w:rsidR="00D356E1" w:rsidRPr="003B5C41">
        <w:rPr>
          <w:rFonts w:asciiTheme="minorHAnsi" w:hAnsiTheme="minorHAnsi" w:cstheme="minorHAnsi"/>
          <w:color w:val="000000" w:themeColor="text1"/>
          <w:sz w:val="22"/>
          <w:szCs w:val="22"/>
        </w:rPr>
        <w:t xml:space="preserve">To the extent the comments above are not addressed, there are likely to be </w:t>
      </w:r>
      <w:r w:rsidR="00CA495A" w:rsidRPr="003B5C41">
        <w:rPr>
          <w:rFonts w:asciiTheme="minorHAnsi" w:hAnsiTheme="minorHAnsi" w:cstheme="minorHAnsi"/>
          <w:color w:val="000000" w:themeColor="text1"/>
          <w:sz w:val="22"/>
          <w:szCs w:val="22"/>
        </w:rPr>
        <w:t xml:space="preserve">relatively </w:t>
      </w:r>
      <w:r w:rsidR="00D356E1" w:rsidRPr="003B5C41">
        <w:rPr>
          <w:rFonts w:asciiTheme="minorHAnsi" w:hAnsiTheme="minorHAnsi" w:cstheme="minorHAnsi"/>
          <w:color w:val="000000" w:themeColor="text1"/>
          <w:sz w:val="22"/>
          <w:szCs w:val="22"/>
        </w:rPr>
        <w:t xml:space="preserve">significant costs for issuers and financial intermediaries (which are likely to be passed on to issuers or investors through financial intermediaries’ fees) in training </w:t>
      </w:r>
      <w:r w:rsidR="00603467" w:rsidRPr="003B5C41">
        <w:rPr>
          <w:rFonts w:asciiTheme="minorHAnsi" w:hAnsiTheme="minorHAnsi" w:cstheme="minorHAnsi"/>
          <w:color w:val="000000" w:themeColor="text1"/>
          <w:sz w:val="22"/>
          <w:szCs w:val="22"/>
        </w:rPr>
        <w:t xml:space="preserve">staff and monitoring compliance on an ongoing basis with the requirements related to oral advertisements. Those costs are likely to vary across firms, depending on the nature of their business. </w:t>
      </w:r>
    </w:p>
    <w:p w14:paraId="1E82C218" w14:textId="77777777" w:rsidR="003B5C41" w:rsidRPr="003B5C41" w:rsidRDefault="003B5C41" w:rsidP="00C312B4">
      <w:pPr>
        <w:jc w:val="both"/>
        <w:rPr>
          <w:rFonts w:asciiTheme="minorHAnsi" w:hAnsiTheme="minorHAnsi" w:cstheme="minorHAnsi"/>
          <w:color w:val="000000" w:themeColor="text1"/>
          <w:sz w:val="22"/>
          <w:szCs w:val="22"/>
        </w:rPr>
      </w:pPr>
    </w:p>
    <w:p w14:paraId="6FBBF15E" w14:textId="6E645644" w:rsidR="001E47AA" w:rsidRPr="001E47AA" w:rsidRDefault="00603467" w:rsidP="00C312B4">
      <w:pPr>
        <w:jc w:val="both"/>
        <w:rPr>
          <w:rFonts w:asciiTheme="minorHAnsi" w:hAnsiTheme="minorHAnsi" w:cstheme="minorHAnsi"/>
          <w:color w:val="000000" w:themeColor="text1"/>
          <w:sz w:val="22"/>
          <w:szCs w:val="22"/>
        </w:rPr>
      </w:pPr>
      <w:r w:rsidRPr="003B5C41">
        <w:rPr>
          <w:rFonts w:asciiTheme="minorHAnsi" w:hAnsiTheme="minorHAnsi" w:cstheme="minorHAnsi"/>
          <w:color w:val="000000" w:themeColor="text1"/>
          <w:sz w:val="22"/>
          <w:szCs w:val="22"/>
        </w:rPr>
        <w:t xml:space="preserve">In addition, </w:t>
      </w:r>
      <w:r w:rsidR="001E47AA">
        <w:rPr>
          <w:rFonts w:asciiTheme="minorHAnsi" w:hAnsiTheme="minorHAnsi" w:cstheme="minorHAnsi"/>
          <w:sz w:val="22"/>
          <w:szCs w:val="22"/>
        </w:rPr>
        <w:t>the proposals could contribute to increased costs for retail investors. This is because the requirements relating to advertisements disseminated to retail investors could be viewed as a further disincentive to issuance of bonds directly to retail investors, which could result in a further decline in the availability of bonds that can be bought directly by retail investors (who may need access to fixed income securities e.g. during their retirement). Those retail investors may therefore face increased costs associated with investing via funds.</w:t>
      </w:r>
    </w:p>
    <w:p w14:paraId="768537D6" w14:textId="1A4E731B" w:rsidR="001E47AA" w:rsidRDefault="001E47AA" w:rsidP="00C312B4">
      <w:pPr>
        <w:jc w:val="both"/>
        <w:rPr>
          <w:rFonts w:asciiTheme="minorHAnsi" w:hAnsiTheme="minorHAnsi" w:cstheme="minorHAnsi"/>
          <w:color w:val="FF0000"/>
          <w:sz w:val="22"/>
          <w:szCs w:val="22"/>
        </w:rPr>
      </w:pPr>
    </w:p>
    <w:p w14:paraId="7BDC698A" w14:textId="0B7F6570" w:rsidR="00373BAB" w:rsidRPr="00DF1F7E" w:rsidRDefault="00603467" w:rsidP="00C312B4">
      <w:pPr>
        <w:jc w:val="both"/>
        <w:rPr>
          <w:rFonts w:asciiTheme="minorHAnsi" w:hAnsiTheme="minorHAnsi" w:cstheme="minorHAnsi"/>
          <w:b/>
          <w:color w:val="000000" w:themeColor="text1"/>
          <w:sz w:val="22"/>
          <w:szCs w:val="22"/>
        </w:rPr>
      </w:pPr>
      <w:r w:rsidRPr="00CA495A">
        <w:rPr>
          <w:rFonts w:asciiTheme="minorHAnsi" w:hAnsiTheme="minorHAnsi" w:cstheme="minorHAnsi"/>
          <w:color w:val="000000" w:themeColor="text1"/>
          <w:sz w:val="22"/>
          <w:szCs w:val="22"/>
        </w:rPr>
        <w:t xml:space="preserve">In addition to the points raised above, we also note </w:t>
      </w:r>
      <w:r w:rsidR="00DF1F7E">
        <w:rPr>
          <w:rFonts w:asciiTheme="minorHAnsi" w:hAnsiTheme="minorHAnsi" w:cstheme="minorHAnsi"/>
          <w:color w:val="000000" w:themeColor="text1"/>
          <w:sz w:val="22"/>
          <w:szCs w:val="22"/>
        </w:rPr>
        <w:t xml:space="preserve">that the </w:t>
      </w:r>
      <w:r w:rsidR="003B5C41">
        <w:rPr>
          <w:rFonts w:asciiTheme="minorHAnsi" w:hAnsiTheme="minorHAnsi" w:cstheme="minorHAnsi"/>
          <w:color w:val="000000" w:themeColor="text1"/>
          <w:sz w:val="22"/>
          <w:szCs w:val="22"/>
        </w:rPr>
        <w:t xml:space="preserve">proposed </w:t>
      </w:r>
      <w:r w:rsidRPr="00CA495A">
        <w:rPr>
          <w:rFonts w:asciiTheme="minorHAnsi" w:hAnsiTheme="minorHAnsi" w:cstheme="minorHAnsi"/>
          <w:color w:val="000000" w:themeColor="text1"/>
          <w:sz w:val="22"/>
          <w:szCs w:val="22"/>
        </w:rPr>
        <w:t xml:space="preserve">requirement </w:t>
      </w:r>
      <w:r w:rsidR="00DF1F7E">
        <w:rPr>
          <w:rFonts w:asciiTheme="minorHAnsi" w:hAnsiTheme="minorHAnsi" w:cstheme="minorHAnsi"/>
          <w:color w:val="000000" w:themeColor="text1"/>
          <w:sz w:val="22"/>
          <w:szCs w:val="22"/>
        </w:rPr>
        <w:t xml:space="preserve">in </w:t>
      </w:r>
      <w:r w:rsidR="003B5C41">
        <w:rPr>
          <w:rFonts w:asciiTheme="minorHAnsi" w:hAnsiTheme="minorHAnsi" w:cstheme="minorHAnsi"/>
          <w:color w:val="000000" w:themeColor="text1"/>
          <w:sz w:val="22"/>
          <w:szCs w:val="22"/>
        </w:rPr>
        <w:t xml:space="preserve">draft RTS </w:t>
      </w:r>
      <w:r w:rsidR="00DF1F7E">
        <w:rPr>
          <w:rFonts w:asciiTheme="minorHAnsi" w:hAnsiTheme="minorHAnsi" w:cstheme="minorHAnsi"/>
          <w:color w:val="000000" w:themeColor="text1"/>
          <w:sz w:val="22"/>
          <w:szCs w:val="22"/>
        </w:rPr>
        <w:t xml:space="preserve">Article 13 </w:t>
      </w:r>
      <w:r w:rsidRPr="00CA495A">
        <w:rPr>
          <w:rFonts w:asciiTheme="minorHAnsi" w:hAnsiTheme="minorHAnsi" w:cstheme="minorHAnsi"/>
          <w:color w:val="000000" w:themeColor="text1"/>
          <w:sz w:val="22"/>
          <w:szCs w:val="22"/>
        </w:rPr>
        <w:t>to disseminate amended advertisements following the publication of a supplement to the prospectus is problematic</w:t>
      </w:r>
      <w:r w:rsidR="00DF1F7E">
        <w:rPr>
          <w:rFonts w:asciiTheme="minorHAnsi" w:hAnsiTheme="minorHAnsi" w:cstheme="minorHAnsi"/>
          <w:color w:val="000000" w:themeColor="text1"/>
          <w:sz w:val="22"/>
          <w:szCs w:val="22"/>
        </w:rPr>
        <w:t xml:space="preserve"> from </w:t>
      </w:r>
      <w:proofErr w:type="gramStart"/>
      <w:r w:rsidR="00DF1F7E">
        <w:rPr>
          <w:rFonts w:asciiTheme="minorHAnsi" w:hAnsiTheme="minorHAnsi" w:cstheme="minorHAnsi"/>
          <w:color w:val="000000" w:themeColor="text1"/>
          <w:sz w:val="22"/>
          <w:szCs w:val="22"/>
        </w:rPr>
        <w:t>a number of</w:t>
      </w:r>
      <w:proofErr w:type="gramEnd"/>
      <w:r w:rsidR="00DF1F7E">
        <w:rPr>
          <w:rFonts w:asciiTheme="minorHAnsi" w:hAnsiTheme="minorHAnsi" w:cstheme="minorHAnsi"/>
          <w:color w:val="000000" w:themeColor="text1"/>
          <w:sz w:val="22"/>
          <w:szCs w:val="22"/>
        </w:rPr>
        <w:t xml:space="preserve"> perspectives. This was </w:t>
      </w:r>
      <w:r w:rsidR="00CA495A" w:rsidRPr="00CA495A">
        <w:rPr>
          <w:rFonts w:asciiTheme="minorHAnsi" w:hAnsiTheme="minorHAnsi" w:cstheme="minorHAnsi"/>
          <w:color w:val="000000" w:themeColor="text1"/>
          <w:sz w:val="22"/>
          <w:szCs w:val="22"/>
        </w:rPr>
        <w:t xml:space="preserve">originally </w:t>
      </w:r>
      <w:r w:rsidR="00DF1F7E">
        <w:rPr>
          <w:rFonts w:asciiTheme="minorHAnsi" w:hAnsiTheme="minorHAnsi" w:cstheme="minorHAnsi"/>
          <w:color w:val="000000" w:themeColor="text1"/>
          <w:sz w:val="22"/>
          <w:szCs w:val="22"/>
        </w:rPr>
        <w:t xml:space="preserve">discussed </w:t>
      </w:r>
      <w:r w:rsidRPr="00CA495A">
        <w:rPr>
          <w:rFonts w:asciiTheme="minorHAnsi" w:hAnsiTheme="minorHAnsi" w:cstheme="minorHAnsi"/>
          <w:color w:val="000000" w:themeColor="text1"/>
          <w:sz w:val="22"/>
          <w:szCs w:val="22"/>
        </w:rPr>
        <w:t xml:space="preserve">in </w:t>
      </w:r>
      <w:hyperlink r:id="rId21" w:history="1">
        <w:r w:rsidRPr="003B5C41">
          <w:rPr>
            <w:rStyle w:val="Hyperlink"/>
            <w:rFonts w:asciiTheme="minorHAnsi" w:hAnsiTheme="minorHAnsi" w:cstheme="minorHAnsi"/>
            <w:sz w:val="22"/>
            <w:szCs w:val="22"/>
          </w:rPr>
          <w:t>ICMA’s response</w:t>
        </w:r>
      </w:hyperlink>
      <w:r w:rsidRPr="00CA495A">
        <w:rPr>
          <w:rFonts w:asciiTheme="minorHAnsi" w:hAnsiTheme="minorHAnsi" w:cstheme="minorHAnsi"/>
          <w:color w:val="000000" w:themeColor="text1"/>
          <w:sz w:val="22"/>
          <w:szCs w:val="22"/>
        </w:rPr>
        <w:t xml:space="preserve"> to the ESMA consultation on this provis</w:t>
      </w:r>
      <w:r w:rsidR="006333AC">
        <w:rPr>
          <w:rFonts w:asciiTheme="minorHAnsi" w:hAnsiTheme="minorHAnsi" w:cstheme="minorHAnsi"/>
          <w:color w:val="000000" w:themeColor="text1"/>
          <w:sz w:val="22"/>
          <w:szCs w:val="22"/>
        </w:rPr>
        <w:t>ion in the context of the PD</w:t>
      </w:r>
      <w:r w:rsidR="003B5C41">
        <w:rPr>
          <w:rFonts w:asciiTheme="minorHAnsi" w:hAnsiTheme="minorHAnsi" w:cstheme="minorHAnsi"/>
          <w:color w:val="000000" w:themeColor="text1"/>
          <w:sz w:val="22"/>
          <w:szCs w:val="22"/>
        </w:rPr>
        <w:t xml:space="preserve"> II</w:t>
      </w:r>
      <w:r w:rsidR="006333AC">
        <w:rPr>
          <w:rFonts w:asciiTheme="minorHAnsi" w:hAnsiTheme="minorHAnsi" w:cstheme="minorHAnsi"/>
          <w:color w:val="000000" w:themeColor="text1"/>
          <w:sz w:val="22"/>
          <w:szCs w:val="22"/>
        </w:rPr>
        <w:t xml:space="preserve"> </w:t>
      </w:r>
      <w:r w:rsidRPr="00CA495A">
        <w:rPr>
          <w:rFonts w:asciiTheme="minorHAnsi" w:hAnsiTheme="minorHAnsi" w:cstheme="minorHAnsi"/>
          <w:color w:val="000000" w:themeColor="text1"/>
          <w:sz w:val="22"/>
          <w:szCs w:val="22"/>
        </w:rPr>
        <w:t xml:space="preserve">regime. </w:t>
      </w:r>
      <w:r w:rsidR="00373BAB" w:rsidRPr="00CA495A">
        <w:rPr>
          <w:rFonts w:asciiTheme="minorHAnsi" w:hAnsiTheme="minorHAnsi" w:cstheme="minorHAnsi"/>
          <w:color w:val="000000" w:themeColor="text1"/>
          <w:sz w:val="22"/>
          <w:szCs w:val="22"/>
        </w:rPr>
        <w:t xml:space="preserve">Those concerns </w:t>
      </w:r>
      <w:r w:rsidR="00F6276E">
        <w:rPr>
          <w:rFonts w:asciiTheme="minorHAnsi" w:hAnsiTheme="minorHAnsi" w:cstheme="minorHAnsi"/>
          <w:color w:val="000000" w:themeColor="text1"/>
          <w:sz w:val="22"/>
          <w:szCs w:val="22"/>
        </w:rPr>
        <w:t>are likely to be increased in practice</w:t>
      </w:r>
      <w:r w:rsidR="00373BAB" w:rsidRPr="00CA495A">
        <w:rPr>
          <w:rFonts w:asciiTheme="minorHAnsi" w:hAnsiTheme="minorHAnsi" w:cstheme="minorHAnsi"/>
          <w:color w:val="000000" w:themeColor="text1"/>
          <w:sz w:val="22"/>
          <w:szCs w:val="22"/>
        </w:rPr>
        <w:t xml:space="preserve"> by the newly expanded definition of “advertisement”. </w:t>
      </w:r>
    </w:p>
    <w:p w14:paraId="1B811AB2" w14:textId="77777777" w:rsidR="00373BAB" w:rsidRPr="00CA495A" w:rsidRDefault="00373BAB" w:rsidP="00C312B4">
      <w:pPr>
        <w:jc w:val="both"/>
        <w:rPr>
          <w:rFonts w:asciiTheme="minorHAnsi" w:hAnsiTheme="minorHAnsi" w:cstheme="minorHAnsi"/>
          <w:color w:val="000000" w:themeColor="text1"/>
          <w:sz w:val="22"/>
          <w:szCs w:val="22"/>
        </w:rPr>
      </w:pPr>
    </w:p>
    <w:p w14:paraId="5056681F" w14:textId="6909543C" w:rsidR="00373BAB" w:rsidRPr="00CA495A" w:rsidRDefault="00603467" w:rsidP="00C312B4">
      <w:pPr>
        <w:pStyle w:val="ListParagraph"/>
        <w:numPr>
          <w:ilvl w:val="0"/>
          <w:numId w:val="44"/>
        </w:numPr>
        <w:jc w:val="both"/>
        <w:rPr>
          <w:rFonts w:asciiTheme="minorHAnsi" w:hAnsiTheme="minorHAnsi" w:cstheme="minorHAnsi"/>
          <w:color w:val="000000" w:themeColor="text1"/>
          <w:sz w:val="22"/>
          <w:szCs w:val="22"/>
        </w:rPr>
      </w:pPr>
      <w:r w:rsidRPr="00CA495A">
        <w:rPr>
          <w:rFonts w:asciiTheme="minorHAnsi" w:hAnsiTheme="minorHAnsi" w:cstheme="minorHAnsi"/>
          <w:color w:val="000000" w:themeColor="text1"/>
          <w:sz w:val="22"/>
          <w:szCs w:val="22"/>
        </w:rPr>
        <w:t xml:space="preserve">A key concern is that the obligation to disseminate an amended advertisement applies regardless of whether the new factor, material mistake or material inaccuracy detailed in the supplement has rendered the contents of the advertisements </w:t>
      </w:r>
      <w:r w:rsidRPr="00CA495A">
        <w:rPr>
          <w:rFonts w:asciiTheme="minorHAnsi" w:hAnsiTheme="minorHAnsi" w:cstheme="minorHAnsi"/>
          <w:color w:val="000000" w:themeColor="text1"/>
          <w:sz w:val="22"/>
          <w:szCs w:val="22"/>
          <w:u w:val="single"/>
        </w:rPr>
        <w:t>materially</w:t>
      </w:r>
      <w:r w:rsidRPr="00CA495A">
        <w:rPr>
          <w:rFonts w:asciiTheme="minorHAnsi" w:hAnsiTheme="minorHAnsi" w:cstheme="minorHAnsi"/>
          <w:color w:val="000000" w:themeColor="text1"/>
          <w:sz w:val="22"/>
          <w:szCs w:val="22"/>
        </w:rPr>
        <w:t xml:space="preserve"> inaccurate or misleading or simply technically and insignificantly inaccurate and misleading. Indeed, investors who see an amend</w:t>
      </w:r>
      <w:r w:rsidR="005754D1">
        <w:rPr>
          <w:rFonts w:asciiTheme="minorHAnsi" w:hAnsiTheme="minorHAnsi" w:cstheme="minorHAnsi"/>
          <w:color w:val="000000" w:themeColor="text1"/>
          <w:sz w:val="22"/>
          <w:szCs w:val="22"/>
        </w:rPr>
        <w:t>ed</w:t>
      </w:r>
      <w:r w:rsidRPr="00CA495A">
        <w:rPr>
          <w:rFonts w:asciiTheme="minorHAnsi" w:hAnsiTheme="minorHAnsi" w:cstheme="minorHAnsi"/>
          <w:color w:val="000000" w:themeColor="text1"/>
          <w:sz w:val="22"/>
          <w:szCs w:val="22"/>
        </w:rPr>
        <w:t xml:space="preserve"> advertisement specifying immaterial or insignificant changes</w:t>
      </w:r>
      <w:r w:rsidR="00373BAB" w:rsidRPr="00CA495A">
        <w:rPr>
          <w:rFonts w:asciiTheme="minorHAnsi" w:hAnsiTheme="minorHAnsi" w:cstheme="minorHAnsi"/>
          <w:color w:val="000000" w:themeColor="text1"/>
          <w:sz w:val="22"/>
          <w:szCs w:val="22"/>
        </w:rPr>
        <w:t xml:space="preserve"> could be misled into thinking that the corrected information is more important than it really is. </w:t>
      </w:r>
      <w:r w:rsidR="00373BAB" w:rsidRPr="00324E52">
        <w:rPr>
          <w:rFonts w:asciiTheme="minorHAnsi" w:hAnsiTheme="minorHAnsi" w:cstheme="minorHAnsi"/>
          <w:b/>
          <w:color w:val="000000" w:themeColor="text1"/>
          <w:sz w:val="22"/>
          <w:szCs w:val="22"/>
        </w:rPr>
        <w:t xml:space="preserve">This concern could be addressed by adding the word “materially” before the words “inaccurate or misleading” at the end of </w:t>
      </w:r>
      <w:r w:rsidR="003B5C41" w:rsidRPr="00324E52">
        <w:rPr>
          <w:rFonts w:asciiTheme="minorHAnsi" w:hAnsiTheme="minorHAnsi" w:cstheme="minorHAnsi"/>
          <w:b/>
          <w:color w:val="000000" w:themeColor="text1"/>
          <w:sz w:val="22"/>
          <w:szCs w:val="22"/>
        </w:rPr>
        <w:t xml:space="preserve">draft RTS </w:t>
      </w:r>
      <w:r w:rsidR="00373BAB" w:rsidRPr="00324E52">
        <w:rPr>
          <w:rFonts w:asciiTheme="minorHAnsi" w:hAnsiTheme="minorHAnsi" w:cstheme="minorHAnsi"/>
          <w:b/>
          <w:color w:val="000000" w:themeColor="text1"/>
          <w:sz w:val="22"/>
          <w:szCs w:val="22"/>
        </w:rPr>
        <w:t>Article 13.1.</w:t>
      </w:r>
    </w:p>
    <w:p w14:paraId="05788E29" w14:textId="6097318E" w:rsidR="00F6276E" w:rsidRDefault="00373BAB" w:rsidP="00C312B4">
      <w:pPr>
        <w:pStyle w:val="ListParagraph"/>
        <w:numPr>
          <w:ilvl w:val="0"/>
          <w:numId w:val="44"/>
        </w:numPr>
        <w:jc w:val="both"/>
        <w:rPr>
          <w:rFonts w:asciiTheme="minorHAnsi" w:hAnsiTheme="minorHAnsi" w:cstheme="minorHAnsi"/>
          <w:color w:val="000000" w:themeColor="text1"/>
          <w:sz w:val="22"/>
          <w:szCs w:val="22"/>
        </w:rPr>
      </w:pPr>
      <w:r w:rsidRPr="00CA495A">
        <w:rPr>
          <w:rFonts w:asciiTheme="minorHAnsi" w:hAnsiTheme="minorHAnsi" w:cstheme="minorHAnsi"/>
          <w:color w:val="000000" w:themeColor="text1"/>
          <w:sz w:val="22"/>
          <w:szCs w:val="22"/>
        </w:rPr>
        <w:t xml:space="preserve">The requirement to disseminate an amended advertisement through the same means as the original advertisement has always been problematic in the context of certain types of advertisements </w:t>
      </w:r>
      <w:r w:rsidRPr="00CA495A">
        <w:rPr>
          <w:rFonts w:asciiTheme="minorHAnsi" w:hAnsiTheme="minorHAnsi" w:cstheme="minorHAnsi"/>
          <w:color w:val="000000" w:themeColor="text1"/>
          <w:sz w:val="22"/>
          <w:szCs w:val="22"/>
        </w:rPr>
        <w:lastRenderedPageBreak/>
        <w:t>such as leaflets that are available at retail bank branches</w:t>
      </w:r>
      <w:r w:rsidR="00CF3D69" w:rsidRPr="00CA495A">
        <w:rPr>
          <w:rFonts w:asciiTheme="minorHAnsi" w:hAnsiTheme="minorHAnsi" w:cstheme="minorHAnsi"/>
          <w:color w:val="000000" w:themeColor="text1"/>
          <w:sz w:val="22"/>
          <w:szCs w:val="22"/>
        </w:rPr>
        <w:t xml:space="preserve"> (how can </w:t>
      </w:r>
      <w:r w:rsidR="008F0265">
        <w:rPr>
          <w:rFonts w:asciiTheme="minorHAnsi" w:hAnsiTheme="minorHAnsi" w:cstheme="minorHAnsi"/>
          <w:color w:val="000000" w:themeColor="text1"/>
          <w:sz w:val="22"/>
          <w:szCs w:val="22"/>
        </w:rPr>
        <w:t>one</w:t>
      </w:r>
      <w:r w:rsidR="00CF3D69" w:rsidRPr="00CA495A">
        <w:rPr>
          <w:rFonts w:asciiTheme="minorHAnsi" w:hAnsiTheme="minorHAnsi" w:cstheme="minorHAnsi"/>
          <w:color w:val="000000" w:themeColor="text1"/>
          <w:sz w:val="22"/>
          <w:szCs w:val="22"/>
        </w:rPr>
        <w:t xml:space="preserve"> know that the retail investors who picked up the original leaflet will also pick up the amended leaflet?)</w:t>
      </w:r>
      <w:r w:rsidR="008F0265">
        <w:rPr>
          <w:rFonts w:asciiTheme="minorHAnsi" w:hAnsiTheme="minorHAnsi" w:cstheme="minorHAnsi"/>
          <w:color w:val="000000" w:themeColor="text1"/>
          <w:sz w:val="22"/>
          <w:szCs w:val="22"/>
        </w:rPr>
        <w:t>. Questions around the practicality of</w:t>
      </w:r>
      <w:r w:rsidR="003B5C41">
        <w:rPr>
          <w:rFonts w:asciiTheme="minorHAnsi" w:hAnsiTheme="minorHAnsi" w:cstheme="minorHAnsi"/>
          <w:color w:val="000000" w:themeColor="text1"/>
          <w:sz w:val="22"/>
          <w:szCs w:val="22"/>
        </w:rPr>
        <w:t xml:space="preserve"> this</w:t>
      </w:r>
      <w:r w:rsidRPr="00CA495A">
        <w:rPr>
          <w:rFonts w:asciiTheme="minorHAnsi" w:hAnsiTheme="minorHAnsi" w:cstheme="minorHAnsi"/>
          <w:color w:val="000000" w:themeColor="text1"/>
          <w:sz w:val="22"/>
          <w:szCs w:val="22"/>
        </w:rPr>
        <w:t xml:space="preserve"> requirement </w:t>
      </w:r>
      <w:r w:rsidR="00CF3D69" w:rsidRPr="00CA495A">
        <w:rPr>
          <w:rFonts w:asciiTheme="minorHAnsi" w:hAnsiTheme="minorHAnsi" w:cstheme="minorHAnsi"/>
          <w:color w:val="000000" w:themeColor="text1"/>
          <w:sz w:val="22"/>
          <w:szCs w:val="22"/>
        </w:rPr>
        <w:t>may</w:t>
      </w:r>
      <w:r w:rsidRPr="00CA495A">
        <w:rPr>
          <w:rFonts w:asciiTheme="minorHAnsi" w:hAnsiTheme="minorHAnsi" w:cstheme="minorHAnsi"/>
          <w:color w:val="000000" w:themeColor="text1"/>
          <w:sz w:val="22"/>
          <w:szCs w:val="22"/>
        </w:rPr>
        <w:t xml:space="preserve"> increase in the context of the new regime, which captures a wider range </w:t>
      </w:r>
      <w:r w:rsidR="008F0265">
        <w:rPr>
          <w:rFonts w:asciiTheme="minorHAnsi" w:hAnsiTheme="minorHAnsi" w:cstheme="minorHAnsi"/>
          <w:color w:val="000000" w:themeColor="text1"/>
          <w:sz w:val="22"/>
          <w:szCs w:val="22"/>
        </w:rPr>
        <w:t>of advertisement</w:t>
      </w:r>
      <w:r w:rsidR="009366DE">
        <w:rPr>
          <w:rFonts w:asciiTheme="minorHAnsi" w:hAnsiTheme="minorHAnsi" w:cstheme="minorHAnsi"/>
          <w:color w:val="000000" w:themeColor="text1"/>
          <w:sz w:val="22"/>
          <w:szCs w:val="22"/>
        </w:rPr>
        <w:t>s</w:t>
      </w:r>
      <w:r w:rsidR="008F0265">
        <w:rPr>
          <w:rFonts w:asciiTheme="minorHAnsi" w:hAnsiTheme="minorHAnsi" w:cstheme="minorHAnsi"/>
          <w:color w:val="000000" w:themeColor="text1"/>
          <w:sz w:val="22"/>
          <w:szCs w:val="22"/>
        </w:rPr>
        <w:t xml:space="preserve">. </w:t>
      </w:r>
    </w:p>
    <w:p w14:paraId="64BAE829" w14:textId="73BD849A" w:rsidR="00DF1F7E" w:rsidRPr="00A40A3F" w:rsidRDefault="00CA495A" w:rsidP="00C312B4">
      <w:pPr>
        <w:pStyle w:val="ListParagraph"/>
        <w:numPr>
          <w:ilvl w:val="0"/>
          <w:numId w:val="44"/>
        </w:numPr>
        <w:jc w:val="both"/>
        <w:rPr>
          <w:rFonts w:asciiTheme="minorHAnsi" w:hAnsiTheme="minorHAnsi" w:cstheme="minorHAnsi"/>
          <w:color w:val="000000" w:themeColor="text1"/>
          <w:sz w:val="22"/>
          <w:szCs w:val="22"/>
        </w:rPr>
      </w:pPr>
      <w:r w:rsidRPr="00CA495A">
        <w:rPr>
          <w:rFonts w:asciiTheme="minorHAnsi" w:hAnsiTheme="minorHAnsi" w:cstheme="minorHAnsi"/>
          <w:color w:val="000000" w:themeColor="text1"/>
          <w:sz w:val="22"/>
          <w:szCs w:val="22"/>
        </w:rPr>
        <w:t xml:space="preserve">ESMA Prospectus Q&amp;A 99 in relation to the interpretation of the requirement to disseminate an amended advertisement in the context of roadshow presentations is helpful and is an example of the type of Q&amp;A that should be carried forward, to the extent draft RTS Article 13 is adopted. </w:t>
      </w:r>
    </w:p>
    <w:permEnd w:id="852165299"/>
    <w:p w14:paraId="1175719D" w14:textId="4FA76AD9" w:rsidR="00ED4063" w:rsidRPr="00DF1F7E" w:rsidRDefault="00ED4063" w:rsidP="00DF1F7E">
      <w:pPr>
        <w:jc w:val="both"/>
        <w:rPr>
          <w:rFonts w:asciiTheme="minorHAnsi" w:hAnsiTheme="minorHAnsi" w:cstheme="minorHAnsi"/>
          <w:color w:val="000000" w:themeColor="text1"/>
          <w:sz w:val="22"/>
          <w:szCs w:val="22"/>
        </w:rPr>
      </w:pPr>
      <w:r>
        <w:rPr>
          <w:rFonts w:cs="Arial"/>
        </w:rPr>
        <w:t>&lt;ESMA_QUESTION_PR_23&gt;</w:t>
      </w:r>
    </w:p>
    <w:p w14:paraId="463C252B" w14:textId="2F4E1A38" w:rsidR="00ED4063" w:rsidRDefault="00ED4063" w:rsidP="00ED4063">
      <w:pPr>
        <w:rPr>
          <w:rFonts w:cs="Arial"/>
        </w:rPr>
      </w:pPr>
    </w:p>
    <w:p w14:paraId="62509863" w14:textId="6C36D821" w:rsidR="00C761FA" w:rsidRDefault="00C761FA" w:rsidP="00ED4063">
      <w:pPr>
        <w:rPr>
          <w:rFonts w:cs="Arial"/>
        </w:rPr>
      </w:pPr>
    </w:p>
    <w:p w14:paraId="0F0E66BF" w14:textId="77777777" w:rsidR="00315895" w:rsidRDefault="00315895" w:rsidP="00ED4063">
      <w:pPr>
        <w:rPr>
          <w:rFonts w:cs="Arial"/>
        </w:rPr>
      </w:pPr>
    </w:p>
    <w:p w14:paraId="6F546625" w14:textId="0C525446" w:rsidR="00ED4063" w:rsidRDefault="00C761FA" w:rsidP="00C761FA">
      <w:pPr>
        <w:pStyle w:val="Heading1"/>
        <w:numPr>
          <w:ilvl w:val="0"/>
          <w:numId w:val="0"/>
        </w:numPr>
      </w:pPr>
      <w:r w:rsidRPr="00931870">
        <w:t>Supplements</w:t>
      </w:r>
    </w:p>
    <w:p w14:paraId="61945020" w14:textId="77777777" w:rsidR="00ED4063" w:rsidRPr="00BD3C97" w:rsidRDefault="00ED4063" w:rsidP="00BD3C97">
      <w:pPr>
        <w:spacing w:before="240" w:after="60"/>
        <w:rPr>
          <w:rFonts w:cs="Arial"/>
        </w:rPr>
      </w:pPr>
    </w:p>
    <w:p w14:paraId="11D2CF64" w14:textId="77777777" w:rsidR="00ED4063" w:rsidRPr="00ED4063" w:rsidRDefault="00ED4063" w:rsidP="00630CD7">
      <w:pPr>
        <w:pStyle w:val="Questionstyle"/>
        <w:numPr>
          <w:ilvl w:val="0"/>
          <w:numId w:val="38"/>
        </w:numPr>
        <w:ind w:hanging="436"/>
        <w:rPr>
          <w:rFonts w:ascii="Arial" w:hAnsi="Arial" w:cs="Arial"/>
        </w:rPr>
      </w:pPr>
      <w:r w:rsidRPr="00ED4063">
        <w:rPr>
          <w:rFonts w:ascii="Arial" w:hAnsi="Arial" w:cs="Arial"/>
        </w:rPr>
        <w:t>: Do you agree that Article 2 of the First Commission Delegated Regulation should be carried over, in its entirety, to Level 2 under the new regime?</w:t>
      </w:r>
    </w:p>
    <w:p w14:paraId="5F6AFB27" w14:textId="77777777" w:rsidR="00ED4063" w:rsidRDefault="00ED4063" w:rsidP="00ED4063">
      <w:pPr>
        <w:rPr>
          <w:rFonts w:cs="Arial"/>
        </w:rPr>
      </w:pPr>
      <w:r>
        <w:rPr>
          <w:rFonts w:cs="Arial"/>
        </w:rPr>
        <w:t>&lt;ESMA_QUESTION_PR_24&gt;</w:t>
      </w:r>
    </w:p>
    <w:p w14:paraId="0B51D86D" w14:textId="77777777" w:rsidR="006F2A9E" w:rsidRDefault="003E45AE" w:rsidP="00C94FC5">
      <w:pPr>
        <w:jc w:val="both"/>
        <w:rPr>
          <w:rFonts w:asciiTheme="minorHAnsi" w:hAnsiTheme="minorHAnsi" w:cstheme="minorHAnsi"/>
          <w:color w:val="000000" w:themeColor="text1"/>
          <w:sz w:val="22"/>
          <w:szCs w:val="22"/>
        </w:rPr>
      </w:pPr>
      <w:permStart w:id="1445618769" w:edGrp="everyone"/>
      <w:r w:rsidRPr="00C94FC5">
        <w:rPr>
          <w:rFonts w:asciiTheme="minorHAnsi" w:hAnsiTheme="minorHAnsi" w:cstheme="minorHAnsi"/>
          <w:color w:val="000000" w:themeColor="text1"/>
          <w:sz w:val="22"/>
          <w:szCs w:val="22"/>
        </w:rPr>
        <w:t>Yes</w:t>
      </w:r>
      <w:r w:rsidR="006F2A9E">
        <w:rPr>
          <w:rFonts w:asciiTheme="minorHAnsi" w:hAnsiTheme="minorHAnsi" w:cstheme="minorHAnsi"/>
          <w:color w:val="000000" w:themeColor="text1"/>
          <w:sz w:val="22"/>
          <w:szCs w:val="22"/>
        </w:rPr>
        <w:t>, we agree with the proposed approach</w:t>
      </w:r>
      <w:r w:rsidRPr="00C94FC5">
        <w:rPr>
          <w:rFonts w:asciiTheme="minorHAnsi" w:hAnsiTheme="minorHAnsi" w:cstheme="minorHAnsi"/>
          <w:color w:val="000000" w:themeColor="text1"/>
          <w:sz w:val="22"/>
          <w:szCs w:val="22"/>
        </w:rPr>
        <w:t>.</w:t>
      </w:r>
    </w:p>
    <w:p w14:paraId="3B284D86" w14:textId="77777777" w:rsidR="006F2A9E" w:rsidRDefault="006F2A9E" w:rsidP="00C94FC5">
      <w:pPr>
        <w:jc w:val="both"/>
        <w:rPr>
          <w:rFonts w:asciiTheme="minorHAnsi" w:hAnsiTheme="minorHAnsi" w:cstheme="minorHAnsi"/>
          <w:color w:val="000000" w:themeColor="text1"/>
          <w:sz w:val="22"/>
          <w:szCs w:val="22"/>
        </w:rPr>
      </w:pPr>
    </w:p>
    <w:p w14:paraId="2632007B" w14:textId="091E8A12" w:rsidR="00ED4063" w:rsidRPr="00C94FC5" w:rsidRDefault="00556878" w:rsidP="00C94FC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While </w:t>
      </w:r>
      <w:r w:rsidR="006F2A9E">
        <w:rPr>
          <w:rFonts w:asciiTheme="minorHAnsi" w:hAnsiTheme="minorHAnsi" w:cstheme="minorHAnsi"/>
          <w:color w:val="000000" w:themeColor="text1"/>
          <w:sz w:val="22"/>
          <w:szCs w:val="22"/>
        </w:rPr>
        <w:t xml:space="preserve">our general view remains </w:t>
      </w:r>
      <w:r w:rsidR="006F2A9E" w:rsidRPr="001C1330">
        <w:rPr>
          <w:rFonts w:asciiTheme="minorHAnsi" w:hAnsiTheme="minorHAnsi" w:cstheme="minorHAnsi"/>
          <w:sz w:val="22"/>
          <w:szCs w:val="22"/>
        </w:rPr>
        <w:t xml:space="preserve">per </w:t>
      </w:r>
      <w:r w:rsidR="006F2A9E">
        <w:rPr>
          <w:rFonts w:asciiTheme="minorHAnsi" w:hAnsiTheme="minorHAnsi" w:cstheme="minorHAnsi"/>
          <w:sz w:val="22"/>
          <w:szCs w:val="22"/>
        </w:rPr>
        <w:t xml:space="preserve">the </w:t>
      </w:r>
      <w:hyperlink r:id="rId22" w:history="1">
        <w:r w:rsidR="006F2A9E">
          <w:rPr>
            <w:rStyle w:val="Hyperlink"/>
            <w:rFonts w:asciiTheme="minorHAnsi" w:hAnsiTheme="minorHAnsi" w:cstheme="minorHAnsi"/>
            <w:sz w:val="22"/>
            <w:szCs w:val="22"/>
          </w:rPr>
          <w:t>ICMA 2013 response to the PD II consultation on supplements</w:t>
        </w:r>
      </w:hyperlink>
      <w:r w:rsidR="006F2A9E">
        <w:rPr>
          <w:rFonts w:asciiTheme="minorHAnsi" w:hAnsiTheme="minorHAnsi" w:cstheme="minorHAnsi"/>
          <w:sz w:val="22"/>
          <w:szCs w:val="22"/>
        </w:rPr>
        <w:t xml:space="preserve"> (</w:t>
      </w:r>
      <w:r w:rsidR="006F2A9E" w:rsidRPr="001C1330">
        <w:rPr>
          <w:rFonts w:asciiTheme="minorHAnsi" w:hAnsiTheme="minorHAnsi" w:cstheme="minorHAnsi"/>
          <w:sz w:val="22"/>
          <w:szCs w:val="22"/>
        </w:rPr>
        <w:t>i.e. it should be for issuers to decide whether a specific situation meets the te</w:t>
      </w:r>
      <w:r w:rsidR="00573CFB">
        <w:rPr>
          <w:rFonts w:asciiTheme="minorHAnsi" w:hAnsiTheme="minorHAnsi" w:cstheme="minorHAnsi"/>
          <w:sz w:val="22"/>
          <w:szCs w:val="22"/>
        </w:rPr>
        <w:t>st for publishing a supplement</w:t>
      </w:r>
      <w:r w:rsidR="006F2A9E">
        <w:rPr>
          <w:rFonts w:asciiTheme="minorHAnsi" w:hAnsiTheme="minorHAnsi" w:cstheme="minorHAnsi"/>
          <w:sz w:val="22"/>
          <w:szCs w:val="22"/>
        </w:rPr>
        <w:t xml:space="preserve"> and it is not necessary for legislation to prescribe specific instances of when a supplement is required),</w:t>
      </w:r>
      <w:r w:rsidR="003E45AE" w:rsidRPr="00C94FC5">
        <w:rPr>
          <w:rFonts w:asciiTheme="minorHAnsi" w:hAnsiTheme="minorHAnsi" w:cstheme="minorHAnsi"/>
          <w:color w:val="000000" w:themeColor="text1"/>
          <w:sz w:val="22"/>
          <w:szCs w:val="22"/>
        </w:rPr>
        <w:t xml:space="preserve"> market participants are </w:t>
      </w:r>
      <w:r w:rsidR="006F2A9E">
        <w:rPr>
          <w:rFonts w:asciiTheme="minorHAnsi" w:hAnsiTheme="minorHAnsi" w:cstheme="minorHAnsi"/>
          <w:color w:val="000000" w:themeColor="text1"/>
          <w:sz w:val="22"/>
          <w:szCs w:val="22"/>
        </w:rPr>
        <w:t xml:space="preserve">now </w:t>
      </w:r>
      <w:r w:rsidR="003E45AE" w:rsidRPr="00C94FC5">
        <w:rPr>
          <w:rFonts w:asciiTheme="minorHAnsi" w:hAnsiTheme="minorHAnsi" w:cstheme="minorHAnsi"/>
          <w:color w:val="000000" w:themeColor="text1"/>
          <w:sz w:val="22"/>
          <w:szCs w:val="22"/>
        </w:rPr>
        <w:t>familiar</w:t>
      </w:r>
      <w:r w:rsidR="006F2A9E">
        <w:rPr>
          <w:rFonts w:asciiTheme="minorHAnsi" w:hAnsiTheme="minorHAnsi" w:cstheme="minorHAnsi"/>
          <w:color w:val="000000" w:themeColor="text1"/>
          <w:sz w:val="22"/>
          <w:szCs w:val="22"/>
        </w:rPr>
        <w:t xml:space="preserve"> with these requirements and we do not believe there is any need to change them</w:t>
      </w:r>
      <w:r w:rsidR="003E45AE" w:rsidRPr="00C94FC5">
        <w:rPr>
          <w:rFonts w:asciiTheme="minorHAnsi" w:hAnsiTheme="minorHAnsi" w:cstheme="minorHAnsi"/>
          <w:color w:val="000000" w:themeColor="text1"/>
          <w:sz w:val="22"/>
          <w:szCs w:val="22"/>
        </w:rPr>
        <w:t>.</w:t>
      </w:r>
      <w:r w:rsidR="006F2A9E">
        <w:rPr>
          <w:rFonts w:asciiTheme="minorHAnsi" w:hAnsiTheme="minorHAnsi" w:cstheme="minorHAnsi"/>
          <w:color w:val="000000" w:themeColor="text1"/>
          <w:sz w:val="22"/>
          <w:szCs w:val="22"/>
        </w:rPr>
        <w:t xml:space="preserve"> Any changes will result in increased costs for issuers as they will need to spend time analysing and understanding the new provisions with their legal advisers.  </w:t>
      </w:r>
    </w:p>
    <w:p w14:paraId="359D0149" w14:textId="67308DCC" w:rsidR="003E45AE" w:rsidRPr="00C94FC5" w:rsidRDefault="003E45AE" w:rsidP="00C94FC5">
      <w:pPr>
        <w:jc w:val="both"/>
        <w:rPr>
          <w:rFonts w:asciiTheme="minorHAnsi" w:hAnsiTheme="minorHAnsi" w:cstheme="minorHAnsi"/>
          <w:color w:val="000000" w:themeColor="text1"/>
          <w:sz w:val="22"/>
          <w:szCs w:val="22"/>
        </w:rPr>
      </w:pPr>
    </w:p>
    <w:p w14:paraId="4CBCB9EE" w14:textId="60904561" w:rsidR="003E45AE" w:rsidRPr="00C94FC5" w:rsidRDefault="006F2A9E" w:rsidP="00C94FC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00C94FC5">
        <w:rPr>
          <w:rFonts w:asciiTheme="minorHAnsi" w:hAnsiTheme="minorHAnsi" w:cstheme="minorHAnsi"/>
          <w:color w:val="000000" w:themeColor="text1"/>
          <w:sz w:val="22"/>
          <w:szCs w:val="22"/>
        </w:rPr>
        <w:t>lease</w:t>
      </w:r>
      <w:r>
        <w:rPr>
          <w:rFonts w:asciiTheme="minorHAnsi" w:hAnsiTheme="minorHAnsi" w:cstheme="minorHAnsi"/>
          <w:color w:val="000000" w:themeColor="text1"/>
          <w:sz w:val="22"/>
          <w:szCs w:val="22"/>
        </w:rPr>
        <w:t xml:space="preserve"> also</w:t>
      </w:r>
      <w:r w:rsidR="00C94FC5">
        <w:rPr>
          <w:rFonts w:asciiTheme="minorHAnsi" w:hAnsiTheme="minorHAnsi" w:cstheme="minorHAnsi"/>
          <w:color w:val="000000" w:themeColor="text1"/>
          <w:sz w:val="22"/>
          <w:szCs w:val="22"/>
        </w:rPr>
        <w:t xml:space="preserve"> see our</w:t>
      </w:r>
      <w:r w:rsidR="003E45AE" w:rsidRPr="00C94FC5">
        <w:rPr>
          <w:rFonts w:asciiTheme="minorHAnsi" w:hAnsiTheme="minorHAnsi" w:cstheme="minorHAnsi"/>
          <w:color w:val="000000" w:themeColor="text1"/>
          <w:sz w:val="22"/>
          <w:szCs w:val="22"/>
        </w:rPr>
        <w:t xml:space="preserve"> general remarks relating to</w:t>
      </w:r>
      <w:r w:rsidR="00573CFB">
        <w:rPr>
          <w:rFonts w:asciiTheme="minorHAnsi" w:hAnsiTheme="minorHAnsi" w:cstheme="minorHAnsi"/>
          <w:color w:val="000000" w:themeColor="text1"/>
          <w:sz w:val="22"/>
          <w:szCs w:val="22"/>
        </w:rPr>
        <w:t xml:space="preserve"> supplements in the Introduction</w:t>
      </w:r>
      <w:r w:rsidR="003E45AE" w:rsidRPr="00C94FC5">
        <w:rPr>
          <w:rFonts w:asciiTheme="minorHAnsi" w:hAnsiTheme="minorHAnsi" w:cstheme="minorHAnsi"/>
          <w:color w:val="000000" w:themeColor="text1"/>
          <w:sz w:val="22"/>
          <w:szCs w:val="22"/>
        </w:rPr>
        <w:t xml:space="preserve"> above</w:t>
      </w:r>
      <w:r w:rsidR="00C94FC5">
        <w:rPr>
          <w:rFonts w:asciiTheme="minorHAnsi" w:hAnsiTheme="minorHAnsi" w:cstheme="minorHAnsi"/>
          <w:color w:val="000000" w:themeColor="text1"/>
          <w:sz w:val="22"/>
          <w:szCs w:val="22"/>
        </w:rPr>
        <w:t xml:space="preserve"> and responses to other questions on supplements below</w:t>
      </w:r>
      <w:r w:rsidR="003E45AE" w:rsidRPr="00C94FC5">
        <w:rPr>
          <w:rFonts w:asciiTheme="minorHAnsi" w:hAnsiTheme="minorHAnsi" w:cstheme="minorHAnsi"/>
          <w:color w:val="000000" w:themeColor="text1"/>
          <w:sz w:val="22"/>
          <w:szCs w:val="22"/>
        </w:rPr>
        <w:t>.</w:t>
      </w:r>
    </w:p>
    <w:permEnd w:id="1445618769"/>
    <w:p w14:paraId="67492514" w14:textId="1A3B8572" w:rsidR="00ED4063" w:rsidRDefault="00ED4063" w:rsidP="00ED4063">
      <w:pPr>
        <w:rPr>
          <w:rFonts w:cs="Arial"/>
        </w:rPr>
      </w:pPr>
      <w:r>
        <w:rPr>
          <w:rFonts w:cs="Arial"/>
        </w:rPr>
        <w:t>&lt;ESMA_QUESTION_PR_24&gt;</w:t>
      </w:r>
    </w:p>
    <w:p w14:paraId="787B3084" w14:textId="64C72D36" w:rsidR="00ED4063" w:rsidRDefault="00ED4063" w:rsidP="00ED4063">
      <w:pPr>
        <w:rPr>
          <w:rFonts w:cs="Arial"/>
        </w:rPr>
      </w:pPr>
    </w:p>
    <w:p w14:paraId="481E69ED" w14:textId="7DCB7C3A" w:rsidR="00ED4063" w:rsidRDefault="00ED4063" w:rsidP="00ED4063">
      <w:pPr>
        <w:rPr>
          <w:rFonts w:cs="Arial"/>
        </w:rPr>
      </w:pPr>
    </w:p>
    <w:p w14:paraId="0269B75B" w14:textId="604A461F" w:rsidR="00ED4063" w:rsidRDefault="00ED4063" w:rsidP="00ED4063">
      <w:pPr>
        <w:rPr>
          <w:rFonts w:cs="Arial"/>
        </w:rPr>
      </w:pPr>
    </w:p>
    <w:p w14:paraId="02C9C5CE" w14:textId="77777777" w:rsidR="00ED4063" w:rsidRPr="00ED4063" w:rsidRDefault="00ED4063" w:rsidP="00630CD7">
      <w:pPr>
        <w:pStyle w:val="Questionstyle"/>
        <w:numPr>
          <w:ilvl w:val="0"/>
          <w:numId w:val="38"/>
        </w:numPr>
        <w:ind w:hanging="436"/>
        <w:rPr>
          <w:rFonts w:ascii="Arial" w:hAnsi="Arial" w:cs="Arial"/>
        </w:rPr>
      </w:pPr>
      <w:r w:rsidRPr="00ED4063">
        <w:rPr>
          <w:rFonts w:ascii="Arial" w:hAnsi="Arial" w:cs="Arial"/>
        </w:rPr>
        <w:t>: Do you agree that the additional requirements identified from ESMA’s draft technical advice should also be included.</w:t>
      </w:r>
    </w:p>
    <w:p w14:paraId="11B62650" w14:textId="77777777" w:rsidR="00ED4063" w:rsidRDefault="00ED4063" w:rsidP="00ED4063">
      <w:pPr>
        <w:rPr>
          <w:rFonts w:cs="Arial"/>
        </w:rPr>
      </w:pPr>
      <w:r>
        <w:rPr>
          <w:rFonts w:cs="Arial"/>
        </w:rPr>
        <w:t>&lt;ESMA_QUESTION_PR_25&gt;</w:t>
      </w:r>
    </w:p>
    <w:p w14:paraId="1936440A" w14:textId="4179E081" w:rsidR="0086063C" w:rsidRDefault="00C94FC5" w:rsidP="00C312B4">
      <w:pPr>
        <w:jc w:val="both"/>
        <w:rPr>
          <w:rFonts w:asciiTheme="minorHAnsi" w:hAnsiTheme="minorHAnsi" w:cstheme="minorHAnsi"/>
          <w:sz w:val="22"/>
          <w:szCs w:val="22"/>
        </w:rPr>
      </w:pPr>
      <w:permStart w:id="1869438474" w:edGrp="everyone"/>
      <w:r>
        <w:rPr>
          <w:rFonts w:asciiTheme="minorHAnsi" w:hAnsiTheme="minorHAnsi" w:cstheme="minorHAnsi"/>
          <w:b/>
          <w:sz w:val="22"/>
          <w:szCs w:val="22"/>
        </w:rPr>
        <w:t xml:space="preserve">Profit forecasts: </w:t>
      </w:r>
      <w:r w:rsidR="0086063C">
        <w:rPr>
          <w:rFonts w:asciiTheme="minorHAnsi" w:hAnsiTheme="minorHAnsi" w:cstheme="minorHAnsi"/>
          <w:sz w:val="22"/>
          <w:szCs w:val="22"/>
        </w:rPr>
        <w:t>As noted in</w:t>
      </w:r>
      <w:r w:rsidR="003E45AE" w:rsidRPr="00C94FC5">
        <w:rPr>
          <w:rFonts w:asciiTheme="minorHAnsi" w:hAnsiTheme="minorHAnsi" w:cstheme="minorHAnsi"/>
          <w:sz w:val="22"/>
          <w:szCs w:val="22"/>
        </w:rPr>
        <w:t xml:space="preserve"> ICMA’s </w:t>
      </w:r>
      <w:hyperlink r:id="rId23" w:history="1">
        <w:r w:rsidR="003E45AE" w:rsidRPr="00C94FC5">
          <w:rPr>
            <w:rStyle w:val="Hyperlink"/>
            <w:rFonts w:asciiTheme="minorHAnsi" w:hAnsiTheme="minorHAnsi" w:cstheme="minorHAnsi"/>
            <w:sz w:val="22"/>
            <w:szCs w:val="22"/>
          </w:rPr>
          <w:t>response to the consultation on the format and content of the prospectus</w:t>
        </w:r>
      </w:hyperlink>
      <w:r w:rsidR="003E45AE" w:rsidRPr="00C94FC5">
        <w:rPr>
          <w:rFonts w:asciiTheme="minorHAnsi" w:hAnsiTheme="minorHAnsi" w:cstheme="minorHAnsi"/>
          <w:sz w:val="22"/>
          <w:szCs w:val="22"/>
        </w:rPr>
        <w:t xml:space="preserve"> dated 28 September 2017, </w:t>
      </w:r>
      <w:r w:rsidR="0086063C">
        <w:rPr>
          <w:rFonts w:asciiTheme="minorHAnsi" w:hAnsiTheme="minorHAnsi" w:cstheme="minorHAnsi"/>
          <w:sz w:val="22"/>
          <w:szCs w:val="22"/>
        </w:rPr>
        <w:t>our very strong view is</w:t>
      </w:r>
      <w:r w:rsidR="003E45AE" w:rsidRPr="00C94FC5">
        <w:rPr>
          <w:rFonts w:asciiTheme="minorHAnsi" w:hAnsiTheme="minorHAnsi" w:cstheme="minorHAnsi"/>
          <w:sz w:val="22"/>
          <w:szCs w:val="22"/>
        </w:rPr>
        <w:t xml:space="preserve"> that </w:t>
      </w:r>
      <w:r w:rsidR="0086063C">
        <w:rPr>
          <w:rFonts w:asciiTheme="minorHAnsi" w:hAnsiTheme="minorHAnsi" w:cstheme="minorHAnsi"/>
          <w:sz w:val="22"/>
          <w:szCs w:val="22"/>
        </w:rPr>
        <w:t>a</w:t>
      </w:r>
      <w:r>
        <w:rPr>
          <w:rFonts w:asciiTheme="minorHAnsi" w:hAnsiTheme="minorHAnsi" w:cstheme="minorHAnsi"/>
          <w:sz w:val="22"/>
          <w:szCs w:val="22"/>
        </w:rPr>
        <w:t xml:space="preserve"> profit forecast should </w:t>
      </w:r>
      <w:r w:rsidRPr="00324E52">
        <w:rPr>
          <w:rFonts w:asciiTheme="minorHAnsi" w:hAnsiTheme="minorHAnsi" w:cstheme="minorHAnsi"/>
          <w:b/>
          <w:sz w:val="22"/>
          <w:szCs w:val="22"/>
          <w:u w:val="single"/>
        </w:rPr>
        <w:t>not</w:t>
      </w:r>
      <w:r>
        <w:rPr>
          <w:rFonts w:asciiTheme="minorHAnsi" w:hAnsiTheme="minorHAnsi" w:cstheme="minorHAnsi"/>
          <w:b/>
          <w:sz w:val="22"/>
          <w:szCs w:val="22"/>
        </w:rPr>
        <w:t xml:space="preserve"> </w:t>
      </w:r>
      <w:r>
        <w:rPr>
          <w:rFonts w:asciiTheme="minorHAnsi" w:hAnsiTheme="minorHAnsi" w:cstheme="minorHAnsi"/>
          <w:sz w:val="22"/>
          <w:szCs w:val="22"/>
        </w:rPr>
        <w:t>be</w:t>
      </w:r>
      <w:r w:rsidR="0086063C">
        <w:rPr>
          <w:rFonts w:asciiTheme="minorHAnsi" w:hAnsiTheme="minorHAnsi" w:cstheme="minorHAnsi"/>
          <w:sz w:val="22"/>
          <w:szCs w:val="22"/>
        </w:rPr>
        <w:t>come</w:t>
      </w:r>
      <w:r>
        <w:rPr>
          <w:rFonts w:asciiTheme="minorHAnsi" w:hAnsiTheme="minorHAnsi" w:cstheme="minorHAnsi"/>
          <w:sz w:val="22"/>
          <w:szCs w:val="22"/>
        </w:rPr>
        <w:t xml:space="preserve"> mandatory for </w:t>
      </w:r>
      <w:r w:rsidR="003B5C41">
        <w:rPr>
          <w:rFonts w:asciiTheme="minorHAnsi" w:hAnsiTheme="minorHAnsi" w:cstheme="minorHAnsi"/>
          <w:sz w:val="22"/>
          <w:szCs w:val="22"/>
        </w:rPr>
        <w:t>prospectuses for non-equity securities</w:t>
      </w:r>
      <w:r w:rsidR="0086063C">
        <w:rPr>
          <w:rFonts w:asciiTheme="minorHAnsi" w:hAnsiTheme="minorHAnsi" w:cstheme="minorHAnsi"/>
          <w:sz w:val="22"/>
          <w:szCs w:val="22"/>
        </w:rPr>
        <w:t xml:space="preserve">, on the basis that there would be no benefit for investors unless the profit forecast is so extreme that it will impact an issuer’s ability to make payments under the </w:t>
      </w:r>
      <w:r w:rsidR="0086063C" w:rsidRPr="00573CFB">
        <w:rPr>
          <w:rFonts w:asciiTheme="minorHAnsi" w:hAnsiTheme="minorHAnsi" w:cstheme="minorHAnsi"/>
          <w:color w:val="000000" w:themeColor="text1"/>
          <w:sz w:val="22"/>
          <w:szCs w:val="22"/>
        </w:rPr>
        <w:t xml:space="preserve">bonds (in which case, it will </w:t>
      </w:r>
      <w:r w:rsidR="00324E52">
        <w:rPr>
          <w:rFonts w:asciiTheme="minorHAnsi" w:hAnsiTheme="minorHAnsi" w:cstheme="minorHAnsi"/>
          <w:color w:val="000000" w:themeColor="text1"/>
          <w:sz w:val="22"/>
          <w:szCs w:val="22"/>
        </w:rPr>
        <w:t xml:space="preserve">already </w:t>
      </w:r>
      <w:r w:rsidR="0086063C" w:rsidRPr="00573CFB">
        <w:rPr>
          <w:rFonts w:asciiTheme="minorHAnsi" w:hAnsiTheme="minorHAnsi" w:cstheme="minorHAnsi"/>
          <w:color w:val="000000" w:themeColor="text1"/>
          <w:sz w:val="22"/>
          <w:szCs w:val="22"/>
        </w:rPr>
        <w:t>need to be disclosed under the general disclosure test in P</w:t>
      </w:r>
      <w:r w:rsidR="00324E52">
        <w:rPr>
          <w:rFonts w:asciiTheme="minorHAnsi" w:hAnsiTheme="minorHAnsi" w:cstheme="minorHAnsi"/>
          <w:color w:val="000000" w:themeColor="text1"/>
          <w:sz w:val="22"/>
          <w:szCs w:val="22"/>
        </w:rPr>
        <w:t xml:space="preserve">rospectus Regulation </w:t>
      </w:r>
      <w:r w:rsidR="0086063C" w:rsidRPr="00FD0713">
        <w:rPr>
          <w:rFonts w:asciiTheme="minorHAnsi" w:hAnsiTheme="minorHAnsi" w:cstheme="minorHAnsi"/>
          <w:sz w:val="22"/>
          <w:szCs w:val="22"/>
        </w:rPr>
        <w:t>Article 6)</w:t>
      </w:r>
      <w:r w:rsidR="0086063C">
        <w:rPr>
          <w:rFonts w:asciiTheme="minorHAnsi" w:hAnsiTheme="minorHAnsi" w:cstheme="minorHAnsi"/>
          <w:sz w:val="22"/>
          <w:szCs w:val="22"/>
        </w:rPr>
        <w:t xml:space="preserve">. </w:t>
      </w:r>
    </w:p>
    <w:p w14:paraId="102B3BC8" w14:textId="77777777" w:rsidR="001C1330" w:rsidRDefault="001C1330" w:rsidP="00C312B4">
      <w:pPr>
        <w:jc w:val="both"/>
        <w:rPr>
          <w:rFonts w:asciiTheme="minorHAnsi" w:hAnsiTheme="minorHAnsi" w:cstheme="minorHAnsi"/>
          <w:sz w:val="22"/>
          <w:szCs w:val="22"/>
        </w:rPr>
      </w:pPr>
    </w:p>
    <w:p w14:paraId="1A86A36D" w14:textId="76D235B8" w:rsidR="006F2A9E" w:rsidRDefault="001C1330" w:rsidP="00C312B4">
      <w:pPr>
        <w:jc w:val="both"/>
        <w:rPr>
          <w:rFonts w:asciiTheme="minorHAnsi" w:hAnsiTheme="minorHAnsi" w:cstheme="minorHAnsi"/>
          <w:sz w:val="22"/>
          <w:szCs w:val="22"/>
        </w:rPr>
      </w:pPr>
      <w:r>
        <w:rPr>
          <w:rFonts w:asciiTheme="minorHAnsi" w:hAnsiTheme="minorHAnsi" w:cstheme="minorHAnsi"/>
          <w:sz w:val="22"/>
          <w:szCs w:val="22"/>
        </w:rPr>
        <w:lastRenderedPageBreak/>
        <w:t>W</w:t>
      </w:r>
      <w:r w:rsidR="0086063C">
        <w:rPr>
          <w:rFonts w:asciiTheme="minorHAnsi" w:hAnsiTheme="minorHAnsi" w:cstheme="minorHAnsi"/>
          <w:sz w:val="22"/>
          <w:szCs w:val="22"/>
        </w:rPr>
        <w:t xml:space="preserve">e are hopeful that this view will be reflected in the final RTS on </w:t>
      </w:r>
      <w:r w:rsidR="00AE31C6">
        <w:rPr>
          <w:rFonts w:asciiTheme="minorHAnsi" w:hAnsiTheme="minorHAnsi" w:cstheme="minorHAnsi"/>
          <w:sz w:val="22"/>
          <w:szCs w:val="22"/>
        </w:rPr>
        <w:t>format and content of th</w:t>
      </w:r>
      <w:r>
        <w:rPr>
          <w:rFonts w:asciiTheme="minorHAnsi" w:hAnsiTheme="minorHAnsi" w:cstheme="minorHAnsi"/>
          <w:sz w:val="22"/>
          <w:szCs w:val="22"/>
        </w:rPr>
        <w:t xml:space="preserve">e prospectus. If </w:t>
      </w:r>
      <w:r w:rsidR="00AE31C6">
        <w:rPr>
          <w:rFonts w:asciiTheme="minorHAnsi" w:hAnsiTheme="minorHAnsi" w:cstheme="minorHAnsi"/>
          <w:sz w:val="22"/>
          <w:szCs w:val="22"/>
        </w:rPr>
        <w:t>that is the case, it would mean that the new trigger for a supplement in Article 16.1(b) would not be relevant for non-equity prospectuses (unless the issuer chooses to include a profit forecast in the prospectus, which is likely to be rare).</w:t>
      </w:r>
    </w:p>
    <w:p w14:paraId="0CCDC215" w14:textId="4C9B6397" w:rsidR="001C1330" w:rsidRDefault="001C1330" w:rsidP="00C312B4">
      <w:pPr>
        <w:jc w:val="both"/>
        <w:rPr>
          <w:rFonts w:asciiTheme="minorHAnsi" w:hAnsiTheme="minorHAnsi" w:cstheme="minorHAnsi"/>
          <w:sz w:val="22"/>
          <w:szCs w:val="22"/>
        </w:rPr>
      </w:pPr>
    </w:p>
    <w:p w14:paraId="3F34EBA0" w14:textId="77777777" w:rsidR="001C1330" w:rsidRDefault="001C1330" w:rsidP="00C312B4">
      <w:pPr>
        <w:jc w:val="both"/>
        <w:rPr>
          <w:rFonts w:asciiTheme="minorHAnsi" w:hAnsiTheme="minorHAnsi" w:cstheme="minorHAnsi"/>
          <w:sz w:val="22"/>
          <w:szCs w:val="22"/>
        </w:rPr>
      </w:pPr>
      <w:r>
        <w:rPr>
          <w:rFonts w:asciiTheme="minorHAnsi" w:hAnsiTheme="minorHAnsi" w:cstheme="minorHAnsi"/>
          <w:b/>
          <w:sz w:val="22"/>
          <w:szCs w:val="22"/>
        </w:rPr>
        <w:t xml:space="preserve">Working capital statement for depositary receipts: </w:t>
      </w:r>
      <w:r>
        <w:rPr>
          <w:rFonts w:asciiTheme="minorHAnsi" w:hAnsiTheme="minorHAnsi" w:cstheme="minorHAnsi"/>
          <w:sz w:val="22"/>
          <w:szCs w:val="22"/>
        </w:rPr>
        <w:t xml:space="preserve">We do not express a view as this is not an area of focus for ICMA. </w:t>
      </w:r>
    </w:p>
    <w:permEnd w:id="1869438474"/>
    <w:p w14:paraId="5998F951" w14:textId="776029EA" w:rsidR="00ED4063" w:rsidRPr="001C1330" w:rsidRDefault="00ED4063" w:rsidP="00ED4063">
      <w:pPr>
        <w:rPr>
          <w:rFonts w:asciiTheme="minorHAnsi" w:hAnsiTheme="minorHAnsi" w:cstheme="minorHAnsi"/>
          <w:sz w:val="22"/>
          <w:szCs w:val="22"/>
        </w:rPr>
      </w:pPr>
      <w:r>
        <w:rPr>
          <w:rFonts w:cs="Arial"/>
        </w:rPr>
        <w:t>&lt;ESMA_QUESTION_PR_25&gt;</w:t>
      </w:r>
    </w:p>
    <w:p w14:paraId="04184D35" w14:textId="74D95D50" w:rsidR="00ED4063" w:rsidRDefault="00ED4063" w:rsidP="00ED4063">
      <w:pPr>
        <w:rPr>
          <w:rFonts w:cs="Arial"/>
        </w:rPr>
      </w:pPr>
    </w:p>
    <w:p w14:paraId="51DDC0F2" w14:textId="77777777" w:rsidR="00ED4063" w:rsidRDefault="00ED4063" w:rsidP="00ED4063">
      <w:pPr>
        <w:rPr>
          <w:rFonts w:cs="Arial"/>
        </w:rPr>
      </w:pPr>
    </w:p>
    <w:p w14:paraId="5CA16C92" w14:textId="77777777" w:rsidR="00ED4063" w:rsidRDefault="00ED4063" w:rsidP="00ED4063">
      <w:pPr>
        <w:rPr>
          <w:rFonts w:cs="Arial"/>
        </w:rPr>
      </w:pPr>
    </w:p>
    <w:p w14:paraId="37CEF634" w14:textId="77777777" w:rsidR="00ED4063" w:rsidRPr="00ED4063" w:rsidRDefault="00ED4063" w:rsidP="00630CD7">
      <w:pPr>
        <w:pStyle w:val="Questionstyle"/>
        <w:numPr>
          <w:ilvl w:val="0"/>
          <w:numId w:val="38"/>
        </w:numPr>
        <w:ind w:hanging="436"/>
        <w:rPr>
          <w:rFonts w:ascii="Arial" w:hAnsi="Arial" w:cs="Arial"/>
        </w:rPr>
      </w:pPr>
      <w:r w:rsidRPr="00ED4063">
        <w:rPr>
          <w:rFonts w:ascii="Arial" w:hAnsi="Arial" w:cs="Arial"/>
        </w:rPr>
        <w:t>: Do you agree that the publication of audited financial statements by an issuer of retail debt or retail derivative securities should not trigger the requirement to publish a supplementary prospectus?</w:t>
      </w:r>
    </w:p>
    <w:p w14:paraId="19C80894" w14:textId="77777777" w:rsidR="00ED4063" w:rsidRDefault="00ED4063" w:rsidP="00ED4063">
      <w:pPr>
        <w:rPr>
          <w:rFonts w:cs="Arial"/>
        </w:rPr>
      </w:pPr>
      <w:r>
        <w:rPr>
          <w:rFonts w:cs="Arial"/>
        </w:rPr>
        <w:t>&lt;ESMA_QUESTION_PR_26&gt;</w:t>
      </w:r>
    </w:p>
    <w:p w14:paraId="29875E50" w14:textId="3C7D7942" w:rsidR="001C1330" w:rsidRPr="006F2A9E" w:rsidRDefault="001C1330" w:rsidP="000F4A34">
      <w:pPr>
        <w:jc w:val="both"/>
        <w:rPr>
          <w:rFonts w:asciiTheme="minorHAnsi" w:hAnsiTheme="minorHAnsi" w:cstheme="minorHAnsi"/>
          <w:sz w:val="22"/>
          <w:szCs w:val="22"/>
        </w:rPr>
      </w:pPr>
      <w:permStart w:id="1605658156" w:edGrp="everyone"/>
      <w:r w:rsidRPr="001C1330">
        <w:rPr>
          <w:rFonts w:asciiTheme="minorHAnsi" w:hAnsiTheme="minorHAnsi" w:cstheme="minorHAnsi"/>
          <w:sz w:val="22"/>
          <w:szCs w:val="22"/>
        </w:rPr>
        <w:t xml:space="preserve">Yes. Our general view remains per </w:t>
      </w:r>
      <w:r>
        <w:rPr>
          <w:rFonts w:asciiTheme="minorHAnsi" w:hAnsiTheme="minorHAnsi" w:cstheme="minorHAnsi"/>
          <w:sz w:val="22"/>
          <w:szCs w:val="22"/>
        </w:rPr>
        <w:t xml:space="preserve">the </w:t>
      </w:r>
      <w:hyperlink r:id="rId24" w:history="1">
        <w:r>
          <w:rPr>
            <w:rStyle w:val="Hyperlink"/>
            <w:rFonts w:asciiTheme="minorHAnsi" w:hAnsiTheme="minorHAnsi" w:cstheme="minorHAnsi"/>
            <w:sz w:val="22"/>
            <w:szCs w:val="22"/>
          </w:rPr>
          <w:t>ICMA 2013 response to the PD II consultation on supplements</w:t>
        </w:r>
      </w:hyperlink>
      <w:r w:rsidR="006F2A9E">
        <w:rPr>
          <w:rFonts w:asciiTheme="minorHAnsi" w:hAnsiTheme="minorHAnsi" w:cstheme="minorHAnsi"/>
          <w:sz w:val="22"/>
          <w:szCs w:val="22"/>
        </w:rPr>
        <w:t xml:space="preserve"> </w:t>
      </w:r>
      <w:r w:rsidRPr="001C1330">
        <w:rPr>
          <w:rFonts w:asciiTheme="minorHAnsi" w:hAnsiTheme="minorHAnsi" w:cstheme="minorHAnsi"/>
          <w:sz w:val="22"/>
          <w:szCs w:val="22"/>
        </w:rPr>
        <w:t>i.e. it should be for issuers to decide whether a specific situation meets the te</w:t>
      </w:r>
      <w:r w:rsidR="006F2A9E">
        <w:rPr>
          <w:rFonts w:asciiTheme="minorHAnsi" w:hAnsiTheme="minorHAnsi" w:cstheme="minorHAnsi"/>
          <w:sz w:val="22"/>
          <w:szCs w:val="22"/>
        </w:rPr>
        <w:t>st for publishing a supplement</w:t>
      </w:r>
      <w:r>
        <w:rPr>
          <w:rFonts w:asciiTheme="minorHAnsi" w:hAnsiTheme="minorHAnsi" w:cstheme="minorHAnsi"/>
          <w:sz w:val="22"/>
          <w:szCs w:val="22"/>
        </w:rPr>
        <w:t xml:space="preserve"> and it is not necessary for legislation to prescribe specific instances of when a supplement is required. We therefore support the approach of carrying forward </w:t>
      </w:r>
      <w:r w:rsidR="006F2A9E">
        <w:rPr>
          <w:rFonts w:asciiTheme="minorHAnsi" w:hAnsiTheme="minorHAnsi" w:cstheme="minorHAnsi"/>
          <w:sz w:val="22"/>
          <w:szCs w:val="22"/>
        </w:rPr>
        <w:t>existing PD II Level 2 provisions on the basis that market participants are now familiar with the provisions, and do not believe additional triggers need to be includ</w:t>
      </w:r>
      <w:r w:rsidR="009827F0">
        <w:rPr>
          <w:rFonts w:asciiTheme="minorHAnsi" w:hAnsiTheme="minorHAnsi" w:cstheme="minorHAnsi"/>
          <w:sz w:val="22"/>
          <w:szCs w:val="22"/>
        </w:rPr>
        <w:t>ed.</w:t>
      </w:r>
      <w:r w:rsidR="006F2A9E">
        <w:rPr>
          <w:rFonts w:asciiTheme="minorHAnsi" w:hAnsiTheme="minorHAnsi" w:cstheme="minorHAnsi"/>
          <w:sz w:val="22"/>
          <w:szCs w:val="22"/>
        </w:rPr>
        <w:t xml:space="preserve"> </w:t>
      </w:r>
    </w:p>
    <w:permEnd w:id="1605658156"/>
    <w:p w14:paraId="07DC042C" w14:textId="2E0C6CA5" w:rsidR="00ED4063" w:rsidRDefault="00ED4063" w:rsidP="00ED4063">
      <w:pPr>
        <w:rPr>
          <w:rFonts w:cs="Arial"/>
        </w:rPr>
      </w:pPr>
      <w:r>
        <w:rPr>
          <w:rFonts w:cs="Arial"/>
        </w:rPr>
        <w:t>&lt;ESMA_QUESTION_PR_26&gt;</w:t>
      </w:r>
    </w:p>
    <w:p w14:paraId="2DB0C67E" w14:textId="427A77BF" w:rsidR="00ED4063" w:rsidRDefault="00ED4063" w:rsidP="00ED4063">
      <w:pPr>
        <w:rPr>
          <w:rFonts w:cs="Arial"/>
        </w:rPr>
      </w:pPr>
    </w:p>
    <w:p w14:paraId="6F50B1C0" w14:textId="77777777" w:rsidR="00ED4063" w:rsidRDefault="00ED4063" w:rsidP="00ED4063">
      <w:pPr>
        <w:rPr>
          <w:rFonts w:cs="Arial"/>
        </w:rPr>
      </w:pPr>
    </w:p>
    <w:p w14:paraId="1E98D112" w14:textId="77777777" w:rsidR="00ED4063" w:rsidRDefault="00ED4063" w:rsidP="00ED4063">
      <w:pPr>
        <w:rPr>
          <w:rFonts w:cs="Arial"/>
        </w:rPr>
      </w:pPr>
    </w:p>
    <w:p w14:paraId="67996525" w14:textId="77777777" w:rsidR="00ED4063" w:rsidRPr="00ED4063" w:rsidRDefault="00ED4063" w:rsidP="00630CD7">
      <w:pPr>
        <w:pStyle w:val="Questionstyle"/>
        <w:numPr>
          <w:ilvl w:val="0"/>
          <w:numId w:val="38"/>
        </w:numPr>
        <w:ind w:hanging="436"/>
        <w:rPr>
          <w:rFonts w:ascii="Arial" w:hAnsi="Arial" w:cs="Arial"/>
        </w:rPr>
      </w:pPr>
      <w:r w:rsidRPr="00ED4063">
        <w:rPr>
          <w:rFonts w:ascii="Arial" w:hAnsi="Arial" w:cs="Arial"/>
        </w:rPr>
        <w:t xml:space="preserve">: Would the issuer, offeror or person asking for admission to trading incur costs if the </w:t>
      </w:r>
      <w:proofErr w:type="gramStart"/>
      <w:r w:rsidRPr="00ED4063">
        <w:rPr>
          <w:rFonts w:ascii="Arial" w:hAnsi="Arial" w:cs="Arial"/>
        </w:rPr>
        <w:t>aforementioned provisions</w:t>
      </w:r>
      <w:proofErr w:type="gramEnd"/>
      <w:r w:rsidRPr="00ED4063">
        <w:rPr>
          <w:rFonts w:ascii="Arial" w:hAnsi="Arial" w:cs="Arial"/>
        </w:rPr>
        <w:t xml:space="preserve"> are adopted? If so, please specify the nature of such costs, including quantifying them.</w:t>
      </w:r>
    </w:p>
    <w:p w14:paraId="02CA32D5" w14:textId="77777777" w:rsidR="00ED4063" w:rsidRDefault="00ED4063" w:rsidP="00ED4063">
      <w:pPr>
        <w:rPr>
          <w:rFonts w:cs="Arial"/>
        </w:rPr>
      </w:pPr>
      <w:r>
        <w:rPr>
          <w:rFonts w:cs="Arial"/>
        </w:rPr>
        <w:t>&lt;ESMA_QUESTION_PR_27&gt;</w:t>
      </w:r>
    </w:p>
    <w:p w14:paraId="48687888" w14:textId="2E02793C" w:rsidR="00726B9E" w:rsidRDefault="00726B9E" w:rsidP="008A183F">
      <w:pPr>
        <w:jc w:val="both"/>
        <w:rPr>
          <w:rFonts w:asciiTheme="minorHAnsi" w:hAnsiTheme="minorHAnsi" w:cstheme="minorHAnsi"/>
          <w:sz w:val="22"/>
          <w:szCs w:val="22"/>
        </w:rPr>
      </w:pPr>
      <w:permStart w:id="1814188400" w:edGrp="everyone"/>
      <w:r>
        <w:rPr>
          <w:rFonts w:asciiTheme="minorHAnsi" w:hAnsiTheme="minorHAnsi" w:cstheme="minorHAnsi"/>
          <w:sz w:val="22"/>
          <w:szCs w:val="22"/>
        </w:rPr>
        <w:t xml:space="preserve">Assuming the comments noted above related to profit forecasts are taken on board, there should be limited costs for market participants </w:t>
      </w:r>
      <w:proofErr w:type="gramStart"/>
      <w:r>
        <w:rPr>
          <w:rFonts w:asciiTheme="minorHAnsi" w:hAnsiTheme="minorHAnsi" w:cstheme="minorHAnsi"/>
          <w:sz w:val="22"/>
          <w:szCs w:val="22"/>
        </w:rPr>
        <w:t>as a result of</w:t>
      </w:r>
      <w:proofErr w:type="gramEnd"/>
      <w:r>
        <w:rPr>
          <w:rFonts w:asciiTheme="minorHAnsi" w:hAnsiTheme="minorHAnsi" w:cstheme="minorHAnsi"/>
          <w:sz w:val="22"/>
          <w:szCs w:val="22"/>
        </w:rPr>
        <w:t xml:space="preserve"> these provisions being adopted. </w:t>
      </w:r>
    </w:p>
    <w:p w14:paraId="6AA8059B" w14:textId="77777777" w:rsidR="00726B9E" w:rsidRDefault="00726B9E" w:rsidP="008A183F">
      <w:pPr>
        <w:jc w:val="both"/>
        <w:rPr>
          <w:rFonts w:asciiTheme="minorHAnsi" w:hAnsiTheme="minorHAnsi" w:cstheme="minorHAnsi"/>
          <w:sz w:val="22"/>
          <w:szCs w:val="22"/>
        </w:rPr>
      </w:pPr>
    </w:p>
    <w:p w14:paraId="50EC4E19" w14:textId="45BD594B" w:rsidR="00A53DAC" w:rsidRDefault="00726B9E" w:rsidP="008A183F">
      <w:pPr>
        <w:jc w:val="both"/>
        <w:rPr>
          <w:rFonts w:asciiTheme="minorHAnsi" w:hAnsiTheme="minorHAnsi" w:cstheme="minorHAnsi"/>
          <w:sz w:val="22"/>
          <w:szCs w:val="22"/>
        </w:rPr>
      </w:pPr>
      <w:r>
        <w:rPr>
          <w:rFonts w:asciiTheme="minorHAnsi" w:hAnsiTheme="minorHAnsi" w:cstheme="minorHAnsi"/>
          <w:sz w:val="22"/>
          <w:szCs w:val="22"/>
        </w:rPr>
        <w:t xml:space="preserve">However, we take the opportunity to note some continuing points of uncertainty related to supplements. These are not new </w:t>
      </w:r>
      <w:proofErr w:type="gramStart"/>
      <w:r>
        <w:rPr>
          <w:rFonts w:asciiTheme="minorHAnsi" w:hAnsiTheme="minorHAnsi" w:cstheme="minorHAnsi"/>
          <w:sz w:val="22"/>
          <w:szCs w:val="22"/>
        </w:rPr>
        <w:t xml:space="preserve">points, </w:t>
      </w:r>
      <w:r w:rsidR="00A53DAC">
        <w:rPr>
          <w:rFonts w:asciiTheme="minorHAnsi" w:hAnsiTheme="minorHAnsi" w:cstheme="minorHAnsi"/>
          <w:sz w:val="22"/>
          <w:szCs w:val="22"/>
        </w:rPr>
        <w:t>but</w:t>
      </w:r>
      <w:proofErr w:type="gramEnd"/>
      <w:r w:rsidR="00A53DAC">
        <w:rPr>
          <w:rFonts w:asciiTheme="minorHAnsi" w:hAnsiTheme="minorHAnsi" w:cstheme="minorHAnsi"/>
          <w:sz w:val="22"/>
          <w:szCs w:val="22"/>
        </w:rPr>
        <w:t xml:space="preserve"> are repeated here because clarification on t</w:t>
      </w:r>
      <w:r w:rsidR="003B7EA8">
        <w:rPr>
          <w:rFonts w:asciiTheme="minorHAnsi" w:hAnsiTheme="minorHAnsi" w:cstheme="minorHAnsi"/>
          <w:sz w:val="22"/>
          <w:szCs w:val="22"/>
        </w:rPr>
        <w:t>hese points would help to manage</w:t>
      </w:r>
      <w:r w:rsidR="00A53DAC">
        <w:rPr>
          <w:rFonts w:asciiTheme="minorHAnsi" w:hAnsiTheme="minorHAnsi" w:cstheme="minorHAnsi"/>
          <w:sz w:val="22"/>
          <w:szCs w:val="22"/>
        </w:rPr>
        <w:t xml:space="preserve"> costs for market participants associated with the uncertainty surrounding them.</w:t>
      </w:r>
    </w:p>
    <w:p w14:paraId="19117205" w14:textId="4D4FE71B" w:rsidR="006A481C" w:rsidRDefault="006A481C" w:rsidP="008A183F">
      <w:pPr>
        <w:jc w:val="both"/>
        <w:rPr>
          <w:rFonts w:asciiTheme="minorHAnsi" w:hAnsiTheme="minorHAnsi" w:cstheme="minorHAnsi"/>
          <w:sz w:val="22"/>
          <w:szCs w:val="22"/>
        </w:rPr>
      </w:pPr>
    </w:p>
    <w:p w14:paraId="26330753" w14:textId="2D97B6B7" w:rsidR="006A481C" w:rsidRDefault="006A481C" w:rsidP="00E60A86">
      <w:pPr>
        <w:pStyle w:val="ListParagraph"/>
        <w:numPr>
          <w:ilvl w:val="0"/>
          <w:numId w:val="45"/>
        </w:numPr>
        <w:autoSpaceDE w:val="0"/>
        <w:autoSpaceDN w:val="0"/>
        <w:adjustRightInd w:val="0"/>
        <w:ind w:left="360"/>
        <w:jc w:val="both"/>
        <w:rPr>
          <w:rFonts w:asciiTheme="minorHAnsi" w:hAnsiTheme="minorHAnsi" w:cstheme="minorHAnsi"/>
          <w:color w:val="000000"/>
          <w:sz w:val="22"/>
          <w:szCs w:val="22"/>
        </w:rPr>
      </w:pPr>
      <w:r w:rsidRPr="006A481C">
        <w:rPr>
          <w:rFonts w:asciiTheme="minorHAnsi" w:hAnsiTheme="minorHAnsi" w:cstheme="minorHAnsi"/>
          <w:b/>
          <w:sz w:val="22"/>
          <w:szCs w:val="22"/>
        </w:rPr>
        <w:t xml:space="preserve">Grandfathering: </w:t>
      </w:r>
      <w:r>
        <w:rPr>
          <w:rFonts w:asciiTheme="minorHAnsi" w:hAnsiTheme="minorHAnsi" w:cstheme="minorHAnsi"/>
          <w:sz w:val="22"/>
          <w:szCs w:val="22"/>
        </w:rPr>
        <w:t xml:space="preserve">As noted on page 8 of </w:t>
      </w:r>
      <w:hyperlink r:id="rId25" w:history="1">
        <w:r w:rsidRPr="00A53DAC">
          <w:rPr>
            <w:rStyle w:val="Hyperlink"/>
            <w:rFonts w:asciiTheme="minorHAnsi" w:hAnsiTheme="minorHAnsi" w:cstheme="minorHAnsi"/>
            <w:sz w:val="22"/>
            <w:szCs w:val="22"/>
          </w:rPr>
          <w:t>ICMA's 2017 response to ESMA's CP on format and content of the prospectus</w:t>
        </w:r>
      </w:hyperlink>
      <w:r>
        <w:rPr>
          <w:rFonts w:asciiTheme="minorHAnsi" w:hAnsiTheme="minorHAnsi" w:cstheme="minorHAnsi"/>
          <w:color w:val="000000"/>
          <w:sz w:val="22"/>
          <w:szCs w:val="22"/>
        </w:rPr>
        <w:t>, i</w:t>
      </w:r>
      <w:r w:rsidRPr="006A481C">
        <w:rPr>
          <w:rFonts w:asciiTheme="minorHAnsi" w:hAnsiTheme="minorHAnsi" w:cstheme="minorHAnsi"/>
          <w:color w:val="000000"/>
          <w:sz w:val="22"/>
          <w:szCs w:val="22"/>
        </w:rPr>
        <w:t xml:space="preserve">t would be helpful for ESMA to confirm, for the avoidance of doubt, that a supplement after 21 July 2019 to an existing prospectus approved in the months prior to 21 July 2019 will not trigger a requirement to prepare that supplement (or, indeed, a completely new prospectus) </w:t>
      </w:r>
      <w:r w:rsidR="009366DE">
        <w:rPr>
          <w:rFonts w:asciiTheme="minorHAnsi" w:hAnsiTheme="minorHAnsi" w:cstheme="minorHAnsi"/>
          <w:color w:val="000000"/>
          <w:sz w:val="22"/>
          <w:szCs w:val="22"/>
        </w:rPr>
        <w:t>in compliance</w:t>
      </w:r>
      <w:r w:rsidRPr="006A481C">
        <w:rPr>
          <w:rFonts w:asciiTheme="minorHAnsi" w:hAnsiTheme="minorHAnsi" w:cstheme="minorHAnsi"/>
          <w:color w:val="000000"/>
          <w:sz w:val="22"/>
          <w:szCs w:val="22"/>
        </w:rPr>
        <w:t xml:space="preserve"> with the new P</w:t>
      </w:r>
      <w:r w:rsidR="009366DE">
        <w:rPr>
          <w:rFonts w:asciiTheme="minorHAnsi" w:hAnsiTheme="minorHAnsi" w:cstheme="minorHAnsi"/>
          <w:color w:val="000000"/>
          <w:sz w:val="22"/>
          <w:szCs w:val="22"/>
        </w:rPr>
        <w:t>rospectus Regulation</w:t>
      </w:r>
      <w:r w:rsidRPr="006A481C">
        <w:rPr>
          <w:rFonts w:asciiTheme="minorHAnsi" w:hAnsiTheme="minorHAnsi" w:cstheme="minorHAnsi"/>
          <w:color w:val="000000"/>
          <w:sz w:val="22"/>
          <w:szCs w:val="22"/>
        </w:rPr>
        <w:t xml:space="preserve">. </w:t>
      </w:r>
    </w:p>
    <w:p w14:paraId="75D5CDF4" w14:textId="264AFF5B" w:rsidR="006A481C" w:rsidRDefault="006A481C" w:rsidP="008A183F">
      <w:pPr>
        <w:pStyle w:val="ListParagraph"/>
        <w:autoSpaceDE w:val="0"/>
        <w:autoSpaceDN w:val="0"/>
        <w:adjustRightInd w:val="0"/>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FE5FEDC" w14:textId="063F21A5" w:rsidR="00A53DAC" w:rsidRDefault="006A481C" w:rsidP="00E60A86">
      <w:pPr>
        <w:pStyle w:val="ListParagraph"/>
        <w:numPr>
          <w:ilvl w:val="0"/>
          <w:numId w:val="45"/>
        </w:numPr>
        <w:autoSpaceDE w:val="0"/>
        <w:autoSpaceDN w:val="0"/>
        <w:adjustRightInd w:val="0"/>
        <w:ind w:left="360"/>
        <w:jc w:val="both"/>
        <w:rPr>
          <w:rFonts w:asciiTheme="minorHAnsi" w:hAnsiTheme="minorHAnsi" w:cstheme="minorHAnsi"/>
          <w:color w:val="000000"/>
          <w:sz w:val="22"/>
          <w:szCs w:val="22"/>
        </w:rPr>
      </w:pPr>
      <w:r>
        <w:rPr>
          <w:rFonts w:asciiTheme="minorHAnsi" w:hAnsiTheme="minorHAnsi" w:cstheme="minorHAnsi"/>
          <w:b/>
          <w:iCs/>
          <w:color w:val="000000"/>
          <w:sz w:val="22"/>
          <w:szCs w:val="22"/>
        </w:rPr>
        <w:t>Withdrawal rights</w:t>
      </w:r>
      <w:r w:rsidR="00A53DAC" w:rsidRPr="006A481C">
        <w:rPr>
          <w:rFonts w:asciiTheme="minorHAnsi" w:hAnsiTheme="minorHAnsi" w:cstheme="minorHAnsi"/>
          <w:color w:val="000000"/>
          <w:sz w:val="22"/>
          <w:szCs w:val="22"/>
        </w:rPr>
        <w:t xml:space="preserve">: </w:t>
      </w:r>
      <w:r>
        <w:rPr>
          <w:rFonts w:asciiTheme="minorHAnsi" w:hAnsiTheme="minorHAnsi" w:cstheme="minorHAnsi"/>
          <w:sz w:val="22"/>
          <w:szCs w:val="22"/>
        </w:rPr>
        <w:t xml:space="preserve">As noted on page 8 of </w:t>
      </w:r>
      <w:hyperlink r:id="rId26" w:history="1">
        <w:r w:rsidRPr="00A53DAC">
          <w:rPr>
            <w:rStyle w:val="Hyperlink"/>
            <w:rFonts w:asciiTheme="minorHAnsi" w:hAnsiTheme="minorHAnsi" w:cstheme="minorHAnsi"/>
            <w:sz w:val="22"/>
            <w:szCs w:val="22"/>
          </w:rPr>
          <w:t>ICMA's 2017 response to ESMA's CP on format and content of the prospectus</w:t>
        </w:r>
      </w:hyperlink>
      <w:r>
        <w:rPr>
          <w:rFonts w:asciiTheme="minorHAnsi" w:hAnsiTheme="minorHAnsi" w:cstheme="minorHAnsi"/>
          <w:color w:val="000000"/>
          <w:sz w:val="22"/>
          <w:szCs w:val="22"/>
        </w:rPr>
        <w:t>, clarification that the</w:t>
      </w:r>
      <w:r w:rsidR="00A53DAC" w:rsidRPr="006A481C">
        <w:rPr>
          <w:rFonts w:asciiTheme="minorHAnsi" w:hAnsiTheme="minorHAnsi" w:cstheme="minorHAnsi"/>
          <w:color w:val="000000"/>
          <w:sz w:val="22"/>
          <w:szCs w:val="22"/>
        </w:rPr>
        <w:t xml:space="preserve"> investor withdrawal right will not be triggered where a wholesale prospectus is supplemented</w:t>
      </w:r>
      <w:r>
        <w:rPr>
          <w:rFonts w:asciiTheme="minorHAnsi" w:hAnsiTheme="minorHAnsi" w:cstheme="minorHAnsi"/>
          <w:color w:val="000000"/>
          <w:sz w:val="22"/>
          <w:szCs w:val="22"/>
        </w:rPr>
        <w:t xml:space="preserve"> would also be welcome</w:t>
      </w:r>
      <w:r w:rsidR="00A53DAC" w:rsidRPr="006A481C">
        <w:rPr>
          <w:rFonts w:asciiTheme="minorHAnsi" w:hAnsiTheme="minorHAnsi" w:cstheme="minorHAnsi"/>
          <w:color w:val="000000"/>
          <w:sz w:val="22"/>
          <w:szCs w:val="22"/>
        </w:rPr>
        <w:t xml:space="preserve">. This would reflect what we understand to </w:t>
      </w:r>
      <w:r w:rsidR="00A53DAC" w:rsidRPr="006A481C">
        <w:rPr>
          <w:rFonts w:asciiTheme="minorHAnsi" w:hAnsiTheme="minorHAnsi" w:cstheme="minorHAnsi"/>
          <w:color w:val="000000"/>
          <w:sz w:val="22"/>
          <w:szCs w:val="22"/>
        </w:rPr>
        <w:lastRenderedPageBreak/>
        <w:t xml:space="preserve">be the intention that investor withdrawal rights should only apply where the prospectus relates to an offer of securities to the public that is not exempt from the obligation to publish a prospectus. </w:t>
      </w:r>
      <w:r>
        <w:rPr>
          <w:rFonts w:asciiTheme="minorHAnsi" w:hAnsiTheme="minorHAnsi" w:cstheme="minorHAnsi"/>
          <w:color w:val="000000"/>
          <w:sz w:val="22"/>
          <w:szCs w:val="22"/>
        </w:rPr>
        <w:t>A sim</w:t>
      </w:r>
      <w:r w:rsidR="00A53DAC" w:rsidRPr="006A481C">
        <w:rPr>
          <w:rFonts w:asciiTheme="minorHAnsi" w:hAnsiTheme="minorHAnsi" w:cstheme="minorHAnsi"/>
          <w:color w:val="000000"/>
          <w:sz w:val="22"/>
          <w:szCs w:val="22"/>
        </w:rPr>
        <w:t xml:space="preserve">ple clarification would avoid lengthy debates and the risk that there </w:t>
      </w:r>
      <w:r>
        <w:rPr>
          <w:rFonts w:asciiTheme="minorHAnsi" w:hAnsiTheme="minorHAnsi" w:cstheme="minorHAnsi"/>
          <w:color w:val="000000"/>
          <w:sz w:val="22"/>
          <w:szCs w:val="22"/>
        </w:rPr>
        <w:t>might be differing in</w:t>
      </w:r>
      <w:r w:rsidR="00A53DAC" w:rsidRPr="006A481C">
        <w:rPr>
          <w:rFonts w:asciiTheme="minorHAnsi" w:hAnsiTheme="minorHAnsi" w:cstheme="minorHAnsi"/>
          <w:color w:val="000000"/>
          <w:sz w:val="22"/>
          <w:szCs w:val="22"/>
        </w:rPr>
        <w:t>terpretations in different jurisdictions, as</w:t>
      </w:r>
      <w:r>
        <w:rPr>
          <w:rFonts w:asciiTheme="minorHAnsi" w:hAnsiTheme="minorHAnsi" w:cstheme="minorHAnsi"/>
          <w:color w:val="000000"/>
          <w:sz w:val="22"/>
          <w:szCs w:val="22"/>
        </w:rPr>
        <w:t xml:space="preserve"> occurred in the case of the PD II amendments. </w:t>
      </w:r>
    </w:p>
    <w:p w14:paraId="2FDB4962" w14:textId="77777777" w:rsidR="006A481C" w:rsidRPr="006A481C" w:rsidRDefault="006A481C" w:rsidP="008A183F">
      <w:pPr>
        <w:pStyle w:val="ListParagraph"/>
        <w:autoSpaceDE w:val="0"/>
        <w:autoSpaceDN w:val="0"/>
        <w:adjustRightInd w:val="0"/>
        <w:ind w:left="360"/>
        <w:jc w:val="both"/>
        <w:rPr>
          <w:rFonts w:asciiTheme="minorHAnsi" w:hAnsiTheme="minorHAnsi" w:cstheme="minorHAnsi"/>
          <w:color w:val="000000"/>
          <w:sz w:val="22"/>
          <w:szCs w:val="22"/>
        </w:rPr>
      </w:pPr>
    </w:p>
    <w:p w14:paraId="556EFD16" w14:textId="3EFA5DAE" w:rsidR="00A53DAC" w:rsidRPr="00D73A6D" w:rsidRDefault="00A53DAC" w:rsidP="00E60A86">
      <w:pPr>
        <w:pStyle w:val="ListParagraph"/>
        <w:numPr>
          <w:ilvl w:val="0"/>
          <w:numId w:val="45"/>
        </w:numPr>
        <w:autoSpaceDE w:val="0"/>
        <w:autoSpaceDN w:val="0"/>
        <w:adjustRightInd w:val="0"/>
        <w:ind w:left="360"/>
        <w:jc w:val="both"/>
        <w:rPr>
          <w:rFonts w:asciiTheme="minorHAnsi" w:hAnsiTheme="minorHAnsi" w:cstheme="minorHAnsi"/>
          <w:color w:val="000000"/>
          <w:sz w:val="22"/>
          <w:szCs w:val="22"/>
        </w:rPr>
      </w:pPr>
      <w:r w:rsidRPr="00A53DAC">
        <w:rPr>
          <w:rFonts w:asciiTheme="minorHAnsi" w:hAnsiTheme="minorHAnsi" w:cstheme="minorHAnsi"/>
          <w:b/>
          <w:iCs/>
          <w:color w:val="000000"/>
          <w:sz w:val="22"/>
          <w:szCs w:val="22"/>
        </w:rPr>
        <w:t>Notification</w:t>
      </w:r>
      <w:r w:rsidR="006A481C">
        <w:rPr>
          <w:rFonts w:asciiTheme="minorHAnsi" w:hAnsiTheme="minorHAnsi" w:cstheme="minorHAnsi"/>
          <w:b/>
          <w:iCs/>
          <w:color w:val="000000"/>
          <w:sz w:val="22"/>
          <w:szCs w:val="22"/>
        </w:rPr>
        <w:t xml:space="preserve"> of a supplement to investors</w:t>
      </w:r>
      <w:r w:rsidRPr="00A53DAC">
        <w:rPr>
          <w:rFonts w:asciiTheme="minorHAnsi" w:hAnsiTheme="minorHAnsi" w:cstheme="minorHAnsi"/>
          <w:b/>
          <w:iCs/>
          <w:color w:val="000000"/>
          <w:sz w:val="22"/>
          <w:szCs w:val="22"/>
        </w:rPr>
        <w:t xml:space="preserve">: </w:t>
      </w:r>
      <w:r w:rsidR="006A481C">
        <w:rPr>
          <w:rFonts w:asciiTheme="minorHAnsi" w:hAnsiTheme="minorHAnsi" w:cstheme="minorHAnsi"/>
          <w:iCs/>
          <w:color w:val="000000"/>
          <w:sz w:val="22"/>
          <w:szCs w:val="22"/>
        </w:rPr>
        <w:t xml:space="preserve">Also </w:t>
      </w:r>
      <w:r w:rsidR="006A481C">
        <w:rPr>
          <w:rFonts w:asciiTheme="minorHAnsi" w:hAnsiTheme="minorHAnsi" w:cstheme="minorHAnsi"/>
          <w:sz w:val="22"/>
          <w:szCs w:val="22"/>
        </w:rPr>
        <w:t>as noted</w:t>
      </w:r>
      <w:r w:rsidR="00556878">
        <w:rPr>
          <w:rFonts w:asciiTheme="minorHAnsi" w:hAnsiTheme="minorHAnsi" w:cstheme="minorHAnsi"/>
          <w:sz w:val="22"/>
          <w:szCs w:val="22"/>
        </w:rPr>
        <w:t xml:space="preserve"> on page 8 of </w:t>
      </w:r>
      <w:r w:rsidR="006A481C">
        <w:rPr>
          <w:rFonts w:asciiTheme="minorHAnsi" w:hAnsiTheme="minorHAnsi" w:cstheme="minorHAnsi"/>
          <w:sz w:val="22"/>
          <w:szCs w:val="22"/>
        </w:rPr>
        <w:t xml:space="preserve"> </w:t>
      </w:r>
      <w:hyperlink r:id="rId27" w:history="1">
        <w:r w:rsidR="006A481C" w:rsidRPr="00A53DAC">
          <w:rPr>
            <w:rStyle w:val="Hyperlink"/>
            <w:rFonts w:asciiTheme="minorHAnsi" w:hAnsiTheme="minorHAnsi" w:cstheme="minorHAnsi"/>
            <w:sz w:val="22"/>
            <w:szCs w:val="22"/>
          </w:rPr>
          <w:t>ICMA's 2017 response to ESMA's CP on format and content of the prospectus</w:t>
        </w:r>
      </w:hyperlink>
      <w:r w:rsidR="006A481C">
        <w:rPr>
          <w:rFonts w:asciiTheme="minorHAnsi" w:hAnsiTheme="minorHAnsi" w:cstheme="minorHAnsi"/>
          <w:sz w:val="22"/>
          <w:szCs w:val="22"/>
        </w:rPr>
        <w:t xml:space="preserve">, the </w:t>
      </w:r>
      <w:r w:rsidR="006A481C" w:rsidRPr="00A53DAC">
        <w:rPr>
          <w:rFonts w:asciiTheme="minorHAnsi" w:hAnsiTheme="minorHAnsi" w:cstheme="minorHAnsi"/>
          <w:sz w:val="22"/>
          <w:szCs w:val="22"/>
        </w:rPr>
        <w:t>obligation on financial intermediaries to inform investors of the possibility of a supplement being published and contacting investors on the day when the supplement is published</w:t>
      </w:r>
      <w:r w:rsidR="006A481C">
        <w:rPr>
          <w:rFonts w:asciiTheme="minorHAnsi" w:hAnsiTheme="minorHAnsi" w:cstheme="minorHAnsi"/>
          <w:sz w:val="22"/>
          <w:szCs w:val="22"/>
        </w:rPr>
        <w:t xml:space="preserve"> may be challenging for underwriters, who may not be aware that a supplement is going to be published by the issuer</w:t>
      </w:r>
      <w:r w:rsidR="006A481C" w:rsidRPr="00A53DAC">
        <w:rPr>
          <w:rFonts w:asciiTheme="minorHAnsi" w:hAnsiTheme="minorHAnsi" w:cstheme="minorHAnsi"/>
          <w:sz w:val="22"/>
          <w:szCs w:val="22"/>
        </w:rPr>
        <w:t>.</w:t>
      </w:r>
    </w:p>
    <w:p w14:paraId="2E38EC7F" w14:textId="77777777" w:rsidR="00D73A6D" w:rsidRPr="006A481C" w:rsidRDefault="00D73A6D" w:rsidP="008A183F">
      <w:pPr>
        <w:pStyle w:val="ListParagraph"/>
        <w:autoSpaceDE w:val="0"/>
        <w:autoSpaceDN w:val="0"/>
        <w:adjustRightInd w:val="0"/>
        <w:ind w:left="360"/>
        <w:jc w:val="both"/>
        <w:rPr>
          <w:rFonts w:asciiTheme="minorHAnsi" w:hAnsiTheme="minorHAnsi" w:cstheme="minorHAnsi"/>
          <w:color w:val="000000"/>
          <w:sz w:val="22"/>
          <w:szCs w:val="22"/>
        </w:rPr>
      </w:pPr>
    </w:p>
    <w:p w14:paraId="220CC88F" w14:textId="6B15C878" w:rsidR="00ED4063" w:rsidRPr="00D73A6D" w:rsidRDefault="006A481C" w:rsidP="00E60A86">
      <w:pPr>
        <w:pStyle w:val="ListParagraph"/>
        <w:numPr>
          <w:ilvl w:val="0"/>
          <w:numId w:val="45"/>
        </w:numPr>
        <w:autoSpaceDE w:val="0"/>
        <w:autoSpaceDN w:val="0"/>
        <w:adjustRightInd w:val="0"/>
        <w:ind w:left="360"/>
        <w:jc w:val="both"/>
        <w:rPr>
          <w:rFonts w:asciiTheme="minorHAnsi" w:hAnsiTheme="minorHAnsi" w:cstheme="minorHAnsi"/>
          <w:color w:val="000000"/>
          <w:sz w:val="22"/>
          <w:szCs w:val="22"/>
        </w:rPr>
      </w:pPr>
      <w:r>
        <w:rPr>
          <w:rFonts w:asciiTheme="minorHAnsi" w:hAnsiTheme="minorHAnsi" w:cstheme="minorHAnsi"/>
          <w:b/>
          <w:iCs/>
          <w:color w:val="000000"/>
          <w:sz w:val="22"/>
          <w:szCs w:val="22"/>
        </w:rPr>
        <w:t xml:space="preserve">Updating securities note information by means of a supplement: </w:t>
      </w:r>
      <w:r>
        <w:rPr>
          <w:rFonts w:asciiTheme="minorHAnsi" w:hAnsiTheme="minorHAnsi" w:cstheme="minorHAnsi"/>
          <w:iCs/>
          <w:color w:val="000000"/>
          <w:sz w:val="22"/>
          <w:szCs w:val="22"/>
        </w:rPr>
        <w:t xml:space="preserve">As noted on pages 10 - 11 </w:t>
      </w:r>
      <w:hyperlink r:id="rId28" w:history="1">
        <w:r w:rsidR="00573CFB">
          <w:rPr>
            <w:rStyle w:val="Hyperlink"/>
            <w:rFonts w:asciiTheme="minorHAnsi" w:hAnsiTheme="minorHAnsi" w:cstheme="minorHAnsi"/>
            <w:sz w:val="22"/>
            <w:szCs w:val="22"/>
          </w:rPr>
          <w:t>ICMA’s 2013 response to the PD II consultation on supplements</w:t>
        </w:r>
      </w:hyperlink>
      <w:r>
        <w:rPr>
          <w:rFonts w:asciiTheme="minorHAnsi" w:hAnsiTheme="minorHAnsi" w:cstheme="minorHAnsi"/>
          <w:sz w:val="22"/>
          <w:szCs w:val="22"/>
        </w:rPr>
        <w:t xml:space="preserve">, clarity on whether </w:t>
      </w:r>
      <w:r w:rsidR="00D73A6D" w:rsidRPr="00D73A6D">
        <w:rPr>
          <w:rFonts w:asciiTheme="minorHAnsi" w:hAnsiTheme="minorHAnsi" w:cstheme="minorHAnsi"/>
          <w:sz w:val="22"/>
          <w:szCs w:val="22"/>
        </w:rPr>
        <w:t>supplements may be used to amend securities note information in a base prospectus</w:t>
      </w:r>
      <w:r w:rsidR="00D73A6D">
        <w:rPr>
          <w:rFonts w:asciiTheme="minorHAnsi" w:hAnsiTheme="minorHAnsi" w:cstheme="minorHAnsi"/>
          <w:sz w:val="22"/>
          <w:szCs w:val="22"/>
        </w:rPr>
        <w:t xml:space="preserve"> </w:t>
      </w:r>
      <w:r w:rsidR="00D73A6D" w:rsidRPr="00D73A6D">
        <w:rPr>
          <w:rFonts w:asciiTheme="minorHAnsi" w:hAnsiTheme="minorHAnsi" w:cstheme="minorHAnsi"/>
          <w:sz w:val="22"/>
          <w:szCs w:val="22"/>
        </w:rPr>
        <w:t xml:space="preserve">(e.g. to add a change of control </w:t>
      </w:r>
      <w:r w:rsidR="00D73A6D">
        <w:rPr>
          <w:rFonts w:asciiTheme="minorHAnsi" w:hAnsiTheme="minorHAnsi" w:cstheme="minorHAnsi"/>
          <w:sz w:val="22"/>
          <w:szCs w:val="22"/>
        </w:rPr>
        <w:t>pro</w:t>
      </w:r>
      <w:r w:rsidR="00D73A6D" w:rsidRPr="00D73A6D">
        <w:rPr>
          <w:rFonts w:asciiTheme="minorHAnsi" w:hAnsiTheme="minorHAnsi" w:cstheme="minorHAnsi"/>
          <w:sz w:val="22"/>
          <w:szCs w:val="22"/>
        </w:rPr>
        <w:t>vision or provisions related to index-linked notes to a base prospectus</w:t>
      </w:r>
      <w:r w:rsidR="00D73A6D">
        <w:rPr>
          <w:rFonts w:asciiTheme="minorHAnsi" w:hAnsiTheme="minorHAnsi" w:cstheme="minorHAnsi"/>
          <w:sz w:val="22"/>
          <w:szCs w:val="22"/>
        </w:rPr>
        <w:t xml:space="preserve"> </w:t>
      </w:r>
      <w:r w:rsidR="00D73A6D" w:rsidRPr="00D73A6D">
        <w:rPr>
          <w:rFonts w:asciiTheme="minorHAnsi" w:hAnsiTheme="minorHAnsi" w:cstheme="minorHAnsi"/>
          <w:sz w:val="22"/>
          <w:szCs w:val="22"/>
        </w:rPr>
        <w:t>that did not previously include these provisions)</w:t>
      </w:r>
      <w:r w:rsidR="00556878">
        <w:rPr>
          <w:rFonts w:asciiTheme="minorHAnsi" w:hAnsiTheme="minorHAnsi" w:cstheme="minorHAnsi"/>
          <w:sz w:val="22"/>
          <w:szCs w:val="22"/>
        </w:rPr>
        <w:t xml:space="preserve"> would also be welcome.</w:t>
      </w:r>
    </w:p>
    <w:permEnd w:id="1814188400"/>
    <w:p w14:paraId="5F76CBC0" w14:textId="03F203FB" w:rsidR="00ED4063" w:rsidRDefault="00ED4063" w:rsidP="00ED4063">
      <w:pPr>
        <w:rPr>
          <w:rFonts w:cs="Arial"/>
        </w:rPr>
      </w:pPr>
      <w:r>
        <w:rPr>
          <w:rFonts w:cs="Arial"/>
        </w:rPr>
        <w:t>&lt;ESMA_QUESTION_PR_27&gt;</w:t>
      </w:r>
    </w:p>
    <w:p w14:paraId="768F7525" w14:textId="77777777" w:rsidR="00C761FA" w:rsidRDefault="00C761FA" w:rsidP="00ED4063">
      <w:pPr>
        <w:rPr>
          <w:rFonts w:cs="Arial"/>
        </w:rPr>
      </w:pPr>
    </w:p>
    <w:p w14:paraId="24388835" w14:textId="14D0F3A1" w:rsidR="00ED4063" w:rsidRDefault="00ED4063" w:rsidP="00ED4063">
      <w:pPr>
        <w:rPr>
          <w:rFonts w:cs="Arial"/>
        </w:rPr>
      </w:pPr>
    </w:p>
    <w:p w14:paraId="2F1F2215" w14:textId="77777777" w:rsidR="00315895" w:rsidRDefault="00315895" w:rsidP="00ED4063">
      <w:pPr>
        <w:rPr>
          <w:rFonts w:cs="Arial"/>
        </w:rPr>
      </w:pPr>
    </w:p>
    <w:p w14:paraId="4866E0CD" w14:textId="77777777" w:rsidR="00C761FA" w:rsidRPr="00931870" w:rsidRDefault="00C761FA" w:rsidP="00C761FA">
      <w:pPr>
        <w:pStyle w:val="Heading1"/>
        <w:numPr>
          <w:ilvl w:val="0"/>
          <w:numId w:val="0"/>
        </w:numPr>
      </w:pPr>
      <w:r w:rsidRPr="00931870">
        <w:t>Publication</w:t>
      </w:r>
    </w:p>
    <w:p w14:paraId="6B735F43" w14:textId="77777777" w:rsidR="00ED4063" w:rsidRPr="00BD3C97" w:rsidRDefault="00ED4063" w:rsidP="00BD3C97">
      <w:pPr>
        <w:spacing w:before="240" w:after="60"/>
        <w:rPr>
          <w:rFonts w:cs="Arial"/>
        </w:rPr>
      </w:pPr>
    </w:p>
    <w:p w14:paraId="441A775D" w14:textId="77777777" w:rsidR="00ED4063" w:rsidRPr="00ED4063" w:rsidRDefault="00ED4063" w:rsidP="00630CD7">
      <w:pPr>
        <w:pStyle w:val="Questionstyle"/>
        <w:numPr>
          <w:ilvl w:val="0"/>
          <w:numId w:val="38"/>
        </w:numPr>
        <w:ind w:hanging="436"/>
        <w:rPr>
          <w:rFonts w:ascii="Arial" w:hAnsi="Arial" w:cs="Arial"/>
        </w:rPr>
      </w:pPr>
      <w:r w:rsidRPr="00ED4063">
        <w:rPr>
          <w:rFonts w:ascii="Arial" w:hAnsi="Arial" w:cs="Arial"/>
        </w:rPr>
        <w:t>: Do you agree that only Article 6(1)(c) and 6(3) of the Second Commission Delegated Regulation need to be carried over to Level 2 under the new regime?</w:t>
      </w:r>
    </w:p>
    <w:p w14:paraId="46620586" w14:textId="77777777" w:rsidR="00ED4063" w:rsidRDefault="00ED4063" w:rsidP="00ED4063">
      <w:pPr>
        <w:rPr>
          <w:rFonts w:cs="Arial"/>
        </w:rPr>
      </w:pPr>
      <w:r>
        <w:rPr>
          <w:rFonts w:cs="Arial"/>
        </w:rPr>
        <w:t>&lt;ESMA_QUESTION_PR_28&gt;</w:t>
      </w:r>
    </w:p>
    <w:p w14:paraId="20CEF395" w14:textId="75ED91FF" w:rsidR="00693A98" w:rsidRPr="004E29F8" w:rsidRDefault="00693A98" w:rsidP="00C312B4">
      <w:pPr>
        <w:jc w:val="both"/>
        <w:rPr>
          <w:rFonts w:asciiTheme="minorHAnsi" w:hAnsiTheme="minorHAnsi" w:cstheme="minorHAnsi"/>
          <w:sz w:val="22"/>
          <w:szCs w:val="22"/>
        </w:rPr>
      </w:pPr>
      <w:permStart w:id="549334733" w:edGrp="everyone"/>
      <w:r w:rsidRPr="004E29F8">
        <w:rPr>
          <w:rFonts w:asciiTheme="minorHAnsi" w:hAnsiTheme="minorHAnsi" w:cstheme="minorHAnsi"/>
          <w:sz w:val="22"/>
          <w:szCs w:val="22"/>
        </w:rPr>
        <w:t xml:space="preserve">Yes. The other provisions of Article 6 of the Second Commission Delegated Regulation are covered by PR Article </w:t>
      </w:r>
      <w:r w:rsidR="003E5C03">
        <w:rPr>
          <w:rFonts w:asciiTheme="minorHAnsi" w:hAnsiTheme="minorHAnsi" w:cstheme="minorHAnsi"/>
          <w:sz w:val="22"/>
          <w:szCs w:val="22"/>
        </w:rPr>
        <w:t xml:space="preserve">19(2) and Article </w:t>
      </w:r>
      <w:r w:rsidRPr="004E29F8">
        <w:rPr>
          <w:rFonts w:asciiTheme="minorHAnsi" w:hAnsiTheme="minorHAnsi" w:cstheme="minorHAnsi"/>
          <w:sz w:val="22"/>
          <w:szCs w:val="22"/>
        </w:rPr>
        <w:t>21.</w:t>
      </w:r>
    </w:p>
    <w:permEnd w:id="549334733"/>
    <w:p w14:paraId="34E14530" w14:textId="10B221D2" w:rsidR="00ED4063" w:rsidRPr="00693A98" w:rsidRDefault="00ED4063" w:rsidP="00ED4063">
      <w:pPr>
        <w:rPr>
          <w:rFonts w:asciiTheme="minorHAnsi" w:hAnsiTheme="minorHAnsi" w:cstheme="minorHAnsi"/>
        </w:rPr>
      </w:pPr>
      <w:r>
        <w:rPr>
          <w:rFonts w:cs="Arial"/>
        </w:rPr>
        <w:t>&lt;ESMA_QUESTION_PR_28&gt;</w:t>
      </w:r>
    </w:p>
    <w:p w14:paraId="19046F32" w14:textId="188295A7" w:rsidR="00ED4063" w:rsidRDefault="00ED4063" w:rsidP="00ED4063">
      <w:pPr>
        <w:rPr>
          <w:rFonts w:cs="Arial"/>
        </w:rPr>
      </w:pPr>
    </w:p>
    <w:p w14:paraId="64B3DAD8" w14:textId="77777777" w:rsidR="00ED4063" w:rsidRDefault="00ED4063" w:rsidP="00ED4063">
      <w:pPr>
        <w:rPr>
          <w:rFonts w:cs="Arial"/>
        </w:rPr>
      </w:pPr>
    </w:p>
    <w:p w14:paraId="41281529" w14:textId="77777777" w:rsidR="00ED4063" w:rsidRDefault="00ED4063" w:rsidP="00ED4063">
      <w:pPr>
        <w:rPr>
          <w:rFonts w:cs="Arial"/>
        </w:rPr>
      </w:pPr>
    </w:p>
    <w:p w14:paraId="39C08DC0" w14:textId="77777777" w:rsidR="00ED4063" w:rsidRPr="00ED4063" w:rsidRDefault="00ED4063" w:rsidP="00630CD7">
      <w:pPr>
        <w:pStyle w:val="Questionstyle"/>
        <w:numPr>
          <w:ilvl w:val="0"/>
          <w:numId w:val="38"/>
        </w:numPr>
        <w:ind w:hanging="436"/>
        <w:rPr>
          <w:rFonts w:ascii="Arial" w:hAnsi="Arial" w:cs="Arial"/>
        </w:rPr>
      </w:pPr>
      <w:r w:rsidRPr="00ED4063">
        <w:rPr>
          <w:rFonts w:ascii="Arial" w:hAnsi="Arial" w:cs="Arial"/>
        </w:rPr>
        <w:t>: Do you agree that no other publication provisions of the new Prospectus Regulation need to be specified by way of RTS? If not, please identify the provisions which should be specified.</w:t>
      </w:r>
    </w:p>
    <w:p w14:paraId="2B0AE002" w14:textId="77777777" w:rsidR="00ED4063" w:rsidRDefault="00ED4063" w:rsidP="00ED4063">
      <w:pPr>
        <w:rPr>
          <w:rFonts w:cs="Arial"/>
        </w:rPr>
      </w:pPr>
      <w:r>
        <w:rPr>
          <w:rFonts w:cs="Arial"/>
        </w:rPr>
        <w:t>&lt;ESMA_QUESTION_PR_29&gt;</w:t>
      </w:r>
    </w:p>
    <w:p w14:paraId="5B407DB9" w14:textId="7F7B5FBC" w:rsidR="00ED4063" w:rsidRPr="00693A98" w:rsidRDefault="00693A98" w:rsidP="00C312B4">
      <w:pPr>
        <w:jc w:val="both"/>
        <w:rPr>
          <w:rFonts w:asciiTheme="minorHAnsi" w:hAnsiTheme="minorHAnsi" w:cstheme="minorHAnsi"/>
          <w:sz w:val="22"/>
        </w:rPr>
      </w:pPr>
      <w:permStart w:id="1670465729" w:edGrp="everyone"/>
      <w:r w:rsidRPr="00693A98">
        <w:rPr>
          <w:rFonts w:asciiTheme="minorHAnsi" w:hAnsiTheme="minorHAnsi" w:cstheme="minorHAnsi"/>
          <w:sz w:val="22"/>
        </w:rPr>
        <w:t>Yes, we agree that no other publication provisions of the new Prospectus Regulation need to be specified by way of RTS.</w:t>
      </w:r>
    </w:p>
    <w:permEnd w:id="1670465729"/>
    <w:p w14:paraId="5424099B" w14:textId="67952280" w:rsidR="00ED4063" w:rsidRDefault="00ED4063" w:rsidP="00ED4063">
      <w:pPr>
        <w:rPr>
          <w:rFonts w:cs="Arial"/>
        </w:rPr>
      </w:pPr>
      <w:r>
        <w:rPr>
          <w:rFonts w:cs="Arial"/>
        </w:rPr>
        <w:t>&lt;ESMA_QUESTION_PR_29&gt;</w:t>
      </w:r>
    </w:p>
    <w:p w14:paraId="5F5965EF" w14:textId="625A580D" w:rsidR="00ED4063" w:rsidRDefault="00ED4063" w:rsidP="00ED4063">
      <w:pPr>
        <w:rPr>
          <w:rFonts w:cs="Arial"/>
        </w:rPr>
      </w:pPr>
    </w:p>
    <w:p w14:paraId="3EF0C5B0" w14:textId="05D1D3F8" w:rsidR="00ED4063" w:rsidRDefault="00ED4063" w:rsidP="00ED4063">
      <w:pPr>
        <w:rPr>
          <w:rFonts w:cs="Arial"/>
        </w:rPr>
      </w:pPr>
    </w:p>
    <w:p w14:paraId="5DBD95A7" w14:textId="76911E67" w:rsidR="00ED4063" w:rsidRDefault="00ED4063" w:rsidP="00ED4063">
      <w:pPr>
        <w:rPr>
          <w:rFonts w:cs="Arial"/>
        </w:rPr>
      </w:pPr>
    </w:p>
    <w:p w14:paraId="37E72C82" w14:textId="77777777" w:rsidR="00ED4063" w:rsidRPr="00ED4063" w:rsidRDefault="00ED4063" w:rsidP="00630CD7">
      <w:pPr>
        <w:pStyle w:val="Questionstyle"/>
        <w:numPr>
          <w:ilvl w:val="0"/>
          <w:numId w:val="38"/>
        </w:numPr>
        <w:ind w:hanging="436"/>
        <w:rPr>
          <w:rFonts w:ascii="Arial" w:hAnsi="Arial" w:cs="Arial"/>
        </w:rPr>
      </w:pPr>
      <w:r w:rsidRPr="00ED4063">
        <w:rPr>
          <w:rFonts w:ascii="Arial" w:hAnsi="Arial" w:cs="Arial"/>
        </w:rPr>
        <w:t xml:space="preserve">: Do you believe that the proposed publication provisions will impose additional costs on issuers, offerors or persons asking for admission to trading? If yes, please </w:t>
      </w:r>
      <w:r w:rsidRPr="00ED4063">
        <w:rPr>
          <w:rFonts w:ascii="Arial" w:hAnsi="Arial" w:cs="Arial"/>
        </w:rPr>
        <w:lastRenderedPageBreak/>
        <w:t>specify the type and nature of such costs, including whether they are one-off or on-going, and quantify them.</w:t>
      </w:r>
    </w:p>
    <w:p w14:paraId="3AA33C89" w14:textId="77777777" w:rsidR="00ED4063" w:rsidRDefault="00ED4063" w:rsidP="00ED4063">
      <w:pPr>
        <w:rPr>
          <w:rFonts w:cs="Arial"/>
        </w:rPr>
      </w:pPr>
      <w:r>
        <w:rPr>
          <w:rFonts w:cs="Arial"/>
        </w:rPr>
        <w:t>&lt;ESMA_QUESTION_PR_30&gt;</w:t>
      </w:r>
    </w:p>
    <w:p w14:paraId="23562E49" w14:textId="7C8C9975" w:rsidR="00ED4063" w:rsidRPr="008C1226" w:rsidRDefault="004E29F8" w:rsidP="00C312B4">
      <w:pPr>
        <w:jc w:val="both"/>
        <w:rPr>
          <w:rFonts w:asciiTheme="minorHAnsi" w:hAnsiTheme="minorHAnsi" w:cstheme="minorHAnsi"/>
          <w:sz w:val="22"/>
          <w:szCs w:val="22"/>
        </w:rPr>
      </w:pPr>
      <w:permStart w:id="97649860" w:edGrp="everyone"/>
      <w:r w:rsidRPr="008C1226">
        <w:rPr>
          <w:rFonts w:asciiTheme="minorHAnsi" w:hAnsiTheme="minorHAnsi" w:cstheme="minorHAnsi"/>
          <w:sz w:val="22"/>
          <w:szCs w:val="22"/>
        </w:rPr>
        <w:t xml:space="preserve">The proposals are unlikely to impose significant additional costs on issuers. </w:t>
      </w:r>
    </w:p>
    <w:permEnd w:id="97649860"/>
    <w:p w14:paraId="3C3A6A2E" w14:textId="77777777" w:rsidR="00ED4063" w:rsidRDefault="00ED4063" w:rsidP="00ED4063">
      <w:pPr>
        <w:rPr>
          <w:rFonts w:cs="Arial"/>
        </w:rPr>
      </w:pPr>
      <w:r>
        <w:rPr>
          <w:rFonts w:cs="Arial"/>
        </w:rPr>
        <w:t>&lt;ESMA_QUESTION_PR_30&gt;</w:t>
      </w:r>
    </w:p>
    <w:p w14:paraId="28084160" w14:textId="77777777" w:rsidR="00ED4063" w:rsidRPr="007B52B2" w:rsidRDefault="00ED4063" w:rsidP="00ED4063">
      <w:pPr>
        <w:rPr>
          <w:rFonts w:cs="Arial"/>
        </w:rPr>
      </w:pPr>
    </w:p>
    <w:p w14:paraId="2FF4C6BF" w14:textId="77777777" w:rsidR="00ED4063" w:rsidRDefault="00ED4063" w:rsidP="000A58BE">
      <w:pPr>
        <w:rPr>
          <w:rFonts w:cs="Arial"/>
        </w:rPr>
      </w:pPr>
    </w:p>
    <w:sectPr w:rsidR="00ED4063" w:rsidSect="00A8728B">
      <w:headerReference w:type="even" r:id="rId29"/>
      <w:headerReference w:type="first" r:id="rId30"/>
      <w:footerReference w:type="first" r:id="rId3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2926C" w14:textId="77777777" w:rsidR="009366DE" w:rsidRDefault="009366DE">
      <w:r>
        <w:separator/>
      </w:r>
    </w:p>
    <w:p w14:paraId="0157F70E" w14:textId="77777777" w:rsidR="009366DE" w:rsidRDefault="009366DE"/>
  </w:endnote>
  <w:endnote w:type="continuationSeparator" w:id="0">
    <w:p w14:paraId="695EDAAF" w14:textId="77777777" w:rsidR="009366DE" w:rsidRDefault="009366DE">
      <w:r>
        <w:continuationSeparator/>
      </w:r>
    </w:p>
    <w:p w14:paraId="76F852A3" w14:textId="77777777" w:rsidR="009366DE" w:rsidRDefault="009366DE"/>
  </w:endnote>
  <w:endnote w:type="continuationNotice" w:id="1">
    <w:p w14:paraId="6DA2E0DD" w14:textId="77777777" w:rsidR="009366DE" w:rsidRDefault="00936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366DE" w:rsidRPr="00616B9B" w14:paraId="1A11FFC7" w14:textId="77777777" w:rsidTr="00315E96">
      <w:trPr>
        <w:trHeight w:val="284"/>
      </w:trPr>
      <w:tc>
        <w:tcPr>
          <w:tcW w:w="8460" w:type="dxa"/>
        </w:tcPr>
        <w:p w14:paraId="2CE11161" w14:textId="77777777" w:rsidR="009366DE" w:rsidRPr="00315E96" w:rsidRDefault="009366DE" w:rsidP="00315E96">
          <w:pPr>
            <w:pStyle w:val="00Footer"/>
            <w:rPr>
              <w:lang w:val="fr-FR"/>
            </w:rPr>
          </w:pPr>
        </w:p>
      </w:tc>
      <w:tc>
        <w:tcPr>
          <w:tcW w:w="952" w:type="dxa"/>
        </w:tcPr>
        <w:p w14:paraId="516490C0" w14:textId="66315FBA" w:rsidR="009366DE" w:rsidRPr="00616B9B" w:rsidRDefault="009366D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D1021">
            <w:rPr>
              <w:rFonts w:cs="Arial"/>
              <w:noProof/>
              <w:sz w:val="22"/>
              <w:szCs w:val="22"/>
            </w:rPr>
            <w:t>21</w:t>
          </w:r>
          <w:r w:rsidRPr="00616B9B">
            <w:rPr>
              <w:rFonts w:cs="Arial"/>
              <w:noProof/>
              <w:sz w:val="22"/>
              <w:szCs w:val="22"/>
            </w:rPr>
            <w:fldChar w:fldCharType="end"/>
          </w:r>
        </w:p>
      </w:tc>
    </w:tr>
  </w:tbl>
  <w:p w14:paraId="3F8E2998" w14:textId="77777777" w:rsidR="009366DE" w:rsidRDefault="00936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8D16" w14:textId="77777777" w:rsidR="009366DE" w:rsidRDefault="00936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708AB" w14:textId="77777777" w:rsidR="009366DE" w:rsidRDefault="009366DE">
      <w:r>
        <w:separator/>
      </w:r>
    </w:p>
    <w:p w14:paraId="5D343E11" w14:textId="77777777" w:rsidR="009366DE" w:rsidRDefault="009366DE"/>
  </w:footnote>
  <w:footnote w:type="continuationSeparator" w:id="0">
    <w:p w14:paraId="3F11F365" w14:textId="77777777" w:rsidR="009366DE" w:rsidRDefault="009366DE">
      <w:r>
        <w:continuationSeparator/>
      </w:r>
    </w:p>
    <w:p w14:paraId="2EB34448" w14:textId="77777777" w:rsidR="009366DE" w:rsidRDefault="009366DE"/>
  </w:footnote>
  <w:footnote w:type="continuationNotice" w:id="1">
    <w:p w14:paraId="32A81D90" w14:textId="77777777" w:rsidR="009366DE" w:rsidRDefault="009366DE"/>
  </w:footnote>
  <w:footnote w:id="2">
    <w:p w14:paraId="331BC939" w14:textId="77777777" w:rsidR="009366DE" w:rsidRPr="00A758A9" w:rsidRDefault="009366DE" w:rsidP="002C43F5">
      <w:pPr>
        <w:pStyle w:val="FootnoteText"/>
        <w:rPr>
          <w:sz w:val="18"/>
          <w:szCs w:val="18"/>
        </w:rPr>
      </w:pPr>
      <w:r>
        <w:rPr>
          <w:rStyle w:val="FootnoteReference"/>
        </w:rPr>
        <w:footnoteRef/>
      </w:r>
      <w:r>
        <w:t xml:space="preserve"> </w:t>
      </w:r>
      <w:hyperlink r:id="rId1" w:history="1">
        <w:r w:rsidRPr="00A758A9">
          <w:rPr>
            <w:rStyle w:val="Hyperlink"/>
            <w:sz w:val="18"/>
            <w:szCs w:val="18"/>
          </w:rPr>
          <w:t>https://www.icmagroup.org/Regulatory-Policy-and-Market-Practice/Primary-Markets/primary-market-committees/icma-corporate-issuer-forum/</w:t>
        </w:r>
      </w:hyperlink>
      <w:r w:rsidRPr="00A758A9">
        <w:rPr>
          <w:sz w:val="18"/>
          <w:szCs w:val="18"/>
        </w:rPr>
        <w:t xml:space="preserve"> </w:t>
      </w:r>
    </w:p>
  </w:footnote>
  <w:footnote w:id="3">
    <w:p w14:paraId="4C036892" w14:textId="77777777" w:rsidR="009366DE" w:rsidRPr="00A758A9" w:rsidRDefault="009366DE" w:rsidP="002C43F5">
      <w:pPr>
        <w:pStyle w:val="FootnoteText"/>
      </w:pPr>
      <w:r w:rsidRPr="00A758A9">
        <w:rPr>
          <w:rStyle w:val="FootnoteReference"/>
          <w:sz w:val="18"/>
          <w:szCs w:val="18"/>
        </w:rPr>
        <w:footnoteRef/>
      </w:r>
      <w:r w:rsidRPr="00A758A9">
        <w:rPr>
          <w:sz w:val="18"/>
          <w:szCs w:val="18"/>
        </w:rPr>
        <w:t xml:space="preserve"> </w:t>
      </w:r>
      <w:hyperlink r:id="rId2" w:history="1">
        <w:r w:rsidRPr="00A758A9">
          <w:rPr>
            <w:rStyle w:val="Hyperlink"/>
            <w:sz w:val="18"/>
            <w:szCs w:val="18"/>
          </w:rPr>
          <w:t>https://www.icmagroup.org/Regulatory-Policy-and-Market-Practice/Primary-Markets/primary-market-committees/icma-financial-institution-issuer-forum/</w:t>
        </w:r>
      </w:hyperlink>
      <w:r>
        <w:t xml:space="preserve"> </w:t>
      </w:r>
    </w:p>
  </w:footnote>
  <w:footnote w:id="4">
    <w:p w14:paraId="39CF9337" w14:textId="77777777" w:rsidR="009366DE" w:rsidRPr="00D413F2" w:rsidRDefault="009366DE" w:rsidP="002C43F5">
      <w:pPr>
        <w:pStyle w:val="FootnoteText"/>
        <w:rPr>
          <w:rFonts w:cs="Arial"/>
          <w:sz w:val="18"/>
          <w:szCs w:val="18"/>
        </w:rPr>
      </w:pPr>
      <w:r w:rsidRPr="00D413F2">
        <w:rPr>
          <w:rStyle w:val="FootnoteReference"/>
          <w:rFonts w:cs="Arial"/>
          <w:sz w:val="18"/>
          <w:szCs w:val="18"/>
        </w:rPr>
        <w:footnoteRef/>
      </w:r>
      <w:r w:rsidRPr="00D413F2">
        <w:rPr>
          <w:sz w:val="18"/>
          <w:szCs w:val="18"/>
        </w:rPr>
        <w:t xml:space="preserve"> </w:t>
      </w:r>
      <w:hyperlink r:id="rId3" w:history="1">
        <w:r w:rsidRPr="007209E7">
          <w:rPr>
            <w:rStyle w:val="Hyperlink"/>
            <w:sz w:val="18"/>
            <w:szCs w:val="18"/>
          </w:rPr>
          <w:t>https://www.icmagroup.org/Regulatory-Policy-and-Market-Practice/Primary-Markets/primary-market-committees/icma-primary-market-practices-committee/</w:t>
        </w:r>
      </w:hyperlink>
      <w:r>
        <w:rPr>
          <w:sz w:val="18"/>
          <w:szCs w:val="18"/>
        </w:rPr>
        <w:t xml:space="preserve"> </w:t>
      </w:r>
      <w:r w:rsidRPr="00A758A9" w:rsidDel="00150C7E">
        <w:rPr>
          <w:sz w:val="18"/>
          <w:szCs w:val="18"/>
        </w:rPr>
        <w:t xml:space="preserve"> </w:t>
      </w:r>
      <w:r>
        <w:rPr>
          <w:sz w:val="18"/>
          <w:szCs w:val="18"/>
        </w:rPr>
        <w:t xml:space="preserve"> </w:t>
      </w:r>
    </w:p>
  </w:footnote>
  <w:footnote w:id="5">
    <w:p w14:paraId="6B4F6737" w14:textId="77777777" w:rsidR="009366DE" w:rsidRPr="008F08BB" w:rsidRDefault="009366DE" w:rsidP="002C43F5">
      <w:pPr>
        <w:pStyle w:val="FootnoteText"/>
        <w:rPr>
          <w:rFonts w:cs="Arial"/>
          <w:szCs w:val="16"/>
        </w:rPr>
      </w:pPr>
      <w:r w:rsidRPr="00D413F2">
        <w:rPr>
          <w:rStyle w:val="FootnoteReference"/>
          <w:rFonts w:cs="Arial"/>
          <w:sz w:val="18"/>
          <w:szCs w:val="18"/>
        </w:rPr>
        <w:footnoteRef/>
      </w:r>
      <w:r w:rsidRPr="00D413F2">
        <w:rPr>
          <w:sz w:val="18"/>
          <w:szCs w:val="18"/>
        </w:rPr>
        <w:t xml:space="preserve"> </w:t>
      </w:r>
      <w:hyperlink r:id="rId4" w:history="1">
        <w:r w:rsidRPr="007209E7">
          <w:rPr>
            <w:rStyle w:val="Hyperlink"/>
            <w:sz w:val="18"/>
            <w:szCs w:val="18"/>
          </w:rPr>
          <w:t>https://www.icmagroup.org/Regulatory-Policy-and-Market-Practice/Primary-Markets/primary-market-committees/icma-legal-and-documentation-committee/</w:t>
        </w:r>
      </w:hyperlink>
      <w:r>
        <w:rPr>
          <w:sz w:val="18"/>
          <w:szCs w:val="18"/>
        </w:rPr>
        <w:t xml:space="preserve"> </w:t>
      </w:r>
      <w:r w:rsidRPr="00150C7E" w:rsidDel="00150C7E">
        <w:rPr>
          <w:sz w:val="18"/>
          <w:szCs w:val="18"/>
        </w:rPr>
        <w:t xml:space="preserve"> </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2CB8" w14:textId="77777777" w:rsidR="009366DE" w:rsidRDefault="009366DE">
    <w:pPr>
      <w:pStyle w:val="Header"/>
    </w:pPr>
    <w:r>
      <w:rPr>
        <w:noProof/>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8D59" w14:textId="5207787A" w:rsidR="009366DE" w:rsidRDefault="009366DE" w:rsidP="00013CCE">
    <w:pPr>
      <w:pStyle w:val="Header"/>
      <w:jc w:val="right"/>
    </w:pPr>
    <w:r w:rsidRPr="003E45AE">
      <w:rPr>
        <w:noProof/>
        <w:highlight w:val="yellow"/>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5AE">
      <w:rPr>
        <w:noProof/>
        <w:highlight w:val="yellow"/>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40544772" w14:textId="6CE29A2A" w:rsidR="00FA179D" w:rsidRDefault="00FA179D" w:rsidP="00013CCE">
    <w:pPr>
      <w:pStyle w:val="Header"/>
      <w:jc w:val="right"/>
    </w:pPr>
    <w:r>
      <w:t xml:space="preserve">ICMA SUBMISSION: 8 March 2018 </w:t>
    </w:r>
  </w:p>
  <w:p w14:paraId="2982DD60" w14:textId="2988E58E" w:rsidR="009366DE" w:rsidRDefault="009366DE" w:rsidP="00013CCE">
    <w:pPr>
      <w:pStyle w:val="Header"/>
      <w:jc w:val="right"/>
    </w:pPr>
  </w:p>
  <w:p w14:paraId="21124CE4" w14:textId="77777777" w:rsidR="009366DE" w:rsidRDefault="009366DE" w:rsidP="00013CCE">
    <w:pPr>
      <w:pStyle w:val="Header"/>
      <w:jc w:val="right"/>
    </w:pPr>
  </w:p>
  <w:p w14:paraId="1D2DF847" w14:textId="77777777" w:rsidR="009366DE" w:rsidRDefault="009366DE" w:rsidP="00013CCE">
    <w:pPr>
      <w:pStyle w:val="Header"/>
      <w:jc w:val="right"/>
    </w:pPr>
  </w:p>
  <w:p w14:paraId="4DBC386F" w14:textId="77777777" w:rsidR="009366DE" w:rsidRDefault="009366DE" w:rsidP="00013CCE">
    <w:pPr>
      <w:pStyle w:val="Header"/>
      <w:jc w:val="right"/>
    </w:pPr>
  </w:p>
  <w:p w14:paraId="195FD74E" w14:textId="77777777" w:rsidR="009366DE" w:rsidRDefault="009366DE" w:rsidP="00013CCE">
    <w:pPr>
      <w:pStyle w:val="Header"/>
      <w:jc w:val="right"/>
    </w:pPr>
  </w:p>
  <w:p w14:paraId="03DB4ADC" w14:textId="589B324E" w:rsidR="009366DE" w:rsidRDefault="009366DE" w:rsidP="00013CC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1B96" w14:textId="77777777" w:rsidR="009366DE" w:rsidRDefault="009366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366DE" w:rsidRPr="002F4496" w14:paraId="5A9CC9DB" w14:textId="77777777" w:rsidTr="000C06C9">
      <w:trPr>
        <w:trHeight w:val="284"/>
      </w:trPr>
      <w:tc>
        <w:tcPr>
          <w:tcW w:w="8460" w:type="dxa"/>
        </w:tcPr>
        <w:p w14:paraId="56125542" w14:textId="77777777" w:rsidR="009366DE" w:rsidRPr="000C3B6D" w:rsidRDefault="009366DE" w:rsidP="000C06C9">
          <w:pPr>
            <w:pStyle w:val="00Footer"/>
            <w:rPr>
              <w:lang w:val="fr-FR"/>
            </w:rPr>
          </w:pPr>
        </w:p>
      </w:tc>
      <w:tc>
        <w:tcPr>
          <w:tcW w:w="952" w:type="dxa"/>
        </w:tcPr>
        <w:p w14:paraId="185D9EAB" w14:textId="77777777" w:rsidR="009366DE" w:rsidRPr="00146B34" w:rsidRDefault="009366DE" w:rsidP="000C06C9">
          <w:pPr>
            <w:pStyle w:val="00aPagenumber"/>
            <w:rPr>
              <w:lang w:val="fr-FR"/>
            </w:rPr>
          </w:pPr>
        </w:p>
      </w:tc>
    </w:tr>
  </w:tbl>
  <w:p w14:paraId="4BF8B831" w14:textId="77777777" w:rsidR="009366DE" w:rsidRPr="00DB46C3" w:rsidRDefault="009366DE">
    <w:pPr>
      <w:rPr>
        <w:lang w:val="fr-FR"/>
      </w:rPr>
    </w:pPr>
  </w:p>
  <w:p w14:paraId="1FBEFD47" w14:textId="77777777" w:rsidR="009366DE" w:rsidRPr="002F4496" w:rsidRDefault="009366DE">
    <w:pPr>
      <w:pStyle w:val="Header"/>
      <w:rPr>
        <w:lang w:val="fr-FR"/>
      </w:rPr>
    </w:pPr>
  </w:p>
  <w:p w14:paraId="7D075F96" w14:textId="77777777" w:rsidR="009366DE" w:rsidRPr="002F4496" w:rsidRDefault="009366DE" w:rsidP="000C06C9">
    <w:pPr>
      <w:pStyle w:val="Header"/>
      <w:tabs>
        <w:tab w:val="clear" w:pos="4536"/>
        <w:tab w:val="clear" w:pos="9072"/>
        <w:tab w:val="left" w:pos="8227"/>
      </w:tabs>
      <w:rPr>
        <w:lang w:val="fr-FR"/>
      </w:rPr>
    </w:pPr>
  </w:p>
  <w:p w14:paraId="1EEAF2AF" w14:textId="77777777" w:rsidR="009366DE" w:rsidRPr="002F4496" w:rsidRDefault="009366DE" w:rsidP="000C06C9">
    <w:pPr>
      <w:pStyle w:val="Header"/>
      <w:tabs>
        <w:tab w:val="clear" w:pos="4536"/>
        <w:tab w:val="clear" w:pos="9072"/>
        <w:tab w:val="left" w:pos="8227"/>
      </w:tabs>
      <w:rPr>
        <w:lang w:val="fr-FR"/>
      </w:rPr>
    </w:pPr>
  </w:p>
  <w:p w14:paraId="366CDA59" w14:textId="77777777" w:rsidR="009366DE" w:rsidRPr="002F4496" w:rsidRDefault="009366DE">
    <w:pPr>
      <w:pStyle w:val="Header"/>
      <w:rPr>
        <w:lang w:val="fr-FR"/>
      </w:rPr>
    </w:pPr>
  </w:p>
  <w:p w14:paraId="090159B5" w14:textId="77777777" w:rsidR="009366DE" w:rsidRPr="002F4496" w:rsidRDefault="009366DE">
    <w:pPr>
      <w:pStyle w:val="Header"/>
      <w:rPr>
        <w:lang w:val="fr-FR"/>
      </w:rPr>
    </w:pPr>
  </w:p>
  <w:p w14:paraId="13DB3246" w14:textId="77777777" w:rsidR="009366DE" w:rsidRPr="002F4496" w:rsidRDefault="009366DE">
    <w:pPr>
      <w:pStyle w:val="Header"/>
      <w:rPr>
        <w:lang w:val="fr-FR"/>
      </w:rPr>
    </w:pPr>
  </w:p>
  <w:p w14:paraId="5B245FC6" w14:textId="77777777" w:rsidR="009366DE" w:rsidRPr="002F4496" w:rsidRDefault="009366DE">
    <w:pPr>
      <w:pStyle w:val="Header"/>
      <w:rPr>
        <w:lang w:val="fr-FR"/>
      </w:rPr>
    </w:pPr>
  </w:p>
  <w:p w14:paraId="1D7B1F8D" w14:textId="77777777" w:rsidR="009366DE" w:rsidRPr="002F4496" w:rsidRDefault="009366DE">
    <w:pPr>
      <w:pStyle w:val="Header"/>
      <w:rPr>
        <w:highlight w:val="yellow"/>
        <w:lang w:val="fr-FR"/>
      </w:rPr>
    </w:pPr>
  </w:p>
  <w:p w14:paraId="177617ED" w14:textId="77777777" w:rsidR="009366DE" w:rsidRDefault="009366DE">
    <w:pPr>
      <w:pStyle w:val="Header"/>
    </w:pPr>
    <w:r>
      <w:rPr>
        <w:noProof/>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E93957"/>
    <w:multiLevelType w:val="hybridMultilevel"/>
    <w:tmpl w:val="07D0278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08BF3865"/>
    <w:multiLevelType w:val="hybridMultilevel"/>
    <w:tmpl w:val="77627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63C17"/>
    <w:multiLevelType w:val="hybridMultilevel"/>
    <w:tmpl w:val="07D0278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665D98"/>
    <w:multiLevelType w:val="hybridMultilevel"/>
    <w:tmpl w:val="903A9C3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3D7A56"/>
    <w:multiLevelType w:val="hybridMultilevel"/>
    <w:tmpl w:val="223C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15:restartNumberingAfterBreak="0">
    <w:nsid w:val="64B96C10"/>
    <w:multiLevelType w:val="hybridMultilevel"/>
    <w:tmpl w:val="D62ACBD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9" w15:restartNumberingAfterBreak="0">
    <w:nsid w:val="68E311D3"/>
    <w:multiLevelType w:val="hybridMultilevel"/>
    <w:tmpl w:val="1AC679C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36B138B"/>
    <w:multiLevelType w:val="hybridMultilevel"/>
    <w:tmpl w:val="1D3CFC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0"/>
  </w:num>
  <w:num w:numId="2">
    <w:abstractNumId w:val="22"/>
  </w:num>
  <w:num w:numId="3">
    <w:abstractNumId w:val="15"/>
  </w:num>
  <w:num w:numId="4">
    <w:abstractNumId w:val="28"/>
  </w:num>
  <w:num w:numId="5">
    <w:abstractNumId w:val="31"/>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6"/>
  </w:num>
  <w:num w:numId="14">
    <w:abstractNumId w:val="26"/>
  </w:num>
  <w:num w:numId="15">
    <w:abstractNumId w:val="12"/>
  </w:num>
  <w:num w:numId="16">
    <w:abstractNumId w:val="1"/>
  </w:num>
  <w:num w:numId="17">
    <w:abstractNumId w:val="18"/>
  </w:num>
  <w:num w:numId="18">
    <w:abstractNumId w:val="19"/>
  </w:num>
  <w:num w:numId="19">
    <w:abstractNumId w:val="21"/>
  </w:num>
  <w:num w:numId="20">
    <w:abstractNumId w:val="32"/>
  </w:num>
  <w:num w:numId="21">
    <w:abstractNumId w:val="43"/>
  </w:num>
  <w:num w:numId="22">
    <w:abstractNumId w:val="30"/>
  </w:num>
  <w:num w:numId="23">
    <w:abstractNumId w:val="11"/>
  </w:num>
  <w:num w:numId="24">
    <w:abstractNumId w:val="35"/>
  </w:num>
  <w:num w:numId="25">
    <w:abstractNumId w:val="34"/>
  </w:num>
  <w:num w:numId="26">
    <w:abstractNumId w:val="23"/>
  </w:num>
  <w:num w:numId="27">
    <w:abstractNumId w:val="40"/>
  </w:num>
  <w:num w:numId="28">
    <w:abstractNumId w:val="46"/>
  </w:num>
  <w:num w:numId="29">
    <w:abstractNumId w:val="9"/>
  </w:num>
  <w:num w:numId="30">
    <w:abstractNumId w:val="5"/>
  </w:num>
  <w:num w:numId="31">
    <w:abstractNumId w:val="25"/>
  </w:num>
  <w:num w:numId="32">
    <w:abstractNumId w:val="24"/>
  </w:num>
  <w:num w:numId="33">
    <w:abstractNumId w:val="42"/>
  </w:num>
  <w:num w:numId="34">
    <w:abstractNumId w:val="41"/>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7"/>
  </w:num>
  <w:num w:numId="39">
    <w:abstractNumId w:val="44"/>
  </w:num>
  <w:num w:numId="40">
    <w:abstractNumId w:val="8"/>
  </w:num>
  <w:num w:numId="41">
    <w:abstractNumId w:val="29"/>
  </w:num>
  <w:num w:numId="42">
    <w:abstractNumId w:val="4"/>
  </w:num>
  <w:num w:numId="43">
    <w:abstractNumId w:val="2"/>
  </w:num>
  <w:num w:numId="44">
    <w:abstractNumId w:val="3"/>
  </w:num>
  <w:num w:numId="45">
    <w:abstractNumId w:val="39"/>
  </w:num>
  <w:num w:numId="46">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0880"/>
    <w:rsid w:val="0005126D"/>
    <w:rsid w:val="00051992"/>
    <w:rsid w:val="00051DFE"/>
    <w:rsid w:val="00051E9A"/>
    <w:rsid w:val="000521A7"/>
    <w:rsid w:val="00052F47"/>
    <w:rsid w:val="0005399B"/>
    <w:rsid w:val="00054DE6"/>
    <w:rsid w:val="000569D7"/>
    <w:rsid w:val="000576D7"/>
    <w:rsid w:val="00060F72"/>
    <w:rsid w:val="00062592"/>
    <w:rsid w:val="000636A1"/>
    <w:rsid w:val="000636CD"/>
    <w:rsid w:val="00064105"/>
    <w:rsid w:val="000649D9"/>
    <w:rsid w:val="000652BE"/>
    <w:rsid w:val="00066479"/>
    <w:rsid w:val="00066F6B"/>
    <w:rsid w:val="0006723C"/>
    <w:rsid w:val="00070376"/>
    <w:rsid w:val="00070974"/>
    <w:rsid w:val="00071EAD"/>
    <w:rsid w:val="00071F4E"/>
    <w:rsid w:val="000720D2"/>
    <w:rsid w:val="00072271"/>
    <w:rsid w:val="00072546"/>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0293"/>
    <w:rsid w:val="000921AE"/>
    <w:rsid w:val="000921D7"/>
    <w:rsid w:val="000925FF"/>
    <w:rsid w:val="000932E0"/>
    <w:rsid w:val="00094C4C"/>
    <w:rsid w:val="000956DB"/>
    <w:rsid w:val="00096762"/>
    <w:rsid w:val="000969C8"/>
    <w:rsid w:val="0009752D"/>
    <w:rsid w:val="00097776"/>
    <w:rsid w:val="00097AEE"/>
    <w:rsid w:val="000A014A"/>
    <w:rsid w:val="000A04B6"/>
    <w:rsid w:val="000A0E36"/>
    <w:rsid w:val="000A1BD2"/>
    <w:rsid w:val="000A2127"/>
    <w:rsid w:val="000A358F"/>
    <w:rsid w:val="000A43CC"/>
    <w:rsid w:val="000A58BE"/>
    <w:rsid w:val="000A7314"/>
    <w:rsid w:val="000A7B53"/>
    <w:rsid w:val="000A7B64"/>
    <w:rsid w:val="000A7D5F"/>
    <w:rsid w:val="000B25CB"/>
    <w:rsid w:val="000B275C"/>
    <w:rsid w:val="000B2C3D"/>
    <w:rsid w:val="000B36AF"/>
    <w:rsid w:val="000B54AA"/>
    <w:rsid w:val="000B55C0"/>
    <w:rsid w:val="000B5DF2"/>
    <w:rsid w:val="000B7113"/>
    <w:rsid w:val="000C06C9"/>
    <w:rsid w:val="000C1DCC"/>
    <w:rsid w:val="000C1FBC"/>
    <w:rsid w:val="000C2B6A"/>
    <w:rsid w:val="000C2F88"/>
    <w:rsid w:val="000C44A1"/>
    <w:rsid w:val="000C55C8"/>
    <w:rsid w:val="000C57C4"/>
    <w:rsid w:val="000C5FD3"/>
    <w:rsid w:val="000C701D"/>
    <w:rsid w:val="000C7C4A"/>
    <w:rsid w:val="000D14CB"/>
    <w:rsid w:val="000D17AA"/>
    <w:rsid w:val="000D2D0B"/>
    <w:rsid w:val="000D340A"/>
    <w:rsid w:val="000D3531"/>
    <w:rsid w:val="000D3C2F"/>
    <w:rsid w:val="000D4660"/>
    <w:rsid w:val="000D5D1A"/>
    <w:rsid w:val="000D705D"/>
    <w:rsid w:val="000D7EB9"/>
    <w:rsid w:val="000E0223"/>
    <w:rsid w:val="000E0CF3"/>
    <w:rsid w:val="000E18A8"/>
    <w:rsid w:val="000E1AEC"/>
    <w:rsid w:val="000E3937"/>
    <w:rsid w:val="000E4926"/>
    <w:rsid w:val="000E5F7F"/>
    <w:rsid w:val="000E7086"/>
    <w:rsid w:val="000E7C65"/>
    <w:rsid w:val="000F0279"/>
    <w:rsid w:val="000F04D2"/>
    <w:rsid w:val="000F4A34"/>
    <w:rsid w:val="000F5370"/>
    <w:rsid w:val="000F55B7"/>
    <w:rsid w:val="000F604F"/>
    <w:rsid w:val="000F7399"/>
    <w:rsid w:val="00102024"/>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4BC3"/>
    <w:rsid w:val="0012566F"/>
    <w:rsid w:val="001262B1"/>
    <w:rsid w:val="00130F41"/>
    <w:rsid w:val="00130FAF"/>
    <w:rsid w:val="00135F2B"/>
    <w:rsid w:val="001372DD"/>
    <w:rsid w:val="001372F1"/>
    <w:rsid w:val="001405BA"/>
    <w:rsid w:val="00141497"/>
    <w:rsid w:val="0014253A"/>
    <w:rsid w:val="001425C8"/>
    <w:rsid w:val="001431AE"/>
    <w:rsid w:val="00143B87"/>
    <w:rsid w:val="001446FA"/>
    <w:rsid w:val="001459E3"/>
    <w:rsid w:val="00146A0B"/>
    <w:rsid w:val="0014715B"/>
    <w:rsid w:val="0014761E"/>
    <w:rsid w:val="00147709"/>
    <w:rsid w:val="00151907"/>
    <w:rsid w:val="001544C8"/>
    <w:rsid w:val="00155FAB"/>
    <w:rsid w:val="001567A1"/>
    <w:rsid w:val="00156857"/>
    <w:rsid w:val="0015720C"/>
    <w:rsid w:val="00157E79"/>
    <w:rsid w:val="00157EED"/>
    <w:rsid w:val="0016087A"/>
    <w:rsid w:val="00160A5C"/>
    <w:rsid w:val="001613EC"/>
    <w:rsid w:val="0016358A"/>
    <w:rsid w:val="001638D4"/>
    <w:rsid w:val="00164664"/>
    <w:rsid w:val="00164F15"/>
    <w:rsid w:val="001651A4"/>
    <w:rsid w:val="0016552B"/>
    <w:rsid w:val="00166728"/>
    <w:rsid w:val="00166B04"/>
    <w:rsid w:val="001670A6"/>
    <w:rsid w:val="001701FA"/>
    <w:rsid w:val="001707B9"/>
    <w:rsid w:val="00171183"/>
    <w:rsid w:val="001725A5"/>
    <w:rsid w:val="00172681"/>
    <w:rsid w:val="00173AC7"/>
    <w:rsid w:val="001745D7"/>
    <w:rsid w:val="00175754"/>
    <w:rsid w:val="001765BB"/>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5B44"/>
    <w:rsid w:val="001960D8"/>
    <w:rsid w:val="001A1642"/>
    <w:rsid w:val="001A25F2"/>
    <w:rsid w:val="001A371B"/>
    <w:rsid w:val="001A4766"/>
    <w:rsid w:val="001A4F8C"/>
    <w:rsid w:val="001A5E5C"/>
    <w:rsid w:val="001A6A0D"/>
    <w:rsid w:val="001A6C51"/>
    <w:rsid w:val="001A6FAA"/>
    <w:rsid w:val="001A7D73"/>
    <w:rsid w:val="001B0363"/>
    <w:rsid w:val="001B1355"/>
    <w:rsid w:val="001B2F11"/>
    <w:rsid w:val="001B3138"/>
    <w:rsid w:val="001B355E"/>
    <w:rsid w:val="001B4E4B"/>
    <w:rsid w:val="001B50AC"/>
    <w:rsid w:val="001B55FB"/>
    <w:rsid w:val="001B5E05"/>
    <w:rsid w:val="001B6D68"/>
    <w:rsid w:val="001B6F2E"/>
    <w:rsid w:val="001C0344"/>
    <w:rsid w:val="001C0F2A"/>
    <w:rsid w:val="001C1330"/>
    <w:rsid w:val="001C16BA"/>
    <w:rsid w:val="001C1A59"/>
    <w:rsid w:val="001C270F"/>
    <w:rsid w:val="001C2A04"/>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47AA"/>
    <w:rsid w:val="001E66EC"/>
    <w:rsid w:val="001E68C5"/>
    <w:rsid w:val="001F0F63"/>
    <w:rsid w:val="001F3996"/>
    <w:rsid w:val="001F44A4"/>
    <w:rsid w:val="001F4EBD"/>
    <w:rsid w:val="001F579D"/>
    <w:rsid w:val="001F65EF"/>
    <w:rsid w:val="001F697B"/>
    <w:rsid w:val="002005A6"/>
    <w:rsid w:val="00204C5D"/>
    <w:rsid w:val="00204CBC"/>
    <w:rsid w:val="002051F1"/>
    <w:rsid w:val="002067BA"/>
    <w:rsid w:val="0021058D"/>
    <w:rsid w:val="00211E2F"/>
    <w:rsid w:val="00211E9E"/>
    <w:rsid w:val="00213099"/>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1C5"/>
    <w:rsid w:val="00235CE3"/>
    <w:rsid w:val="0023636A"/>
    <w:rsid w:val="00236F34"/>
    <w:rsid w:val="002372F7"/>
    <w:rsid w:val="00240651"/>
    <w:rsid w:val="00240803"/>
    <w:rsid w:val="0024426D"/>
    <w:rsid w:val="00244F1D"/>
    <w:rsid w:val="00245004"/>
    <w:rsid w:val="00245FB4"/>
    <w:rsid w:val="0025080E"/>
    <w:rsid w:val="00250898"/>
    <w:rsid w:val="00251EA9"/>
    <w:rsid w:val="00252843"/>
    <w:rsid w:val="002543F8"/>
    <w:rsid w:val="002551A4"/>
    <w:rsid w:val="002559F3"/>
    <w:rsid w:val="00256D26"/>
    <w:rsid w:val="00256DFE"/>
    <w:rsid w:val="0025739F"/>
    <w:rsid w:val="00261D56"/>
    <w:rsid w:val="00261FD3"/>
    <w:rsid w:val="00262672"/>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A5F69"/>
    <w:rsid w:val="002B19F7"/>
    <w:rsid w:val="002B1FEF"/>
    <w:rsid w:val="002B2DF8"/>
    <w:rsid w:val="002B354F"/>
    <w:rsid w:val="002B3614"/>
    <w:rsid w:val="002B45D1"/>
    <w:rsid w:val="002B4ED8"/>
    <w:rsid w:val="002B4FAA"/>
    <w:rsid w:val="002B52C2"/>
    <w:rsid w:val="002B7656"/>
    <w:rsid w:val="002C1492"/>
    <w:rsid w:val="002C1E8B"/>
    <w:rsid w:val="002C2EFE"/>
    <w:rsid w:val="002C43F5"/>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56D"/>
    <w:rsid w:val="002E30BB"/>
    <w:rsid w:val="002E387F"/>
    <w:rsid w:val="002E6273"/>
    <w:rsid w:val="002E7113"/>
    <w:rsid w:val="002E7F4B"/>
    <w:rsid w:val="002F0C91"/>
    <w:rsid w:val="002F0E3E"/>
    <w:rsid w:val="002F1B19"/>
    <w:rsid w:val="002F1FBF"/>
    <w:rsid w:val="002F4139"/>
    <w:rsid w:val="002F6D93"/>
    <w:rsid w:val="00300624"/>
    <w:rsid w:val="00300F56"/>
    <w:rsid w:val="00301006"/>
    <w:rsid w:val="00303565"/>
    <w:rsid w:val="0030391B"/>
    <w:rsid w:val="00304A71"/>
    <w:rsid w:val="003066C8"/>
    <w:rsid w:val="0030739D"/>
    <w:rsid w:val="00307AFB"/>
    <w:rsid w:val="00311184"/>
    <w:rsid w:val="00312675"/>
    <w:rsid w:val="00314013"/>
    <w:rsid w:val="00314945"/>
    <w:rsid w:val="00315389"/>
    <w:rsid w:val="00315746"/>
    <w:rsid w:val="00315895"/>
    <w:rsid w:val="00315E96"/>
    <w:rsid w:val="00317FC8"/>
    <w:rsid w:val="003223D7"/>
    <w:rsid w:val="00322580"/>
    <w:rsid w:val="00323D9F"/>
    <w:rsid w:val="00324E52"/>
    <w:rsid w:val="00324FDB"/>
    <w:rsid w:val="00325F48"/>
    <w:rsid w:val="003273FE"/>
    <w:rsid w:val="0033194F"/>
    <w:rsid w:val="00332304"/>
    <w:rsid w:val="00332406"/>
    <w:rsid w:val="00332D8D"/>
    <w:rsid w:val="0033609C"/>
    <w:rsid w:val="00336B56"/>
    <w:rsid w:val="00341B25"/>
    <w:rsid w:val="00341EC0"/>
    <w:rsid w:val="00342344"/>
    <w:rsid w:val="0034240C"/>
    <w:rsid w:val="00344496"/>
    <w:rsid w:val="00345968"/>
    <w:rsid w:val="00347667"/>
    <w:rsid w:val="003507E2"/>
    <w:rsid w:val="003522B2"/>
    <w:rsid w:val="00353B38"/>
    <w:rsid w:val="0035455E"/>
    <w:rsid w:val="00354A6F"/>
    <w:rsid w:val="00354B48"/>
    <w:rsid w:val="00355789"/>
    <w:rsid w:val="003557F4"/>
    <w:rsid w:val="00357C60"/>
    <w:rsid w:val="003609B6"/>
    <w:rsid w:val="00361119"/>
    <w:rsid w:val="0036538D"/>
    <w:rsid w:val="00365797"/>
    <w:rsid w:val="00365D12"/>
    <w:rsid w:val="0037018D"/>
    <w:rsid w:val="00372299"/>
    <w:rsid w:val="00372F02"/>
    <w:rsid w:val="00373729"/>
    <w:rsid w:val="003737B0"/>
    <w:rsid w:val="00373BAB"/>
    <w:rsid w:val="00373C91"/>
    <w:rsid w:val="003748F0"/>
    <w:rsid w:val="003755C6"/>
    <w:rsid w:val="00375AEF"/>
    <w:rsid w:val="00376367"/>
    <w:rsid w:val="00376B02"/>
    <w:rsid w:val="0037733A"/>
    <w:rsid w:val="003776DC"/>
    <w:rsid w:val="003779C1"/>
    <w:rsid w:val="00380FEC"/>
    <w:rsid w:val="00381226"/>
    <w:rsid w:val="00381B1B"/>
    <w:rsid w:val="00381FF6"/>
    <w:rsid w:val="00382A89"/>
    <w:rsid w:val="00383202"/>
    <w:rsid w:val="00383D7D"/>
    <w:rsid w:val="00384CCE"/>
    <w:rsid w:val="003865E5"/>
    <w:rsid w:val="00386BB8"/>
    <w:rsid w:val="00391ED4"/>
    <w:rsid w:val="00392296"/>
    <w:rsid w:val="003926C1"/>
    <w:rsid w:val="00392900"/>
    <w:rsid w:val="00393357"/>
    <w:rsid w:val="00395E7B"/>
    <w:rsid w:val="00395F4C"/>
    <w:rsid w:val="003A4411"/>
    <w:rsid w:val="003A5D1D"/>
    <w:rsid w:val="003A5DAC"/>
    <w:rsid w:val="003A6591"/>
    <w:rsid w:val="003A6E9A"/>
    <w:rsid w:val="003B08C8"/>
    <w:rsid w:val="003B2567"/>
    <w:rsid w:val="003B381A"/>
    <w:rsid w:val="003B4976"/>
    <w:rsid w:val="003B4B3F"/>
    <w:rsid w:val="003B5C41"/>
    <w:rsid w:val="003B6258"/>
    <w:rsid w:val="003B7A99"/>
    <w:rsid w:val="003B7EA8"/>
    <w:rsid w:val="003C0343"/>
    <w:rsid w:val="003C0E87"/>
    <w:rsid w:val="003C1C32"/>
    <w:rsid w:val="003C2217"/>
    <w:rsid w:val="003C40DA"/>
    <w:rsid w:val="003C42BA"/>
    <w:rsid w:val="003C462F"/>
    <w:rsid w:val="003C4A02"/>
    <w:rsid w:val="003C4F05"/>
    <w:rsid w:val="003C6191"/>
    <w:rsid w:val="003C6E49"/>
    <w:rsid w:val="003C74B0"/>
    <w:rsid w:val="003D0782"/>
    <w:rsid w:val="003D0CBF"/>
    <w:rsid w:val="003D0DD6"/>
    <w:rsid w:val="003D3471"/>
    <w:rsid w:val="003D4B73"/>
    <w:rsid w:val="003D503B"/>
    <w:rsid w:val="003D605E"/>
    <w:rsid w:val="003D61D1"/>
    <w:rsid w:val="003D6780"/>
    <w:rsid w:val="003D6FCB"/>
    <w:rsid w:val="003D7F9C"/>
    <w:rsid w:val="003E0F84"/>
    <w:rsid w:val="003E1FF3"/>
    <w:rsid w:val="003E3ACA"/>
    <w:rsid w:val="003E45AE"/>
    <w:rsid w:val="003E50EA"/>
    <w:rsid w:val="003E5C03"/>
    <w:rsid w:val="003E68C7"/>
    <w:rsid w:val="003E79B0"/>
    <w:rsid w:val="003F0403"/>
    <w:rsid w:val="003F1094"/>
    <w:rsid w:val="003F2E45"/>
    <w:rsid w:val="003F3EFE"/>
    <w:rsid w:val="003F40B8"/>
    <w:rsid w:val="003F5C06"/>
    <w:rsid w:val="00400195"/>
    <w:rsid w:val="0040075B"/>
    <w:rsid w:val="00400E3B"/>
    <w:rsid w:val="0040254B"/>
    <w:rsid w:val="00403086"/>
    <w:rsid w:val="00403460"/>
    <w:rsid w:val="004040FF"/>
    <w:rsid w:val="00404284"/>
    <w:rsid w:val="004042C4"/>
    <w:rsid w:val="00404E12"/>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69C"/>
    <w:rsid w:val="00437929"/>
    <w:rsid w:val="00437A4A"/>
    <w:rsid w:val="00440541"/>
    <w:rsid w:val="0044162D"/>
    <w:rsid w:val="0044277A"/>
    <w:rsid w:val="004456DC"/>
    <w:rsid w:val="00447FBE"/>
    <w:rsid w:val="0045035E"/>
    <w:rsid w:val="0045175A"/>
    <w:rsid w:val="00451ED9"/>
    <w:rsid w:val="00452180"/>
    <w:rsid w:val="00453072"/>
    <w:rsid w:val="0045318F"/>
    <w:rsid w:val="004534C8"/>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221D"/>
    <w:rsid w:val="0047349A"/>
    <w:rsid w:val="00473E74"/>
    <w:rsid w:val="00473FEF"/>
    <w:rsid w:val="00475B8E"/>
    <w:rsid w:val="0048104E"/>
    <w:rsid w:val="004814BB"/>
    <w:rsid w:val="004815DA"/>
    <w:rsid w:val="00482458"/>
    <w:rsid w:val="004837ED"/>
    <w:rsid w:val="00483942"/>
    <w:rsid w:val="00484178"/>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1C7"/>
    <w:rsid w:val="004D5A0D"/>
    <w:rsid w:val="004D7910"/>
    <w:rsid w:val="004D7DEA"/>
    <w:rsid w:val="004E0A28"/>
    <w:rsid w:val="004E1A0F"/>
    <w:rsid w:val="004E29F8"/>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E6D"/>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346A"/>
    <w:rsid w:val="00554A05"/>
    <w:rsid w:val="0055558B"/>
    <w:rsid w:val="00555849"/>
    <w:rsid w:val="005559A8"/>
    <w:rsid w:val="00556878"/>
    <w:rsid w:val="00557048"/>
    <w:rsid w:val="005577CB"/>
    <w:rsid w:val="00557FB5"/>
    <w:rsid w:val="00561AED"/>
    <w:rsid w:val="005648A8"/>
    <w:rsid w:val="00564DE3"/>
    <w:rsid w:val="00564E44"/>
    <w:rsid w:val="00566C6A"/>
    <w:rsid w:val="00566CE5"/>
    <w:rsid w:val="00566D36"/>
    <w:rsid w:val="00573569"/>
    <w:rsid w:val="00573871"/>
    <w:rsid w:val="0057389E"/>
    <w:rsid w:val="00573CFB"/>
    <w:rsid w:val="005754D1"/>
    <w:rsid w:val="005762EC"/>
    <w:rsid w:val="005765C0"/>
    <w:rsid w:val="005778DE"/>
    <w:rsid w:val="00580B3F"/>
    <w:rsid w:val="005825F2"/>
    <w:rsid w:val="005860AF"/>
    <w:rsid w:val="00587F1D"/>
    <w:rsid w:val="00590348"/>
    <w:rsid w:val="00590ED0"/>
    <w:rsid w:val="00591161"/>
    <w:rsid w:val="005920E5"/>
    <w:rsid w:val="00592318"/>
    <w:rsid w:val="00592385"/>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2020"/>
    <w:rsid w:val="005F3A40"/>
    <w:rsid w:val="005F3FB1"/>
    <w:rsid w:val="005F547D"/>
    <w:rsid w:val="005F5ACF"/>
    <w:rsid w:val="005F60DC"/>
    <w:rsid w:val="006000DD"/>
    <w:rsid w:val="00600F63"/>
    <w:rsid w:val="0060129E"/>
    <w:rsid w:val="006012E1"/>
    <w:rsid w:val="00602253"/>
    <w:rsid w:val="006023E1"/>
    <w:rsid w:val="00603467"/>
    <w:rsid w:val="006036BB"/>
    <w:rsid w:val="00605531"/>
    <w:rsid w:val="00606240"/>
    <w:rsid w:val="0060674A"/>
    <w:rsid w:val="00607832"/>
    <w:rsid w:val="0060784B"/>
    <w:rsid w:val="00610254"/>
    <w:rsid w:val="006105FB"/>
    <w:rsid w:val="00610E16"/>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37E3"/>
    <w:rsid w:val="006247E0"/>
    <w:rsid w:val="00625F82"/>
    <w:rsid w:val="00627999"/>
    <w:rsid w:val="00630CD7"/>
    <w:rsid w:val="00630FF7"/>
    <w:rsid w:val="006333AC"/>
    <w:rsid w:val="00633433"/>
    <w:rsid w:val="006341B5"/>
    <w:rsid w:val="006346C9"/>
    <w:rsid w:val="00634727"/>
    <w:rsid w:val="00634B64"/>
    <w:rsid w:val="0063578C"/>
    <w:rsid w:val="00636069"/>
    <w:rsid w:val="0063642C"/>
    <w:rsid w:val="0063681E"/>
    <w:rsid w:val="00636FF9"/>
    <w:rsid w:val="006374E4"/>
    <w:rsid w:val="00640DCD"/>
    <w:rsid w:val="00641DC3"/>
    <w:rsid w:val="00642972"/>
    <w:rsid w:val="00644F4D"/>
    <w:rsid w:val="00645FCA"/>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426E"/>
    <w:rsid w:val="00665E10"/>
    <w:rsid w:val="00666F74"/>
    <w:rsid w:val="00667832"/>
    <w:rsid w:val="00667BD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56D"/>
    <w:rsid w:val="00690F0E"/>
    <w:rsid w:val="006911C0"/>
    <w:rsid w:val="00691B7C"/>
    <w:rsid w:val="00693042"/>
    <w:rsid w:val="00693A98"/>
    <w:rsid w:val="00694B73"/>
    <w:rsid w:val="00694DF2"/>
    <w:rsid w:val="00695F80"/>
    <w:rsid w:val="006966CD"/>
    <w:rsid w:val="00696735"/>
    <w:rsid w:val="006975D4"/>
    <w:rsid w:val="0069780E"/>
    <w:rsid w:val="00697D13"/>
    <w:rsid w:val="006A0451"/>
    <w:rsid w:val="006A24D5"/>
    <w:rsid w:val="006A2CA2"/>
    <w:rsid w:val="006A481C"/>
    <w:rsid w:val="006B2AD7"/>
    <w:rsid w:val="006B2D40"/>
    <w:rsid w:val="006B34DF"/>
    <w:rsid w:val="006B39B2"/>
    <w:rsid w:val="006B3AF9"/>
    <w:rsid w:val="006B45A0"/>
    <w:rsid w:val="006B5668"/>
    <w:rsid w:val="006B5F71"/>
    <w:rsid w:val="006B6E44"/>
    <w:rsid w:val="006B6EDB"/>
    <w:rsid w:val="006B7059"/>
    <w:rsid w:val="006B7287"/>
    <w:rsid w:val="006B7F2E"/>
    <w:rsid w:val="006C0BF8"/>
    <w:rsid w:val="006C2253"/>
    <w:rsid w:val="006C2CCB"/>
    <w:rsid w:val="006C4334"/>
    <w:rsid w:val="006C45C7"/>
    <w:rsid w:val="006C4B0F"/>
    <w:rsid w:val="006C5E96"/>
    <w:rsid w:val="006D2211"/>
    <w:rsid w:val="006D399F"/>
    <w:rsid w:val="006D4F0C"/>
    <w:rsid w:val="006D5645"/>
    <w:rsid w:val="006E0A4F"/>
    <w:rsid w:val="006E0C8A"/>
    <w:rsid w:val="006E2A23"/>
    <w:rsid w:val="006E35E5"/>
    <w:rsid w:val="006E3C72"/>
    <w:rsid w:val="006E4F20"/>
    <w:rsid w:val="006E649A"/>
    <w:rsid w:val="006F08DC"/>
    <w:rsid w:val="006F1D42"/>
    <w:rsid w:val="006F2A9E"/>
    <w:rsid w:val="006F3948"/>
    <w:rsid w:val="006F4403"/>
    <w:rsid w:val="006F4535"/>
    <w:rsid w:val="006F45EC"/>
    <w:rsid w:val="006F47B8"/>
    <w:rsid w:val="006F47D2"/>
    <w:rsid w:val="006F4B04"/>
    <w:rsid w:val="006F5456"/>
    <w:rsid w:val="006F57F2"/>
    <w:rsid w:val="006F6468"/>
    <w:rsid w:val="006F7604"/>
    <w:rsid w:val="00700247"/>
    <w:rsid w:val="00700D6D"/>
    <w:rsid w:val="00701051"/>
    <w:rsid w:val="007021C2"/>
    <w:rsid w:val="00702502"/>
    <w:rsid w:val="007033A8"/>
    <w:rsid w:val="0070421B"/>
    <w:rsid w:val="007043F0"/>
    <w:rsid w:val="0070482E"/>
    <w:rsid w:val="00704D25"/>
    <w:rsid w:val="007076F3"/>
    <w:rsid w:val="00710519"/>
    <w:rsid w:val="0071064E"/>
    <w:rsid w:val="00710F6E"/>
    <w:rsid w:val="00711663"/>
    <w:rsid w:val="007116B4"/>
    <w:rsid w:val="00712580"/>
    <w:rsid w:val="007133E4"/>
    <w:rsid w:val="00713788"/>
    <w:rsid w:val="00713940"/>
    <w:rsid w:val="007151A2"/>
    <w:rsid w:val="00715E11"/>
    <w:rsid w:val="00716774"/>
    <w:rsid w:val="007209DD"/>
    <w:rsid w:val="00722E49"/>
    <w:rsid w:val="00723A08"/>
    <w:rsid w:val="00723B5C"/>
    <w:rsid w:val="00724391"/>
    <w:rsid w:val="00724C18"/>
    <w:rsid w:val="00726630"/>
    <w:rsid w:val="00726B9E"/>
    <w:rsid w:val="00727F73"/>
    <w:rsid w:val="00730705"/>
    <w:rsid w:val="00730944"/>
    <w:rsid w:val="0073248E"/>
    <w:rsid w:val="00733EE9"/>
    <w:rsid w:val="00735B8E"/>
    <w:rsid w:val="0073673C"/>
    <w:rsid w:val="00736935"/>
    <w:rsid w:val="00743DE7"/>
    <w:rsid w:val="0074509E"/>
    <w:rsid w:val="00745B9F"/>
    <w:rsid w:val="00746A5C"/>
    <w:rsid w:val="0074726F"/>
    <w:rsid w:val="00747859"/>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560D"/>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765C"/>
    <w:rsid w:val="00791EB4"/>
    <w:rsid w:val="007928F1"/>
    <w:rsid w:val="0079357D"/>
    <w:rsid w:val="007937CC"/>
    <w:rsid w:val="00793A31"/>
    <w:rsid w:val="00794979"/>
    <w:rsid w:val="007956B7"/>
    <w:rsid w:val="00795F1A"/>
    <w:rsid w:val="00796EDE"/>
    <w:rsid w:val="00797297"/>
    <w:rsid w:val="007974B3"/>
    <w:rsid w:val="00797875"/>
    <w:rsid w:val="00797D14"/>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B678B"/>
    <w:rsid w:val="007B7A1E"/>
    <w:rsid w:val="007C02B0"/>
    <w:rsid w:val="007C063E"/>
    <w:rsid w:val="007C1801"/>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A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631D"/>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2A18"/>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063C"/>
    <w:rsid w:val="00862DDD"/>
    <w:rsid w:val="0086326D"/>
    <w:rsid w:val="00863CC1"/>
    <w:rsid w:val="00865B01"/>
    <w:rsid w:val="00866D7A"/>
    <w:rsid w:val="00866EE3"/>
    <w:rsid w:val="008701E5"/>
    <w:rsid w:val="008706C5"/>
    <w:rsid w:val="00871F04"/>
    <w:rsid w:val="008746C1"/>
    <w:rsid w:val="00880224"/>
    <w:rsid w:val="0088244C"/>
    <w:rsid w:val="00882A2B"/>
    <w:rsid w:val="00883367"/>
    <w:rsid w:val="0088413F"/>
    <w:rsid w:val="00884C47"/>
    <w:rsid w:val="00884E92"/>
    <w:rsid w:val="00885E6F"/>
    <w:rsid w:val="008861AC"/>
    <w:rsid w:val="008868E4"/>
    <w:rsid w:val="00886A60"/>
    <w:rsid w:val="0088759B"/>
    <w:rsid w:val="008909B4"/>
    <w:rsid w:val="008922E8"/>
    <w:rsid w:val="00893916"/>
    <w:rsid w:val="008941B9"/>
    <w:rsid w:val="0089442C"/>
    <w:rsid w:val="00895818"/>
    <w:rsid w:val="008A183F"/>
    <w:rsid w:val="008A1ECB"/>
    <w:rsid w:val="008A2585"/>
    <w:rsid w:val="008A2718"/>
    <w:rsid w:val="008A4CF6"/>
    <w:rsid w:val="008A4E42"/>
    <w:rsid w:val="008A51AA"/>
    <w:rsid w:val="008A6A12"/>
    <w:rsid w:val="008B0DC6"/>
    <w:rsid w:val="008B2B9E"/>
    <w:rsid w:val="008B31F5"/>
    <w:rsid w:val="008B4C79"/>
    <w:rsid w:val="008B5D2D"/>
    <w:rsid w:val="008B62B5"/>
    <w:rsid w:val="008B6361"/>
    <w:rsid w:val="008B7146"/>
    <w:rsid w:val="008C0320"/>
    <w:rsid w:val="008C1226"/>
    <w:rsid w:val="008C2A81"/>
    <w:rsid w:val="008C3863"/>
    <w:rsid w:val="008C4BDC"/>
    <w:rsid w:val="008C50FF"/>
    <w:rsid w:val="008C5435"/>
    <w:rsid w:val="008C6BD1"/>
    <w:rsid w:val="008D1C7A"/>
    <w:rsid w:val="008D2DB5"/>
    <w:rsid w:val="008D3F10"/>
    <w:rsid w:val="008D611D"/>
    <w:rsid w:val="008D7D42"/>
    <w:rsid w:val="008E1B6A"/>
    <w:rsid w:val="008E3054"/>
    <w:rsid w:val="008E32FF"/>
    <w:rsid w:val="008E5024"/>
    <w:rsid w:val="008E5625"/>
    <w:rsid w:val="008E5C5B"/>
    <w:rsid w:val="008E6A37"/>
    <w:rsid w:val="008F0265"/>
    <w:rsid w:val="008F0354"/>
    <w:rsid w:val="008F085A"/>
    <w:rsid w:val="008F1462"/>
    <w:rsid w:val="008F2413"/>
    <w:rsid w:val="008F248D"/>
    <w:rsid w:val="008F4B2C"/>
    <w:rsid w:val="008F4C08"/>
    <w:rsid w:val="008F52B9"/>
    <w:rsid w:val="008F6851"/>
    <w:rsid w:val="008F7BC4"/>
    <w:rsid w:val="00900E7A"/>
    <w:rsid w:val="009031D9"/>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3F5B"/>
    <w:rsid w:val="009360F6"/>
    <w:rsid w:val="009366DE"/>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AE8"/>
    <w:rsid w:val="00957CE0"/>
    <w:rsid w:val="0096002E"/>
    <w:rsid w:val="0096039E"/>
    <w:rsid w:val="009609C8"/>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5C3A"/>
    <w:rsid w:val="0097606C"/>
    <w:rsid w:val="009771D1"/>
    <w:rsid w:val="0098012D"/>
    <w:rsid w:val="00980845"/>
    <w:rsid w:val="00981BD9"/>
    <w:rsid w:val="0098225F"/>
    <w:rsid w:val="009827F0"/>
    <w:rsid w:val="00983A3C"/>
    <w:rsid w:val="00983EFA"/>
    <w:rsid w:val="009840D9"/>
    <w:rsid w:val="00984C15"/>
    <w:rsid w:val="00987829"/>
    <w:rsid w:val="00991276"/>
    <w:rsid w:val="009923E7"/>
    <w:rsid w:val="00992697"/>
    <w:rsid w:val="00992D4E"/>
    <w:rsid w:val="00993D1B"/>
    <w:rsid w:val="00994621"/>
    <w:rsid w:val="009947FF"/>
    <w:rsid w:val="0099544B"/>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37"/>
    <w:rsid w:val="009C2BA4"/>
    <w:rsid w:val="009C6091"/>
    <w:rsid w:val="009C634F"/>
    <w:rsid w:val="009C6C20"/>
    <w:rsid w:val="009C7781"/>
    <w:rsid w:val="009C7C8C"/>
    <w:rsid w:val="009D0219"/>
    <w:rsid w:val="009D0D55"/>
    <w:rsid w:val="009D2295"/>
    <w:rsid w:val="009D2511"/>
    <w:rsid w:val="009D3E7C"/>
    <w:rsid w:val="009D55CA"/>
    <w:rsid w:val="009D58D3"/>
    <w:rsid w:val="009D5EF0"/>
    <w:rsid w:val="009D6401"/>
    <w:rsid w:val="009E0711"/>
    <w:rsid w:val="009E1917"/>
    <w:rsid w:val="009E2B89"/>
    <w:rsid w:val="009E2FDB"/>
    <w:rsid w:val="009E3594"/>
    <w:rsid w:val="009E6B77"/>
    <w:rsid w:val="009E7724"/>
    <w:rsid w:val="009E7D1F"/>
    <w:rsid w:val="009F1D82"/>
    <w:rsid w:val="009F37AA"/>
    <w:rsid w:val="009F544C"/>
    <w:rsid w:val="009F5545"/>
    <w:rsid w:val="009F5731"/>
    <w:rsid w:val="009F6321"/>
    <w:rsid w:val="009F6378"/>
    <w:rsid w:val="009F7669"/>
    <w:rsid w:val="009F7F45"/>
    <w:rsid w:val="009F7FD5"/>
    <w:rsid w:val="00A005D4"/>
    <w:rsid w:val="00A0083C"/>
    <w:rsid w:val="00A01052"/>
    <w:rsid w:val="00A01A90"/>
    <w:rsid w:val="00A02370"/>
    <w:rsid w:val="00A03AAC"/>
    <w:rsid w:val="00A04685"/>
    <w:rsid w:val="00A04C57"/>
    <w:rsid w:val="00A06340"/>
    <w:rsid w:val="00A0684F"/>
    <w:rsid w:val="00A06867"/>
    <w:rsid w:val="00A10148"/>
    <w:rsid w:val="00A104FE"/>
    <w:rsid w:val="00A10776"/>
    <w:rsid w:val="00A113FD"/>
    <w:rsid w:val="00A11DDE"/>
    <w:rsid w:val="00A1252D"/>
    <w:rsid w:val="00A127A7"/>
    <w:rsid w:val="00A129F4"/>
    <w:rsid w:val="00A12B4F"/>
    <w:rsid w:val="00A136F4"/>
    <w:rsid w:val="00A150F7"/>
    <w:rsid w:val="00A160D3"/>
    <w:rsid w:val="00A16DC9"/>
    <w:rsid w:val="00A20225"/>
    <w:rsid w:val="00A21AB1"/>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8BD"/>
    <w:rsid w:val="00A40A3F"/>
    <w:rsid w:val="00A4173D"/>
    <w:rsid w:val="00A41A95"/>
    <w:rsid w:val="00A4248B"/>
    <w:rsid w:val="00A4376E"/>
    <w:rsid w:val="00A4572B"/>
    <w:rsid w:val="00A46246"/>
    <w:rsid w:val="00A46349"/>
    <w:rsid w:val="00A46D5E"/>
    <w:rsid w:val="00A50847"/>
    <w:rsid w:val="00A512C7"/>
    <w:rsid w:val="00A51FFB"/>
    <w:rsid w:val="00A53DAC"/>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2BE"/>
    <w:rsid w:val="00A74F9F"/>
    <w:rsid w:val="00A750B3"/>
    <w:rsid w:val="00A75559"/>
    <w:rsid w:val="00A7623D"/>
    <w:rsid w:val="00A82459"/>
    <w:rsid w:val="00A824A7"/>
    <w:rsid w:val="00A83644"/>
    <w:rsid w:val="00A83C07"/>
    <w:rsid w:val="00A83F40"/>
    <w:rsid w:val="00A84945"/>
    <w:rsid w:val="00A85543"/>
    <w:rsid w:val="00A86721"/>
    <w:rsid w:val="00A8728B"/>
    <w:rsid w:val="00A91682"/>
    <w:rsid w:val="00A92E4A"/>
    <w:rsid w:val="00A93D8E"/>
    <w:rsid w:val="00A93F61"/>
    <w:rsid w:val="00A958CA"/>
    <w:rsid w:val="00A965A3"/>
    <w:rsid w:val="00A966B6"/>
    <w:rsid w:val="00A96B46"/>
    <w:rsid w:val="00AA003B"/>
    <w:rsid w:val="00AA016B"/>
    <w:rsid w:val="00AA15DD"/>
    <w:rsid w:val="00AA1C09"/>
    <w:rsid w:val="00AA2153"/>
    <w:rsid w:val="00AA2961"/>
    <w:rsid w:val="00AA2F67"/>
    <w:rsid w:val="00AA3569"/>
    <w:rsid w:val="00AA5F4C"/>
    <w:rsid w:val="00AA615C"/>
    <w:rsid w:val="00AA6711"/>
    <w:rsid w:val="00AB2AEC"/>
    <w:rsid w:val="00AB2DC1"/>
    <w:rsid w:val="00AB3102"/>
    <w:rsid w:val="00AB3D9A"/>
    <w:rsid w:val="00AB4B1D"/>
    <w:rsid w:val="00AB6B5E"/>
    <w:rsid w:val="00AC047F"/>
    <w:rsid w:val="00AC3934"/>
    <w:rsid w:val="00AC4133"/>
    <w:rsid w:val="00AC50C8"/>
    <w:rsid w:val="00AC5581"/>
    <w:rsid w:val="00AC56AD"/>
    <w:rsid w:val="00AC61BD"/>
    <w:rsid w:val="00AC61BE"/>
    <w:rsid w:val="00AD0CB4"/>
    <w:rsid w:val="00AD1021"/>
    <w:rsid w:val="00AD1FF2"/>
    <w:rsid w:val="00AD2A21"/>
    <w:rsid w:val="00AD3B43"/>
    <w:rsid w:val="00AD4FF2"/>
    <w:rsid w:val="00AD506C"/>
    <w:rsid w:val="00AD6BE5"/>
    <w:rsid w:val="00AD7675"/>
    <w:rsid w:val="00AD783E"/>
    <w:rsid w:val="00AE07D4"/>
    <w:rsid w:val="00AE1393"/>
    <w:rsid w:val="00AE31C6"/>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033C"/>
    <w:rsid w:val="00B03CE2"/>
    <w:rsid w:val="00B059A9"/>
    <w:rsid w:val="00B06544"/>
    <w:rsid w:val="00B105F2"/>
    <w:rsid w:val="00B10991"/>
    <w:rsid w:val="00B11363"/>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74F"/>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4BB"/>
    <w:rsid w:val="00B37C73"/>
    <w:rsid w:val="00B4009B"/>
    <w:rsid w:val="00B400A1"/>
    <w:rsid w:val="00B40A2B"/>
    <w:rsid w:val="00B420CB"/>
    <w:rsid w:val="00B420FF"/>
    <w:rsid w:val="00B4401C"/>
    <w:rsid w:val="00B44802"/>
    <w:rsid w:val="00B455D1"/>
    <w:rsid w:val="00B46135"/>
    <w:rsid w:val="00B472AB"/>
    <w:rsid w:val="00B47CE4"/>
    <w:rsid w:val="00B503A8"/>
    <w:rsid w:val="00B5121D"/>
    <w:rsid w:val="00B52179"/>
    <w:rsid w:val="00B525C0"/>
    <w:rsid w:val="00B52FAB"/>
    <w:rsid w:val="00B5319A"/>
    <w:rsid w:val="00B53798"/>
    <w:rsid w:val="00B539F9"/>
    <w:rsid w:val="00B53E56"/>
    <w:rsid w:val="00B546C3"/>
    <w:rsid w:val="00B54BD9"/>
    <w:rsid w:val="00B5503C"/>
    <w:rsid w:val="00B55640"/>
    <w:rsid w:val="00B57107"/>
    <w:rsid w:val="00B60D27"/>
    <w:rsid w:val="00B619E4"/>
    <w:rsid w:val="00B61D0B"/>
    <w:rsid w:val="00B6439A"/>
    <w:rsid w:val="00B6443B"/>
    <w:rsid w:val="00B6517B"/>
    <w:rsid w:val="00B65412"/>
    <w:rsid w:val="00B65E71"/>
    <w:rsid w:val="00B66C26"/>
    <w:rsid w:val="00B705C4"/>
    <w:rsid w:val="00B71FB3"/>
    <w:rsid w:val="00B73492"/>
    <w:rsid w:val="00B7512A"/>
    <w:rsid w:val="00B76548"/>
    <w:rsid w:val="00B76BED"/>
    <w:rsid w:val="00B806E6"/>
    <w:rsid w:val="00B8173D"/>
    <w:rsid w:val="00B82DC1"/>
    <w:rsid w:val="00B835D5"/>
    <w:rsid w:val="00B84028"/>
    <w:rsid w:val="00B84307"/>
    <w:rsid w:val="00B8430D"/>
    <w:rsid w:val="00B85661"/>
    <w:rsid w:val="00B85C8A"/>
    <w:rsid w:val="00B86FBD"/>
    <w:rsid w:val="00B9125C"/>
    <w:rsid w:val="00B91B86"/>
    <w:rsid w:val="00B927CA"/>
    <w:rsid w:val="00B928AE"/>
    <w:rsid w:val="00B93CDA"/>
    <w:rsid w:val="00B942E9"/>
    <w:rsid w:val="00B9433A"/>
    <w:rsid w:val="00B948EE"/>
    <w:rsid w:val="00B94BF3"/>
    <w:rsid w:val="00B94F90"/>
    <w:rsid w:val="00B95DC5"/>
    <w:rsid w:val="00B97E34"/>
    <w:rsid w:val="00B97FEF"/>
    <w:rsid w:val="00BA1354"/>
    <w:rsid w:val="00BA22AC"/>
    <w:rsid w:val="00BA24F8"/>
    <w:rsid w:val="00BA31AA"/>
    <w:rsid w:val="00BA45D8"/>
    <w:rsid w:val="00BA4C1C"/>
    <w:rsid w:val="00BA5828"/>
    <w:rsid w:val="00BA64B3"/>
    <w:rsid w:val="00BA754A"/>
    <w:rsid w:val="00BA7820"/>
    <w:rsid w:val="00BA794C"/>
    <w:rsid w:val="00BB09FB"/>
    <w:rsid w:val="00BB238D"/>
    <w:rsid w:val="00BB37CC"/>
    <w:rsid w:val="00BB48C4"/>
    <w:rsid w:val="00BB5C6F"/>
    <w:rsid w:val="00BB6154"/>
    <w:rsid w:val="00BB646C"/>
    <w:rsid w:val="00BB6907"/>
    <w:rsid w:val="00BB7A20"/>
    <w:rsid w:val="00BC15B1"/>
    <w:rsid w:val="00BC16E9"/>
    <w:rsid w:val="00BC313E"/>
    <w:rsid w:val="00BC3C06"/>
    <w:rsid w:val="00BC4E8B"/>
    <w:rsid w:val="00BC5622"/>
    <w:rsid w:val="00BC6060"/>
    <w:rsid w:val="00BC7897"/>
    <w:rsid w:val="00BD0F35"/>
    <w:rsid w:val="00BD1A9D"/>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2B4"/>
    <w:rsid w:val="00C316F7"/>
    <w:rsid w:val="00C31DF0"/>
    <w:rsid w:val="00C3251C"/>
    <w:rsid w:val="00C32578"/>
    <w:rsid w:val="00C33916"/>
    <w:rsid w:val="00C33BCF"/>
    <w:rsid w:val="00C353A0"/>
    <w:rsid w:val="00C368D7"/>
    <w:rsid w:val="00C36FD1"/>
    <w:rsid w:val="00C371A5"/>
    <w:rsid w:val="00C400B0"/>
    <w:rsid w:val="00C40F4E"/>
    <w:rsid w:val="00C413FC"/>
    <w:rsid w:val="00C43D33"/>
    <w:rsid w:val="00C44407"/>
    <w:rsid w:val="00C456E8"/>
    <w:rsid w:val="00C45C4C"/>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0C7"/>
    <w:rsid w:val="00C651D4"/>
    <w:rsid w:val="00C6669E"/>
    <w:rsid w:val="00C672B0"/>
    <w:rsid w:val="00C729C7"/>
    <w:rsid w:val="00C74192"/>
    <w:rsid w:val="00C761FA"/>
    <w:rsid w:val="00C777AD"/>
    <w:rsid w:val="00C80C53"/>
    <w:rsid w:val="00C81195"/>
    <w:rsid w:val="00C81A98"/>
    <w:rsid w:val="00C85387"/>
    <w:rsid w:val="00C85E52"/>
    <w:rsid w:val="00C86471"/>
    <w:rsid w:val="00C8649D"/>
    <w:rsid w:val="00C8677B"/>
    <w:rsid w:val="00C86E93"/>
    <w:rsid w:val="00C86F96"/>
    <w:rsid w:val="00C909C6"/>
    <w:rsid w:val="00C923B7"/>
    <w:rsid w:val="00C94D4C"/>
    <w:rsid w:val="00C94FC5"/>
    <w:rsid w:val="00C958FD"/>
    <w:rsid w:val="00CA012C"/>
    <w:rsid w:val="00CA0AA6"/>
    <w:rsid w:val="00CA2897"/>
    <w:rsid w:val="00CA2C95"/>
    <w:rsid w:val="00CA33F1"/>
    <w:rsid w:val="00CA44F3"/>
    <w:rsid w:val="00CA495A"/>
    <w:rsid w:val="00CA51BA"/>
    <w:rsid w:val="00CA582C"/>
    <w:rsid w:val="00CA6077"/>
    <w:rsid w:val="00CA715B"/>
    <w:rsid w:val="00CA7988"/>
    <w:rsid w:val="00CA7BA2"/>
    <w:rsid w:val="00CB0B78"/>
    <w:rsid w:val="00CB12A5"/>
    <w:rsid w:val="00CB17FA"/>
    <w:rsid w:val="00CB23D8"/>
    <w:rsid w:val="00CB2ED9"/>
    <w:rsid w:val="00CB36A5"/>
    <w:rsid w:val="00CB56B4"/>
    <w:rsid w:val="00CB5910"/>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36F4"/>
    <w:rsid w:val="00CD4EB0"/>
    <w:rsid w:val="00CD512D"/>
    <w:rsid w:val="00CD5831"/>
    <w:rsid w:val="00CD6F6E"/>
    <w:rsid w:val="00CE08D1"/>
    <w:rsid w:val="00CE157F"/>
    <w:rsid w:val="00CE1966"/>
    <w:rsid w:val="00CE1ED4"/>
    <w:rsid w:val="00CE2216"/>
    <w:rsid w:val="00CE3014"/>
    <w:rsid w:val="00CE30E5"/>
    <w:rsid w:val="00CE5178"/>
    <w:rsid w:val="00CE6FC6"/>
    <w:rsid w:val="00CF2056"/>
    <w:rsid w:val="00CF3D69"/>
    <w:rsid w:val="00CF4471"/>
    <w:rsid w:val="00CF51C0"/>
    <w:rsid w:val="00CF5B2A"/>
    <w:rsid w:val="00CF5F57"/>
    <w:rsid w:val="00CF64A7"/>
    <w:rsid w:val="00CF6730"/>
    <w:rsid w:val="00CF6C9B"/>
    <w:rsid w:val="00CF70E5"/>
    <w:rsid w:val="00CF777F"/>
    <w:rsid w:val="00CF7CEC"/>
    <w:rsid w:val="00D00B0F"/>
    <w:rsid w:val="00D01BF4"/>
    <w:rsid w:val="00D0272C"/>
    <w:rsid w:val="00D045CE"/>
    <w:rsid w:val="00D05082"/>
    <w:rsid w:val="00D06163"/>
    <w:rsid w:val="00D07AFD"/>
    <w:rsid w:val="00D11749"/>
    <w:rsid w:val="00D12725"/>
    <w:rsid w:val="00D12A7D"/>
    <w:rsid w:val="00D13AB0"/>
    <w:rsid w:val="00D1519E"/>
    <w:rsid w:val="00D152B7"/>
    <w:rsid w:val="00D15CDE"/>
    <w:rsid w:val="00D16EDC"/>
    <w:rsid w:val="00D17B69"/>
    <w:rsid w:val="00D17FDE"/>
    <w:rsid w:val="00D201CB"/>
    <w:rsid w:val="00D20444"/>
    <w:rsid w:val="00D22786"/>
    <w:rsid w:val="00D228B4"/>
    <w:rsid w:val="00D251CD"/>
    <w:rsid w:val="00D25A2F"/>
    <w:rsid w:val="00D25AC4"/>
    <w:rsid w:val="00D30095"/>
    <w:rsid w:val="00D305F6"/>
    <w:rsid w:val="00D30B25"/>
    <w:rsid w:val="00D3175A"/>
    <w:rsid w:val="00D31A00"/>
    <w:rsid w:val="00D323E4"/>
    <w:rsid w:val="00D32871"/>
    <w:rsid w:val="00D33881"/>
    <w:rsid w:val="00D34282"/>
    <w:rsid w:val="00D348DD"/>
    <w:rsid w:val="00D356E1"/>
    <w:rsid w:val="00D366B1"/>
    <w:rsid w:val="00D37AE0"/>
    <w:rsid w:val="00D406D1"/>
    <w:rsid w:val="00D416A8"/>
    <w:rsid w:val="00D4217D"/>
    <w:rsid w:val="00D4257C"/>
    <w:rsid w:val="00D425AC"/>
    <w:rsid w:val="00D42823"/>
    <w:rsid w:val="00D42D5E"/>
    <w:rsid w:val="00D43F14"/>
    <w:rsid w:val="00D44C18"/>
    <w:rsid w:val="00D4556D"/>
    <w:rsid w:val="00D47D41"/>
    <w:rsid w:val="00D511C6"/>
    <w:rsid w:val="00D5121D"/>
    <w:rsid w:val="00D516AC"/>
    <w:rsid w:val="00D521BB"/>
    <w:rsid w:val="00D52875"/>
    <w:rsid w:val="00D54050"/>
    <w:rsid w:val="00D56025"/>
    <w:rsid w:val="00D56AC0"/>
    <w:rsid w:val="00D6081B"/>
    <w:rsid w:val="00D61A37"/>
    <w:rsid w:val="00D6240A"/>
    <w:rsid w:val="00D63093"/>
    <w:rsid w:val="00D63599"/>
    <w:rsid w:val="00D63EBD"/>
    <w:rsid w:val="00D67101"/>
    <w:rsid w:val="00D7106D"/>
    <w:rsid w:val="00D71B45"/>
    <w:rsid w:val="00D71F8A"/>
    <w:rsid w:val="00D73A6D"/>
    <w:rsid w:val="00D75603"/>
    <w:rsid w:val="00D75FEE"/>
    <w:rsid w:val="00D76933"/>
    <w:rsid w:val="00D76D88"/>
    <w:rsid w:val="00D77CC9"/>
    <w:rsid w:val="00D83D4B"/>
    <w:rsid w:val="00D871C6"/>
    <w:rsid w:val="00D91010"/>
    <w:rsid w:val="00D97892"/>
    <w:rsid w:val="00D97A2C"/>
    <w:rsid w:val="00DA0FA7"/>
    <w:rsid w:val="00DA12B0"/>
    <w:rsid w:val="00DA2BA0"/>
    <w:rsid w:val="00DA39AD"/>
    <w:rsid w:val="00DA5B13"/>
    <w:rsid w:val="00DA6917"/>
    <w:rsid w:val="00DA6926"/>
    <w:rsid w:val="00DB0965"/>
    <w:rsid w:val="00DB0E47"/>
    <w:rsid w:val="00DB133A"/>
    <w:rsid w:val="00DB245B"/>
    <w:rsid w:val="00DB2BDD"/>
    <w:rsid w:val="00DB4121"/>
    <w:rsid w:val="00DB4360"/>
    <w:rsid w:val="00DB46C3"/>
    <w:rsid w:val="00DB5742"/>
    <w:rsid w:val="00DB5EDF"/>
    <w:rsid w:val="00DB6C46"/>
    <w:rsid w:val="00DB6D9F"/>
    <w:rsid w:val="00DB72B8"/>
    <w:rsid w:val="00DC0C5F"/>
    <w:rsid w:val="00DC16AF"/>
    <w:rsid w:val="00DC2A9A"/>
    <w:rsid w:val="00DC2E2E"/>
    <w:rsid w:val="00DC4D68"/>
    <w:rsid w:val="00DC6463"/>
    <w:rsid w:val="00DC7822"/>
    <w:rsid w:val="00DC7AF1"/>
    <w:rsid w:val="00DD0D3E"/>
    <w:rsid w:val="00DD2D92"/>
    <w:rsid w:val="00DD3026"/>
    <w:rsid w:val="00DD33DC"/>
    <w:rsid w:val="00DD3BB0"/>
    <w:rsid w:val="00DD61F5"/>
    <w:rsid w:val="00DE3223"/>
    <w:rsid w:val="00DE64A6"/>
    <w:rsid w:val="00DE66EB"/>
    <w:rsid w:val="00DE7035"/>
    <w:rsid w:val="00DF12E3"/>
    <w:rsid w:val="00DF1F7E"/>
    <w:rsid w:val="00DF39F9"/>
    <w:rsid w:val="00DF3A6E"/>
    <w:rsid w:val="00DF3F1D"/>
    <w:rsid w:val="00DF595C"/>
    <w:rsid w:val="00DF7EA7"/>
    <w:rsid w:val="00E04548"/>
    <w:rsid w:val="00E0484E"/>
    <w:rsid w:val="00E063F8"/>
    <w:rsid w:val="00E069A2"/>
    <w:rsid w:val="00E071BB"/>
    <w:rsid w:val="00E114D6"/>
    <w:rsid w:val="00E1166E"/>
    <w:rsid w:val="00E11DBD"/>
    <w:rsid w:val="00E11EF1"/>
    <w:rsid w:val="00E13211"/>
    <w:rsid w:val="00E14A7C"/>
    <w:rsid w:val="00E16FB5"/>
    <w:rsid w:val="00E179D6"/>
    <w:rsid w:val="00E21407"/>
    <w:rsid w:val="00E220B8"/>
    <w:rsid w:val="00E22668"/>
    <w:rsid w:val="00E227D3"/>
    <w:rsid w:val="00E22BFF"/>
    <w:rsid w:val="00E22CB0"/>
    <w:rsid w:val="00E23649"/>
    <w:rsid w:val="00E23798"/>
    <w:rsid w:val="00E2585D"/>
    <w:rsid w:val="00E25DBD"/>
    <w:rsid w:val="00E25FA2"/>
    <w:rsid w:val="00E2723D"/>
    <w:rsid w:val="00E27C77"/>
    <w:rsid w:val="00E30180"/>
    <w:rsid w:val="00E3179E"/>
    <w:rsid w:val="00E32AC9"/>
    <w:rsid w:val="00E354DA"/>
    <w:rsid w:val="00E354F5"/>
    <w:rsid w:val="00E360E4"/>
    <w:rsid w:val="00E3687E"/>
    <w:rsid w:val="00E36A3D"/>
    <w:rsid w:val="00E372DD"/>
    <w:rsid w:val="00E40974"/>
    <w:rsid w:val="00E40A5C"/>
    <w:rsid w:val="00E40AAB"/>
    <w:rsid w:val="00E41205"/>
    <w:rsid w:val="00E41F32"/>
    <w:rsid w:val="00E42608"/>
    <w:rsid w:val="00E43536"/>
    <w:rsid w:val="00E43DA3"/>
    <w:rsid w:val="00E44B80"/>
    <w:rsid w:val="00E46293"/>
    <w:rsid w:val="00E46BB9"/>
    <w:rsid w:val="00E47430"/>
    <w:rsid w:val="00E47D6E"/>
    <w:rsid w:val="00E50FB7"/>
    <w:rsid w:val="00E5199F"/>
    <w:rsid w:val="00E526DF"/>
    <w:rsid w:val="00E53C15"/>
    <w:rsid w:val="00E54EE6"/>
    <w:rsid w:val="00E56715"/>
    <w:rsid w:val="00E56C2C"/>
    <w:rsid w:val="00E57F8E"/>
    <w:rsid w:val="00E60A86"/>
    <w:rsid w:val="00E611C8"/>
    <w:rsid w:val="00E63256"/>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674"/>
    <w:rsid w:val="00E8713B"/>
    <w:rsid w:val="00E90C61"/>
    <w:rsid w:val="00E92A82"/>
    <w:rsid w:val="00E92AA8"/>
    <w:rsid w:val="00E9344E"/>
    <w:rsid w:val="00E93E39"/>
    <w:rsid w:val="00E94391"/>
    <w:rsid w:val="00E97E2B"/>
    <w:rsid w:val="00EA0412"/>
    <w:rsid w:val="00EA08CA"/>
    <w:rsid w:val="00EA0C0C"/>
    <w:rsid w:val="00EA1641"/>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101"/>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5644"/>
    <w:rsid w:val="00ED6BA4"/>
    <w:rsid w:val="00ED7DA7"/>
    <w:rsid w:val="00ED7DAC"/>
    <w:rsid w:val="00EE0598"/>
    <w:rsid w:val="00EE0BFF"/>
    <w:rsid w:val="00EE311C"/>
    <w:rsid w:val="00EE56FF"/>
    <w:rsid w:val="00EE5886"/>
    <w:rsid w:val="00EE5FBF"/>
    <w:rsid w:val="00EE6472"/>
    <w:rsid w:val="00EE6C5A"/>
    <w:rsid w:val="00EE76F2"/>
    <w:rsid w:val="00EF0769"/>
    <w:rsid w:val="00EF0D7C"/>
    <w:rsid w:val="00EF40E2"/>
    <w:rsid w:val="00EF61C1"/>
    <w:rsid w:val="00EF6E68"/>
    <w:rsid w:val="00EF76DB"/>
    <w:rsid w:val="00F005FD"/>
    <w:rsid w:val="00F0188B"/>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013"/>
    <w:rsid w:val="00F377CD"/>
    <w:rsid w:val="00F40C3B"/>
    <w:rsid w:val="00F40CE0"/>
    <w:rsid w:val="00F42DBC"/>
    <w:rsid w:val="00F4308D"/>
    <w:rsid w:val="00F44012"/>
    <w:rsid w:val="00F44947"/>
    <w:rsid w:val="00F458EF"/>
    <w:rsid w:val="00F47121"/>
    <w:rsid w:val="00F4775D"/>
    <w:rsid w:val="00F504DD"/>
    <w:rsid w:val="00F50874"/>
    <w:rsid w:val="00F50B3E"/>
    <w:rsid w:val="00F516C6"/>
    <w:rsid w:val="00F52221"/>
    <w:rsid w:val="00F52B28"/>
    <w:rsid w:val="00F536BB"/>
    <w:rsid w:val="00F53755"/>
    <w:rsid w:val="00F53E59"/>
    <w:rsid w:val="00F5475B"/>
    <w:rsid w:val="00F551CC"/>
    <w:rsid w:val="00F574D0"/>
    <w:rsid w:val="00F6031F"/>
    <w:rsid w:val="00F61664"/>
    <w:rsid w:val="00F61B99"/>
    <w:rsid w:val="00F61BA8"/>
    <w:rsid w:val="00F6276E"/>
    <w:rsid w:val="00F64C45"/>
    <w:rsid w:val="00F6502B"/>
    <w:rsid w:val="00F6565D"/>
    <w:rsid w:val="00F65811"/>
    <w:rsid w:val="00F6612A"/>
    <w:rsid w:val="00F66724"/>
    <w:rsid w:val="00F67F04"/>
    <w:rsid w:val="00F7016A"/>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43C3"/>
    <w:rsid w:val="00F9580B"/>
    <w:rsid w:val="00F95F15"/>
    <w:rsid w:val="00F975CA"/>
    <w:rsid w:val="00FA0B60"/>
    <w:rsid w:val="00FA179D"/>
    <w:rsid w:val="00FA19D3"/>
    <w:rsid w:val="00FA2528"/>
    <w:rsid w:val="00FA5535"/>
    <w:rsid w:val="00FA7206"/>
    <w:rsid w:val="00FA7EFB"/>
    <w:rsid w:val="00FB0816"/>
    <w:rsid w:val="00FB08C2"/>
    <w:rsid w:val="00FB3DD1"/>
    <w:rsid w:val="00FB51FD"/>
    <w:rsid w:val="00FB5667"/>
    <w:rsid w:val="00FB7A97"/>
    <w:rsid w:val="00FC1909"/>
    <w:rsid w:val="00FC1B9B"/>
    <w:rsid w:val="00FC318D"/>
    <w:rsid w:val="00FC36CF"/>
    <w:rsid w:val="00FC40BC"/>
    <w:rsid w:val="00FC41FC"/>
    <w:rsid w:val="00FC4F6E"/>
    <w:rsid w:val="00FC506C"/>
    <w:rsid w:val="00FC578C"/>
    <w:rsid w:val="00FC5A37"/>
    <w:rsid w:val="00FC5F4E"/>
    <w:rsid w:val="00FC7223"/>
    <w:rsid w:val="00FD0713"/>
    <w:rsid w:val="00FD13EA"/>
    <w:rsid w:val="00FD5EC4"/>
    <w:rsid w:val="00FD7858"/>
    <w:rsid w:val="00FD7A8D"/>
    <w:rsid w:val="00FE1330"/>
    <w:rsid w:val="00FE1CE5"/>
    <w:rsid w:val="00FE2832"/>
    <w:rsid w:val="00FE2D38"/>
    <w:rsid w:val="00FE3929"/>
    <w:rsid w:val="00FE401C"/>
    <w:rsid w:val="00FE5F2F"/>
    <w:rsid w:val="00FF097B"/>
    <w:rsid w:val="00FF0AF4"/>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0B8"/>
    <w:rPr>
      <w:sz w:val="24"/>
      <w:szCs w:val="24"/>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style>
  <w:style w:type="paragraph" w:styleId="Heading8">
    <w:name w:val="heading 8"/>
    <w:basedOn w:val="Normal"/>
    <w:next w:val="Normal"/>
    <w:link w:val="Heading8Char"/>
    <w:qFormat/>
    <w:rsid w:val="003609B6"/>
    <w:pPr>
      <w:numPr>
        <w:ilvl w:val="7"/>
        <w:numId w:val="4"/>
      </w:numPr>
      <w:spacing w:before="240" w:after="60"/>
      <w:outlineLvl w:val="7"/>
    </w:pPr>
    <w:rPr>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szCs w:val="20"/>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rPr>
  </w:style>
  <w:style w:type="paragraph" w:customStyle="1" w:styleId="Tiret1">
    <w:name w:val="Tiret 1"/>
    <w:basedOn w:val="Normal"/>
    <w:rsid w:val="002D6E1A"/>
    <w:pPr>
      <w:numPr>
        <w:numId w:val="10"/>
      </w:numPr>
      <w:spacing w:before="120" w:after="120"/>
      <w:jc w:val="both"/>
    </w:pPr>
    <w:rPr>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lang w:eastAsia="en-US"/>
    </w:rPr>
  </w:style>
  <w:style w:type="paragraph" w:customStyle="1" w:styleId="Institutionquisigne">
    <w:name w:val="Institution qui signe"/>
    <w:basedOn w:val="Normal"/>
    <w:next w:val="Normal"/>
    <w:rsid w:val="000D2D0B"/>
    <w:pPr>
      <w:keepNext/>
      <w:tabs>
        <w:tab w:val="left" w:pos="4252"/>
      </w:tabs>
      <w:spacing w:before="720"/>
      <w:jc w:val="both"/>
    </w:pPr>
    <w:rPr>
      <w:i/>
      <w:lang w:eastAsia="en-US"/>
    </w:rPr>
  </w:style>
  <w:style w:type="paragraph" w:customStyle="1" w:styleId="Paragrafoelenco1">
    <w:name w:val="Paragrafo elenco1"/>
    <w:basedOn w:val="Normal"/>
    <w:rsid w:val="000D2D0B"/>
    <w:pPr>
      <w:ind w:left="720"/>
      <w:contextualSpacing/>
    </w:pPr>
    <w:rPr>
      <w:rFonts w:ascii="Cambria" w:hAnsi="Cambria"/>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szCs w:val="20"/>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b/>
      <w:caps/>
      <w:szCs w:val="20"/>
    </w:rPr>
  </w:style>
  <w:style w:type="paragraph" w:customStyle="1" w:styleId="Applicationdirecte">
    <w:name w:val="Application directe"/>
    <w:basedOn w:val="Normal"/>
    <w:next w:val="Fait"/>
    <w:rsid w:val="000D2D0B"/>
    <w:pPr>
      <w:spacing w:before="480" w:after="120"/>
      <w:jc w:val="both"/>
    </w:pPr>
    <w:rPr>
      <w:lang w:eastAsia="en-US"/>
    </w:rPr>
  </w:style>
  <w:style w:type="paragraph" w:customStyle="1" w:styleId="Fait">
    <w:name w:val="Fait à"/>
    <w:basedOn w:val="Normal"/>
    <w:next w:val="Institutionquisigne"/>
    <w:rsid w:val="000D2D0B"/>
    <w:pPr>
      <w:keepNext/>
      <w:spacing w:before="120"/>
      <w:jc w:val="both"/>
    </w:pPr>
    <w:rPr>
      <w:lang w:eastAsia="en-US"/>
    </w:rPr>
  </w:style>
  <w:style w:type="paragraph" w:customStyle="1" w:styleId="Formuledadoption">
    <w:name w:val="Formule d'adoption"/>
    <w:basedOn w:val="Normal"/>
    <w:next w:val="Titrearticle"/>
    <w:rsid w:val="000D2D0B"/>
    <w:pPr>
      <w:keepNext/>
      <w:spacing w:before="120" w:after="120"/>
      <w:jc w:val="both"/>
    </w:pPr>
    <w:rPr>
      <w:lang w:eastAsia="en-US"/>
    </w:rPr>
  </w:style>
  <w:style w:type="paragraph" w:customStyle="1" w:styleId="Personnequisigne">
    <w:name w:val="Personne qui signe"/>
    <w:basedOn w:val="Normal"/>
    <w:next w:val="Institutionquisigne"/>
    <w:rsid w:val="000D2D0B"/>
    <w:pPr>
      <w:tabs>
        <w:tab w:val="left" w:pos="4252"/>
      </w:tabs>
    </w:pPr>
    <w:rPr>
      <w:i/>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i/>
      <w:lang w:val="x-none" w:eastAsia="x-none"/>
    </w:rPr>
  </w:style>
  <w:style w:type="paragraph" w:customStyle="1" w:styleId="Titreobjet">
    <w:name w:val="Titre objet"/>
    <w:basedOn w:val="Normal"/>
    <w:next w:val="Normal"/>
    <w:rsid w:val="000D2D0B"/>
    <w:pPr>
      <w:spacing w:before="360" w:after="360"/>
      <w:jc w:val="center"/>
    </w:pPr>
    <w:rPr>
      <w:b/>
      <w:lang w:eastAsia="en-US"/>
    </w:rPr>
  </w:style>
  <w:style w:type="paragraph" w:customStyle="1" w:styleId="Typedudocument">
    <w:name w:val="Type du document"/>
    <w:basedOn w:val="Normal"/>
    <w:next w:val="Titreobjet"/>
    <w:rsid w:val="000D2D0B"/>
    <w:pPr>
      <w:spacing w:before="360"/>
      <w:jc w:val="center"/>
    </w:pPr>
    <w:rPr>
      <w:b/>
      <w:lang w:eastAsia="en-US"/>
    </w:rPr>
  </w:style>
  <w:style w:type="paragraph" w:customStyle="1" w:styleId="HeaderLandscape">
    <w:name w:val="HeaderLandscape"/>
    <w:basedOn w:val="Normal"/>
    <w:rsid w:val="000D2D0B"/>
    <w:pPr>
      <w:tabs>
        <w:tab w:val="center" w:pos="7285"/>
        <w:tab w:val="right" w:pos="14003"/>
      </w:tabs>
      <w:spacing w:before="120" w:after="120"/>
      <w:jc w:val="both"/>
    </w:pPr>
    <w:rPr>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lang w:eastAsia="en-US"/>
    </w:rPr>
  </w:style>
  <w:style w:type="paragraph" w:customStyle="1" w:styleId="Text1">
    <w:name w:val="Text 1"/>
    <w:basedOn w:val="Normal"/>
    <w:rsid w:val="000D2D0B"/>
    <w:pPr>
      <w:spacing w:before="120" w:after="120"/>
      <w:ind w:left="850"/>
      <w:jc w:val="both"/>
    </w:pPr>
    <w:rPr>
      <w:lang w:eastAsia="en-US"/>
    </w:rPr>
  </w:style>
  <w:style w:type="paragraph" w:customStyle="1" w:styleId="Text2">
    <w:name w:val="Text 2"/>
    <w:basedOn w:val="Normal"/>
    <w:rsid w:val="000D2D0B"/>
    <w:pPr>
      <w:spacing w:before="120" w:after="120"/>
      <w:ind w:left="1417"/>
      <w:jc w:val="both"/>
    </w:pPr>
    <w:rPr>
      <w:lang w:eastAsia="en-US"/>
    </w:rPr>
  </w:style>
  <w:style w:type="paragraph" w:customStyle="1" w:styleId="Text3">
    <w:name w:val="Text 3"/>
    <w:basedOn w:val="Normal"/>
    <w:rsid w:val="000D2D0B"/>
    <w:pPr>
      <w:spacing w:before="120" w:after="120"/>
      <w:ind w:left="1984"/>
      <w:jc w:val="both"/>
    </w:pPr>
    <w:rPr>
      <w:lang w:eastAsia="en-US"/>
    </w:rPr>
  </w:style>
  <w:style w:type="paragraph" w:customStyle="1" w:styleId="Text4">
    <w:name w:val="Text 4"/>
    <w:basedOn w:val="Normal"/>
    <w:rsid w:val="000D2D0B"/>
    <w:pPr>
      <w:spacing w:before="120" w:after="120"/>
      <w:ind w:left="2551"/>
      <w:jc w:val="both"/>
    </w:pPr>
    <w:rPr>
      <w:lang w:eastAsia="en-US"/>
    </w:rPr>
  </w:style>
  <w:style w:type="paragraph" w:customStyle="1" w:styleId="NormalCentered">
    <w:name w:val="Normal Centered"/>
    <w:basedOn w:val="Normal"/>
    <w:rsid w:val="000D2D0B"/>
    <w:pPr>
      <w:spacing w:before="120" w:after="120"/>
      <w:jc w:val="center"/>
    </w:pPr>
    <w:rPr>
      <w:lang w:eastAsia="en-US"/>
    </w:rPr>
  </w:style>
  <w:style w:type="paragraph" w:customStyle="1" w:styleId="NormalLeft">
    <w:name w:val="Normal Left"/>
    <w:basedOn w:val="Normal"/>
    <w:rsid w:val="000D2D0B"/>
    <w:pPr>
      <w:spacing w:before="120" w:after="120"/>
    </w:pPr>
    <w:rPr>
      <w:lang w:eastAsia="en-US"/>
    </w:rPr>
  </w:style>
  <w:style w:type="paragraph" w:customStyle="1" w:styleId="NormalRight">
    <w:name w:val="Normal Right"/>
    <w:basedOn w:val="Normal"/>
    <w:rsid w:val="000D2D0B"/>
    <w:pPr>
      <w:spacing w:before="120" w:after="120"/>
      <w:jc w:val="right"/>
    </w:pPr>
    <w:rPr>
      <w:lang w:eastAsia="en-US"/>
    </w:rPr>
  </w:style>
  <w:style w:type="paragraph" w:customStyle="1" w:styleId="QuotedText">
    <w:name w:val="Quoted Text"/>
    <w:basedOn w:val="Normal"/>
    <w:rsid w:val="000D2D0B"/>
    <w:pPr>
      <w:spacing w:before="120" w:after="120"/>
      <w:ind w:left="1417"/>
      <w:jc w:val="both"/>
    </w:pPr>
    <w:rPr>
      <w:lang w:eastAsia="en-US"/>
    </w:rPr>
  </w:style>
  <w:style w:type="paragraph" w:customStyle="1" w:styleId="Point0">
    <w:name w:val="Point 0"/>
    <w:basedOn w:val="Normal"/>
    <w:rsid w:val="000D2D0B"/>
    <w:pPr>
      <w:spacing w:before="120" w:after="120"/>
      <w:ind w:left="850" w:hanging="850"/>
      <w:jc w:val="both"/>
    </w:pPr>
    <w:rPr>
      <w:lang w:eastAsia="en-US"/>
    </w:rPr>
  </w:style>
  <w:style w:type="paragraph" w:customStyle="1" w:styleId="Point1">
    <w:name w:val="Point 1"/>
    <w:basedOn w:val="Normal"/>
    <w:rsid w:val="000D2D0B"/>
    <w:pPr>
      <w:spacing w:before="120" w:after="120"/>
      <w:ind w:left="1417" w:hanging="567"/>
      <w:jc w:val="both"/>
    </w:pPr>
    <w:rPr>
      <w:lang w:eastAsia="en-US"/>
    </w:rPr>
  </w:style>
  <w:style w:type="paragraph" w:customStyle="1" w:styleId="Point2">
    <w:name w:val="Point 2"/>
    <w:basedOn w:val="Normal"/>
    <w:rsid w:val="000D2D0B"/>
    <w:pPr>
      <w:spacing w:before="120" w:after="120"/>
      <w:ind w:left="1984" w:hanging="567"/>
      <w:jc w:val="both"/>
    </w:pPr>
    <w:rPr>
      <w:lang w:eastAsia="en-US"/>
    </w:rPr>
  </w:style>
  <w:style w:type="paragraph" w:customStyle="1" w:styleId="Point3">
    <w:name w:val="Point 3"/>
    <w:basedOn w:val="Normal"/>
    <w:rsid w:val="000D2D0B"/>
    <w:pPr>
      <w:spacing w:before="120" w:after="120"/>
      <w:ind w:left="2551" w:hanging="567"/>
      <w:jc w:val="both"/>
    </w:pPr>
    <w:rPr>
      <w:lang w:eastAsia="en-US"/>
    </w:rPr>
  </w:style>
  <w:style w:type="paragraph" w:customStyle="1" w:styleId="Point4">
    <w:name w:val="Point 4"/>
    <w:basedOn w:val="Normal"/>
    <w:rsid w:val="000D2D0B"/>
    <w:pPr>
      <w:spacing w:before="120" w:after="120"/>
      <w:ind w:left="3118" w:hanging="567"/>
      <w:jc w:val="both"/>
    </w:pPr>
    <w:rPr>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lang w:eastAsia="en-US"/>
    </w:rPr>
  </w:style>
  <w:style w:type="paragraph" w:customStyle="1" w:styleId="PointDouble1">
    <w:name w:val="PointDouble 1"/>
    <w:basedOn w:val="Normal"/>
    <w:rsid w:val="000D2D0B"/>
    <w:pPr>
      <w:tabs>
        <w:tab w:val="left" w:pos="1417"/>
      </w:tabs>
      <w:spacing w:before="120" w:after="120"/>
      <w:ind w:left="1984" w:hanging="1134"/>
      <w:jc w:val="both"/>
    </w:pPr>
    <w:rPr>
      <w:lang w:eastAsia="en-US"/>
    </w:rPr>
  </w:style>
  <w:style w:type="paragraph" w:customStyle="1" w:styleId="PointDouble2">
    <w:name w:val="PointDouble 2"/>
    <w:basedOn w:val="Normal"/>
    <w:rsid w:val="000D2D0B"/>
    <w:pPr>
      <w:tabs>
        <w:tab w:val="left" w:pos="1984"/>
      </w:tabs>
      <w:spacing w:before="120" w:after="120"/>
      <w:ind w:left="2551" w:hanging="1134"/>
      <w:jc w:val="both"/>
    </w:pPr>
    <w:rPr>
      <w:lang w:eastAsia="en-US"/>
    </w:rPr>
  </w:style>
  <w:style w:type="paragraph" w:customStyle="1" w:styleId="PointDouble3">
    <w:name w:val="PointDouble 3"/>
    <w:basedOn w:val="Normal"/>
    <w:rsid w:val="000D2D0B"/>
    <w:pPr>
      <w:tabs>
        <w:tab w:val="left" w:pos="2551"/>
      </w:tabs>
      <w:spacing w:before="120" w:after="120"/>
      <w:ind w:left="3118" w:hanging="1134"/>
      <w:jc w:val="both"/>
    </w:pPr>
    <w:rPr>
      <w:lang w:eastAsia="en-US"/>
    </w:rPr>
  </w:style>
  <w:style w:type="paragraph" w:customStyle="1" w:styleId="PointDouble4">
    <w:name w:val="PointDouble 4"/>
    <w:basedOn w:val="Normal"/>
    <w:rsid w:val="000D2D0B"/>
    <w:pPr>
      <w:tabs>
        <w:tab w:val="left" w:pos="3118"/>
      </w:tabs>
      <w:spacing w:before="120" w:after="120"/>
      <w:ind w:left="3685" w:hanging="1134"/>
      <w:jc w:val="both"/>
    </w:pPr>
    <w:rPr>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lang w:eastAsia="en-US"/>
    </w:rPr>
  </w:style>
  <w:style w:type="paragraph" w:customStyle="1" w:styleId="NumPar1">
    <w:name w:val="NumPar 1"/>
    <w:basedOn w:val="Normal"/>
    <w:next w:val="Text1"/>
    <w:rsid w:val="000D2D0B"/>
    <w:pPr>
      <w:numPr>
        <w:numId w:val="21"/>
      </w:numPr>
      <w:spacing w:before="120" w:after="120"/>
      <w:jc w:val="both"/>
    </w:pPr>
    <w:rPr>
      <w:lang w:eastAsia="en-US"/>
    </w:rPr>
  </w:style>
  <w:style w:type="paragraph" w:customStyle="1" w:styleId="NumPar2">
    <w:name w:val="NumPar 2"/>
    <w:basedOn w:val="Normal"/>
    <w:next w:val="Text1"/>
    <w:rsid w:val="000D2D0B"/>
    <w:pPr>
      <w:numPr>
        <w:ilvl w:val="1"/>
        <w:numId w:val="21"/>
      </w:numPr>
      <w:spacing w:before="120" w:after="120"/>
      <w:jc w:val="both"/>
    </w:pPr>
    <w:rPr>
      <w:lang w:eastAsia="en-US"/>
    </w:rPr>
  </w:style>
  <w:style w:type="paragraph" w:customStyle="1" w:styleId="NumPar3">
    <w:name w:val="NumPar 3"/>
    <w:basedOn w:val="Normal"/>
    <w:next w:val="Text1"/>
    <w:rsid w:val="000D2D0B"/>
    <w:pPr>
      <w:numPr>
        <w:ilvl w:val="2"/>
        <w:numId w:val="21"/>
      </w:numPr>
      <w:spacing w:before="120" w:after="120"/>
      <w:jc w:val="both"/>
    </w:pPr>
    <w:rPr>
      <w:lang w:eastAsia="en-US"/>
    </w:rPr>
  </w:style>
  <w:style w:type="paragraph" w:customStyle="1" w:styleId="NumPar4">
    <w:name w:val="NumPar 4"/>
    <w:basedOn w:val="Normal"/>
    <w:next w:val="Text1"/>
    <w:rsid w:val="000D2D0B"/>
    <w:pPr>
      <w:numPr>
        <w:ilvl w:val="3"/>
        <w:numId w:val="21"/>
      </w:numPr>
      <w:spacing w:before="120" w:after="120"/>
      <w:jc w:val="both"/>
    </w:pPr>
    <w:rPr>
      <w:lang w:eastAsia="en-US"/>
    </w:rPr>
  </w:style>
  <w:style w:type="paragraph" w:customStyle="1" w:styleId="ManualNumPar2">
    <w:name w:val="Manual NumPar 2"/>
    <w:basedOn w:val="Normal"/>
    <w:next w:val="Text1"/>
    <w:rsid w:val="000D2D0B"/>
    <w:pPr>
      <w:spacing w:before="120" w:after="120"/>
      <w:ind w:left="850" w:hanging="850"/>
      <w:jc w:val="both"/>
    </w:pPr>
    <w:rPr>
      <w:lang w:eastAsia="en-US"/>
    </w:rPr>
  </w:style>
  <w:style w:type="paragraph" w:customStyle="1" w:styleId="ManualNumPar3">
    <w:name w:val="Manual NumPar 3"/>
    <w:basedOn w:val="Normal"/>
    <w:next w:val="Text1"/>
    <w:rsid w:val="000D2D0B"/>
    <w:pPr>
      <w:spacing w:before="120" w:after="120"/>
      <w:ind w:left="850" w:hanging="850"/>
      <w:jc w:val="both"/>
    </w:pPr>
    <w:rPr>
      <w:lang w:eastAsia="en-US"/>
    </w:rPr>
  </w:style>
  <w:style w:type="paragraph" w:customStyle="1" w:styleId="ManualNumPar4">
    <w:name w:val="Manual NumPar 4"/>
    <w:basedOn w:val="Normal"/>
    <w:next w:val="Text1"/>
    <w:rsid w:val="000D2D0B"/>
    <w:pPr>
      <w:spacing w:before="120" w:after="120"/>
      <w:ind w:left="850" w:hanging="850"/>
      <w:jc w:val="both"/>
    </w:pPr>
    <w:rPr>
      <w:lang w:eastAsia="en-US"/>
    </w:rPr>
  </w:style>
  <w:style w:type="paragraph" w:customStyle="1" w:styleId="QuotedNumPar">
    <w:name w:val="Quoted NumPar"/>
    <w:basedOn w:val="Normal"/>
    <w:rsid w:val="000D2D0B"/>
    <w:pPr>
      <w:spacing w:before="120" w:after="120"/>
      <w:ind w:left="1417" w:hanging="567"/>
      <w:jc w:val="both"/>
    </w:pPr>
    <w:rPr>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b/>
      <w:smallCaps/>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b/>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i/>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lang w:eastAsia="en-US"/>
    </w:rPr>
  </w:style>
  <w:style w:type="paragraph" w:customStyle="1" w:styleId="ChapterTitle">
    <w:name w:val="ChapterTitle"/>
    <w:basedOn w:val="Normal"/>
    <w:next w:val="Normal"/>
    <w:rsid w:val="000D2D0B"/>
    <w:pPr>
      <w:keepNext/>
      <w:spacing w:before="120" w:after="360"/>
      <w:jc w:val="center"/>
    </w:pPr>
    <w:rPr>
      <w:b/>
      <w:sz w:val="32"/>
      <w:lang w:eastAsia="en-US"/>
    </w:rPr>
  </w:style>
  <w:style w:type="paragraph" w:customStyle="1" w:styleId="PartTitle">
    <w:name w:val="PartTitle"/>
    <w:basedOn w:val="Normal"/>
    <w:next w:val="ChapterTitle"/>
    <w:rsid w:val="000D2D0B"/>
    <w:pPr>
      <w:keepNext/>
      <w:pageBreakBefore/>
      <w:spacing w:before="120" w:after="360"/>
      <w:jc w:val="center"/>
    </w:pPr>
    <w:rPr>
      <w:b/>
      <w:sz w:val="36"/>
      <w:lang w:eastAsia="en-US"/>
    </w:rPr>
  </w:style>
  <w:style w:type="paragraph" w:customStyle="1" w:styleId="SectionTitle">
    <w:name w:val="SectionTitle"/>
    <w:basedOn w:val="Normal"/>
    <w:next w:val="Heading1"/>
    <w:rsid w:val="000D2D0B"/>
    <w:pPr>
      <w:keepNext/>
      <w:spacing w:before="120" w:after="360"/>
      <w:jc w:val="center"/>
    </w:pPr>
    <w:rPr>
      <w:b/>
      <w:smallCaps/>
      <w:sz w:val="28"/>
      <w:lang w:eastAsia="en-US"/>
    </w:rPr>
  </w:style>
  <w:style w:type="paragraph" w:customStyle="1" w:styleId="TableTitle">
    <w:name w:val="Table Title"/>
    <w:basedOn w:val="Normal"/>
    <w:next w:val="Normal"/>
    <w:rsid w:val="000D2D0B"/>
    <w:pPr>
      <w:spacing w:before="120" w:after="120"/>
      <w:jc w:val="center"/>
    </w:pPr>
    <w:rPr>
      <w:b/>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lang w:eastAsia="en-US"/>
    </w:rPr>
  </w:style>
  <w:style w:type="paragraph" w:customStyle="1" w:styleId="Point1number">
    <w:name w:val="Point 1 (number)"/>
    <w:basedOn w:val="Normal"/>
    <w:rsid w:val="000D2D0B"/>
    <w:pPr>
      <w:numPr>
        <w:ilvl w:val="2"/>
        <w:numId w:val="28"/>
      </w:numPr>
      <w:spacing w:before="120" w:after="120"/>
      <w:jc w:val="both"/>
    </w:pPr>
    <w:rPr>
      <w:lang w:eastAsia="en-US"/>
    </w:rPr>
  </w:style>
  <w:style w:type="paragraph" w:customStyle="1" w:styleId="Point2number">
    <w:name w:val="Point 2 (number)"/>
    <w:basedOn w:val="Normal"/>
    <w:rsid w:val="000D2D0B"/>
    <w:pPr>
      <w:numPr>
        <w:ilvl w:val="4"/>
        <w:numId w:val="28"/>
      </w:numPr>
      <w:spacing w:before="120" w:after="120"/>
      <w:jc w:val="both"/>
    </w:pPr>
    <w:rPr>
      <w:lang w:eastAsia="en-US"/>
    </w:rPr>
  </w:style>
  <w:style w:type="paragraph" w:customStyle="1" w:styleId="Point3number">
    <w:name w:val="Point 3 (number)"/>
    <w:basedOn w:val="Normal"/>
    <w:rsid w:val="000D2D0B"/>
    <w:pPr>
      <w:numPr>
        <w:ilvl w:val="6"/>
        <w:numId w:val="28"/>
      </w:numPr>
      <w:spacing w:before="120" w:after="120"/>
      <w:jc w:val="both"/>
    </w:pPr>
    <w:rPr>
      <w:lang w:eastAsia="en-US"/>
    </w:rPr>
  </w:style>
  <w:style w:type="paragraph" w:customStyle="1" w:styleId="Point0letter">
    <w:name w:val="Point 0 (letter)"/>
    <w:basedOn w:val="Normal"/>
    <w:rsid w:val="000D2D0B"/>
    <w:pPr>
      <w:numPr>
        <w:ilvl w:val="1"/>
        <w:numId w:val="28"/>
      </w:numPr>
      <w:spacing w:before="120" w:after="120"/>
      <w:jc w:val="both"/>
    </w:pPr>
    <w:rPr>
      <w:lang w:eastAsia="en-US"/>
    </w:rPr>
  </w:style>
  <w:style w:type="paragraph" w:customStyle="1" w:styleId="Point1letter">
    <w:name w:val="Point 1 (letter)"/>
    <w:basedOn w:val="Normal"/>
    <w:rsid w:val="000D2D0B"/>
    <w:pPr>
      <w:numPr>
        <w:ilvl w:val="3"/>
        <w:numId w:val="28"/>
      </w:numPr>
      <w:spacing w:before="120" w:after="120"/>
      <w:jc w:val="both"/>
    </w:pPr>
    <w:rPr>
      <w:lang w:eastAsia="en-US"/>
    </w:rPr>
  </w:style>
  <w:style w:type="paragraph" w:customStyle="1" w:styleId="Point2letter">
    <w:name w:val="Point 2 (letter)"/>
    <w:basedOn w:val="Normal"/>
    <w:rsid w:val="000D2D0B"/>
    <w:pPr>
      <w:numPr>
        <w:ilvl w:val="5"/>
        <w:numId w:val="28"/>
      </w:numPr>
      <w:spacing w:before="120" w:after="120"/>
      <w:jc w:val="both"/>
    </w:pPr>
    <w:rPr>
      <w:lang w:eastAsia="en-US"/>
    </w:rPr>
  </w:style>
  <w:style w:type="paragraph" w:customStyle="1" w:styleId="Point3letter">
    <w:name w:val="Point 3 (letter)"/>
    <w:basedOn w:val="Normal"/>
    <w:rsid w:val="000D2D0B"/>
    <w:pPr>
      <w:numPr>
        <w:ilvl w:val="7"/>
        <w:numId w:val="28"/>
      </w:numPr>
      <w:spacing w:before="120" w:after="120"/>
      <w:jc w:val="both"/>
    </w:pPr>
    <w:rPr>
      <w:lang w:eastAsia="en-US"/>
    </w:rPr>
  </w:style>
  <w:style w:type="paragraph" w:customStyle="1" w:styleId="Point4letter">
    <w:name w:val="Point 4 (letter)"/>
    <w:basedOn w:val="Normal"/>
    <w:rsid w:val="000D2D0B"/>
    <w:pPr>
      <w:numPr>
        <w:ilvl w:val="8"/>
        <w:numId w:val="28"/>
      </w:numPr>
      <w:spacing w:before="120" w:after="120"/>
      <w:jc w:val="both"/>
    </w:pPr>
    <w:rPr>
      <w:lang w:eastAsia="en-US"/>
    </w:rPr>
  </w:style>
  <w:style w:type="paragraph" w:customStyle="1" w:styleId="Bullet0">
    <w:name w:val="Bullet 0"/>
    <w:basedOn w:val="Normal"/>
    <w:rsid w:val="000D2D0B"/>
    <w:pPr>
      <w:numPr>
        <w:numId w:val="22"/>
      </w:numPr>
      <w:spacing w:before="120" w:after="120"/>
      <w:jc w:val="both"/>
    </w:pPr>
    <w:rPr>
      <w:lang w:eastAsia="en-US"/>
    </w:rPr>
  </w:style>
  <w:style w:type="paragraph" w:customStyle="1" w:styleId="Bullet1">
    <w:name w:val="Bullet 1"/>
    <w:basedOn w:val="Normal"/>
    <w:rsid w:val="000D2D0B"/>
    <w:pPr>
      <w:numPr>
        <w:numId w:val="23"/>
      </w:numPr>
      <w:spacing w:before="120" w:after="120"/>
      <w:jc w:val="both"/>
    </w:pPr>
    <w:rPr>
      <w:lang w:eastAsia="en-US"/>
    </w:rPr>
  </w:style>
  <w:style w:type="paragraph" w:customStyle="1" w:styleId="Bullet2">
    <w:name w:val="Bullet 2"/>
    <w:basedOn w:val="Normal"/>
    <w:rsid w:val="000D2D0B"/>
    <w:pPr>
      <w:numPr>
        <w:numId w:val="24"/>
      </w:numPr>
      <w:spacing w:before="120" w:after="120"/>
      <w:jc w:val="both"/>
    </w:pPr>
    <w:rPr>
      <w:lang w:eastAsia="en-US"/>
    </w:rPr>
  </w:style>
  <w:style w:type="paragraph" w:customStyle="1" w:styleId="Bullet3">
    <w:name w:val="Bullet 3"/>
    <w:basedOn w:val="Normal"/>
    <w:rsid w:val="000D2D0B"/>
    <w:pPr>
      <w:numPr>
        <w:numId w:val="25"/>
      </w:numPr>
      <w:spacing w:before="120" w:after="120"/>
      <w:jc w:val="both"/>
    </w:pPr>
    <w:rPr>
      <w:lang w:eastAsia="en-US"/>
    </w:rPr>
  </w:style>
  <w:style w:type="paragraph" w:customStyle="1" w:styleId="Bullet4">
    <w:name w:val="Bullet 4"/>
    <w:basedOn w:val="Normal"/>
    <w:rsid w:val="000D2D0B"/>
    <w:pPr>
      <w:numPr>
        <w:numId w:val="26"/>
      </w:numPr>
      <w:spacing w:before="120" w:after="120"/>
      <w:jc w:val="both"/>
    </w:pPr>
    <w:rPr>
      <w:lang w:eastAsia="en-US"/>
    </w:rPr>
  </w:style>
  <w:style w:type="paragraph" w:customStyle="1" w:styleId="Annexetitreexpos">
    <w:name w:val="Annexe titre (exposé)"/>
    <w:basedOn w:val="Normal"/>
    <w:next w:val="Normal"/>
    <w:rsid w:val="000D2D0B"/>
    <w:pPr>
      <w:spacing w:before="120" w:after="120"/>
      <w:jc w:val="center"/>
    </w:pPr>
    <w:rPr>
      <w:b/>
      <w:u w:val="single"/>
      <w:lang w:eastAsia="en-US"/>
    </w:rPr>
  </w:style>
  <w:style w:type="paragraph" w:customStyle="1" w:styleId="Annexetitre">
    <w:name w:val="Annexe titre"/>
    <w:basedOn w:val="Normal"/>
    <w:next w:val="Normal"/>
    <w:rsid w:val="000D2D0B"/>
    <w:pPr>
      <w:spacing w:before="120" w:after="120"/>
      <w:jc w:val="center"/>
    </w:pPr>
    <w:rPr>
      <w:b/>
      <w:u w:val="single"/>
      <w:lang w:eastAsia="en-US"/>
    </w:rPr>
  </w:style>
  <w:style w:type="paragraph" w:customStyle="1" w:styleId="Annexetitrefichefinancire">
    <w:name w:val="Annexe titre (fiche financière)"/>
    <w:basedOn w:val="Normal"/>
    <w:next w:val="Normal"/>
    <w:rsid w:val="000D2D0B"/>
    <w:pPr>
      <w:spacing w:before="120" w:after="120"/>
      <w:jc w:val="center"/>
    </w:pPr>
    <w:rPr>
      <w:b/>
      <w:u w:val="single"/>
      <w:lang w:eastAsia="en-US"/>
    </w:rPr>
  </w:style>
  <w:style w:type="paragraph" w:customStyle="1" w:styleId="Avertissementtitre">
    <w:name w:val="Avertissement titre"/>
    <w:basedOn w:val="Normal"/>
    <w:next w:val="Normal"/>
    <w:rsid w:val="000D2D0B"/>
    <w:pPr>
      <w:keepNext/>
      <w:spacing w:before="480" w:after="120"/>
      <w:jc w:val="both"/>
    </w:pPr>
    <w:rPr>
      <w:u w:val="single"/>
      <w:lang w:eastAsia="en-US"/>
    </w:rPr>
  </w:style>
  <w:style w:type="paragraph" w:customStyle="1" w:styleId="Confidence">
    <w:name w:val="Confidence"/>
    <w:basedOn w:val="Normal"/>
    <w:next w:val="Normal"/>
    <w:rsid w:val="000D2D0B"/>
    <w:pPr>
      <w:spacing w:before="360" w:after="120"/>
      <w:jc w:val="center"/>
    </w:pPr>
    <w:rPr>
      <w:lang w:eastAsia="en-US"/>
    </w:rPr>
  </w:style>
  <w:style w:type="paragraph" w:customStyle="1" w:styleId="Confidentialit">
    <w:name w:val="Confidentialité"/>
    <w:basedOn w:val="Normal"/>
    <w:next w:val="TypedudocumentPagedecouverture"/>
    <w:rsid w:val="000D2D0B"/>
    <w:pPr>
      <w:spacing w:before="240" w:after="240"/>
      <w:ind w:left="5103"/>
      <w:jc w:val="both"/>
    </w:pPr>
    <w:rPr>
      <w:u w:val="single"/>
      <w:lang w:eastAsia="en-US"/>
    </w:rPr>
  </w:style>
  <w:style w:type="paragraph" w:customStyle="1" w:styleId="Corrigendum">
    <w:name w:val="Corrigendum"/>
    <w:basedOn w:val="Normal"/>
    <w:next w:val="Normal"/>
    <w:rsid w:val="000D2D0B"/>
    <w:pPr>
      <w:spacing w:after="240"/>
    </w:pPr>
    <w:rPr>
      <w:lang w:eastAsia="en-US"/>
    </w:rPr>
  </w:style>
  <w:style w:type="paragraph" w:customStyle="1" w:styleId="Datedadoption">
    <w:name w:val="Date d'adoption"/>
    <w:basedOn w:val="Normal"/>
    <w:next w:val="Titreobjet"/>
    <w:rsid w:val="000D2D0B"/>
    <w:pPr>
      <w:spacing w:before="360"/>
      <w:jc w:val="center"/>
    </w:pPr>
    <w:rPr>
      <w:b/>
      <w:lang w:eastAsia="en-US"/>
    </w:rPr>
  </w:style>
  <w:style w:type="paragraph" w:customStyle="1" w:styleId="Emission">
    <w:name w:val="Emission"/>
    <w:basedOn w:val="Normal"/>
    <w:next w:val="Rfrenceinstitutionnelle"/>
    <w:rsid w:val="000D2D0B"/>
    <w:pPr>
      <w:ind w:left="5103"/>
    </w:pPr>
    <w:rPr>
      <w:lang w:eastAsia="en-US"/>
    </w:rPr>
  </w:style>
  <w:style w:type="paragraph" w:customStyle="1" w:styleId="Exposdesmotifstitre">
    <w:name w:val="Exposé des motifs titre"/>
    <w:basedOn w:val="Normal"/>
    <w:next w:val="Normal"/>
    <w:rsid w:val="000D2D0B"/>
    <w:pPr>
      <w:spacing w:before="120" w:after="120"/>
      <w:jc w:val="center"/>
    </w:pPr>
    <w:rPr>
      <w:b/>
      <w:u w:val="single"/>
      <w:lang w:eastAsia="en-US"/>
    </w:rPr>
  </w:style>
  <w:style w:type="paragraph" w:customStyle="1" w:styleId="Institutionquiagit">
    <w:name w:val="Institution qui agit"/>
    <w:basedOn w:val="Normal"/>
    <w:next w:val="Normal"/>
    <w:rsid w:val="000D2D0B"/>
    <w:pPr>
      <w:keepNext/>
      <w:spacing w:before="600" w:after="120"/>
      <w:jc w:val="both"/>
    </w:pPr>
    <w:rPr>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b/>
      <w:caps/>
      <w:lang w:eastAsia="en-US"/>
    </w:rPr>
  </w:style>
  <w:style w:type="paragraph" w:customStyle="1" w:styleId="ManualConsidrant">
    <w:name w:val="Manual Considérant"/>
    <w:basedOn w:val="Normal"/>
    <w:rsid w:val="000D2D0B"/>
    <w:pPr>
      <w:spacing w:before="120" w:after="120"/>
      <w:ind w:left="709" w:hanging="709"/>
      <w:jc w:val="both"/>
    </w:pPr>
    <w:rPr>
      <w:lang w:eastAsia="en-US"/>
    </w:rPr>
  </w:style>
  <w:style w:type="paragraph" w:customStyle="1" w:styleId="Nomdelinstitution">
    <w:name w:val="Nom de l'institution"/>
    <w:basedOn w:val="Normal"/>
    <w:next w:val="Emission"/>
    <w:rsid w:val="000D2D0B"/>
    <w:rPr>
      <w:rFonts w:cs="Arial"/>
      <w:lang w:eastAsia="en-US"/>
    </w:rPr>
  </w:style>
  <w:style w:type="paragraph" w:customStyle="1" w:styleId="Rfrenceinstitutionnelle">
    <w:name w:val="Référence institutionnelle"/>
    <w:basedOn w:val="Normal"/>
    <w:next w:val="Confidentialit"/>
    <w:rsid w:val="000D2D0B"/>
    <w:pPr>
      <w:spacing w:after="240"/>
      <w:ind w:left="5103"/>
    </w:pPr>
    <w:rPr>
      <w:lang w:eastAsia="en-US"/>
    </w:rPr>
  </w:style>
  <w:style w:type="paragraph" w:customStyle="1" w:styleId="Rfrenceinterinstitutionnelle">
    <w:name w:val="Référence interinstitutionnelle"/>
    <w:basedOn w:val="Normal"/>
    <w:next w:val="Statut"/>
    <w:rsid w:val="000D2D0B"/>
    <w:pPr>
      <w:ind w:left="5103"/>
    </w:pPr>
    <w:rPr>
      <w:lang w:eastAsia="en-US"/>
    </w:rPr>
  </w:style>
  <w:style w:type="paragraph" w:customStyle="1" w:styleId="Rfrenceinterne">
    <w:name w:val="Référence interne"/>
    <w:basedOn w:val="Normal"/>
    <w:next w:val="Rfrenceinterinstitutionnelle"/>
    <w:rsid w:val="000D2D0B"/>
    <w:pPr>
      <w:ind w:left="5103"/>
    </w:pPr>
    <w:rPr>
      <w:lang w:eastAsia="en-US"/>
    </w:rPr>
  </w:style>
  <w:style w:type="paragraph" w:customStyle="1" w:styleId="Sous-titreobjet">
    <w:name w:val="Sous-titre objet"/>
    <w:basedOn w:val="Normal"/>
    <w:rsid w:val="000D2D0B"/>
    <w:pPr>
      <w:jc w:val="center"/>
    </w:pPr>
    <w:rPr>
      <w:b/>
      <w:lang w:eastAsia="en-US"/>
    </w:rPr>
  </w:style>
  <w:style w:type="paragraph" w:customStyle="1" w:styleId="Statut">
    <w:name w:val="Statut"/>
    <w:basedOn w:val="Normal"/>
    <w:next w:val="Typedudocument"/>
    <w:rsid w:val="000D2D0B"/>
    <w:pPr>
      <w:spacing w:before="360"/>
      <w:jc w:val="center"/>
    </w:pPr>
    <w:rPr>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lang w:eastAsia="en-US"/>
    </w:rPr>
  </w:style>
  <w:style w:type="paragraph" w:customStyle="1" w:styleId="Objetexterne">
    <w:name w:val="Objet externe"/>
    <w:basedOn w:val="Normal"/>
    <w:next w:val="Normal"/>
    <w:rsid w:val="000D2D0B"/>
    <w:pPr>
      <w:spacing w:before="120" w:after="120"/>
      <w:jc w:val="both"/>
    </w:pPr>
    <w:rPr>
      <w:i/>
      <w:caps/>
      <w:lang w:eastAsia="en-US"/>
    </w:rPr>
  </w:style>
  <w:style w:type="paragraph" w:customStyle="1" w:styleId="Pagedecouverture">
    <w:name w:val="Page de couverture"/>
    <w:basedOn w:val="Normal"/>
    <w:next w:val="Normal"/>
    <w:rsid w:val="000D2D0B"/>
    <w:pPr>
      <w:spacing w:before="120" w:after="120"/>
      <w:jc w:val="both"/>
    </w:pPr>
    <w:rPr>
      <w:lang w:eastAsia="en-US"/>
    </w:rPr>
  </w:style>
  <w:style w:type="paragraph" w:customStyle="1" w:styleId="Supertitre">
    <w:name w:val="Supertitre"/>
    <w:basedOn w:val="Normal"/>
    <w:next w:val="Normal"/>
    <w:rsid w:val="000D2D0B"/>
    <w:pPr>
      <w:spacing w:after="600"/>
      <w:jc w:val="center"/>
    </w:pPr>
    <w:rPr>
      <w:b/>
      <w:lang w:eastAsia="en-US"/>
    </w:rPr>
  </w:style>
  <w:style w:type="paragraph" w:customStyle="1" w:styleId="Languesfaisantfoi">
    <w:name w:val="Langues faisant foi"/>
    <w:basedOn w:val="Normal"/>
    <w:next w:val="Normal"/>
    <w:rsid w:val="000D2D0B"/>
    <w:pPr>
      <w:spacing w:before="360"/>
      <w:jc w:val="center"/>
    </w:pPr>
    <w:rPr>
      <w:lang w:eastAsia="en-US"/>
    </w:rPr>
  </w:style>
  <w:style w:type="paragraph" w:customStyle="1" w:styleId="Rfrencecroise">
    <w:name w:val="Référence croisée"/>
    <w:basedOn w:val="Normal"/>
    <w:rsid w:val="000D2D0B"/>
    <w:pPr>
      <w:jc w:val="center"/>
    </w:pPr>
    <w:rPr>
      <w:lang w:eastAsia="en-US"/>
    </w:rPr>
  </w:style>
  <w:style w:type="paragraph" w:customStyle="1" w:styleId="Fichefinanciretitre">
    <w:name w:val="Fiche financière titre"/>
    <w:basedOn w:val="Normal"/>
    <w:next w:val="Normal"/>
    <w:rsid w:val="000D2D0B"/>
    <w:pPr>
      <w:spacing w:before="120" w:after="120"/>
      <w:jc w:val="center"/>
    </w:pPr>
    <w:rPr>
      <w:b/>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b/>
      <w:i/>
      <w:lang w:eastAsia="en-US"/>
    </w:rPr>
  </w:style>
  <w:style w:type="paragraph" w:customStyle="1" w:styleId="Typeacteprincipal">
    <w:name w:val="Type acte principal"/>
    <w:basedOn w:val="Normal"/>
    <w:next w:val="Objetacteprincipal"/>
    <w:rsid w:val="000D2D0B"/>
    <w:pPr>
      <w:spacing w:after="240"/>
      <w:jc w:val="center"/>
    </w:pPr>
    <w:rPr>
      <w:b/>
      <w:lang w:eastAsia="en-US"/>
    </w:rPr>
  </w:style>
  <w:style w:type="paragraph" w:customStyle="1" w:styleId="Objetacteprincipal">
    <w:name w:val="Objet acte principal"/>
    <w:basedOn w:val="Normal"/>
    <w:next w:val="Titrearticle"/>
    <w:rsid w:val="000D2D0B"/>
    <w:pPr>
      <w:spacing w:after="360"/>
      <w:jc w:val="center"/>
    </w:pPr>
    <w:rPr>
      <w:b/>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lang w:eastAsia="en-US"/>
    </w:rPr>
  </w:style>
  <w:style w:type="paragraph" w:styleId="ListNumber2">
    <w:name w:val="List Number 2"/>
    <w:basedOn w:val="Normal"/>
    <w:rsid w:val="000D2D0B"/>
    <w:pPr>
      <w:tabs>
        <w:tab w:val="num" w:pos="643"/>
      </w:tabs>
      <w:spacing w:before="120" w:after="120"/>
      <w:ind w:left="643" w:hanging="360"/>
      <w:jc w:val="both"/>
    </w:pPr>
    <w:rPr>
      <w:lang w:eastAsia="en-US"/>
    </w:rPr>
  </w:style>
  <w:style w:type="paragraph" w:styleId="ListNumber3">
    <w:name w:val="List Number 3"/>
    <w:basedOn w:val="Normal"/>
    <w:rsid w:val="000D2D0B"/>
    <w:pPr>
      <w:tabs>
        <w:tab w:val="num" w:pos="926"/>
      </w:tabs>
      <w:spacing w:before="120" w:after="120"/>
      <w:ind w:left="926" w:hanging="360"/>
      <w:jc w:val="both"/>
    </w:pPr>
    <w:rPr>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lang w:eastAsia="en-US"/>
    </w:rPr>
  </w:style>
  <w:style w:type="paragraph" w:styleId="ListBullet2">
    <w:name w:val="List Bullet 2"/>
    <w:basedOn w:val="Normal"/>
    <w:rsid w:val="000D2D0B"/>
    <w:pPr>
      <w:tabs>
        <w:tab w:val="num" w:pos="643"/>
        <w:tab w:val="num" w:pos="851"/>
      </w:tabs>
      <w:spacing w:before="120" w:after="120"/>
      <w:ind w:left="643" w:hanging="360"/>
      <w:jc w:val="both"/>
    </w:pPr>
    <w:rPr>
      <w:lang w:eastAsia="en-US"/>
    </w:rPr>
  </w:style>
  <w:style w:type="paragraph" w:styleId="ListBullet3">
    <w:name w:val="List Bullet 3"/>
    <w:basedOn w:val="Normal"/>
    <w:rsid w:val="000D2D0B"/>
    <w:pPr>
      <w:numPr>
        <w:numId w:val="16"/>
      </w:numPr>
      <w:tabs>
        <w:tab w:val="num" w:pos="926"/>
      </w:tabs>
      <w:spacing w:before="120" w:after="120"/>
      <w:ind w:left="926"/>
      <w:jc w:val="both"/>
    </w:pPr>
    <w:rPr>
      <w:lang w:eastAsia="en-US"/>
    </w:rPr>
  </w:style>
  <w:style w:type="paragraph" w:styleId="ListBullet4">
    <w:name w:val="List Bullet 4"/>
    <w:basedOn w:val="Normal"/>
    <w:rsid w:val="000D2D0B"/>
    <w:pPr>
      <w:numPr>
        <w:numId w:val="17"/>
      </w:numPr>
      <w:tabs>
        <w:tab w:val="num" w:pos="1209"/>
      </w:tabs>
      <w:spacing w:before="120" w:after="120"/>
      <w:ind w:left="1209"/>
      <w:jc w:val="both"/>
    </w:pPr>
    <w:rPr>
      <w:lang w:eastAsia="en-US"/>
    </w:rPr>
  </w:style>
  <w:style w:type="paragraph" w:styleId="TableofFigures">
    <w:name w:val="table of figures"/>
    <w:basedOn w:val="Normal"/>
    <w:next w:val="Normal"/>
    <w:rsid w:val="000D2D0B"/>
    <w:pPr>
      <w:spacing w:before="120" w:after="120"/>
      <w:jc w:val="both"/>
    </w:pPr>
    <w:rPr>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lang w:val="en-US" w:eastAsia="en-US"/>
    </w:rPr>
  </w:style>
  <w:style w:type="paragraph" w:customStyle="1" w:styleId="Listeavsnitt1">
    <w:name w:val="Listeavsnitt1"/>
    <w:basedOn w:val="Normal"/>
    <w:rsid w:val="000D2D0B"/>
    <w:pPr>
      <w:spacing w:line="252" w:lineRule="auto"/>
      <w:ind w:left="720"/>
      <w:contextualSpacing/>
    </w:pPr>
    <w:rPr>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lang w:eastAsia="en-US"/>
    </w:rPr>
  </w:style>
  <w:style w:type="paragraph" w:customStyle="1" w:styleId="Paragrafoelenco2">
    <w:name w:val="Paragrafo elenco2"/>
    <w:basedOn w:val="Normal"/>
    <w:uiPriority w:val="99"/>
    <w:rsid w:val="000D2D0B"/>
    <w:pPr>
      <w:ind w:left="720"/>
      <w:contextualSpacing/>
    </w:pPr>
    <w:rPr>
      <w:rFonts w:ascii="Cambria" w:hAnsi="Cambria"/>
      <w:lang w:val="en-US" w:eastAsia="en-US"/>
    </w:rPr>
  </w:style>
  <w:style w:type="paragraph" w:customStyle="1" w:styleId="ListParagraph2">
    <w:name w:val="List Paragraph2"/>
    <w:basedOn w:val="Normal"/>
    <w:rsid w:val="000D2D0B"/>
    <w:pPr>
      <w:spacing w:line="252" w:lineRule="auto"/>
      <w:ind w:left="720"/>
      <w:contextualSpacing/>
    </w:pPr>
    <w:rPr>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szCs w:val="22"/>
      <w:lang w:val="fr-FR"/>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szCs w:val="20"/>
      <w:lang w:val="fr-FR"/>
    </w:rPr>
  </w:style>
  <w:style w:type="paragraph" w:customStyle="1" w:styleId="TableContents">
    <w:name w:val="Table Contents"/>
    <w:basedOn w:val="Normal"/>
    <w:rsid w:val="000D2D0B"/>
    <w:pPr>
      <w:widowControl w:val="0"/>
      <w:suppressLineNumbers/>
      <w:suppressAutoHyphens/>
    </w:pPr>
    <w:rPr>
      <w:rFonts w:ascii="Liberation Serif" w:hAnsi="Liberation Serif"/>
      <w:kern w:val="1"/>
    </w:rPr>
  </w:style>
  <w:style w:type="paragraph" w:customStyle="1" w:styleId="Listeavsnitt">
    <w:name w:val="Listeavsnitt"/>
    <w:basedOn w:val="Normal"/>
    <w:uiPriority w:val="34"/>
    <w:qFormat/>
    <w:rsid w:val="000D2D0B"/>
    <w:pPr>
      <w:ind w:left="720"/>
      <w:contextualSpacing/>
    </w:pPr>
  </w:style>
  <w:style w:type="paragraph" w:customStyle="1" w:styleId="Listenabsatz4">
    <w:name w:val="Listenabsatz4"/>
    <w:basedOn w:val="Normal"/>
    <w:qFormat/>
    <w:rsid w:val="000D2D0B"/>
    <w:pPr>
      <w:ind w:left="720"/>
      <w:contextualSpacing/>
    </w:p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character" w:styleId="UnresolvedMention">
    <w:name w:val="Unresolved Mention"/>
    <w:basedOn w:val="DefaultParagraphFont"/>
    <w:uiPriority w:val="99"/>
    <w:semiHidden/>
    <w:unhideWhenUsed/>
    <w:rsid w:val="003E45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88207731">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68493623">
      <w:bodyDiv w:val="1"/>
      <w:marLeft w:val="0"/>
      <w:marRight w:val="0"/>
      <w:marTop w:val="0"/>
      <w:marBottom w:val="0"/>
      <w:divBdr>
        <w:top w:val="none" w:sz="0" w:space="0" w:color="auto"/>
        <w:left w:val="none" w:sz="0" w:space="0" w:color="auto"/>
        <w:bottom w:val="none" w:sz="0" w:space="0" w:color="auto"/>
        <w:right w:val="none" w:sz="0" w:space="0" w:color="auto"/>
      </w:divBdr>
    </w:div>
    <w:div w:id="877668931">
      <w:bodyDiv w:val="1"/>
      <w:marLeft w:val="0"/>
      <w:marRight w:val="0"/>
      <w:marTop w:val="0"/>
      <w:marBottom w:val="0"/>
      <w:divBdr>
        <w:top w:val="none" w:sz="0" w:space="0" w:color="auto"/>
        <w:left w:val="none" w:sz="0" w:space="0" w:color="auto"/>
        <w:bottom w:val="none" w:sz="0" w:space="0" w:color="auto"/>
        <w:right w:val="none" w:sz="0" w:space="0" w:color="auto"/>
      </w:divBdr>
    </w:div>
    <w:div w:id="947932228">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39210723">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72793697">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3157534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35955364">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58430628">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cmagroup.org" TargetMode="External"/><Relationship Id="rId26" Type="http://schemas.openxmlformats.org/officeDocument/2006/relationships/hyperlink" Target="https://www.icmagroup.org/assets/documents/Regulatory/Primary-Markets/PM-Topics/ESMA_FAC_ICMA_RESPONSEFORM-031017.PDF" TargetMode="External"/><Relationship Id="rId3" Type="http://schemas.openxmlformats.org/officeDocument/2006/relationships/customXml" Target="../customXml/item3.xml"/><Relationship Id="rId21" Type="http://schemas.openxmlformats.org/officeDocument/2006/relationships/hyperlink" Target="https://www.icmagroup.org/assets/documents/Events/ESMA-CP-Omnibus-II---FINAL-ICMA-response.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hyperlink" Target="https://www.icmagroup.org/assets/documents/Regulatory/Primary-Markets/PM-Topics/ESMA_FAC_ICMA_RESPONSEFORM-031017.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icmagroup.org/assets/documents/Regulatory/Primary-Markets/PM-Topics/ESMA_FAC_ICMA_RESPONSEFORM-031017.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cmagroup.org/assets/documents/Regulatory/Primary-Markets/ICMA-response-to-ESMA-consultation-on-prospectus-supplements---ICMA-response-28-June-2013.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icmagroup.org/assets/documents/Regulatory/Primary-Markets/PM-Topics/ESMA_FAC_ICMA_RESPONSEFORM-031017.PDF" TargetMode="External"/><Relationship Id="rId28" Type="http://schemas.openxmlformats.org/officeDocument/2006/relationships/hyperlink" Target="https://www.icmagroup.org/assets/documents/Regulatory/Primary-Markets/ICMA-response-to-ESMA-consultation-on-prospectus-supplements---ICMA-response-28-June-2013.pdf" TargetMode="External"/><Relationship Id="rId10" Type="http://schemas.openxmlformats.org/officeDocument/2006/relationships/webSettings" Target="webSettings.xml"/><Relationship Id="rId19" Type="http://schemas.openxmlformats.org/officeDocument/2006/relationships/hyperlink" Target="https://www.fca.org.uk/news/statements/statement-communications-relation-priip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icmagroup.org/assets/documents/Regulatory/Primary-Markets/ICMA-response-to-ESMA-consultation-on-prospectus-supplements---ICMA-response-28-June-2013.pdf" TargetMode="External"/><Relationship Id="rId27" Type="http://schemas.openxmlformats.org/officeDocument/2006/relationships/hyperlink" Target="https://www.icmagroup.org/assets/documents/Regulatory/Primary-Markets/PM-Topics/ESMA_FAC_ICMA_RESPONSEFORM-031017.PDF" TargetMode="Externa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icmagroup.org/Regulatory-Policy-and-Market-Practice/Primary-Markets/primary-market-committees/icma-primary-market-practices-committee/" TargetMode="External"/><Relationship Id="rId2" Type="http://schemas.openxmlformats.org/officeDocument/2006/relationships/hyperlink" Target="https://www.icmagroup.org/Regulatory-Policy-and-Market-Practice/Primary-Markets/primary-market-committees/icma-financial-institution-issuer-forum/" TargetMode="External"/><Relationship Id="rId1" Type="http://schemas.openxmlformats.org/officeDocument/2006/relationships/hyperlink" Target="https://www.icmagroup.org/Regulatory-Policy-and-Market-Practice/Primary-Markets/primary-market-committees/icma-corporate-issuer-forum/" TargetMode="External"/><Relationship Id="rId4" Type="http://schemas.openxmlformats.org/officeDocument/2006/relationships/hyperlink" Target="https://www.icmagroup.org/Regulatory-Policy-and-Market-Practice/Primary-Markets/primary-market-committees/icma-legal-and-documentation-committ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23ED9-4C25-4A0F-AA35-0F2F3F3B90A3}">
  <ds:schemaRefs>
    <ds:schemaRef ds:uri="http://schemas.microsoft.com/office/2006/documentManagement/types"/>
    <ds:schemaRef ds:uri="http://schemas.microsoft.com/sharepoint/v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20fbe147-bbda-4e53-b6b1-7e8bbff3fe19"/>
    <ds:schemaRef ds:uri="http://www.w3.org/XML/1998/namespace"/>
    <ds:schemaRef ds:uri="http://purl.org/dc/dcmitype/"/>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D09226E5-EE93-4079-B8DA-99CF86D6A850}">
  <ds:schemaRefs>
    <ds:schemaRef ds:uri="http://schemas.openxmlformats.org/officeDocument/2006/bibliography"/>
  </ds:schemaRefs>
</ds:datastoreItem>
</file>

<file path=customXml/itemProps5.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6.xml><?xml version="1.0" encoding="utf-8"?>
<ds:datastoreItem xmlns:ds="http://schemas.openxmlformats.org/officeDocument/2006/customXml" ds:itemID="{5EBB6DA3-C7E8-4690-ADD7-7F806BA3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10135</Words>
  <Characters>55592</Characters>
  <Application>Microsoft Office Word</Application>
  <DocSecurity>0</DocSecurity>
  <Lines>463</Lines>
  <Paragraphs>131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65596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Charlotte Bellamy</cp:lastModifiedBy>
  <cp:revision>6</cp:revision>
  <cp:lastPrinted>2018-03-05T08:39:00Z</cp:lastPrinted>
  <dcterms:created xsi:type="dcterms:W3CDTF">2018-03-07T11:06:00Z</dcterms:created>
  <dcterms:modified xsi:type="dcterms:W3CDTF">2018-03-08T12:21:00Z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