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bookmarkStart w:id="0" w:name="_GoBack"/>
            <w:bookmarkEnd w:id="0"/>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draft RTS under the </w:t>
      </w:r>
      <w:r w:rsidR="006E0A4F">
        <w:rPr>
          <w:rStyle w:val="SubtleEmphasis"/>
          <w:b w:val="0"/>
          <w:sz w:val="22"/>
        </w:rPr>
        <w:t xml:space="preserve">new </w:t>
      </w:r>
      <w:r w:rsidR="00963D60">
        <w:rPr>
          <w:rStyle w:val="SubtleEmphasis"/>
          <w:b w:val="0"/>
          <w:sz w:val="22"/>
        </w:rPr>
        <w:t>Prospectus Regulation (ESMA31-62-802)</w:t>
      </w:r>
      <w:r w:rsidRPr="00E40A5C">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3EAF50E8"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5C6485">
        <w:rPr>
          <w:rStyle w:val="SubtleEmphasis"/>
          <w:b w:val="0"/>
          <w:sz w:val="22"/>
        </w:rPr>
        <w:t>9 March 2018</w:t>
      </w:r>
      <w:r w:rsidRPr="00E40A5C">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lastRenderedPageBreak/>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3D3C29A"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ED4063">
        <w:rPr>
          <w:rStyle w:val="SubtleEmphasis"/>
          <w:b w:val="0"/>
          <w:sz w:val="22"/>
        </w:rPr>
        <w:t>PR</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ED4063">
        <w:rPr>
          <w:rStyle w:val="SubtleEmphasis"/>
          <w:b w:val="0"/>
          <w:sz w:val="22"/>
        </w:rPr>
        <w:t>PR</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ED4063">
        <w:rPr>
          <w:rStyle w:val="SubtleEmphasis"/>
          <w:b w:val="0"/>
          <w:sz w:val="22"/>
        </w:rPr>
        <w:t>PR</w:t>
      </w:r>
      <w:r w:rsidRPr="00E40A5C">
        <w:rPr>
          <w:rStyle w:val="SubtleEmphasis"/>
          <w:b w:val="0"/>
          <w:sz w:val="22"/>
        </w:rPr>
        <w:t>_ABCD_RESPONSEFORM.</w:t>
      </w:r>
    </w:p>
    <w:p w14:paraId="08D412C9" w14:textId="56E0A24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w:t>
      </w:r>
      <w:r w:rsidR="006E0A4F">
        <w:rPr>
          <w:rStyle w:val="SubtleEmphasis"/>
          <w:b w:val="0"/>
          <w:sz w:val="22"/>
        </w:rPr>
        <w:t>“</w:t>
      </w:r>
      <w:r w:rsidRPr="00E40A5C">
        <w:rPr>
          <w:rStyle w:val="SubtleEmphasis"/>
          <w:b w:val="0"/>
          <w:sz w:val="22"/>
        </w:rPr>
        <w:t xml:space="preserve">Consultation on </w:t>
      </w:r>
      <w:r w:rsidR="00ED4063">
        <w:rPr>
          <w:rStyle w:val="SubtleEmphasis"/>
          <w:b w:val="0"/>
          <w:sz w:val="22"/>
        </w:rPr>
        <w:t>draft RTS</w:t>
      </w:r>
      <w:r w:rsidR="006E0A4F">
        <w:rPr>
          <w:rStyle w:val="SubtleEmphasis"/>
          <w:b w:val="0"/>
          <w:sz w:val="22"/>
        </w:rPr>
        <w:t xml:space="preserve"> under the new Prospectus Regulation”</w:t>
      </w:r>
      <w:r w:rsidRPr="00E40A5C">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lastRenderedPageBreak/>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73854503"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w:t>
      </w:r>
      <w:proofErr w:type="gramStart"/>
      <w:r w:rsidR="006E0A4F">
        <w:rPr>
          <w:rStyle w:val="SubtleEmphasis"/>
          <w:b w:val="0"/>
          <w:sz w:val="22"/>
          <w:lang w:eastAsia="en-GB"/>
        </w:rPr>
        <w:t>Data  protection</w:t>
      </w:r>
      <w:proofErr w:type="gramEnd"/>
      <w:r w:rsidR="006E0A4F">
        <w:rPr>
          <w:rStyle w:val="SubtleEmphasis"/>
          <w:b w:val="0"/>
          <w:sz w:val="22"/>
          <w:lang w:eastAsia="en-GB"/>
        </w:rPr>
        <w:t>”</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p w14:paraId="2C0EF2F3" w14:textId="7149D2CE" w:rsidR="00ED4063" w:rsidRPr="00ED4063" w:rsidRDefault="00963D60" w:rsidP="00ED4063">
      <w:pPr>
        <w:spacing w:after="240"/>
        <w:jc w:val="both"/>
        <w:rPr>
          <w:rStyle w:val="SubtleEmphasis"/>
          <w:b w:val="0"/>
          <w:sz w:val="22"/>
          <w:lang w:eastAsia="en-GB"/>
        </w:rPr>
      </w:pPr>
      <w:r>
        <w:rPr>
          <w:rStyle w:val="SubtleEmphasis"/>
          <w:b w:val="0"/>
          <w:sz w:val="22"/>
          <w:lang w:eastAsia="en-GB"/>
        </w:rPr>
        <w:t>The</w:t>
      </w:r>
      <w:r w:rsidRPr="00ED4063">
        <w:rPr>
          <w:rStyle w:val="SubtleEmphasis"/>
          <w:b w:val="0"/>
          <w:sz w:val="22"/>
          <w:lang w:eastAsia="en-GB"/>
        </w:rPr>
        <w:t xml:space="preserve"> </w:t>
      </w:r>
      <w:r w:rsidR="00ED4063" w:rsidRPr="00ED4063">
        <w:rPr>
          <w:rStyle w:val="SubtleEmphasis"/>
          <w:b w:val="0"/>
          <w:sz w:val="22"/>
          <w:lang w:eastAsia="en-GB"/>
        </w:rPr>
        <w:t xml:space="preserve">Consultation Paper may be of particular interest to investors, issuers, </w:t>
      </w:r>
      <w:proofErr w:type="spellStart"/>
      <w:r w:rsidR="00ED4063" w:rsidRPr="00ED4063">
        <w:rPr>
          <w:rStyle w:val="SubtleEmphasis"/>
          <w:b w:val="0"/>
          <w:sz w:val="22"/>
          <w:lang w:eastAsia="en-GB"/>
        </w:rPr>
        <w:t>offerors</w:t>
      </w:r>
      <w:proofErr w:type="spellEnd"/>
      <w:r w:rsidR="00ED4063" w:rsidRPr="00ED4063">
        <w:rPr>
          <w:rStyle w:val="SubtleEmphasis"/>
          <w:b w:val="0"/>
          <w:sz w:val="22"/>
          <w:lang w:eastAsia="en-GB"/>
        </w:rPr>
        <w:t xml:space="preserve">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41DC2BEB" w:rsidR="00B327E9" w:rsidRPr="00AB6D88" w:rsidRDefault="00D803B2" w:rsidP="00D803B2">
                <w:pPr>
                  <w:rPr>
                    <w:rStyle w:val="PlaceholderText"/>
                    <w:rFonts w:cs="Arial"/>
                  </w:rPr>
                </w:pPr>
                <w:r>
                  <w:rPr>
                    <w:rStyle w:val="PlaceholderText"/>
                    <w:rFonts w:cs="Arial"/>
                  </w:rPr>
                  <w:t>Deutsche Bank</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AB44A00" w:rsidR="00B327E9" w:rsidRPr="00AB6D88" w:rsidRDefault="00325BC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803B2">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0DF5B1E9" w:rsidR="00B327E9" w:rsidRPr="00AB6D88" w:rsidRDefault="00D803B2"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21B3673" w:rsidR="00B327E9" w:rsidRPr="00AB6D88" w:rsidRDefault="00D803B2" w:rsidP="00D803B2">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6C9AA698" w14:textId="77777777" w:rsidR="00B327E9" w:rsidRDefault="00B327E9" w:rsidP="00B327E9">
      <w:permStart w:id="1937050393" w:edGrp="everyone"/>
      <w:r>
        <w:t>TYPE YOUR TEXT HERE</w:t>
      </w:r>
    </w:p>
    <w:permEnd w:id="1937050393"/>
    <w:p w14:paraId="03F5FFC5" w14:textId="0244AC17"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Heading1"/>
        <w:numPr>
          <w:ilvl w:val="0"/>
          <w:numId w:val="0"/>
        </w:numPr>
        <w:spacing w:before="0" w:after="0"/>
      </w:pPr>
      <w:r w:rsidRPr="00931870">
        <w:lastRenderedPageBreak/>
        <w:t>Key financial information in the summary</w:t>
      </w:r>
    </w:p>
    <w:p w14:paraId="5F908EB6" w14:textId="77777777" w:rsidR="00C761FA" w:rsidRDefault="00C761FA" w:rsidP="00C761FA">
      <w:pPr>
        <w:pStyle w:val="Heading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345AD9C5" w14:textId="77777777" w:rsidR="00D803B2" w:rsidRDefault="00D803B2" w:rsidP="00D803B2">
      <w:r>
        <w:t xml:space="preserve">When the issuer is using audited financial information as well as Alternative Performance Measures (APMs), it seems reasonable to use such a sign-posting, so that investors can differentiate the given information. When the issuer is only referring to audited financial information, any additional flagging would be burdensome. In our view, it would be sufficient to just flag APMs that are not contained in the audited financial information rather than the other way around. </w:t>
      </w:r>
    </w:p>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2EB8711F" w14:textId="77777777" w:rsidR="00D803B2" w:rsidRDefault="00D803B2" w:rsidP="00D803B2">
      <w:r>
        <w:t xml:space="preserve">From our point of view no further templates for other types of issuers are necessary. </w:t>
      </w:r>
    </w:p>
    <w:p w14:paraId="74D88CEC" w14:textId="77777777" w:rsidR="00D803B2" w:rsidRDefault="00D803B2" w:rsidP="00D803B2"/>
    <w:p w14:paraId="466897E0" w14:textId="39B64C29" w:rsidR="00ED4063" w:rsidRDefault="00D803B2" w:rsidP="00D803B2">
      <w:pPr>
        <w:rPr>
          <w:rFonts w:cs="Arial"/>
        </w:rPr>
      </w:pPr>
      <w:r>
        <w:tab/>
      </w:r>
      <w:r w:rsidR="00ED4063">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25431F96" w14:textId="77777777" w:rsidR="00D803B2" w:rsidRPr="00F24EA7" w:rsidRDefault="00D803B2" w:rsidP="00D803B2">
      <w:r>
        <w:t>We agree that cash flow from operations typically is a useful measure. Nevertheless the usefulness of this measure is dependent on its corporate purpose. If a non-financial entity does not have substantial cash flows from operations, the disclosure of the cash flow of operation item in the summary would provide little added value for investors (in extreme cases this number could be zero). We would recommend that in those cases the  non-financial entity not only disclose the cash flow from operations but also the cash flow item that would be the most useful measure for investors (cash flow from financing activities or cash flow from investing activities) depending on the nature of the entity in question. This would give investors a better overview of the financial situation on the entity and the issuer more flexibility in the presentation of its financials.</w:t>
      </w:r>
    </w:p>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lastRenderedPageBreak/>
        <w:t xml:space="preserve">: </w:t>
      </w:r>
      <w:r w:rsidR="00B41BE5" w:rsidRPr="005B5EE5">
        <w:t xml:space="preserve">Given the page limit for the summary please provide your views on which items </w:t>
      </w:r>
      <w:proofErr w:type="gramStart"/>
      <w:r w:rsidR="00B41BE5" w:rsidRPr="005B5EE5">
        <w:t>of  historical</w:t>
      </w:r>
      <w:proofErr w:type="gramEnd"/>
      <w:r w:rsidR="00B41BE5" w:rsidRPr="005B5EE5">
        <w:t xml:space="preserve"> financial information would be most useful for retail investors.</w:t>
      </w:r>
    </w:p>
    <w:p w14:paraId="432E05B6" w14:textId="77777777" w:rsidR="00ED4063" w:rsidRDefault="00ED4063" w:rsidP="00ED4063">
      <w:pPr>
        <w:rPr>
          <w:rFonts w:cs="Arial"/>
        </w:rPr>
      </w:pPr>
      <w:r>
        <w:rPr>
          <w:rFonts w:cs="Arial"/>
        </w:rPr>
        <w:t>&lt;ESMA_QUESTION_PR_4&gt;</w:t>
      </w:r>
    </w:p>
    <w:p w14:paraId="6FE5FF97" w14:textId="77777777" w:rsidR="00D803B2" w:rsidRDefault="00D803B2" w:rsidP="00D803B2">
      <w:r>
        <w:t xml:space="preserve">The items necessary for an investor to make an informed assessment of </w:t>
      </w:r>
      <w:r w:rsidRPr="00CC39E8">
        <w:t xml:space="preserve">assets and liabilities, profits and losses, financial position, and prospects of the issuer </w:t>
      </w:r>
      <w:r>
        <w:t xml:space="preserve">(Art. 6 (1) PR) do not differ depending on the kind of investor. Moreover, it is presumed that a retail investor is likely not to base his investment decision primarily on the historical financial information due to their complexity. Rather we expect a retail investor to focus on the narrative of the prospectus and its summary. </w:t>
      </w:r>
    </w:p>
    <w:p w14:paraId="62C42691" w14:textId="283DC1F6" w:rsidR="00ED4063" w:rsidRDefault="00D803B2" w:rsidP="00D803B2">
      <w:pPr>
        <w:rPr>
          <w:rFonts w:cs="Arial"/>
        </w:rPr>
      </w:pPr>
      <w:r>
        <w:t xml:space="preserve">As a general comment on all proposed tables, for better comprehensibility and customary presentation, we would recommend to sort the columns chronologically, i.e. Interim/Year/Comparative Interim/Year -1. This sequence shows the most recent figures (interim) first. And an interim column would not appear warranted where the newest figures are the annual financials, as in this case the prospectus will only contain two, respectively three, years of annual financials. </w:t>
      </w:r>
      <w:r w:rsidR="00ED4063">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lastRenderedPageBreak/>
        <w:t>&lt;ESMA_QUESTION_PR_5&gt;</w:t>
      </w:r>
    </w:p>
    <w:p w14:paraId="01F3482E" w14:textId="77777777" w:rsidR="00D803B2" w:rsidRDefault="00D803B2" w:rsidP="00D803B2">
      <w:r>
        <w:t xml:space="preserve">Allowing footnotes would give issuers the possibility to explain the APMs incorporated into the summary. That would strengthen the </w:t>
      </w:r>
      <w:proofErr w:type="spellStart"/>
      <w:r>
        <w:t>understandability</w:t>
      </w:r>
      <w:proofErr w:type="spellEnd"/>
      <w:r>
        <w:t xml:space="preserve"> and investors could comprehend where this information has been taken from. Regarding the length of such footnotes, this problem could be solved in two ways: First, the page limit of the summary will probably prevent lengthy footnotes. Secondly, it is up to the national competent authorities to prevent the inclusion of lengthy footnotes, especially since this information is already incorporated elsewhere in the prospectus. Alternatively, the new RTS could allow a cross-reference to the explanation of the APM in the main body of the prospectus. This appears more appropriate given the purpose of the summary and the page limit. Also, this would avoid a duplication of the – usually quite technical- explanations of APMs </w:t>
      </w:r>
    </w:p>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7BD98BFF" w14:textId="77777777" w:rsidR="00D803B2" w:rsidRDefault="00D803B2" w:rsidP="00D803B2">
      <w:r>
        <w:lastRenderedPageBreak/>
        <w:t xml:space="preserve">We agree that issuers should be given flexibility, if they want to present pro forma financial information. It will support the readability of the summary if the issuer can choose to present the pro forma financial information in a separate table or in additional columns in the relevant table. </w:t>
      </w:r>
    </w:p>
    <w:p w14:paraId="74A6FE40" w14:textId="24DCCEFE" w:rsidR="00ED4063" w:rsidRDefault="00D803B2" w:rsidP="00D803B2">
      <w:pPr>
        <w:rPr>
          <w:rFonts w:cs="Arial"/>
        </w:rPr>
      </w:pPr>
      <w:r>
        <w:tab/>
      </w:r>
      <w:r w:rsidR="00ED4063">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0D058DF5" w14:textId="77777777" w:rsidR="00D803B2" w:rsidRDefault="00D803B2" w:rsidP="00D803B2">
      <w:r>
        <w:t xml:space="preserve">We agree that complex financial information should be presented in the summary according to the presentation in the prospectus. </w:t>
      </w:r>
    </w:p>
    <w:p w14:paraId="3137ADBA" w14:textId="56CABCC9" w:rsidR="00ED4063" w:rsidRDefault="00D803B2" w:rsidP="00D803B2">
      <w:pPr>
        <w:rPr>
          <w:rFonts w:cs="Arial"/>
        </w:rPr>
      </w:pPr>
      <w:r>
        <w:t>Where reference is made to an “audit report” we would like to point out that we understand that reference should be made to an “auditor’s report” instead. Under International Standards of Auditing (ISA), t</w:t>
      </w:r>
      <w:r w:rsidRPr="00ED3810">
        <w:rPr>
          <w:lang w:val="en-US"/>
        </w:rPr>
        <w:t>he auditor’s report is the key deliverable communicating the results of the audit process</w:t>
      </w:r>
      <w:r>
        <w:rPr>
          <w:lang w:val="en-US"/>
        </w:rPr>
        <w:t xml:space="preserve"> to be made available to i</w:t>
      </w:r>
      <w:r w:rsidRPr="00ED3810">
        <w:rPr>
          <w:lang w:val="en-US"/>
        </w:rPr>
        <w:t xml:space="preserve">nvestors and other financial statement users </w:t>
      </w:r>
      <w:r>
        <w:rPr>
          <w:lang w:val="en-US"/>
        </w:rPr>
        <w:t xml:space="preserve">(see </w:t>
      </w:r>
      <w:r w:rsidRPr="00ED3810">
        <w:rPr>
          <w:lang w:val="en-US"/>
        </w:rPr>
        <w:t>https://www.iaasb.org/new-auditors-report</w:t>
      </w:r>
      <w:r>
        <w:rPr>
          <w:lang w:val="en-US"/>
        </w:rPr>
        <w:t xml:space="preserve">, and particularly ISA 700.20, see </w:t>
      </w:r>
      <w:r w:rsidRPr="00ED3810">
        <w:rPr>
          <w:lang w:val="en-US"/>
        </w:rPr>
        <w:t>http://www.ifac.org/system/files/downloads/a036-2010-iaasb-handbook-isa-700.pdf</w:t>
      </w:r>
      <w:r>
        <w:rPr>
          <w:lang w:val="en-US"/>
        </w:rPr>
        <w:t>). Conversely the “audit report” is a quite lengthy document setting out the audit process and the reasoning for the results of the audit and constitutes an internal document between the auditor and the audited company</w:t>
      </w:r>
      <w:proofErr w:type="gramStart"/>
      <w:r>
        <w:rPr>
          <w:lang w:val="en-US"/>
        </w:rPr>
        <w:t>.</w:t>
      </w:r>
      <w:r w:rsidR="00ED4063">
        <w:rPr>
          <w:rFonts w:cs="Arial"/>
        </w:rPr>
        <w:t>&lt;</w:t>
      </w:r>
      <w:proofErr w:type="gramEnd"/>
      <w:r w:rsidR="00ED4063">
        <w:rPr>
          <w:rFonts w:cs="Arial"/>
        </w:rPr>
        <w: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26241530" w14:textId="77777777" w:rsidR="00D803B2" w:rsidRDefault="00D803B2" w:rsidP="00D803B2">
      <w:r>
        <w:t>In addition to the ones already selected, the following financial measures could prove useful for investors:</w:t>
      </w:r>
    </w:p>
    <w:p w14:paraId="514D9D84" w14:textId="77777777" w:rsidR="00D803B2" w:rsidRPr="00E03FED" w:rsidRDefault="00D803B2" w:rsidP="00D803B2">
      <w:r>
        <w:t xml:space="preserve">- </w:t>
      </w:r>
      <w:r w:rsidRPr="00E03FED">
        <w:t>Common Equity Tier capital in €</w:t>
      </w:r>
      <w:proofErr w:type="spellStart"/>
      <w:r w:rsidRPr="00E03FED">
        <w:t>bn</w:t>
      </w:r>
      <w:proofErr w:type="spellEnd"/>
    </w:p>
    <w:p w14:paraId="29A0AAF2" w14:textId="77777777" w:rsidR="00D803B2" w:rsidRPr="00E03FED" w:rsidRDefault="00D803B2" w:rsidP="00D803B2">
      <w:r>
        <w:t xml:space="preserve">- </w:t>
      </w:r>
      <w:r w:rsidRPr="00E03FED">
        <w:t>Tangible shareholders’ equity in €</w:t>
      </w:r>
      <w:proofErr w:type="spellStart"/>
      <w:r w:rsidRPr="00E03FED">
        <w:t>bn</w:t>
      </w:r>
      <w:proofErr w:type="spellEnd"/>
    </w:p>
    <w:p w14:paraId="13CABF2A" w14:textId="77777777" w:rsidR="00D803B2" w:rsidRDefault="00D803B2" w:rsidP="00D803B2">
      <w:r>
        <w:t xml:space="preserve">- </w:t>
      </w:r>
      <w:r w:rsidRPr="00E03FED">
        <w:t>Reported liquidity reserves in €bn</w:t>
      </w:r>
      <w:r>
        <w:t>.</w:t>
      </w:r>
    </w:p>
    <w:p w14:paraId="69426EA9" w14:textId="7BA8C9F8" w:rsidR="00ED4063" w:rsidRDefault="00D803B2" w:rsidP="00D803B2">
      <w:pPr>
        <w:rPr>
          <w:rFonts w:cs="Arial"/>
        </w:rPr>
      </w:pPr>
      <w:r w:rsidRPr="00E03FED">
        <w:t>The items necessary for an investor to make an informed assessment do not differ depending on the kind of investor.</w:t>
      </w:r>
      <w:r>
        <w:t xml:space="preserve"> While comprehending financial measures may generally prove a challenge for some retail investors, this has never been, nor should it be, a reason not to provide this type of information to those that can make good use of it</w:t>
      </w:r>
      <w:proofErr w:type="gramStart"/>
      <w:r>
        <w:t>.</w:t>
      </w:r>
      <w:r w:rsidR="00ED4063">
        <w:rPr>
          <w:rFonts w:cs="Arial"/>
        </w:rPr>
        <w:t>&lt;</w:t>
      </w:r>
      <w:proofErr w:type="gramEnd"/>
      <w:r w:rsidR="00ED4063">
        <w:rPr>
          <w:rFonts w:cs="Arial"/>
        </w:rPr>
        <w: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xml:space="preserve">: Do you agree that it should be mandatory for credit institutions to disclose SREP information in relation to Common Tier </w:t>
      </w:r>
      <w:r w:rsidRPr="00ED4063">
        <w:lastRenderedPageBreak/>
        <w:t>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2A109103" w14:textId="77777777" w:rsidR="00D803B2" w:rsidRDefault="00D803B2" w:rsidP="00D803B2">
      <w:r>
        <w:t>Since this information is already provided by credit institutions, we agree that the disclosure of such information shall be mandatory. This mandatory disclosure would result in a more recognisable presentation of the capitalisation requirements imposed upon an institution by the prudential regulator for investors.</w:t>
      </w:r>
    </w:p>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t>: Do you agree with the choice of measures for insurance companies?</w:t>
      </w:r>
    </w:p>
    <w:p w14:paraId="0FEC9BC9" w14:textId="77777777" w:rsidR="00ED4063" w:rsidRPr="00325BCF" w:rsidRDefault="00ED4063" w:rsidP="00ED4063">
      <w:pPr>
        <w:rPr>
          <w:rFonts w:cs="Arial"/>
          <w:lang w:val="fr-FR"/>
        </w:rPr>
      </w:pPr>
      <w:r w:rsidRPr="00325BCF">
        <w:rPr>
          <w:rFonts w:cs="Arial"/>
          <w:lang w:val="fr-FR"/>
        </w:rPr>
        <w:t>&lt;ESMA_QUESTION_PR_10&gt;</w:t>
      </w:r>
    </w:p>
    <w:p w14:paraId="7968AA63" w14:textId="77777777" w:rsidR="00D803B2" w:rsidRPr="00325BCF" w:rsidRDefault="00D803B2" w:rsidP="00D803B2">
      <w:pPr>
        <w:rPr>
          <w:lang w:val="fr-FR"/>
        </w:rPr>
      </w:pPr>
      <w:r w:rsidRPr="00325BCF">
        <w:rPr>
          <w:lang w:val="fr-FR"/>
        </w:rPr>
        <w:t>No comments.</w:t>
      </w:r>
    </w:p>
    <w:p w14:paraId="2776A92D" w14:textId="028433E4" w:rsidR="00ED4063" w:rsidRPr="00325BCF" w:rsidRDefault="00D803B2" w:rsidP="00D803B2">
      <w:pPr>
        <w:rPr>
          <w:rFonts w:cs="Arial"/>
          <w:lang w:val="fr-FR"/>
        </w:rPr>
      </w:pPr>
      <w:r w:rsidRPr="00325BCF">
        <w:rPr>
          <w:lang w:val="fr-FR"/>
        </w:rPr>
        <w:tab/>
      </w:r>
      <w:r w:rsidR="00ED4063" w:rsidRPr="00325BCF">
        <w:rPr>
          <w:rFonts w:cs="Arial"/>
          <w:lang w:val="fr-FR"/>
        </w:rPr>
        <w:t>&lt;ESMA_QUESTION_PR_10&gt;</w:t>
      </w:r>
    </w:p>
    <w:p w14:paraId="45B89D4E" w14:textId="5EB7EE33" w:rsidR="00ED4063" w:rsidRPr="00325BCF" w:rsidRDefault="00ED4063" w:rsidP="00ED4063">
      <w:pPr>
        <w:rPr>
          <w:rFonts w:cs="Arial"/>
          <w:lang w:val="fr-FR"/>
        </w:rPr>
      </w:pPr>
    </w:p>
    <w:p w14:paraId="513A12B6" w14:textId="7B68EBE0" w:rsidR="00ED4063" w:rsidRPr="00325BCF" w:rsidRDefault="00ED4063" w:rsidP="00ED4063">
      <w:pPr>
        <w:rPr>
          <w:rFonts w:cs="Arial"/>
          <w:lang w:val="fr-FR"/>
        </w:rPr>
      </w:pPr>
    </w:p>
    <w:p w14:paraId="032DF0A8" w14:textId="40581758" w:rsidR="00ED4063" w:rsidRPr="00325BCF" w:rsidRDefault="00ED4063" w:rsidP="00ED4063">
      <w:pPr>
        <w:rPr>
          <w:rFonts w:cs="Arial"/>
          <w:lang w:val="fr-FR"/>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Pr="00325BCF" w:rsidRDefault="00ED4063" w:rsidP="00ED4063">
      <w:pPr>
        <w:rPr>
          <w:rFonts w:cs="Arial"/>
          <w:lang w:val="fr-FR"/>
        </w:rPr>
      </w:pPr>
      <w:r w:rsidRPr="00325BCF">
        <w:rPr>
          <w:rFonts w:cs="Arial"/>
          <w:lang w:val="fr-FR"/>
        </w:rPr>
        <w:lastRenderedPageBreak/>
        <w:t>&lt;ESMA_QUESTION_PR_11&gt;</w:t>
      </w:r>
    </w:p>
    <w:p w14:paraId="42BC5747" w14:textId="77777777" w:rsidR="00D803B2" w:rsidRPr="00325BCF" w:rsidRDefault="00D803B2" w:rsidP="00D803B2">
      <w:pPr>
        <w:rPr>
          <w:lang w:val="fr-FR"/>
        </w:rPr>
      </w:pPr>
      <w:r w:rsidRPr="00325BCF">
        <w:rPr>
          <w:lang w:val="fr-FR"/>
        </w:rPr>
        <w:t>No comments.</w:t>
      </w:r>
    </w:p>
    <w:p w14:paraId="2F4315F7" w14:textId="47F56BF1" w:rsidR="00ED4063" w:rsidRPr="00325BCF" w:rsidRDefault="00D803B2" w:rsidP="00D803B2">
      <w:pPr>
        <w:rPr>
          <w:rFonts w:cs="Arial"/>
          <w:lang w:val="fr-FR"/>
        </w:rPr>
      </w:pPr>
      <w:r w:rsidRPr="00325BCF">
        <w:rPr>
          <w:lang w:val="fr-FR"/>
        </w:rPr>
        <w:tab/>
      </w:r>
      <w:r w:rsidR="00ED4063" w:rsidRPr="00325BCF">
        <w:rPr>
          <w:rFonts w:cs="Arial"/>
          <w:lang w:val="fr-FR"/>
        </w:rPr>
        <w:t>&lt;ESMA_QUESTION_PR_11&gt;</w:t>
      </w:r>
    </w:p>
    <w:p w14:paraId="301D056F" w14:textId="3657923A" w:rsidR="00ED4063" w:rsidRPr="00325BCF" w:rsidRDefault="00ED4063" w:rsidP="00ED4063">
      <w:pPr>
        <w:rPr>
          <w:rFonts w:cs="Arial"/>
          <w:lang w:val="fr-FR"/>
        </w:rPr>
      </w:pPr>
    </w:p>
    <w:p w14:paraId="58918446" w14:textId="77777777" w:rsidR="00ED4063" w:rsidRPr="00325BCF" w:rsidRDefault="00ED4063" w:rsidP="00ED4063">
      <w:pPr>
        <w:rPr>
          <w:rFonts w:cs="Arial"/>
          <w:lang w:val="fr-FR"/>
        </w:rPr>
      </w:pPr>
    </w:p>
    <w:p w14:paraId="3BAE7906" w14:textId="77777777" w:rsidR="00ED4063" w:rsidRPr="00325BCF" w:rsidRDefault="00ED4063" w:rsidP="00ED4063">
      <w:pPr>
        <w:rPr>
          <w:rFonts w:cs="Arial"/>
          <w:lang w:val="fr-FR"/>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Pr="00325BCF" w:rsidRDefault="00ED4063" w:rsidP="00ED4063">
      <w:pPr>
        <w:rPr>
          <w:rFonts w:cs="Arial"/>
          <w:lang w:val="fr-FR"/>
        </w:rPr>
      </w:pPr>
      <w:r w:rsidRPr="00325BCF">
        <w:rPr>
          <w:rFonts w:cs="Arial"/>
          <w:lang w:val="fr-FR"/>
        </w:rPr>
        <w:t>&lt;ESMA_QUESTION_PR_12&gt;</w:t>
      </w:r>
    </w:p>
    <w:p w14:paraId="1370974E" w14:textId="77777777" w:rsidR="00D803B2" w:rsidRPr="00325BCF" w:rsidRDefault="00D803B2" w:rsidP="00D803B2">
      <w:pPr>
        <w:rPr>
          <w:lang w:val="fr-FR"/>
        </w:rPr>
      </w:pPr>
      <w:r w:rsidRPr="00325BCF">
        <w:rPr>
          <w:lang w:val="fr-FR"/>
        </w:rPr>
        <w:t>No comments.</w:t>
      </w:r>
    </w:p>
    <w:p w14:paraId="6F7820BC" w14:textId="1DBE01AF" w:rsidR="00ED4063" w:rsidRPr="00325BCF" w:rsidRDefault="00D803B2" w:rsidP="00D803B2">
      <w:pPr>
        <w:rPr>
          <w:rFonts w:cs="Arial"/>
          <w:lang w:val="fr-FR"/>
        </w:rPr>
      </w:pPr>
      <w:r w:rsidRPr="00325BCF">
        <w:rPr>
          <w:lang w:val="fr-FR"/>
        </w:rPr>
        <w:tab/>
      </w:r>
      <w:r w:rsidR="00ED4063" w:rsidRPr="00325BCF">
        <w:rPr>
          <w:rFonts w:cs="Arial"/>
          <w:lang w:val="fr-FR"/>
        </w:rPr>
        <w:t>&lt;ESMA_QUESTION_PR_12&gt;</w:t>
      </w:r>
    </w:p>
    <w:p w14:paraId="5E23A4D6" w14:textId="7802492F" w:rsidR="00ED4063" w:rsidRPr="00325BCF" w:rsidRDefault="00ED4063" w:rsidP="00ED4063">
      <w:pPr>
        <w:rPr>
          <w:rFonts w:cs="Arial"/>
          <w:lang w:val="fr-FR"/>
        </w:rPr>
      </w:pPr>
    </w:p>
    <w:p w14:paraId="0ABE7648" w14:textId="77777777" w:rsidR="00ED4063" w:rsidRPr="00325BCF" w:rsidRDefault="00ED4063" w:rsidP="00ED4063">
      <w:pPr>
        <w:rPr>
          <w:rFonts w:cs="Arial"/>
          <w:lang w:val="fr-FR"/>
        </w:rPr>
      </w:pPr>
    </w:p>
    <w:p w14:paraId="6E8CC2D5" w14:textId="77777777" w:rsidR="00ED4063" w:rsidRPr="00325BCF" w:rsidRDefault="00ED4063" w:rsidP="00ED4063">
      <w:pPr>
        <w:rPr>
          <w:rFonts w:cs="Arial"/>
          <w:lang w:val="fr-FR"/>
        </w:rPr>
      </w:pPr>
    </w:p>
    <w:p w14:paraId="291B4D02"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62D7EE0" w14:textId="77777777" w:rsidR="0055366F" w:rsidRDefault="0055366F" w:rsidP="0055366F">
      <w:r>
        <w:t xml:space="preserve">As long as no financial measures are required that do not already exist, the additional costs are negligible. Having said that, the explanation of specific regulatory line items might require additional efforts to draft an explanation. However, if they are generally material for the assessment of </w:t>
      </w:r>
      <w:r>
        <w:lastRenderedPageBreak/>
        <w:t>such an issuer they will have to be included (and, hence, explained) anyway. Additional drafting costs are difficult to estimate, though, as they largely depend on a case-by-case analysis.</w:t>
      </w:r>
    </w:p>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Heading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462FE4CE" w14:textId="77777777" w:rsidR="0055366F" w:rsidRDefault="0055366F" w:rsidP="0055366F">
      <w:r>
        <w:t>No, we think this point should not be mandatory. It may make sense to submit the amount raised on a mandatory basis in respect of the issuance of equity securities, but this does not apply in those cases where notes, certificates or warrants are being issued on a Final Terms basis. Usually Final Terms will include a maximum number of securities an issuer may sell to the investors, which would be submitted to the NCA.  In most cases this maximum amount will not be fully used and is therefore not a viable source of information for the investor.</w:t>
      </w:r>
    </w:p>
    <w:p w14:paraId="55D19E5E" w14:textId="13B68AB8" w:rsidR="00ED4063" w:rsidRDefault="00ED4063" w:rsidP="00ED4063">
      <w:pPr>
        <w:rPr>
          <w:rFonts w:cs="Arial"/>
        </w:rPr>
      </w:pPr>
      <w:r>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lastRenderedPageBreak/>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316EBAFC" w14:textId="77777777" w:rsidR="0055366F" w:rsidRDefault="0055366F" w:rsidP="0055366F">
      <w:r>
        <w:t xml:space="preserve">According to Annex VII the overall number of fields is 33. Considering the number of prospectuses and final terms that are filed with the NCAs this data collection seems quite extensive. If you consider the number of certificates, warrants and notes that will be filed with the NCAs using Final Terms (this number can be over 500.000 per issuer per year) it will put a significant burden on issuers; especially if the issuer (and not the NCA) has to provide all information separately for each security. </w:t>
      </w:r>
    </w:p>
    <w:p w14:paraId="0008202E" w14:textId="77777777" w:rsidR="0055366F" w:rsidRDefault="0055366F" w:rsidP="0055366F"/>
    <w:p w14:paraId="1D5B3D27" w14:textId="3F44E0CD" w:rsidR="00ED4063" w:rsidRDefault="0055366F" w:rsidP="0055366F">
      <w:pPr>
        <w:rPr>
          <w:rFonts w:cs="Arial"/>
        </w:rPr>
      </w:pPr>
      <w:r>
        <w:tab/>
      </w:r>
      <w:r w:rsidR="00ED4063">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xml:space="preserve">: Do you agree with the ESMA proposal to maintain the current system in place whereby NCAs submit data to ESMA in XML format as the practical arrangement to ensure that such data is </w:t>
      </w:r>
      <w:r w:rsidRPr="00ED4063">
        <w:lastRenderedPageBreak/>
        <w:t>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50198459" w14:textId="77777777" w:rsidR="0055366F" w:rsidRDefault="0055366F" w:rsidP="0055366F">
      <w:r>
        <w:t>We agree to maintain the current setup. It is already effective and adaptation costs will be minimised for all market participants.</w:t>
      </w:r>
    </w:p>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2A44EF4E" w14:textId="77777777" w:rsidR="0055366F" w:rsidRDefault="0055366F" w:rsidP="0055366F">
      <w:r>
        <w:t xml:space="preserve">We welcome the proposed amendment as it provides clarity on the way data will be collected. Nevertheless the amount of data requested would be burdensome to provide for issuers, consider the overall number of fields, as mentioned in our response to Q15. </w:t>
      </w:r>
    </w:p>
    <w:p w14:paraId="36711E02" w14:textId="61AC82F0" w:rsidR="00ED4063" w:rsidRDefault="00ED4063" w:rsidP="00ED4063">
      <w:pPr>
        <w:rPr>
          <w:rFonts w:cs="Arial"/>
        </w:rPr>
      </w:pPr>
      <w:r>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lastRenderedPageBreak/>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7B403404" w14:textId="77777777" w:rsidR="0055366F" w:rsidRDefault="0055366F" w:rsidP="0055366F">
      <w:r>
        <w:t>For multi-issuances it would be advantageous if issuers could provide a data list for all securities included in the Final Terms instead for each security contained in the Final Terms. This would make it less onerous in those cases to provide a data list for each filed final terms instead. The data list in those cases could be a XML file that will include all necessary data for all issued securities. This type of data delivery is common for the information given to the clearing systems(s) and therefore would be something issuers are already familiar with.</w:t>
      </w:r>
    </w:p>
    <w:p w14:paraId="500A58C2" w14:textId="6918799B" w:rsidR="00ED4063" w:rsidRDefault="0055366F" w:rsidP="0055366F">
      <w:pPr>
        <w:rPr>
          <w:rFonts w:cs="Arial"/>
        </w:rPr>
      </w:pPr>
      <w:r>
        <w:t xml:space="preserve">Separately, we believe that approved Registration Documents (RDs) and Universal Registration Documents (URDs) should also be submitted to ESMA after approval and published in the Prospectus Register. This would allow an investor to see all approved prospectus documents relating to an issuer in one place. Coupling the upload of RDs and URDs to the approval of a securities note is also less efficient, as RDs and URDs will typically be used for many securities and therefore have to be uploaded many times. </w:t>
      </w:r>
      <w:r w:rsidR="00ED4063">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Heading1"/>
        <w:numPr>
          <w:ilvl w:val="0"/>
          <w:numId w:val="0"/>
        </w:numPr>
      </w:pPr>
      <w:r w:rsidRPr="00931870">
        <w:lastRenderedPageBreak/>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1D869621" w14:textId="77777777" w:rsidR="0055366F" w:rsidRDefault="0055366F" w:rsidP="0055366F">
      <w:r>
        <w:t xml:space="preserve">We agree that advertisements should contain hyperlinks to the webpage where the advertisement is published as well as where the prospectus is or will be available. If the prospectus has been published before the advertisement, this hyperlink can be very precise (so that the prospectus is directly linked). In those cases where the prospectus has not been published, it should be sufficient to give a hyperlink to the webpage on which the prospectus will be published. </w:t>
      </w:r>
    </w:p>
    <w:p w14:paraId="4F3A2B1B" w14:textId="77777777" w:rsidR="0055366F" w:rsidRDefault="0055366F" w:rsidP="0055366F">
      <w:r>
        <w:t xml:space="preserve">Furthermore an advertisement should also include a hyperlink to the webpage where the relevant final terms, in case these have been based on a base prospectus, have been published. In these cases the investor would be able to inform himself about the economic features of the product (by reading the final terms) as well as all other relevant aspects (which are included in the base prospectus). </w:t>
      </w:r>
    </w:p>
    <w:p w14:paraId="5BE2EA5C" w14:textId="2F807128" w:rsidR="00ED4063" w:rsidRDefault="0055366F" w:rsidP="0055366F">
      <w:pPr>
        <w:rPr>
          <w:rFonts w:cs="Arial"/>
        </w:rPr>
      </w:pPr>
      <w:r>
        <w:lastRenderedPageBreak/>
        <w:t>It would not seem necessary that the advertisement, apart from such a hyperlink, contains additional information to help investors trace the prospectus. Only in those cases where the advertisement does not contain a hyperlink to the prospectus, it would be advantageous for an investor to include such additional information</w:t>
      </w:r>
      <w:proofErr w:type="gramStart"/>
      <w:r>
        <w:t>.</w:t>
      </w:r>
      <w:r w:rsidR="00ED4063">
        <w:rPr>
          <w:rFonts w:cs="Arial"/>
        </w:rPr>
        <w:t>&lt;</w:t>
      </w:r>
      <w:proofErr w:type="gramEnd"/>
      <w:r w:rsidR="00ED4063">
        <w:rPr>
          <w:rFonts w:cs="Arial"/>
        </w:rPr>
        <w: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2C8E35C" w14:textId="2985F37D" w:rsidR="00ED4063" w:rsidRDefault="0055366F" w:rsidP="00ED4063">
      <w:pPr>
        <w:rPr>
          <w:rFonts w:cs="Arial"/>
        </w:rPr>
      </w:pPr>
      <w:r>
        <w:t>We think that this approach would provide clarity under which circumstances a product is considered a complex security</w:t>
      </w:r>
      <w:proofErr w:type="gramStart"/>
      <w:r>
        <w:t>.</w:t>
      </w:r>
      <w:r w:rsidR="00ED4063">
        <w:rPr>
          <w:rFonts w:cs="Arial"/>
        </w:rPr>
        <w:t>&lt;</w:t>
      </w:r>
      <w:proofErr w:type="gramEnd"/>
      <w:r w:rsidR="00ED4063">
        <w:rPr>
          <w:rFonts w:cs="Arial"/>
        </w:rPr>
        <w: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70F1CCAD" w14:textId="77777777" w:rsidR="0055366F" w:rsidRDefault="0055366F" w:rsidP="0055366F">
      <w:r>
        <w:lastRenderedPageBreak/>
        <w:t>We agree with the requirements of Article 12 (1), (3) and (4) of the RTS, but we think that the proposed requirements of Article 12 (2) would be too burdensome (for details see our answer to question 22).</w:t>
      </w:r>
    </w:p>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t>&lt;ESMA_QUESTION_PR_22&gt;</w:t>
      </w:r>
    </w:p>
    <w:p w14:paraId="3C532290" w14:textId="77777777" w:rsidR="0055366F" w:rsidRDefault="0055366F" w:rsidP="0055366F">
      <w:r>
        <w:t xml:space="preserve">We do not agree that these warnings should be included in advertisements. A reference that the document is an advertisement (Article 12(3)) should be sufficient. It should be clear to investors, before they make an investment decision, that there is a difference between an advertisement and a prospectus. </w:t>
      </w:r>
    </w:p>
    <w:p w14:paraId="5C61D257" w14:textId="77777777" w:rsidR="0055366F" w:rsidRDefault="0055366F" w:rsidP="0055366F"/>
    <w:p w14:paraId="2FCF4041" w14:textId="77777777" w:rsidR="0055366F" w:rsidRDefault="0055366F" w:rsidP="0055366F">
      <w:r>
        <w:t>At most, the proposed warning 2 b) (“potential investors should read the prospectus before making an investment decision”) could be included in advertisements, since it will refer to the prospectus, which contains all necessary information (especially all risk factors) for investors.</w:t>
      </w:r>
    </w:p>
    <w:p w14:paraId="3CE0BFA0" w14:textId="77777777" w:rsidR="0055366F" w:rsidRDefault="0055366F" w:rsidP="0055366F"/>
    <w:p w14:paraId="152437F1" w14:textId="77777777" w:rsidR="0055366F" w:rsidRDefault="0055366F" w:rsidP="0055366F">
      <w:r>
        <w:t>It is also questionable whether investors would appropriately consider the warnings, especially as they will unnecessarily lengthen the advertisement and would make it more difficult to read. In addition, most proposed warnings will already be part of the prospectus summary. Including them into advertisements would be duplicative.</w:t>
      </w:r>
    </w:p>
    <w:p w14:paraId="2982D1B9" w14:textId="77777777" w:rsidR="0055366F" w:rsidRDefault="0055366F" w:rsidP="0055366F"/>
    <w:p w14:paraId="1AB47063" w14:textId="77777777" w:rsidR="0055366F" w:rsidRDefault="0055366F" w:rsidP="0055366F">
      <w:r w:rsidRPr="006D253C">
        <w:t>Furthermore</w:t>
      </w:r>
      <w:r>
        <w:t>,</w:t>
      </w:r>
      <w:r w:rsidRPr="006D253C">
        <w:t xml:space="preserve"> the product governance requirements of Article 9 of the Commission Delegated Directive (EU) 2017/593</w:t>
      </w:r>
      <w:r>
        <w:t xml:space="preserve"> will ensure that investors are sufficiently protected. The requirements of the Markets in Financial Instruments Directive II (</w:t>
      </w:r>
      <w:proofErr w:type="spellStart"/>
      <w:r>
        <w:t>MiFID</w:t>
      </w:r>
      <w:proofErr w:type="spellEnd"/>
      <w:r>
        <w:t xml:space="preserve"> II) (Art. 24 (3)) and the Delegated Regulation (EU) 2017/565 in Art. 44 do not foresee that advertisements have to contain special warnings either. They only require that the information provided by the issuer is fair, clear and not misleading. </w:t>
      </w:r>
    </w:p>
    <w:p w14:paraId="17485910" w14:textId="77777777" w:rsidR="0055366F" w:rsidRDefault="0055366F" w:rsidP="0055366F"/>
    <w:p w14:paraId="2D187188" w14:textId="4D8D7F26" w:rsidR="00ED4063" w:rsidRDefault="0055366F" w:rsidP="0055366F">
      <w:pPr>
        <w:rPr>
          <w:rFonts w:cs="Arial"/>
        </w:rPr>
      </w:pPr>
      <w:r>
        <w:t>Should ESMA still require to include these additional warnings, they should be kept as short as possible. A viable alternative would be to simply require a reference to a website where such warnings are posted. In a similar context, the RTS supplementing the Market Abuse Regulation (</w:t>
      </w:r>
      <w:r w:rsidRPr="006E6D33">
        <w:t>Commission Delegated Regulation (EU) 2016/958</w:t>
      </w:r>
      <w:r>
        <w:t>) which details how investment recommendations should be presented, could constitute a useful point of reference. It provides that w</w:t>
      </w:r>
      <w:r w:rsidRPr="00210515">
        <w:t xml:space="preserve">here the </w:t>
      </w:r>
      <w:r>
        <w:t xml:space="preserve">required </w:t>
      </w:r>
      <w:r w:rsidRPr="00210515">
        <w:t xml:space="preserve">disclosure of </w:t>
      </w:r>
      <w:r>
        <w:t xml:space="preserve">conflicts of interest </w:t>
      </w:r>
      <w:r w:rsidRPr="00210515">
        <w:t>information</w:t>
      </w:r>
      <w:r>
        <w:t xml:space="preserve"> is too lengthy compared to the length of an investment recommendation,</w:t>
      </w:r>
      <w:r w:rsidRPr="00210515">
        <w:t xml:space="preserve"> the person who produces recommendations shall state </w:t>
      </w:r>
      <w:r>
        <w:t xml:space="preserve">where </w:t>
      </w:r>
      <w:r w:rsidRPr="00210515">
        <w:t>information</w:t>
      </w:r>
      <w:r>
        <w:t xml:space="preserve"> on conflicts of interests</w:t>
      </w:r>
      <w:r w:rsidRPr="00210515">
        <w:t xml:space="preserve"> can be directly and easily accessed. </w:t>
      </w:r>
      <w:r>
        <w:t>A similar provision for warnings might avoid the incorporation of lengthy cautionary language that may be disproportionate to the size of an advertisement</w:t>
      </w:r>
      <w:proofErr w:type="gramStart"/>
      <w:r>
        <w:t>.</w:t>
      </w:r>
      <w:r w:rsidR="00ED4063">
        <w:rPr>
          <w:rFonts w:cs="Arial"/>
        </w:rPr>
        <w:t>&lt;</w:t>
      </w:r>
      <w:proofErr w:type="gramEnd"/>
      <w:r w:rsidR="00ED4063">
        <w:rPr>
          <w:rFonts w:cs="Arial"/>
        </w:rPr>
        <w: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w:t>
      </w:r>
      <w:r w:rsidRPr="00ED4063">
        <w:lastRenderedPageBreak/>
        <w:t>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5FA3B906" w14:textId="77777777" w:rsidR="002A09C8" w:rsidRDefault="002A09C8" w:rsidP="002A09C8">
      <w:r>
        <w:t xml:space="preserve">There should be no additional major costs for an issuer if these provisions were to be adopted. Nevertheless, there may be some minor costs to adapt existing systems and workflows. </w:t>
      </w:r>
    </w:p>
    <w:p w14:paraId="26FE16BD" w14:textId="77777777" w:rsidR="002A09C8" w:rsidRDefault="002A09C8" w:rsidP="002A09C8"/>
    <w:p w14:paraId="1175719D" w14:textId="309FC199" w:rsidR="00ED4063" w:rsidRDefault="002A09C8" w:rsidP="002A09C8">
      <w:pPr>
        <w:rPr>
          <w:rFonts w:cs="Arial"/>
        </w:rPr>
      </w:pPr>
      <w:r>
        <w:tab/>
      </w:r>
      <w:r w:rsidR="00ED4063">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Heading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3CF2DDD4" w14:textId="77777777" w:rsidR="002A09C8" w:rsidRDefault="002A09C8" w:rsidP="002A09C8">
      <w:r>
        <w:t>The carrying over of Article 2 of the First Commission Delegated Regulation would provide stability regarding the evaluation if a supplement to the prospectus is necessary. Therefore we are fine with this approach.</w:t>
      </w:r>
    </w:p>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xml:space="preserve">: Do you agree that the additional requirements identified from ESMA’s draft technical advice should also be </w:t>
      </w:r>
      <w:proofErr w:type="gramStart"/>
      <w:r w:rsidRPr="00ED4063">
        <w:t>included.</w:t>
      </w:r>
      <w:proofErr w:type="gramEnd"/>
    </w:p>
    <w:p w14:paraId="11B62650" w14:textId="77777777" w:rsidR="00ED4063" w:rsidRDefault="00ED4063" w:rsidP="00ED4063">
      <w:pPr>
        <w:rPr>
          <w:rFonts w:cs="Arial"/>
        </w:rPr>
      </w:pPr>
      <w:r>
        <w:rPr>
          <w:rFonts w:cs="Arial"/>
        </w:rPr>
        <w:t>&lt;ESMA_QUESTION_PR_25&gt;</w:t>
      </w:r>
    </w:p>
    <w:p w14:paraId="1EF0643B" w14:textId="77777777" w:rsidR="002A09C8" w:rsidRDefault="002A09C8" w:rsidP="002A09C8">
      <w:r>
        <w:t xml:space="preserve">As we commented in response to the consultation relating to the draft technical advice, we do not believe that the inclusion of outstanding profit forecasts or profit estimate should be made mandatory for non-equity securities. For cases where the inclusion is mandatory, however, it does make sense to require a supplement also when a forecast or estimate is published after approval of the prospectus. </w:t>
      </w:r>
    </w:p>
    <w:p w14:paraId="0741F491" w14:textId="77777777" w:rsidR="002A09C8" w:rsidRDefault="002A09C8" w:rsidP="002A09C8"/>
    <w:p w14:paraId="5998F951" w14:textId="08501CF2" w:rsidR="00ED4063" w:rsidRDefault="002A09C8" w:rsidP="002A09C8">
      <w:pPr>
        <w:rPr>
          <w:rFonts w:cs="Arial"/>
        </w:rPr>
      </w:pPr>
      <w:r w:rsidRPr="006679D8">
        <w:t xml:space="preserve">In this context, we </w:t>
      </w:r>
      <w:r>
        <w:t>would</w:t>
      </w:r>
      <w:r w:rsidRPr="006679D8">
        <w:t xml:space="preserve"> like to reiterate that particularly in the context of the requirement to </w:t>
      </w:r>
      <w:r>
        <w:t>publish</w:t>
      </w:r>
      <w:r w:rsidRPr="006679D8">
        <w:t xml:space="preserve"> </w:t>
      </w:r>
      <w:r>
        <w:t>in a timely manner,</w:t>
      </w:r>
      <w:r w:rsidRPr="006679D8">
        <w:t xml:space="preserve"> a supplement the existing requirement to attach a related report prepared by independent accountants (Regulation 809/2004, annex I 13.2) is burdensome and should be abolished. It stands in contrast to the requirement to publish a supplement without undue delay after the occurrence of a trigger event according to Art. 17 PR. For listed issuers this requirement is also</w:t>
      </w:r>
      <w:r>
        <w:t xml:space="preserve"> inconsistent with their disclosure obligations under Art. 17 MAR.  </w:t>
      </w:r>
      <w:r w:rsidR="00ED4063">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lastRenderedPageBreak/>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07DC042C" w14:textId="32FE2B90" w:rsidR="00ED4063" w:rsidRDefault="002A09C8" w:rsidP="00ED4063">
      <w:pPr>
        <w:rPr>
          <w:rFonts w:cs="Arial"/>
        </w:rPr>
      </w:pPr>
      <w:r>
        <w:t xml:space="preserve">We agree that it should be in the discretion of an issuer of retail debt or retail derivative securities to publish a supplement in case of the publication of audited financial statements. </w:t>
      </w:r>
      <w:r w:rsidR="00ED4063">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220CC88F" w14:textId="496CF888" w:rsidR="00ED4063" w:rsidRDefault="002A09C8" w:rsidP="00ED4063">
      <w:pPr>
        <w:rPr>
          <w:rFonts w:cs="Arial"/>
        </w:rPr>
      </w:pPr>
      <w:permStart w:id="1814188400" w:edGrp="everyone"/>
      <w:r>
        <w:t>We assume that no major costs shall occur by adopting this provision. Especially since these provisions were already in place and issuers had to comply with them.</w:t>
      </w: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Heading1"/>
        <w:numPr>
          <w:ilvl w:val="0"/>
          <w:numId w:val="0"/>
        </w:numPr>
      </w:pPr>
      <w:r w:rsidRPr="00931870">
        <w:lastRenderedPageBreak/>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w:t>
      </w:r>
      <w:proofErr w:type="gramStart"/>
      <w:r w:rsidRPr="00ED4063">
        <w:t>)(</w:t>
      </w:r>
      <w:proofErr w:type="gramEnd"/>
      <w:r w:rsidRPr="00ED4063">
        <w:t>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4E14530" w14:textId="7BBFD2DD" w:rsidR="00ED4063" w:rsidRDefault="002A09C8" w:rsidP="00ED4063">
      <w:pPr>
        <w:rPr>
          <w:rFonts w:cs="Arial"/>
        </w:rPr>
      </w:pPr>
      <w:r>
        <w:t xml:space="preserve">We agree that both clauses shall be carried over. Furthermore, we welcome the proposed changes by ESMA in respect of the usage of hyperlinks. This would make it less burdensome for issuers to draft a prospectus, since they would not have to check the whole document if not allowed hyperlinks are included. Also the clarification in respect of the usage of a disclaimer on the website of the issuer for those investors that shall not be targeted by the offer is advantageous. </w:t>
      </w:r>
      <w:r w:rsidR="00ED4063">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t>&lt;ESMA_QUESTION_PR_29&gt;</w:t>
      </w:r>
    </w:p>
    <w:p w14:paraId="5424099B" w14:textId="1D5DAA3F" w:rsidR="00ED4063" w:rsidRDefault="002A09C8" w:rsidP="00ED4063">
      <w:pPr>
        <w:rPr>
          <w:rFonts w:cs="Arial"/>
        </w:rPr>
      </w:pPr>
      <w:r>
        <w:t>We think that no other provisions need to be inserted into the RTS</w:t>
      </w:r>
      <w:proofErr w:type="gramStart"/>
      <w:r>
        <w:t>.</w:t>
      </w:r>
      <w:r w:rsidR="00ED4063">
        <w:rPr>
          <w:rFonts w:cs="Arial"/>
        </w:rPr>
        <w:t>&lt;</w:t>
      </w:r>
      <w:proofErr w:type="gramEnd"/>
      <w:r w:rsidR="00ED4063">
        <w:rPr>
          <w:rFonts w:cs="Arial"/>
        </w:rPr>
        <w: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xml:space="preserve">: Do you believe that the proposed publication provisions will impose additional costs on issuers, </w:t>
      </w:r>
      <w:proofErr w:type="spellStart"/>
      <w:r w:rsidRPr="00ED4063">
        <w:t>offerors</w:t>
      </w:r>
      <w:proofErr w:type="spellEnd"/>
      <w:r w:rsidRPr="00ED4063">
        <w:t xml:space="preserve">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t>&lt;ESMA_QUESTION_PR_30&gt;</w:t>
      </w:r>
    </w:p>
    <w:p w14:paraId="3380B4A6" w14:textId="77777777" w:rsidR="002A09C8" w:rsidRDefault="002A09C8" w:rsidP="002A09C8">
      <w:r>
        <w:t xml:space="preserve">We do not expect additional costs in respect of the proposed publication provisions. </w:t>
      </w:r>
    </w:p>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F406" w14:textId="77777777" w:rsidR="00DE4BAA" w:rsidRDefault="00DE4BAA">
      <w:r>
        <w:separator/>
      </w:r>
    </w:p>
    <w:p w14:paraId="5525478C" w14:textId="77777777" w:rsidR="00DE4BAA" w:rsidRDefault="00DE4BAA"/>
  </w:endnote>
  <w:endnote w:type="continuationSeparator" w:id="0">
    <w:p w14:paraId="533D9759" w14:textId="77777777" w:rsidR="00DE4BAA" w:rsidRDefault="00DE4BAA">
      <w:r>
        <w:continuationSeparator/>
      </w:r>
    </w:p>
    <w:p w14:paraId="7CE40AA5" w14:textId="77777777" w:rsidR="00DE4BAA" w:rsidRDefault="00DE4BAA"/>
  </w:endnote>
  <w:endnote w:type="continuationNotice" w:id="1">
    <w:p w14:paraId="6F07E942" w14:textId="77777777" w:rsidR="00DE4BAA" w:rsidRDefault="00D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3A36D1E"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25BCF">
            <w:rPr>
              <w:rFonts w:cs="Arial"/>
              <w:noProof/>
              <w:sz w:val="22"/>
              <w:szCs w:val="22"/>
            </w:rPr>
            <w:t>3</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B0A3" w14:textId="77777777" w:rsidR="00DE4BAA" w:rsidRDefault="00DE4BAA">
      <w:r>
        <w:separator/>
      </w:r>
    </w:p>
    <w:p w14:paraId="30ABFEEF" w14:textId="77777777" w:rsidR="00DE4BAA" w:rsidRDefault="00DE4BAA"/>
  </w:footnote>
  <w:footnote w:type="continuationSeparator" w:id="0">
    <w:p w14:paraId="671F4CC2" w14:textId="77777777" w:rsidR="00DE4BAA" w:rsidRDefault="00DE4BAA">
      <w:r>
        <w:continuationSeparator/>
      </w:r>
    </w:p>
    <w:p w14:paraId="36D09701" w14:textId="77777777" w:rsidR="00DE4BAA" w:rsidRDefault="00DE4BAA"/>
  </w:footnote>
  <w:footnote w:type="continuationNotice" w:id="1">
    <w:p w14:paraId="0B8B740C" w14:textId="77777777" w:rsidR="00DE4BAA" w:rsidRDefault="00DE4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9C8"/>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BCF"/>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366F"/>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03B2"/>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B41B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20fbe147-bbda-4e53-b6b1-7e8bbff3fe19"/>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microsoft.com/sharepoint/v4"/>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6DE9D-F415-4923-9616-605BD2F72DB7}">
  <ds:schemaRefs>
    <ds:schemaRef ds:uri="http://schemas.openxmlformats.org/officeDocument/2006/bibliography"/>
  </ds:schemaRefs>
</ds:datastoreItem>
</file>

<file path=customXml/itemProps6.xml><?xml version="1.0" encoding="utf-8"?>
<ds:datastoreItem xmlns:ds="http://schemas.openxmlformats.org/officeDocument/2006/customXml" ds:itemID="{A186354D-B71D-4D5E-91DC-41961D54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E2487E90</Template>
  <TotalTime>0</TotalTime>
  <Pages>10</Pages>
  <Words>3931</Words>
  <Characters>21111</Characters>
  <Application>Microsoft Office Word</Application>
  <DocSecurity>4</DocSecurity>
  <Lines>390</Lines>
  <Paragraphs>138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24904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keywords>External Communication</cp:keywords>
  <cp:lastModifiedBy>Orestis Nikou</cp:lastModifiedBy>
  <cp:revision>2</cp:revision>
  <cp:lastPrinted>2015-02-18T11:01:00Z</cp:lastPrinted>
  <dcterms:created xsi:type="dcterms:W3CDTF">2018-03-09T10:49:00Z</dcterms:created>
  <dcterms:modified xsi:type="dcterms:W3CDTF">2018-03-09T10:49:00Z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TitusGUID">
    <vt:lpwstr>51cbbf15-29c2-4eea-b6fc-ed3bdae13b62</vt:lpwstr>
  </property>
  <property fmtid="{D5CDD505-2E9C-101B-9397-08002B2CF9AE}" pid="11" name="db.comClassification">
    <vt:lpwstr>External Communication</vt:lpwstr>
  </property>
</Properties>
</file>