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ubtielebenadrukking"/>
          <w:b w:val="0"/>
          <w:sz w:val="22"/>
        </w:rPr>
      </w:pPr>
      <w:r w:rsidRPr="00E40A5C">
        <w:rPr>
          <w:rStyle w:val="Subtielebenadrukking"/>
          <w:b w:val="0"/>
          <w:sz w:val="22"/>
        </w:rPr>
        <w:t xml:space="preserve">ESMA invites responses to the questions set out throughout </w:t>
      </w:r>
      <w:r w:rsidR="00963D60">
        <w:rPr>
          <w:rStyle w:val="Subtielebenadrukking"/>
          <w:b w:val="0"/>
          <w:sz w:val="22"/>
        </w:rPr>
        <w:t>its</w:t>
      </w:r>
      <w:r w:rsidR="00963D60" w:rsidRPr="00E40A5C">
        <w:rPr>
          <w:rStyle w:val="Subtielebenadrukking"/>
          <w:b w:val="0"/>
          <w:sz w:val="22"/>
        </w:rPr>
        <w:t xml:space="preserve"> </w:t>
      </w:r>
      <w:r w:rsidRPr="00E40A5C">
        <w:rPr>
          <w:rStyle w:val="Subtielebenadrukking"/>
          <w:b w:val="0"/>
          <w:sz w:val="22"/>
        </w:rPr>
        <w:t>Consultation Paper</w:t>
      </w:r>
      <w:r w:rsidR="00963D60">
        <w:rPr>
          <w:rStyle w:val="Subtielebenadrukking"/>
          <w:b w:val="0"/>
          <w:sz w:val="22"/>
        </w:rPr>
        <w:t xml:space="preserve"> on </w:t>
      </w:r>
      <w:r w:rsidR="00323062" w:rsidRPr="00876F89">
        <w:rPr>
          <w:rStyle w:val="Subtielebenadrukking"/>
          <w:b w:val="0"/>
          <w:sz w:val="22"/>
        </w:rPr>
        <w:t>Draft t</w:t>
      </w:r>
      <w:r w:rsidR="00BA3E10" w:rsidRPr="00876F89">
        <w:rPr>
          <w:rStyle w:val="Subtielebenadrukking"/>
          <w:b w:val="0"/>
          <w:sz w:val="22"/>
          <w:lang w:eastAsia="en-GB"/>
        </w:rPr>
        <w:t>echnical standards on disclosure requirements, operational standards, and access conditions under the Securitisation Regulation</w:t>
      </w:r>
      <w:r w:rsidR="00BA3E10" w:rsidRPr="00876F89">
        <w:rPr>
          <w:rStyle w:val="Subtielebenadrukking"/>
          <w:b w:val="0"/>
          <w:sz w:val="22"/>
        </w:rPr>
        <w:t xml:space="preserve"> </w:t>
      </w:r>
      <w:r w:rsidR="00963D60" w:rsidRPr="00876F89">
        <w:rPr>
          <w:rStyle w:val="Subtielebenadrukking"/>
          <w:b w:val="0"/>
          <w:sz w:val="22"/>
        </w:rPr>
        <w:t>(ESMA</w:t>
      </w:r>
      <w:r w:rsidR="00323062" w:rsidRPr="00876F89">
        <w:rPr>
          <w:rStyle w:val="Subtielebenadrukking"/>
          <w:b w:val="0"/>
          <w:sz w:val="22"/>
        </w:rPr>
        <w:t>33</w:t>
      </w:r>
      <w:r w:rsidR="00394CE6" w:rsidRPr="00876F89">
        <w:rPr>
          <w:rStyle w:val="Subtielebenadrukking"/>
          <w:b w:val="0"/>
          <w:sz w:val="22"/>
        </w:rPr>
        <w:t>-</w:t>
      </w:r>
      <w:r w:rsidR="00323062" w:rsidRPr="00876F89">
        <w:rPr>
          <w:rStyle w:val="Subtielebenadrukking"/>
          <w:b w:val="0"/>
          <w:sz w:val="22"/>
        </w:rPr>
        <w:t>128</w:t>
      </w:r>
      <w:r w:rsidR="00394CE6" w:rsidRPr="00876F89">
        <w:rPr>
          <w:rStyle w:val="Subtielebenadrukking"/>
          <w:b w:val="0"/>
          <w:sz w:val="22"/>
        </w:rPr>
        <w:t>-</w:t>
      </w:r>
      <w:r w:rsidR="00323062" w:rsidRPr="00876F89">
        <w:rPr>
          <w:rStyle w:val="Subtielebenadrukking"/>
          <w:b w:val="0"/>
          <w:sz w:val="22"/>
        </w:rPr>
        <w:t>107</w:t>
      </w:r>
      <w:r w:rsidR="00963D60" w:rsidRPr="00876F89">
        <w:rPr>
          <w:rStyle w:val="Subtielebenadrukking"/>
          <w:b w:val="0"/>
          <w:sz w:val="22"/>
        </w:rPr>
        <w:t>)</w:t>
      </w:r>
      <w:r w:rsidRPr="00876F89">
        <w:rPr>
          <w:rStyle w:val="Subtielebenadrukking"/>
          <w:b w:val="0"/>
          <w:sz w:val="22"/>
        </w:rPr>
        <w:t>.</w:t>
      </w:r>
      <w:r w:rsidRPr="00E40A5C">
        <w:rPr>
          <w:rStyle w:val="Subtielebenadrukking"/>
          <w:b w:val="0"/>
          <w:sz w:val="22"/>
        </w:rPr>
        <w:t xml:space="preserve"> Responses are most helpful if they:</w:t>
      </w:r>
    </w:p>
    <w:p w14:paraId="6F3986A6"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respond to the question stated;</w:t>
      </w:r>
    </w:p>
    <w:p w14:paraId="0CEF8FEF"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contain a clear rationale; and</w:t>
      </w:r>
    </w:p>
    <w:p w14:paraId="5D718097"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describe any alternatives ESMA should consider.</w:t>
      </w:r>
    </w:p>
    <w:p w14:paraId="665F069B" w14:textId="2C6FCB91" w:rsidR="009A3017" w:rsidRPr="00E40A5C" w:rsidRDefault="009A3017" w:rsidP="009A3017">
      <w:pPr>
        <w:spacing w:after="240"/>
        <w:jc w:val="both"/>
        <w:rPr>
          <w:rStyle w:val="Subtielebenadrukking"/>
          <w:b w:val="0"/>
          <w:sz w:val="22"/>
        </w:rPr>
      </w:pPr>
      <w:r w:rsidRPr="00E40A5C">
        <w:rPr>
          <w:rStyle w:val="Subtielebenadrukking"/>
          <w:b w:val="0"/>
          <w:sz w:val="22"/>
        </w:rPr>
        <w:t xml:space="preserve">ESMA will consider all responses received by </w:t>
      </w:r>
      <w:r w:rsidR="00323062" w:rsidRPr="00876F89">
        <w:rPr>
          <w:rStyle w:val="Subtielebenadrukking"/>
          <w:b w:val="0"/>
          <w:sz w:val="22"/>
        </w:rPr>
        <w:t>1</w:t>
      </w:r>
      <w:r w:rsidR="005C6485" w:rsidRPr="00876F89">
        <w:rPr>
          <w:rStyle w:val="Subtielebenadrukking"/>
          <w:b w:val="0"/>
          <w:sz w:val="22"/>
        </w:rPr>
        <w:t>9 March 2018</w:t>
      </w:r>
      <w:r w:rsidRPr="00876F89">
        <w:rPr>
          <w:rStyle w:val="Subtielebenadrukking"/>
          <w:b w:val="0"/>
          <w:sz w:val="22"/>
        </w:rPr>
        <w:t>.</w:t>
      </w:r>
    </w:p>
    <w:p w14:paraId="668D5BC5" w14:textId="77777777" w:rsidR="009A3017" w:rsidRPr="00E40A5C" w:rsidRDefault="009A3017" w:rsidP="009A3017">
      <w:pPr>
        <w:spacing w:after="120"/>
        <w:jc w:val="both"/>
        <w:rPr>
          <w:rStyle w:val="Subtielebenadrukking"/>
          <w:sz w:val="22"/>
        </w:rPr>
      </w:pPr>
      <w:r w:rsidRPr="00E40A5C">
        <w:rPr>
          <w:rStyle w:val="Subtielebenadrukking"/>
          <w:sz w:val="22"/>
        </w:rPr>
        <w:t>Instructions</w:t>
      </w:r>
    </w:p>
    <w:p w14:paraId="5806913F" w14:textId="77777777" w:rsidR="009A3017" w:rsidRPr="00E40A5C" w:rsidRDefault="009A3017" w:rsidP="009A3017">
      <w:pPr>
        <w:spacing w:after="240"/>
        <w:jc w:val="both"/>
        <w:rPr>
          <w:rStyle w:val="Subtielebenadrukking"/>
          <w:b w:val="0"/>
          <w:sz w:val="22"/>
        </w:rPr>
      </w:pPr>
      <w:r w:rsidRPr="00E40A5C">
        <w:rPr>
          <w:rStyle w:val="Subtielebenadrukki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Insert your responses to the questions in the Consultation Paper in </w:t>
      </w:r>
      <w:r w:rsidR="00963D60">
        <w:rPr>
          <w:rStyle w:val="Subtielebenadrukking"/>
          <w:b w:val="0"/>
          <w:sz w:val="22"/>
        </w:rPr>
        <w:t>the present</w:t>
      </w:r>
      <w:r w:rsidR="00963D60" w:rsidRPr="00E40A5C">
        <w:rPr>
          <w:rStyle w:val="Subtielebenadrukking"/>
          <w:b w:val="0"/>
          <w:sz w:val="22"/>
        </w:rPr>
        <w:t xml:space="preserve"> </w:t>
      </w:r>
      <w:r w:rsidR="00315895">
        <w:rPr>
          <w:rStyle w:val="Subtielebenadrukking"/>
          <w:b w:val="0"/>
          <w:sz w:val="22"/>
        </w:rPr>
        <w:t xml:space="preserve">response </w:t>
      </w:r>
      <w:r w:rsidRPr="00E40A5C">
        <w:rPr>
          <w:rStyle w:val="Subtielebenadrukking"/>
          <w:b w:val="0"/>
          <w:sz w:val="22"/>
        </w:rPr>
        <w:t>form</w:t>
      </w:r>
      <w:r w:rsidR="00963D60">
        <w:rPr>
          <w:rStyle w:val="Subtielebenadrukking"/>
          <w:b w:val="0"/>
          <w:sz w:val="22"/>
        </w:rPr>
        <w:t>.</w:t>
      </w:r>
      <w:r w:rsidRPr="00E40A5C">
        <w:rPr>
          <w:rStyle w:val="Subtielebenadrukking"/>
          <w:b w:val="0"/>
          <w:sz w:val="22"/>
        </w:rPr>
        <w:t xml:space="preserve"> </w:t>
      </w:r>
    </w:p>
    <w:p w14:paraId="67E25BB0" w14:textId="5148F672"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Please do not remove tags of the type &lt;ESMA_QUESTION_</w:t>
      </w:r>
      <w:r w:rsidR="00BA3E10">
        <w:rPr>
          <w:rStyle w:val="Subtielebenadrukking"/>
          <w:b w:val="0"/>
          <w:sz w:val="22"/>
        </w:rPr>
        <w:t>DOS</w:t>
      </w:r>
      <w:r w:rsidRPr="00E40A5C">
        <w:rPr>
          <w:rStyle w:val="Subtielebenadrukking"/>
          <w:b w:val="0"/>
          <w:sz w:val="22"/>
        </w:rPr>
        <w:t>_1&gt;. Your response to each question has to be framed by the two tags corresponding to the question.</w:t>
      </w:r>
    </w:p>
    <w:p w14:paraId="71E451EA" w14:textId="77777777"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When you have drafted your response, name your response form according to the following convention: ESMA_</w:t>
      </w:r>
      <w:r w:rsidR="00BA3E10">
        <w:rPr>
          <w:rStyle w:val="Subtielebenadrukking"/>
          <w:b w:val="0"/>
          <w:sz w:val="22"/>
        </w:rPr>
        <w:t>DOS</w:t>
      </w:r>
      <w:r w:rsidRPr="00E40A5C">
        <w:rPr>
          <w:rStyle w:val="Subtielebenadrukking"/>
          <w:b w:val="0"/>
          <w:sz w:val="22"/>
        </w:rPr>
        <w:t>_nameofrespondent_RESPONSEFORM. For example, for a respondent named ABCD, the response form would be entitled ESMA_</w:t>
      </w:r>
      <w:r w:rsidR="00BA3E10">
        <w:rPr>
          <w:rStyle w:val="Subtielebenadrukking"/>
          <w:b w:val="0"/>
          <w:sz w:val="22"/>
        </w:rPr>
        <w:t>DOS</w:t>
      </w:r>
      <w:r w:rsidRPr="00E40A5C">
        <w:rPr>
          <w:rStyle w:val="Subtielebenadrukking"/>
          <w:b w:val="0"/>
          <w:sz w:val="22"/>
        </w:rPr>
        <w:t>_ABCD_RESPONSEFORM.</w:t>
      </w:r>
    </w:p>
    <w:p w14:paraId="08D412C9" w14:textId="615B46A3" w:rsidR="009A3017" w:rsidRPr="00876F89" w:rsidRDefault="009A3017" w:rsidP="00967674">
      <w:pPr>
        <w:pStyle w:val="Lijstalinea"/>
        <w:numPr>
          <w:ilvl w:val="0"/>
          <w:numId w:val="37"/>
        </w:numPr>
        <w:spacing w:after="240" w:line="276" w:lineRule="auto"/>
        <w:ind w:left="567" w:hanging="567"/>
        <w:contextualSpacing w:val="0"/>
        <w:jc w:val="both"/>
        <w:rPr>
          <w:rStyle w:val="Subtielebenadrukking"/>
          <w:b w:val="0"/>
          <w:sz w:val="22"/>
        </w:rPr>
      </w:pPr>
      <w:r w:rsidRPr="00E40A5C">
        <w:rPr>
          <w:rStyle w:val="Subtielebenadrukking"/>
          <w:b w:val="0"/>
          <w:sz w:val="22"/>
        </w:rPr>
        <w:t xml:space="preserve">Upload the form containing your responses, </w:t>
      </w:r>
      <w:r w:rsidRPr="00963D60">
        <w:rPr>
          <w:rStyle w:val="Subtielebenadrukking"/>
          <w:sz w:val="22"/>
        </w:rPr>
        <w:t>in Word format</w:t>
      </w:r>
      <w:r w:rsidRPr="00E40A5C">
        <w:rPr>
          <w:rStyle w:val="Subtielebenadrukking"/>
          <w:b w:val="0"/>
          <w:sz w:val="22"/>
        </w:rPr>
        <w:t>, to ESMA’s website (</w:t>
      </w:r>
      <w:hyperlink r:id="rId16" w:history="1">
        <w:r w:rsidRPr="00E40A5C">
          <w:rPr>
            <w:rStyle w:val="Hyperlink"/>
            <w:rFonts w:cs="Arial"/>
            <w:sz w:val="22"/>
          </w:rPr>
          <w:t>www.esma.europa.eu</w:t>
        </w:r>
      </w:hyperlink>
      <w:r w:rsidR="006E0A4F">
        <w:rPr>
          <w:rStyle w:val="Subtielebenadrukking"/>
          <w:b w:val="0"/>
          <w:sz w:val="22"/>
        </w:rPr>
        <w:t xml:space="preserve"> under the heading “Your input – Open consultations”</w:t>
      </w:r>
      <w:r w:rsidRPr="00E40A5C">
        <w:rPr>
          <w:rStyle w:val="Subtielebenadrukking"/>
          <w:b w:val="0"/>
          <w:sz w:val="22"/>
        </w:rPr>
        <w:t xml:space="preserve"> </w:t>
      </w:r>
      <w:r w:rsidRPr="00876F89">
        <w:rPr>
          <w:rStyle w:val="Subtielebenadrukking"/>
          <w:b w:val="0"/>
          <w:sz w:val="22"/>
        </w:rPr>
        <w:sym w:font="Wingdings" w:char="F0E0"/>
      </w:r>
      <w:r w:rsidRPr="00876F89">
        <w:rPr>
          <w:rStyle w:val="Subtielebenadrukking"/>
          <w:b w:val="0"/>
          <w:sz w:val="22"/>
        </w:rPr>
        <w:t xml:space="preserve"> </w:t>
      </w:r>
      <w:r w:rsidR="006E0A4F" w:rsidRPr="00876F89">
        <w:rPr>
          <w:rStyle w:val="Subtielebenadrukking"/>
          <w:b w:val="0"/>
          <w:sz w:val="22"/>
        </w:rPr>
        <w:t>“</w:t>
      </w:r>
      <w:r w:rsidRPr="00876F89">
        <w:rPr>
          <w:rStyle w:val="Subtielebenadrukking"/>
          <w:b w:val="0"/>
          <w:sz w:val="22"/>
        </w:rPr>
        <w:t xml:space="preserve">Consultation on </w:t>
      </w:r>
      <w:r w:rsidR="00323062" w:rsidRPr="00876F89">
        <w:rPr>
          <w:rStyle w:val="Subtielebenadrukking"/>
          <w:b w:val="0"/>
          <w:sz w:val="22"/>
        </w:rPr>
        <w:t>Draft t</w:t>
      </w:r>
      <w:r w:rsidR="00323062" w:rsidRPr="00876F89">
        <w:rPr>
          <w:rStyle w:val="Subtielebenadrukking"/>
          <w:b w:val="0"/>
          <w:sz w:val="22"/>
          <w:lang w:eastAsia="en-GB"/>
        </w:rPr>
        <w:t>echnical standards on disclosure requirements, operational standards, and access conditions under the Securitisation Regulation</w:t>
      </w:r>
      <w:r w:rsidR="006E0A4F" w:rsidRPr="00876F89">
        <w:rPr>
          <w:rStyle w:val="Subtielebenadrukking"/>
          <w:b w:val="0"/>
          <w:sz w:val="22"/>
        </w:rPr>
        <w:t>”</w:t>
      </w:r>
      <w:r w:rsidRPr="00876F89">
        <w:rPr>
          <w:rStyle w:val="Subtielebenadrukking"/>
          <w:b w:val="0"/>
          <w:sz w:val="22"/>
        </w:rPr>
        <w:t>).</w:t>
      </w:r>
    </w:p>
    <w:p w14:paraId="4AE15839" w14:textId="77777777"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Publication of responses</w:t>
      </w:r>
    </w:p>
    <w:p w14:paraId="6EC228C3" w14:textId="14D684C6" w:rsidR="00315895" w:rsidRDefault="009A3017" w:rsidP="00BA3E10">
      <w:pPr>
        <w:spacing w:after="240"/>
        <w:jc w:val="both"/>
        <w:rPr>
          <w:rStyle w:val="Subtielebenadrukking"/>
          <w:sz w:val="22"/>
          <w:lang w:eastAsia="en-GB"/>
        </w:rPr>
      </w:pPr>
      <w:r w:rsidRPr="00E40A5C">
        <w:rPr>
          <w:rStyle w:val="Subtielebenadrukking"/>
          <w:b w:val="0"/>
          <w:sz w:val="22"/>
          <w:lang w:eastAsia="en-GB"/>
        </w:rPr>
        <w:t xml:space="preserve">All contributions received will be published following the close of the consultation, unless you request otherwise. </w:t>
      </w:r>
      <w:r w:rsidRPr="00963D60">
        <w:rPr>
          <w:rStyle w:val="Subtielebenadrukking"/>
          <w:sz w:val="22"/>
          <w:lang w:eastAsia="en-GB"/>
        </w:rPr>
        <w:t>Please clearly indicate by ticking the appropriate checkbox on the website submission page if you do not wish your contribution to be publicly disclosed.</w:t>
      </w:r>
      <w:r w:rsidRPr="00E40A5C">
        <w:rPr>
          <w:rStyle w:val="Subtielebenadrukki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ubtielebenadrukking"/>
          <w:sz w:val="22"/>
          <w:lang w:eastAsia="en-GB"/>
        </w:rPr>
        <w:br w:type="page"/>
      </w:r>
    </w:p>
    <w:p w14:paraId="72235BD1" w14:textId="2FB9320F"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lastRenderedPageBreak/>
        <w:t>Data protection</w:t>
      </w:r>
    </w:p>
    <w:p w14:paraId="51866686" w14:textId="2FD9B38B" w:rsidR="009A3017" w:rsidRPr="00E40A5C" w:rsidRDefault="009A3017" w:rsidP="00876F89">
      <w:pPr>
        <w:spacing w:after="240"/>
        <w:jc w:val="both"/>
        <w:rPr>
          <w:rStyle w:val="Subtielebenadrukking"/>
          <w:b w:val="0"/>
          <w:sz w:val="22"/>
          <w:lang w:eastAsia="en-GB"/>
        </w:rPr>
      </w:pPr>
      <w:r w:rsidRPr="00E40A5C">
        <w:rPr>
          <w:rStyle w:val="Subtielebenadrukki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ubtielebenadrukking"/>
          <w:b w:val="0"/>
          <w:sz w:val="22"/>
          <w:lang w:eastAsia="en-GB"/>
        </w:rPr>
        <w:t xml:space="preserve"> under the heading “Data</w:t>
      </w:r>
      <w:r w:rsidR="006E0A4F">
        <w:rPr>
          <w:rStyle w:val="Subtielebenadrukking"/>
          <w:b w:val="0"/>
          <w:sz w:val="22"/>
          <w:lang w:eastAsia="en-GB"/>
        </w:rPr>
        <w:t xml:space="preserve"> protection”</w:t>
      </w:r>
      <w:r w:rsidRPr="00E40A5C">
        <w:rPr>
          <w:rStyle w:val="Subtielebenadrukking"/>
          <w:b w:val="0"/>
          <w:sz w:val="22"/>
          <w:lang w:eastAsia="en-GB"/>
        </w:rPr>
        <w:t>.</w:t>
      </w:r>
    </w:p>
    <w:p w14:paraId="2C17F76D" w14:textId="235AE682" w:rsidR="009A3017" w:rsidRPr="00E40A5C" w:rsidRDefault="009A3017" w:rsidP="009A3017">
      <w:pPr>
        <w:spacing w:after="120"/>
        <w:jc w:val="both"/>
        <w:rPr>
          <w:rStyle w:val="Subtielebenadrukking"/>
          <w:sz w:val="22"/>
          <w:lang w:eastAsia="en-GB"/>
        </w:rPr>
      </w:pPr>
      <w:r w:rsidRPr="00E40A5C">
        <w:rPr>
          <w:rStyle w:val="Subtielebenadrukking"/>
          <w:sz w:val="22"/>
          <w:lang w:eastAsia="en-GB"/>
        </w:rPr>
        <w:t>Who should read th</w:t>
      </w:r>
      <w:r w:rsidR="00315895">
        <w:rPr>
          <w:rStyle w:val="Subtielebenadrukking"/>
          <w:sz w:val="22"/>
          <w:lang w:eastAsia="en-GB"/>
        </w:rPr>
        <w:t>e</w:t>
      </w:r>
      <w:r w:rsidRPr="00E40A5C">
        <w:rPr>
          <w:rStyle w:val="Subtielebenadrukking"/>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ubtielebenadrukking"/>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ubtielebenadrukking"/>
          <w:b w:val="0"/>
          <w:sz w:val="22"/>
          <w:lang w:eastAsia="en-GB"/>
        </w:rPr>
        <w:t xml:space="preserve"> </w:t>
      </w:r>
      <w:r w:rsidR="00332304">
        <w:br w:type="page"/>
      </w:r>
    </w:p>
    <w:p w14:paraId="2C434C99" w14:textId="77777777" w:rsidR="00B327E9" w:rsidRPr="00AB6D88" w:rsidRDefault="00B327E9" w:rsidP="00B327E9">
      <w:pPr>
        <w:pStyle w:val="Kop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Tekstvantijdelijkeaanduiding"/>
              <w:rFonts w:cs="Arial"/>
            </w:rPr>
            <w:id w:val="-1905066999"/>
            <w:text/>
          </w:sdtPr>
          <w:sdtEndPr>
            <w:rPr>
              <w:rStyle w:val="Tekstvantijdelijkeaanduiding"/>
            </w:rPr>
          </w:sdtEndPr>
          <w:sdtContent>
            <w:tc>
              <w:tcPr>
                <w:tcW w:w="5595" w:type="dxa"/>
                <w:shd w:val="clear" w:color="auto" w:fill="auto"/>
              </w:tcPr>
              <w:p w14:paraId="1D2AEFF4" w14:textId="608AF640" w:rsidR="00B327E9" w:rsidRPr="00AB6D88" w:rsidRDefault="00166951" w:rsidP="00166951">
                <w:pPr>
                  <w:rPr>
                    <w:rStyle w:val="Tekstvantijdelijkeaanduiding"/>
                    <w:rFonts w:cs="Arial"/>
                  </w:rPr>
                </w:pPr>
                <w:r>
                  <w:rPr>
                    <w:rStyle w:val="Tekstvantijdelijkeaanduiding"/>
                    <w:rFonts w:cs="Arial"/>
                  </w:rPr>
                  <w:t>Dutch Securitisation Association</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2E70A3E9" w:rsidR="00B327E9" w:rsidRPr="00AB6D88" w:rsidRDefault="007B4693"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66951">
                  <w:rPr>
                    <w:rFonts w:cs="Arial"/>
                  </w:rPr>
                  <w:t>Other Financial service providers</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1BBDF789" w:rsidR="00B327E9" w:rsidRPr="00AB6D88" w:rsidRDefault="00166951"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69C247BB" w:rsidR="00B327E9" w:rsidRPr="00AB6D88" w:rsidRDefault="00166951" w:rsidP="00F136AD">
                <w:pPr>
                  <w:rPr>
                    <w:rFonts w:cs="Arial"/>
                  </w:rPr>
                </w:pPr>
                <w:r>
                  <w:rPr>
                    <w:rFonts w:cs="Arial"/>
                  </w:rPr>
                  <w:t>Netherlands</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Kop1"/>
        <w:numPr>
          <w:ilvl w:val="0"/>
          <w:numId w:val="0"/>
        </w:numPr>
        <w:ind w:left="431" w:hanging="431"/>
      </w:pPr>
      <w:r>
        <w:t>Introduction</w:t>
      </w:r>
    </w:p>
    <w:p w14:paraId="5B55F0E0" w14:textId="77777777" w:rsidR="00B327E9" w:rsidRPr="00E40A5C" w:rsidRDefault="00B327E9" w:rsidP="00B327E9">
      <w:pPr>
        <w:rPr>
          <w:rStyle w:val="Intensievebenadrukking"/>
          <w:sz w:val="22"/>
        </w:rPr>
      </w:pPr>
      <w:r w:rsidRPr="00E40A5C">
        <w:rPr>
          <w:rStyle w:val="Intensievebenadrukking"/>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21C78477" w14:textId="77777777" w:rsidR="00166951" w:rsidRDefault="00166951" w:rsidP="00166951">
      <w:pPr>
        <w:rPr>
          <w:rFonts w:ascii="Arial-BoldMT" w:hAnsi="Arial-BoldMT"/>
          <w:b/>
          <w:bCs/>
          <w:color w:val="000000"/>
        </w:rPr>
      </w:pPr>
      <w:permStart w:id="1937050393" w:edGrp="everyone"/>
      <w:r>
        <w:rPr>
          <w:rFonts w:ascii="Arial-BoldMT" w:hAnsi="Arial-BoldMT"/>
          <w:b/>
          <w:bCs/>
          <w:color w:val="000000"/>
        </w:rPr>
        <w:t>ESMA Consultation</w:t>
      </w:r>
      <w:r w:rsidRPr="00304142">
        <w:rPr>
          <w:rFonts w:ascii="Arial-BoldMT" w:hAnsi="Arial-BoldMT"/>
          <w:b/>
          <w:bCs/>
          <w:color w:val="000000"/>
        </w:rPr>
        <w:t xml:space="preserve"> Paper on </w:t>
      </w:r>
      <w:r>
        <w:rPr>
          <w:rFonts w:ascii="Arial-BoldMT" w:hAnsi="Arial-BoldMT"/>
          <w:b/>
          <w:bCs/>
          <w:color w:val="000000"/>
        </w:rPr>
        <w:t>the Draft technical standards on disclosure requirements, operational standards, and access conditions under the Securitisation Regulation</w:t>
      </w:r>
    </w:p>
    <w:p w14:paraId="7E319B59" w14:textId="77777777" w:rsidR="00166951" w:rsidRDefault="00166951" w:rsidP="00166951">
      <w:pPr>
        <w:rPr>
          <w:rFonts w:ascii="ArialMT" w:hAnsi="ArialMT"/>
          <w:color w:val="000000"/>
        </w:rPr>
      </w:pPr>
      <w:r w:rsidRPr="00304142">
        <w:rPr>
          <w:rFonts w:ascii="ArialMT" w:hAnsi="ArialMT"/>
          <w:color w:val="000000"/>
        </w:rPr>
        <w:t>This document provides the response of the Dutch Securitisation Association (“DSA”)</w:t>
      </w:r>
      <w:r w:rsidRPr="00304142">
        <w:rPr>
          <w:rFonts w:ascii="ArialMT" w:hAnsi="ArialMT"/>
          <w:color w:val="000000"/>
        </w:rPr>
        <w:br/>
      </w:r>
      <w:r>
        <w:rPr>
          <w:rFonts w:ascii="ArialMT" w:hAnsi="ArialMT"/>
          <w:color w:val="000000"/>
        </w:rPr>
        <w:t>on the ESMA Consultation Paper dated 19 Dec</w:t>
      </w:r>
      <w:r w:rsidRPr="00304142">
        <w:rPr>
          <w:rFonts w:ascii="ArialMT" w:hAnsi="ArialMT"/>
          <w:color w:val="000000"/>
        </w:rPr>
        <w:t>ember 2017.</w:t>
      </w:r>
      <w:r w:rsidRPr="00304142">
        <w:rPr>
          <w:rFonts w:ascii="ArialMT" w:hAnsi="ArialMT"/>
          <w:color w:val="000000"/>
        </w:rPr>
        <w:br/>
        <w:t>We welcome the opportuni</w:t>
      </w:r>
      <w:r>
        <w:rPr>
          <w:rFonts w:ascii="ArialMT" w:hAnsi="ArialMT"/>
          <w:color w:val="000000"/>
        </w:rPr>
        <w:t>ty to commend on this Consultation</w:t>
      </w:r>
      <w:r w:rsidRPr="00304142">
        <w:rPr>
          <w:rFonts w:ascii="ArialMT" w:hAnsi="ArialMT"/>
          <w:color w:val="000000"/>
        </w:rPr>
        <w:t xml:space="preserve"> Paper.</w:t>
      </w:r>
    </w:p>
    <w:p w14:paraId="6C9AA698" w14:textId="364B4558" w:rsidR="00B327E9" w:rsidRPr="00166951" w:rsidRDefault="00166951" w:rsidP="00B327E9">
      <w:pPr>
        <w:rPr>
          <w:rFonts w:ascii="ArialMT" w:hAnsi="ArialMT"/>
          <w:color w:val="000000"/>
        </w:rPr>
      </w:pPr>
      <w:r w:rsidRPr="00304142">
        <w:rPr>
          <w:rFonts w:ascii="ArialMT" w:hAnsi="ArialMT"/>
          <w:color w:val="000000"/>
        </w:rPr>
        <w:br/>
      </w:r>
      <w:r w:rsidRPr="00304142">
        <w:rPr>
          <w:rFonts w:ascii="Arial-BoldMT" w:hAnsi="Arial-BoldMT"/>
          <w:b/>
          <w:bCs/>
          <w:color w:val="000000"/>
        </w:rPr>
        <w:t>DSA Background</w:t>
      </w:r>
      <w:r w:rsidRPr="00304142">
        <w:rPr>
          <w:rFonts w:ascii="Arial-BoldMT" w:hAnsi="Arial-BoldMT"/>
          <w:b/>
          <w:bCs/>
          <w:color w:val="000000"/>
        </w:rPr>
        <w:br/>
      </w:r>
      <w:r w:rsidRPr="00304142">
        <w:rPr>
          <w:rFonts w:ascii="ArialMT" w:hAnsi="ArialMT"/>
          <w:color w:val="000000"/>
        </w:rPr>
        <w:t>The Dutch Securitisation Association was established in 2012 as representative body of</w:t>
      </w:r>
      <w:r w:rsidRPr="00304142">
        <w:rPr>
          <w:rFonts w:ascii="ArialMT" w:hAnsi="ArialMT"/>
          <w:color w:val="000000"/>
        </w:rPr>
        <w:br/>
        <w:t>the Dutch securitisation industry. Our membership includes issuers of securitisations</w:t>
      </w:r>
      <w:r w:rsidRPr="00304142">
        <w:rPr>
          <w:rFonts w:ascii="ArialMT" w:hAnsi="ArialMT"/>
          <w:color w:val="000000"/>
        </w:rPr>
        <w:br/>
        <w:t>both from the insurance and banking industry, and we are operating in close</w:t>
      </w:r>
      <w:r w:rsidRPr="00304142">
        <w:rPr>
          <w:rFonts w:ascii="ArialMT" w:hAnsi="ArialMT"/>
          <w:color w:val="000000"/>
        </w:rPr>
        <w:br/>
        <w:t>cooperation with the Dutch investor community.</w:t>
      </w:r>
      <w:r w:rsidRPr="00304142">
        <w:rPr>
          <w:rFonts w:ascii="ArialMT" w:hAnsi="ArialMT"/>
          <w:color w:val="000000"/>
        </w:rPr>
        <w:br/>
        <w:t>Our purpose is to create a healthy and well-functioning Dutch securitisation market.</w:t>
      </w:r>
      <w:r w:rsidRPr="00304142">
        <w:rPr>
          <w:rFonts w:ascii="ArialMT" w:hAnsi="ArialMT"/>
          <w:color w:val="000000"/>
        </w:rPr>
        <w:br/>
        <w:t>We try to achieve this i.a. by providing a standard for documentation and reporting of</w:t>
      </w:r>
      <w:r w:rsidRPr="00304142">
        <w:rPr>
          <w:rFonts w:ascii="ArialMT" w:hAnsi="ArialMT"/>
          <w:color w:val="000000"/>
        </w:rPr>
        <w:br/>
        <w:t>Dutch RMBS and Consumer ABS transactions, promoting (in close cooperation with PCS)</w:t>
      </w:r>
      <w:r w:rsidRPr="00304142">
        <w:rPr>
          <w:rFonts w:ascii="ArialMT" w:hAnsi="ArialMT"/>
          <w:color w:val="000000"/>
        </w:rPr>
        <w:br/>
        <w:t>further standardisation and improvements in transparency, and active involvement in</w:t>
      </w:r>
      <w:r w:rsidRPr="00304142">
        <w:rPr>
          <w:rFonts w:ascii="ArialMT" w:hAnsi="ArialMT"/>
          <w:color w:val="000000"/>
        </w:rPr>
        <w:br/>
        <w:t>consultations about future regulation of the securitisation market.</w:t>
      </w:r>
      <w:r w:rsidRPr="00304142">
        <w:rPr>
          <w:rFonts w:ascii="ArialMT" w:hAnsi="ArialMT"/>
          <w:color w:val="000000"/>
        </w:rPr>
        <w:br/>
        <w:t>Against this background, we would like to commend, on behalf of all Dutch issuers joined</w:t>
      </w:r>
      <w:r w:rsidRPr="00304142">
        <w:rPr>
          <w:rFonts w:ascii="ArialMT" w:hAnsi="ArialMT"/>
          <w:color w:val="000000"/>
        </w:rPr>
        <w:br/>
        <w:t>i</w:t>
      </w:r>
      <w:r>
        <w:rPr>
          <w:rFonts w:ascii="ArialMT" w:hAnsi="ArialMT"/>
          <w:color w:val="000000"/>
        </w:rPr>
        <w:t>n the DSA, on the ESMA Consultation</w:t>
      </w:r>
      <w:r w:rsidRPr="00304142">
        <w:rPr>
          <w:rFonts w:ascii="ArialMT" w:hAnsi="ArialMT"/>
          <w:color w:val="000000"/>
        </w:rPr>
        <w:t xml:space="preserve"> Paper on the </w:t>
      </w:r>
      <w:r>
        <w:rPr>
          <w:rFonts w:ascii="ArialMT" w:hAnsi="ArialMT"/>
          <w:color w:val="000000"/>
        </w:rPr>
        <w:t>draft technical standards on disclosure</w:t>
      </w:r>
      <w:r w:rsidRPr="00304142">
        <w:rPr>
          <w:rFonts w:ascii="ArialMT" w:hAnsi="ArialMT"/>
          <w:color w:val="000000"/>
        </w:rPr>
        <w:t xml:space="preserve"> (individual DSA</w:t>
      </w:r>
      <w:r>
        <w:rPr>
          <w:rFonts w:ascii="ArialMT" w:hAnsi="ArialMT"/>
          <w:color w:val="000000"/>
        </w:rPr>
        <w:t xml:space="preserve"> </w:t>
      </w:r>
      <w:r w:rsidRPr="00304142">
        <w:rPr>
          <w:rFonts w:ascii="ArialMT" w:hAnsi="ArialMT"/>
          <w:color w:val="000000"/>
        </w:rPr>
        <w:t>members may also provide their own comments).</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Kop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5FCBDE78" w14:textId="77777777" w:rsidR="00CB02BE" w:rsidRDefault="00CB02BE" w:rsidP="00CB02BE">
      <w:pPr>
        <w:rPr>
          <w:bCs/>
          <w:i/>
          <w:color w:val="000000"/>
        </w:rPr>
      </w:pPr>
      <w:permStart w:id="1019570801" w:edGrp="everyone"/>
      <w:r>
        <w:rPr>
          <w:bCs/>
          <w:i/>
          <w:color w:val="000000"/>
        </w:rPr>
        <w:t>-CDO’s: agree that a template should only contain references (ISINs); CLOs should be</w:t>
      </w:r>
    </w:p>
    <w:p w14:paraId="2B227896" w14:textId="77777777" w:rsidR="00CB02BE" w:rsidRDefault="00CB02BE" w:rsidP="00CB02BE">
      <w:pPr>
        <w:rPr>
          <w:bCs/>
          <w:i/>
          <w:color w:val="000000"/>
        </w:rPr>
      </w:pPr>
      <w:r>
        <w:rPr>
          <w:bCs/>
          <w:i/>
          <w:color w:val="000000"/>
        </w:rPr>
        <w:t>covered by a (to-be developed) corporate template (the current template for SMEs is not suitable for large corporate exposures);</w:t>
      </w:r>
    </w:p>
    <w:p w14:paraId="6478E7E9" w14:textId="77777777" w:rsidR="00CB02BE" w:rsidRDefault="00CB02BE" w:rsidP="00CB02BE">
      <w:pPr>
        <w:rPr>
          <w:bCs/>
          <w:i/>
          <w:color w:val="000000"/>
        </w:rPr>
      </w:pPr>
      <w:r>
        <w:rPr>
          <w:bCs/>
          <w:i/>
          <w:color w:val="000000"/>
        </w:rPr>
        <w:t>-WBS: it is indeed not useful to develop a template;</w:t>
      </w:r>
    </w:p>
    <w:p w14:paraId="36384E79" w14:textId="11717511" w:rsidR="002174B5" w:rsidRPr="00CB02BE" w:rsidRDefault="00CB02BE" w:rsidP="002174B5">
      <w:pPr>
        <w:rPr>
          <w:bCs/>
          <w:i/>
          <w:color w:val="000000"/>
        </w:rPr>
      </w:pPr>
      <w:r>
        <w:rPr>
          <w:bCs/>
          <w:i/>
          <w:color w:val="000000"/>
        </w:rPr>
        <w:t>-Rare and Idiosyncratic: it could be useful to develop a template for future application.</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1164517B" w14:textId="77777777" w:rsidR="00AF6AE8" w:rsidRPr="00AF6AE8" w:rsidRDefault="00AF6AE8" w:rsidP="00AF6AE8">
      <w:pPr>
        <w:rPr>
          <w:rStyle w:val="fontstyle01"/>
          <w:rFonts w:ascii="Arial" w:hAnsi="Arial" w:cs="Arial"/>
          <w:b w:val="0"/>
          <w:i/>
          <w:sz w:val="20"/>
          <w:szCs w:val="20"/>
        </w:rPr>
      </w:pPr>
      <w:permStart w:id="292893085" w:edGrp="everyone"/>
      <w:r w:rsidRPr="00AF6AE8">
        <w:rPr>
          <w:rStyle w:val="fontstyle01"/>
          <w:rFonts w:ascii="Arial" w:hAnsi="Arial" w:cs="Arial"/>
          <w:b w:val="0"/>
          <w:i/>
          <w:sz w:val="20"/>
          <w:szCs w:val="20"/>
        </w:rPr>
        <w:t>We do agree that (a) template(s) for NPL securitisations should be available.</w:t>
      </w:r>
    </w:p>
    <w:p w14:paraId="50969D18" w14:textId="77777777" w:rsidR="00AF6AE8" w:rsidRPr="00AF6AE8" w:rsidRDefault="00AF6AE8" w:rsidP="00AF6AE8">
      <w:pPr>
        <w:rPr>
          <w:rStyle w:val="fontstyle01"/>
          <w:rFonts w:ascii="Arial" w:hAnsi="Arial" w:cs="Arial"/>
          <w:b w:val="0"/>
          <w:i/>
          <w:sz w:val="20"/>
          <w:szCs w:val="20"/>
        </w:rPr>
      </w:pPr>
      <w:r w:rsidRPr="00AF6AE8">
        <w:rPr>
          <w:rStyle w:val="fontstyle01"/>
          <w:rFonts w:ascii="Arial" w:hAnsi="Arial" w:cs="Arial"/>
          <w:b w:val="0"/>
          <w:i/>
          <w:sz w:val="20"/>
          <w:szCs w:val="20"/>
        </w:rPr>
        <w:t>We have not commented on the draft EBA NPL exposures template and will not comment</w:t>
      </w:r>
    </w:p>
    <w:p w14:paraId="726E6C02" w14:textId="6B5B357F" w:rsidR="002174B5" w:rsidRPr="00AF6AE8" w:rsidRDefault="00AF6AE8" w:rsidP="002174B5">
      <w:pPr>
        <w:rPr>
          <w:rFonts w:cs="Arial"/>
          <w:bCs/>
          <w:i/>
          <w:color w:val="000000"/>
          <w:szCs w:val="20"/>
        </w:rPr>
      </w:pPr>
      <w:r w:rsidRPr="00AF6AE8">
        <w:rPr>
          <w:rStyle w:val="fontstyle01"/>
          <w:rFonts w:ascii="Arial" w:hAnsi="Arial" w:cs="Arial"/>
          <w:b w:val="0"/>
          <w:i/>
          <w:sz w:val="20"/>
          <w:szCs w:val="20"/>
        </w:rPr>
        <w:t>on it in the context of this Consultation.</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42254EC7" w14:textId="77777777" w:rsidR="00B652CF" w:rsidRPr="00B652CF" w:rsidRDefault="00B652CF" w:rsidP="00B652CF">
      <w:pPr>
        <w:rPr>
          <w:rStyle w:val="fontstyle01"/>
          <w:rFonts w:ascii="Arial" w:hAnsi="Arial" w:cs="Arial"/>
          <w:b w:val="0"/>
          <w:i/>
          <w:sz w:val="20"/>
          <w:szCs w:val="20"/>
        </w:rPr>
      </w:pPr>
      <w:permStart w:id="1918113529" w:edGrp="everyone"/>
      <w:r w:rsidRPr="00B652CF">
        <w:rPr>
          <w:rStyle w:val="fontstyle01"/>
          <w:rFonts w:ascii="Arial" w:hAnsi="Arial" w:cs="Arial"/>
          <w:b w:val="0"/>
          <w:i/>
          <w:sz w:val="20"/>
          <w:szCs w:val="20"/>
        </w:rPr>
        <w:t>We support loan level data already for many years and will continue to do so. We note however that changes to the templates for such granular information require huge efforts</w:t>
      </w:r>
    </w:p>
    <w:p w14:paraId="205973DF" w14:textId="7C1FD6D4" w:rsidR="002174B5" w:rsidRPr="00B652CF" w:rsidRDefault="00B652CF" w:rsidP="002174B5">
      <w:pPr>
        <w:rPr>
          <w:rFonts w:cs="Arial"/>
          <w:b/>
          <w:bCs/>
          <w:i/>
          <w:color w:val="000000"/>
          <w:szCs w:val="20"/>
        </w:rPr>
      </w:pPr>
      <w:r w:rsidRPr="00B652CF">
        <w:rPr>
          <w:rStyle w:val="fontstyle01"/>
          <w:rFonts w:ascii="Arial" w:hAnsi="Arial" w:cs="Arial"/>
          <w:b w:val="0"/>
          <w:i/>
          <w:sz w:val="20"/>
          <w:szCs w:val="20"/>
        </w:rPr>
        <w:t>of data collection departments and consequently should be contemplated with low frequency and long advance notification.</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305C6E3C" w14:textId="77777777" w:rsidR="00B652CF" w:rsidRPr="00B652CF" w:rsidRDefault="00B652CF" w:rsidP="00B652CF">
      <w:pPr>
        <w:rPr>
          <w:rStyle w:val="fontstyle01"/>
          <w:rFonts w:ascii="Arial" w:hAnsi="Arial" w:cs="Arial"/>
          <w:b w:val="0"/>
          <w:i/>
          <w:sz w:val="20"/>
          <w:szCs w:val="20"/>
        </w:rPr>
      </w:pPr>
      <w:permStart w:id="197731153" w:edGrp="everyone"/>
      <w:r w:rsidRPr="00B652CF">
        <w:rPr>
          <w:rStyle w:val="fontstyle01"/>
          <w:rFonts w:ascii="Arial" w:hAnsi="Arial" w:cs="Arial"/>
          <w:b w:val="0"/>
          <w:i/>
          <w:sz w:val="20"/>
          <w:szCs w:val="20"/>
        </w:rPr>
        <w:t>We</w:t>
      </w:r>
      <w:r w:rsidRPr="00B652CF">
        <w:rPr>
          <w:rStyle w:val="fontstyle01"/>
          <w:rFonts w:ascii="Arial" w:hAnsi="Arial" w:cs="Arial"/>
          <w:b w:val="0"/>
          <w:sz w:val="20"/>
          <w:szCs w:val="20"/>
        </w:rPr>
        <w:t xml:space="preserve"> </w:t>
      </w:r>
      <w:r w:rsidRPr="00B652CF">
        <w:rPr>
          <w:rStyle w:val="fontstyle01"/>
          <w:rFonts w:ascii="Arial" w:hAnsi="Arial" w:cs="Arial"/>
          <w:b w:val="0"/>
          <w:i/>
          <w:sz w:val="20"/>
          <w:szCs w:val="20"/>
        </w:rPr>
        <w:t>would like to point to the fact that insight in competitor’s PD/LGD info may lead to undesirable consequences (search for the lowest common denominator).</w:t>
      </w:r>
    </w:p>
    <w:p w14:paraId="59AB802C" w14:textId="4B9D2E42" w:rsidR="002174B5" w:rsidRPr="00B652CF" w:rsidRDefault="00B652CF" w:rsidP="002174B5">
      <w:pPr>
        <w:rPr>
          <w:rFonts w:cs="Arial"/>
          <w:b/>
          <w:bCs/>
          <w:i/>
          <w:color w:val="000000"/>
          <w:szCs w:val="20"/>
        </w:rPr>
      </w:pPr>
      <w:r w:rsidRPr="00B652CF">
        <w:rPr>
          <w:rStyle w:val="fontstyle01"/>
          <w:rFonts w:ascii="Arial" w:hAnsi="Arial" w:cs="Arial"/>
          <w:b w:val="0"/>
          <w:i/>
          <w:sz w:val="20"/>
          <w:szCs w:val="20"/>
        </w:rPr>
        <w:t>Given the current debate about floors for (inputs in) internal models, it is also not to be expected that institution specific IRB results will become useful as “proxy data”, so we see also no direct benefit in including them in the templates in this context.</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lastRenderedPageBreak/>
        <w:t>&lt;ESMA_QUESTION_DOS_1&gt;</w:t>
      </w:r>
    </w:p>
    <w:p w14:paraId="3AF04FE9" w14:textId="77777777" w:rsidR="00B652CF" w:rsidRPr="00B652CF" w:rsidRDefault="00B652CF" w:rsidP="00B652CF">
      <w:pPr>
        <w:rPr>
          <w:rStyle w:val="fontstyle01"/>
          <w:rFonts w:ascii="Arial" w:hAnsi="Arial" w:cs="Arial"/>
          <w:b w:val="0"/>
          <w:i/>
          <w:sz w:val="20"/>
          <w:szCs w:val="20"/>
        </w:rPr>
      </w:pPr>
      <w:permStart w:id="1186333056" w:edGrp="everyone"/>
      <w:r w:rsidRPr="00B652CF">
        <w:rPr>
          <w:rStyle w:val="fontstyle01"/>
          <w:rFonts w:ascii="Arial" w:hAnsi="Arial" w:cs="Arial"/>
          <w:b w:val="0"/>
          <w:i/>
          <w:sz w:val="20"/>
          <w:szCs w:val="20"/>
        </w:rPr>
        <w:t>As a general comment, we would like to emphasize the importance of providing clear and unambiguous definitions for all fields in the templates. Experience with the ECB taxonomy has learned that (unintended) wrong interpretations of requirements for specific fields can lead to serious delays and disruptions in the completion of the data.</w:t>
      </w:r>
    </w:p>
    <w:p w14:paraId="30366846"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Apart from issues around the risk related fields (see Q 5), we have identified several other problematic fields. The following analysis for RMBS, the most active asset class in our jurisdiction, also applies to many aspects of the other templates:</w:t>
      </w:r>
    </w:p>
    <w:p w14:paraId="324B1BF9"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First of all, 23 currently optional fields will become mandatory. Of those fields, a number will reveal already existing problems, like RESL 11 and 12 regarding secondary income: for old vintages of mortgages these data are not always available.</w:t>
      </w:r>
    </w:p>
    <w:p w14:paraId="067CF16F"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Another category consists of those fields that do not seem applicable at least in our jurisdiction (RESL 22, principal grace period and date; RESL 36, length of payment holiday), or that are only used in very specific cases (RESL 42, interest cap rate).</w:t>
      </w:r>
    </w:p>
    <w:p w14:paraId="0246D7DD"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Also there are a number of fields that will be difficult to fill since they look back in time, like RESL 69 (date of sale), RESL 76 (cumulative prepayments), RESL 82 (date of restructuring) and RESL 84 (date last in arrears).</w:t>
      </w:r>
    </w:p>
    <w:p w14:paraId="72D3F706"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And we note an inconsistency between RESL 5 (requiring a unique identifier per property) and RESL 62-67 (indicating that if there are multiple properties, only the main property should be used). In our view, all properties should be used in determining the Value.</w:t>
      </w:r>
    </w:p>
    <w:p w14:paraId="48B894CC"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Secondly, there are also 24 fields identified as new fields, where similar issues can be found, like missing data in older vintages (RESL 7, primary income type, RESL 16, customer type), not applicable in our jurisdiction (RESL 77, prepayment lock-out end date; RESL 78, prepayment fee end date), only used in specific cases (RESL 50, interest rate floor, RESL 81, prepayment fee), or looking backwards (RESL 79, prepayment date; RESL 80, cumulative prepayments).</w:t>
      </w:r>
    </w:p>
    <w:p w14:paraId="6C312B00" w14:textId="77777777" w:rsidR="00B652CF" w:rsidRPr="00B652CF" w:rsidRDefault="00B652CF" w:rsidP="00B652CF">
      <w:pPr>
        <w:rPr>
          <w:rStyle w:val="fontstyle01"/>
          <w:rFonts w:ascii="Arial" w:hAnsi="Arial" w:cs="Arial"/>
          <w:b w:val="0"/>
          <w:i/>
          <w:sz w:val="20"/>
          <w:szCs w:val="20"/>
        </w:rPr>
      </w:pPr>
      <w:r w:rsidRPr="00B652CF">
        <w:rPr>
          <w:rStyle w:val="fontstyle01"/>
          <w:rFonts w:ascii="Arial" w:hAnsi="Arial" w:cs="Arial"/>
          <w:b w:val="0"/>
          <w:i/>
          <w:sz w:val="20"/>
          <w:szCs w:val="20"/>
        </w:rPr>
        <w:t>The data on energy performance (RESL 59 and 60), though not counting for the data quality measurement, while be initially be incomplete and only be filled over a long period in time.</w:t>
      </w:r>
    </w:p>
    <w:p w14:paraId="68BC08DD" w14:textId="2FFF4CE2" w:rsidR="002174B5" w:rsidRPr="00B652CF" w:rsidRDefault="00B652CF" w:rsidP="002174B5">
      <w:pPr>
        <w:rPr>
          <w:rFonts w:cs="Arial"/>
          <w:b/>
          <w:bCs/>
          <w:i/>
          <w:color w:val="000000"/>
          <w:szCs w:val="20"/>
        </w:rPr>
      </w:pPr>
      <w:r w:rsidRPr="00B652CF">
        <w:rPr>
          <w:rStyle w:val="fontstyle01"/>
          <w:rFonts w:ascii="Arial" w:hAnsi="Arial" w:cs="Arial"/>
          <w:b w:val="0"/>
          <w:i/>
          <w:sz w:val="20"/>
          <w:szCs w:val="20"/>
        </w:rPr>
        <w:t>And last but not least, it will be a challenge to report RESL 72, default according to the CRR definitions, especially for those transactions that have been structured based on their own specific/non-CRR default definition.</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0096D83C" w:rsidR="002174B5" w:rsidRPr="00077905" w:rsidRDefault="00077905" w:rsidP="002174B5">
      <w:pPr>
        <w:rPr>
          <w:rFonts w:cs="Arial"/>
          <w:b/>
          <w:bCs/>
          <w:i/>
          <w:color w:val="000000"/>
          <w:szCs w:val="20"/>
        </w:rPr>
      </w:pPr>
      <w:permStart w:id="1491741297" w:edGrp="everyone"/>
      <w:r w:rsidRPr="00077905">
        <w:rPr>
          <w:rStyle w:val="fontstyle01"/>
          <w:rFonts w:ascii="Arial" w:hAnsi="Arial" w:cs="Arial"/>
          <w:b w:val="0"/>
          <w:i/>
          <w:sz w:val="20"/>
          <w:szCs w:val="20"/>
        </w:rPr>
        <w:t>We have no specific comments on segmentation at transaction level. In practice, individual transactions tend to consist of only one asset class.</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3DCAFB67" w:rsidR="002174B5" w:rsidRPr="00077905" w:rsidRDefault="00077905" w:rsidP="002174B5">
      <w:pPr>
        <w:rPr>
          <w:rFonts w:cs="Arial"/>
          <w:b/>
          <w:bCs/>
          <w:i/>
          <w:color w:val="000000"/>
          <w:szCs w:val="20"/>
        </w:rPr>
      </w:pPr>
      <w:permStart w:id="411919757" w:edGrp="everyone"/>
      <w:r w:rsidRPr="00077905">
        <w:rPr>
          <w:rStyle w:val="fontstyle01"/>
          <w:rFonts w:ascii="Arial" w:hAnsi="Arial" w:cs="Arial"/>
          <w:b w:val="0"/>
          <w:i/>
          <w:sz w:val="20"/>
          <w:szCs w:val="20"/>
        </w:rPr>
        <w:t>This template seems to be more RMBS focused and not very useful for trade receivable securitisations.</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6D5E6044" w:rsidR="002174B5" w:rsidRDefault="00077905" w:rsidP="002174B5">
      <w:pPr>
        <w:rPr>
          <w:rFonts w:cs="Arial"/>
        </w:rPr>
      </w:pPr>
      <w:permStart w:id="511331119" w:edGrp="everyone"/>
      <w:r>
        <w:rPr>
          <w:i/>
          <w:color w:val="000000"/>
        </w:rPr>
        <w:t>Yes, we do agree.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0CCB60DC" w:rsidR="002174B5" w:rsidRPr="00077905" w:rsidRDefault="00077905" w:rsidP="002174B5">
      <w:pPr>
        <w:rPr>
          <w:rFonts w:ascii="Arial-BoldMT" w:hAnsi="Arial-BoldMT"/>
          <w:bCs/>
          <w:i/>
          <w:color w:val="000000"/>
          <w:sz w:val="22"/>
          <w:szCs w:val="20"/>
        </w:rPr>
      </w:pPr>
      <w:permStart w:id="1734089064" w:edGrp="everyone"/>
      <w:r>
        <w:rPr>
          <w:bCs/>
          <w:i/>
          <w:color w:val="000000"/>
        </w:rPr>
        <w:t xml:space="preserve">Most of the information is already available in the current standard DSA Investor Reports and/or the Prospectus. Some fields in the non-ABCP template do not seem to be relevant for non-ABCP (Overcollateralisation: field INVSS 11 and Dilutions: field INVSS 29) and some fields may be difficult to fill: INVSS 31, default exposures CRR, may be difficult for those transactions </w:t>
      </w:r>
      <w:r w:rsidRPr="00077905">
        <w:rPr>
          <w:rStyle w:val="fontstyle01"/>
          <w:rFonts w:ascii="Arial" w:hAnsi="Arial" w:cs="Arial"/>
          <w:b w:val="0"/>
          <w:i/>
          <w:sz w:val="20"/>
          <w:szCs w:val="20"/>
        </w:rPr>
        <w:t>that have been structured based on their own specific/non-CRR default definition, INVSS 34, restructured exposures and INVSA 5, amortising account, are both not easily available.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31E2A108" w:rsidR="002174B5" w:rsidRPr="00077905" w:rsidRDefault="00077905" w:rsidP="002174B5">
      <w:pPr>
        <w:rPr>
          <w:rFonts w:cs="Arial"/>
          <w:b/>
          <w:bCs/>
          <w:i/>
          <w:color w:val="000000"/>
          <w:szCs w:val="20"/>
        </w:rPr>
      </w:pPr>
      <w:permStart w:id="1891640855" w:edGrp="everyone"/>
      <w:r w:rsidRPr="00077905">
        <w:rPr>
          <w:rStyle w:val="fontstyle01"/>
          <w:rFonts w:ascii="Arial" w:hAnsi="Arial" w:cs="Arial"/>
          <w:b w:val="0"/>
          <w:i/>
          <w:sz w:val="20"/>
          <w:szCs w:val="20"/>
        </w:rPr>
        <w:t>We have a serious problem with the requirement to make the name of a protection provider publicly available (INVSN 5-7).</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1533C940" w:rsidR="002174B5" w:rsidRPr="00D35902" w:rsidRDefault="00D35902" w:rsidP="002174B5">
      <w:pPr>
        <w:rPr>
          <w:rFonts w:cs="Arial"/>
          <w:b/>
          <w:bCs/>
          <w:i/>
          <w:color w:val="000000"/>
          <w:szCs w:val="20"/>
        </w:rPr>
      </w:pPr>
      <w:permStart w:id="1149507543" w:edGrp="everyone"/>
      <w:r w:rsidRPr="00D35902">
        <w:rPr>
          <w:rStyle w:val="fontstyle01"/>
          <w:rFonts w:ascii="Arial" w:hAnsi="Arial" w:cs="Arial"/>
          <w:b w:val="0"/>
          <w:i/>
          <w:sz w:val="20"/>
          <w:szCs w:val="20"/>
        </w:rPr>
        <w:t>There has been at least one, but this is not expected to be repeated.</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6CB5A609" w:rsidR="002174B5" w:rsidRPr="00D35902" w:rsidRDefault="00D35902" w:rsidP="002174B5">
      <w:pPr>
        <w:rPr>
          <w:rFonts w:cs="Arial"/>
          <w:b/>
          <w:bCs/>
          <w:i/>
          <w:color w:val="000000"/>
          <w:szCs w:val="20"/>
        </w:rPr>
      </w:pPr>
      <w:permStart w:id="1340962271" w:edGrp="everyone"/>
      <w:r w:rsidRPr="00D35902">
        <w:rPr>
          <w:rStyle w:val="fontstyle01"/>
          <w:rFonts w:ascii="Arial" w:hAnsi="Arial" w:cs="Arial"/>
          <w:b w:val="0"/>
          <w:i/>
          <w:sz w:val="20"/>
          <w:szCs w:val="20"/>
        </w:rPr>
        <w:t>Yes, we do agree.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7F0403B3" w:rsidR="002174B5" w:rsidRPr="00D35902" w:rsidRDefault="00D35902" w:rsidP="002174B5">
      <w:pPr>
        <w:rPr>
          <w:rFonts w:cs="Arial"/>
          <w:b/>
          <w:bCs/>
          <w:i/>
          <w:color w:val="000000"/>
          <w:szCs w:val="20"/>
        </w:rPr>
      </w:pPr>
      <w:permStart w:id="1952018402" w:edGrp="everyone"/>
      <w:r w:rsidRPr="00D35902">
        <w:rPr>
          <w:rStyle w:val="fontstyle01"/>
          <w:rFonts w:ascii="Arial" w:hAnsi="Arial" w:cs="Arial"/>
          <w:b w:val="0"/>
          <w:i/>
          <w:sz w:val="20"/>
          <w:szCs w:val="20"/>
        </w:rPr>
        <w:t>Yes, it is useful in our view.</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4B69965A" w:rsidR="002174B5" w:rsidRPr="00D35902" w:rsidRDefault="00D35902" w:rsidP="002174B5">
      <w:pPr>
        <w:rPr>
          <w:rFonts w:cs="Arial"/>
          <w:b/>
          <w:bCs/>
          <w:i/>
          <w:color w:val="000000"/>
          <w:szCs w:val="20"/>
        </w:rPr>
      </w:pPr>
      <w:permStart w:id="1634800890" w:edGrp="everyone"/>
      <w:r w:rsidRPr="00D35902">
        <w:rPr>
          <w:rStyle w:val="fontstyle01"/>
          <w:rFonts w:ascii="Arial" w:hAnsi="Arial" w:cs="Arial"/>
          <w:b w:val="0"/>
          <w:i/>
          <w:sz w:val="20"/>
          <w:szCs w:val="20"/>
        </w:rPr>
        <w:t xml:space="preserve">It is very important to stay as close as possible by existing definitions. We note however that, since jurisdictional selection in the template has disappeared, a ND category indicating “not applicable for this jurisdiction” may be useful. </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33787520" w:rsidR="002174B5" w:rsidRPr="00D35902" w:rsidRDefault="00D35902" w:rsidP="002174B5">
      <w:pPr>
        <w:rPr>
          <w:rFonts w:cs="Arial"/>
          <w:b/>
          <w:bCs/>
          <w:i/>
          <w:color w:val="000000"/>
          <w:szCs w:val="20"/>
        </w:rPr>
      </w:pPr>
      <w:permStart w:id="1742238116" w:edGrp="everyone"/>
      <w:r w:rsidRPr="00D35902">
        <w:rPr>
          <w:rStyle w:val="fontstyle01"/>
          <w:rFonts w:ascii="Arial" w:hAnsi="Arial" w:cs="Arial"/>
          <w:b w:val="0"/>
          <w:i/>
          <w:sz w:val="20"/>
          <w:szCs w:val="20"/>
        </w:rPr>
        <w:t>We are happy that the requirements as developed by the ECB continue to be applicable.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7C82F376" w14:textId="77777777" w:rsidR="00BF357E" w:rsidRPr="00BF357E" w:rsidRDefault="00BF357E" w:rsidP="00BF357E">
      <w:pPr>
        <w:rPr>
          <w:rStyle w:val="fontstyle01"/>
          <w:rFonts w:ascii="Arial" w:hAnsi="Arial" w:cs="Arial"/>
          <w:b w:val="0"/>
          <w:i/>
          <w:sz w:val="20"/>
          <w:szCs w:val="20"/>
        </w:rPr>
      </w:pPr>
      <w:permStart w:id="559686341" w:edGrp="everyone"/>
      <w:r w:rsidRPr="00BF357E">
        <w:rPr>
          <w:rStyle w:val="fontstyle01"/>
          <w:rFonts w:ascii="Arial" w:hAnsi="Arial" w:cs="Arial"/>
          <w:b w:val="0"/>
          <w:i/>
          <w:sz w:val="20"/>
          <w:szCs w:val="20"/>
        </w:rPr>
        <w:t>Given the large number of optional fields to be turned into mandatory and the complicated nature of some new fields, we see the implementation of the ESMA templates as a complex operation, not much different from the original implementation of the ECB templates.</w:t>
      </w:r>
    </w:p>
    <w:p w14:paraId="46C2EBA8" w14:textId="77777777" w:rsidR="00BF357E" w:rsidRPr="00BF357E" w:rsidRDefault="00BF357E" w:rsidP="00BF357E">
      <w:pPr>
        <w:rPr>
          <w:rStyle w:val="fontstyle01"/>
          <w:rFonts w:ascii="Arial" w:hAnsi="Arial" w:cs="Arial"/>
          <w:b w:val="0"/>
          <w:i/>
          <w:sz w:val="20"/>
          <w:szCs w:val="20"/>
        </w:rPr>
      </w:pPr>
      <w:r w:rsidRPr="00BF357E">
        <w:rPr>
          <w:rStyle w:val="fontstyle01"/>
          <w:rFonts w:ascii="Arial" w:hAnsi="Arial" w:cs="Arial"/>
          <w:b w:val="0"/>
          <w:i/>
          <w:sz w:val="20"/>
          <w:szCs w:val="20"/>
        </w:rPr>
        <w:t>So a transition period of 12 months would be required in our view. For this period certain (quarterly) milestones should be defined in terms of gradual improvement of the data.</w:t>
      </w:r>
    </w:p>
    <w:p w14:paraId="7F4E579F" w14:textId="1166424E" w:rsidR="002174B5" w:rsidRPr="00BF357E" w:rsidRDefault="00BF357E" w:rsidP="002174B5">
      <w:pPr>
        <w:rPr>
          <w:rFonts w:cs="Arial"/>
          <w:bCs/>
          <w:i/>
          <w:color w:val="000000"/>
          <w:szCs w:val="20"/>
        </w:rPr>
      </w:pPr>
      <w:r w:rsidRPr="00BF357E">
        <w:rPr>
          <w:rStyle w:val="fontstyle01"/>
          <w:rFonts w:ascii="Arial" w:hAnsi="Arial" w:cs="Arial"/>
          <w:b w:val="0"/>
          <w:i/>
          <w:sz w:val="20"/>
          <w:szCs w:val="20"/>
        </w:rPr>
        <w:t>And for those transactions not meeting all data requirements after the transition period,</w:t>
      </w:r>
      <w:r>
        <w:rPr>
          <w:rStyle w:val="fontstyle01"/>
          <w:rFonts w:ascii="Arial" w:hAnsi="Arial" w:cs="Arial"/>
          <w:b w:val="0"/>
          <w:i/>
          <w:sz w:val="20"/>
          <w:szCs w:val="20"/>
        </w:rPr>
        <w:t xml:space="preserve"> further </w:t>
      </w:r>
      <w:r>
        <w:rPr>
          <w:bCs/>
          <w:i/>
          <w:color w:val="000000"/>
        </w:rPr>
        <w:t xml:space="preserve">steps in the data quality improvement process should be prescribed. </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0AAAF6AB" w:rsidR="002174B5" w:rsidRPr="00BF357E" w:rsidRDefault="00BF357E" w:rsidP="002174B5">
      <w:pPr>
        <w:rPr>
          <w:rFonts w:cs="Arial"/>
          <w:b/>
          <w:bCs/>
          <w:i/>
          <w:color w:val="000000"/>
          <w:szCs w:val="20"/>
        </w:rPr>
      </w:pPr>
      <w:permStart w:id="1780763174" w:edGrp="everyone"/>
      <w:r w:rsidRPr="00BF357E">
        <w:rPr>
          <w:rStyle w:val="fontstyle01"/>
          <w:rFonts w:ascii="Arial" w:hAnsi="Arial" w:cs="Arial"/>
          <w:b w:val="0"/>
          <w:i/>
          <w:sz w:val="20"/>
          <w:szCs w:val="20"/>
        </w:rPr>
        <w:t xml:space="preserve">We subscribe to the comment of the European Data Warehouse that the ISO 20022 standard can be used for daily reporting and providing feedback messages, but better not for the template fields, where it is recommended that CSV and XML be used. </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5AF7C489" w:rsidR="002174B5" w:rsidRPr="00BF357E" w:rsidRDefault="00BF357E" w:rsidP="002174B5">
      <w:pPr>
        <w:rPr>
          <w:rFonts w:cs="Arial"/>
          <w:b/>
          <w:bCs/>
          <w:i/>
          <w:color w:val="000000"/>
          <w:szCs w:val="20"/>
        </w:rPr>
      </w:pPr>
      <w:permStart w:id="1877346910" w:edGrp="everyone"/>
      <w:r w:rsidRPr="00BF357E">
        <w:rPr>
          <w:rStyle w:val="fontstyle01"/>
          <w:rFonts w:ascii="Arial" w:hAnsi="Arial" w:cs="Arial"/>
          <w:b w:val="0"/>
          <w:i/>
          <w:sz w:val="20"/>
          <w:szCs w:val="20"/>
        </w:rPr>
        <w:t>We do agree with the item types and codes, but we miss an explanation of how summaries of agreements (items 17-22) should look like.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7971DDDF" w:rsidR="002174B5" w:rsidRPr="00BF357E" w:rsidRDefault="00BF357E" w:rsidP="002174B5">
      <w:pPr>
        <w:rPr>
          <w:rFonts w:cs="Arial"/>
          <w:b/>
          <w:bCs/>
          <w:i/>
          <w:color w:val="000000"/>
          <w:szCs w:val="20"/>
        </w:rPr>
      </w:pPr>
      <w:permStart w:id="595287827" w:edGrp="everyone"/>
      <w:r w:rsidRPr="00BF357E">
        <w:rPr>
          <w:rStyle w:val="fontstyle01"/>
          <w:rFonts w:ascii="Arial" w:hAnsi="Arial" w:cs="Arial"/>
          <w:b w:val="0"/>
          <w:i/>
          <w:sz w:val="20"/>
          <w:szCs w:val="20"/>
        </w:rPr>
        <w:t>Yes, we do agree.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44336B33" w:rsidR="002174B5" w:rsidRPr="00BF357E" w:rsidRDefault="00BF357E" w:rsidP="002174B5">
      <w:pPr>
        <w:rPr>
          <w:rFonts w:cs="Arial"/>
          <w:b/>
          <w:bCs/>
          <w:i/>
          <w:color w:val="000000"/>
          <w:szCs w:val="20"/>
        </w:rPr>
      </w:pPr>
      <w:permStart w:id="2073515550" w:edGrp="everyone"/>
      <w:r w:rsidRPr="00BF357E">
        <w:rPr>
          <w:rStyle w:val="fontstyle01"/>
          <w:rFonts w:ascii="Arial" w:hAnsi="Arial" w:cs="Arial"/>
          <w:b w:val="0"/>
          <w:i/>
          <w:sz w:val="20"/>
          <w:szCs w:val="20"/>
        </w:rPr>
        <w:t>Yes, this is already industry practice. The identifiers can also be linked to the LEI’s of the SSPE’s.</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76E4BDBB" w14:textId="54A2B35E" w:rsidR="002174B5" w:rsidRPr="0020338A" w:rsidRDefault="0020338A" w:rsidP="002174B5">
      <w:pPr>
        <w:rPr>
          <w:bCs/>
          <w:i/>
          <w:color w:val="000000"/>
        </w:rPr>
      </w:pPr>
      <w:permStart w:id="1220767262" w:edGrp="everyone"/>
      <w:r w:rsidRPr="00083A56">
        <w:rPr>
          <w:bCs/>
          <w:i/>
          <w:color w:val="000000"/>
        </w:rPr>
        <w:t xml:space="preserve">An end-of-day report </w:t>
      </w:r>
      <w:r>
        <w:rPr>
          <w:bCs/>
          <w:i/>
          <w:color w:val="000000"/>
        </w:rPr>
        <w:t xml:space="preserve">may help to compare the contents of separate repositories, so can be a useful tool. </w:t>
      </w:r>
    </w:p>
    <w:permEnd w:id="1220767262"/>
    <w:p w14:paraId="404FB08F" w14:textId="77777777" w:rsidR="002174B5" w:rsidRDefault="002174B5" w:rsidP="002174B5">
      <w:pPr>
        <w:rPr>
          <w:rFonts w:cs="Arial"/>
        </w:rPr>
      </w:pPr>
      <w:r>
        <w:rPr>
          <w:rFonts w:cs="Arial"/>
        </w:rPr>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lastRenderedPageBreak/>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6C15B6DA" w:rsidR="002174B5" w:rsidRPr="0020338A" w:rsidRDefault="0020338A" w:rsidP="002174B5">
      <w:pPr>
        <w:rPr>
          <w:rFonts w:cs="Arial"/>
          <w:b/>
          <w:bCs/>
          <w:i/>
          <w:color w:val="000000"/>
          <w:szCs w:val="20"/>
        </w:rPr>
      </w:pPr>
      <w:permStart w:id="283919234" w:edGrp="everyone"/>
      <w:r w:rsidRPr="0020338A">
        <w:rPr>
          <w:rStyle w:val="fontstyle01"/>
          <w:rFonts w:ascii="Arial" w:hAnsi="Arial" w:cs="Arial"/>
          <w:b w:val="0"/>
          <w:i/>
          <w:sz w:val="20"/>
          <w:szCs w:val="20"/>
        </w:rPr>
        <w:t>We do agree.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0287E08A" w:rsidR="002174B5" w:rsidRPr="0020338A" w:rsidRDefault="0020338A" w:rsidP="002174B5">
      <w:pPr>
        <w:rPr>
          <w:rFonts w:cs="Arial"/>
          <w:b/>
          <w:bCs/>
          <w:i/>
          <w:color w:val="000000"/>
          <w:szCs w:val="20"/>
        </w:rPr>
      </w:pPr>
      <w:permStart w:id="1336607642" w:edGrp="everyone"/>
      <w:r w:rsidRPr="0020338A">
        <w:rPr>
          <w:rStyle w:val="fontstyle01"/>
          <w:rFonts w:ascii="Arial" w:hAnsi="Arial" w:cs="Arial"/>
          <w:b w:val="0"/>
          <w:i/>
          <w:sz w:val="20"/>
          <w:szCs w:val="20"/>
        </w:rPr>
        <w:t>We recommend that a web portal and/or an API can also be used. These alternatives have been applied in the past successfully by the European Data Warehouse.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167AAD6F" w:rsidR="002174B5" w:rsidRPr="0020338A" w:rsidRDefault="0020338A" w:rsidP="002174B5">
      <w:pPr>
        <w:rPr>
          <w:rFonts w:cs="Arial"/>
          <w:b/>
          <w:bCs/>
          <w:i/>
          <w:color w:val="000000"/>
          <w:szCs w:val="20"/>
        </w:rPr>
      </w:pPr>
      <w:permStart w:id="1737429585" w:edGrp="everyone"/>
      <w:r w:rsidRPr="0020338A">
        <w:rPr>
          <w:rStyle w:val="fontstyle01"/>
          <w:rFonts w:ascii="Arial" w:hAnsi="Arial" w:cs="Arial"/>
          <w:b w:val="0"/>
          <w:i/>
          <w:sz w:val="20"/>
          <w:szCs w:val="20"/>
        </w:rPr>
        <w:t>We agree, but with certain restrictions as indicated in the response of the European Data Warehouse (ad-hoc queries to be limited to a certain maximum number of loans, like 100.000).</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158130F0" w:rsidR="002174B5" w:rsidRPr="0020338A" w:rsidRDefault="0020338A" w:rsidP="002174B5">
      <w:pPr>
        <w:rPr>
          <w:rFonts w:cs="Arial"/>
          <w:b/>
          <w:bCs/>
          <w:i/>
          <w:color w:val="000000"/>
          <w:szCs w:val="20"/>
        </w:rPr>
      </w:pPr>
      <w:permStart w:id="1646948795" w:edGrp="everyone"/>
      <w:r w:rsidRPr="0020338A">
        <w:rPr>
          <w:rStyle w:val="fontstyle01"/>
          <w:rFonts w:ascii="Arial" w:hAnsi="Arial" w:cs="Arial"/>
          <w:b w:val="0"/>
          <w:i/>
          <w:sz w:val="20"/>
          <w:szCs w:val="20"/>
        </w:rPr>
        <w:t>We agree with the deadlines.</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060E0EDD" w:rsidR="002174B5" w:rsidRPr="00471CC8" w:rsidRDefault="00471CC8" w:rsidP="002174B5">
      <w:pPr>
        <w:rPr>
          <w:rFonts w:cs="Arial"/>
          <w:b/>
          <w:bCs/>
          <w:i/>
          <w:color w:val="000000"/>
          <w:szCs w:val="20"/>
        </w:rPr>
      </w:pPr>
      <w:permStart w:id="834281424" w:edGrp="everyone"/>
      <w:r w:rsidRPr="00471CC8">
        <w:rPr>
          <w:rStyle w:val="fontstyle01"/>
          <w:rFonts w:ascii="Arial" w:hAnsi="Arial" w:cs="Arial"/>
          <w:b w:val="0"/>
          <w:i/>
          <w:sz w:val="20"/>
          <w:szCs w:val="20"/>
        </w:rPr>
        <w:t>We agree with the 60 minutes deadline.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390A12B7" w:rsidR="002174B5" w:rsidRPr="00471CC8" w:rsidRDefault="00471CC8" w:rsidP="002174B5">
      <w:pPr>
        <w:rPr>
          <w:rFonts w:cs="Arial"/>
          <w:b/>
          <w:bCs/>
          <w:i/>
          <w:color w:val="000000"/>
          <w:szCs w:val="20"/>
        </w:rPr>
      </w:pPr>
      <w:permStart w:id="1081167071" w:edGrp="everyone"/>
      <w:r w:rsidRPr="00471CC8">
        <w:rPr>
          <w:rStyle w:val="fontstyle01"/>
          <w:rFonts w:ascii="Arial" w:hAnsi="Arial" w:cs="Arial"/>
          <w:b w:val="0"/>
          <w:i/>
          <w:sz w:val="20"/>
          <w:szCs w:val="20"/>
        </w:rPr>
        <w:t>Yes, we do agree.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68AFB23D" w:rsidR="002174B5" w:rsidRPr="00471CC8" w:rsidRDefault="00471CC8" w:rsidP="002174B5">
      <w:pPr>
        <w:rPr>
          <w:rFonts w:cs="Arial"/>
          <w:b/>
          <w:bCs/>
          <w:i/>
          <w:color w:val="000000"/>
          <w:szCs w:val="20"/>
        </w:rPr>
      </w:pPr>
      <w:permStart w:id="1446535610" w:edGrp="everyone"/>
      <w:r w:rsidRPr="00471CC8">
        <w:rPr>
          <w:rStyle w:val="fontstyle01"/>
          <w:rFonts w:ascii="Arial" w:hAnsi="Arial" w:cs="Arial"/>
          <w:b w:val="0"/>
          <w:i/>
          <w:sz w:val="20"/>
          <w:szCs w:val="20"/>
        </w:rPr>
        <w:lastRenderedPageBreak/>
        <w:t xml:space="preserve">In line with our answer on Q 17, we agree that the ISO 20022 standard can be used for daily reporting and providing feedback messages, but better not for the template fields, where it is recommended that XML be used. </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02A573F1" w14:textId="31B7CF16" w:rsidR="002174B5" w:rsidRPr="00471CC8" w:rsidRDefault="00471CC8" w:rsidP="002174B5">
      <w:pPr>
        <w:rPr>
          <w:rFonts w:cs="Arial"/>
          <w:b/>
          <w:bCs/>
          <w:i/>
          <w:color w:val="000000"/>
          <w:szCs w:val="20"/>
        </w:rPr>
      </w:pPr>
      <w:permStart w:id="2143908431" w:edGrp="everyone"/>
      <w:r w:rsidRPr="00471CC8">
        <w:rPr>
          <w:rStyle w:val="fontstyle01"/>
          <w:rFonts w:ascii="Arial" w:hAnsi="Arial" w:cs="Arial"/>
          <w:b w:val="0"/>
          <w:i/>
          <w:sz w:val="20"/>
          <w:szCs w:val="20"/>
        </w:rPr>
        <w:t>The completeness scores as developed by the ECB have been a useful tool in the early implementation of the loan-level-data. We agree with their ongoing application by ESMA.</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603DA87B" w:rsidR="002174B5" w:rsidRPr="00471CC8" w:rsidRDefault="00471CC8" w:rsidP="002174B5">
      <w:pPr>
        <w:rPr>
          <w:rFonts w:cs="Arial"/>
          <w:b/>
          <w:bCs/>
          <w:i/>
          <w:color w:val="000000"/>
          <w:szCs w:val="20"/>
        </w:rPr>
      </w:pPr>
      <w:permStart w:id="2086419836" w:edGrp="everyone"/>
      <w:r w:rsidRPr="00471CC8">
        <w:rPr>
          <w:rStyle w:val="fontstyle01"/>
          <w:rFonts w:ascii="Arial" w:hAnsi="Arial" w:cs="Arial"/>
          <w:b w:val="0"/>
          <w:i/>
          <w:sz w:val="20"/>
          <w:szCs w:val="20"/>
        </w:rPr>
        <w:t>We agree with the continuation of the current practice as proposed by ESMA.</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4E37A659" w14:textId="77777777" w:rsidR="00404000" w:rsidRPr="00404000" w:rsidRDefault="00404000" w:rsidP="00404000">
      <w:pPr>
        <w:rPr>
          <w:rStyle w:val="fontstyle01"/>
          <w:rFonts w:ascii="Arial" w:hAnsi="Arial" w:cs="Arial"/>
          <w:b w:val="0"/>
          <w:i/>
          <w:sz w:val="20"/>
          <w:szCs w:val="20"/>
        </w:rPr>
      </w:pPr>
      <w:permStart w:id="1139829755" w:edGrp="everyone"/>
      <w:r w:rsidRPr="00404000">
        <w:rPr>
          <w:rStyle w:val="fontstyle01"/>
          <w:rFonts w:ascii="Arial" w:hAnsi="Arial" w:cs="Arial"/>
          <w:b w:val="0"/>
          <w:i/>
          <w:sz w:val="20"/>
          <w:szCs w:val="20"/>
        </w:rPr>
        <w:t>We propose to require a documentation completeness and consistency check from one of the securitisation parties, or preferably the third-party verification agent, up-front and whenever a transaction is restructured. Annual confirmation does not add any value when f.i. a securitisation is restructured 1 month after the most recent confirmation / 11 months before the next one.</w:t>
      </w:r>
    </w:p>
    <w:p w14:paraId="63A8B2AB" w14:textId="2FA89326" w:rsidR="002174B5" w:rsidRPr="00404000" w:rsidRDefault="00404000" w:rsidP="002174B5">
      <w:pPr>
        <w:rPr>
          <w:rFonts w:cs="Arial"/>
          <w:b/>
          <w:bCs/>
          <w:i/>
          <w:color w:val="000000"/>
          <w:szCs w:val="20"/>
        </w:rPr>
      </w:pPr>
      <w:r w:rsidRPr="00404000">
        <w:rPr>
          <w:rStyle w:val="fontstyle01"/>
          <w:rFonts w:ascii="Arial" w:hAnsi="Arial" w:cs="Arial"/>
          <w:b w:val="0"/>
          <w:i/>
          <w:sz w:val="20"/>
          <w:szCs w:val="20"/>
        </w:rPr>
        <w:t xml:space="preserve">We also refer to our earlier question (under Q 18) that we miss an explanation of how summaries of agreements should look like. </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0C806A5E" w:rsidR="002174B5" w:rsidRPr="00404000" w:rsidRDefault="00404000" w:rsidP="002174B5">
      <w:pPr>
        <w:rPr>
          <w:rFonts w:cs="Arial"/>
          <w:b/>
          <w:bCs/>
          <w:i/>
          <w:color w:val="000000"/>
          <w:szCs w:val="20"/>
        </w:rPr>
      </w:pPr>
      <w:permStart w:id="330854914" w:edGrp="everyone"/>
      <w:r w:rsidRPr="00404000">
        <w:rPr>
          <w:rStyle w:val="fontstyle01"/>
          <w:rFonts w:ascii="Arial" w:hAnsi="Arial" w:cs="Arial"/>
          <w:b w:val="0"/>
          <w:i/>
          <w:sz w:val="20"/>
          <w:szCs w:val="20"/>
        </w:rPr>
        <w:t>Yes, subject to the same comments as in our answer on Q 31.</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4D68FD68" w:rsidR="002174B5" w:rsidRPr="00404000" w:rsidRDefault="00404000" w:rsidP="002174B5">
      <w:pPr>
        <w:rPr>
          <w:bCs/>
          <w:i/>
          <w:color w:val="000000"/>
        </w:rPr>
      </w:pPr>
      <w:permStart w:id="419778041" w:edGrp="everyone"/>
      <w:r>
        <w:rPr>
          <w:bCs/>
          <w:i/>
          <w:color w:val="000000"/>
        </w:rPr>
        <w:t>We do not see a direct need, but in general standardisation is welcome.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61111B6A" w:rsidR="002174B5" w:rsidRPr="00404000" w:rsidRDefault="00404000" w:rsidP="002174B5">
      <w:pPr>
        <w:rPr>
          <w:rFonts w:cs="Arial"/>
          <w:b/>
          <w:bCs/>
          <w:i/>
          <w:color w:val="000000"/>
          <w:szCs w:val="20"/>
        </w:rPr>
      </w:pPr>
      <w:permStart w:id="453263224" w:edGrp="everyone"/>
      <w:r w:rsidRPr="00404000">
        <w:rPr>
          <w:rStyle w:val="fontstyle01"/>
          <w:rFonts w:ascii="Arial" w:hAnsi="Arial" w:cs="Arial"/>
          <w:b w:val="0"/>
          <w:i/>
          <w:sz w:val="20"/>
          <w:szCs w:val="20"/>
        </w:rPr>
        <w:t>Not entirely. Access to investors and especially potential investors of proprietary information like formulae used by securitisation repositories is undesirable. Repositories should be challenged to develop the best formulae and not be allowed to just copy them.</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AF0CE67" w:rsidR="002174B5" w:rsidRDefault="00404000" w:rsidP="002174B5">
      <w:pPr>
        <w:rPr>
          <w:rFonts w:cs="Arial"/>
        </w:rPr>
      </w:pPr>
      <w:permStart w:id="2104384053" w:edGrp="everyone"/>
      <w:r>
        <w:rPr>
          <w:i/>
          <w:color w:val="000000"/>
        </w:rPr>
        <w:t>Yes, we do agree.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0BB11A09" w:rsidR="002174B5" w:rsidRPr="00A45A6D" w:rsidRDefault="00A45A6D" w:rsidP="002174B5">
      <w:pPr>
        <w:rPr>
          <w:rFonts w:cs="Arial"/>
          <w:b/>
          <w:szCs w:val="20"/>
        </w:rPr>
      </w:pPr>
      <w:permStart w:id="664220419" w:edGrp="everyone"/>
      <w:r w:rsidRPr="00A45A6D">
        <w:rPr>
          <w:rStyle w:val="fontstyle01"/>
          <w:rFonts w:ascii="Arial" w:hAnsi="Arial" w:cs="Arial"/>
          <w:b w:val="0"/>
          <w:i/>
          <w:sz w:val="20"/>
          <w:szCs w:val="20"/>
        </w:rPr>
        <w:t>No there is no need to distinguish between direct and immediate access.</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41156A96" w:rsidR="002174B5" w:rsidRPr="00A45A6D" w:rsidRDefault="00A45A6D" w:rsidP="002174B5">
      <w:pPr>
        <w:rPr>
          <w:rFonts w:cs="Arial"/>
          <w:b/>
          <w:bCs/>
          <w:i/>
          <w:color w:val="000000"/>
          <w:szCs w:val="20"/>
        </w:rPr>
      </w:pPr>
      <w:permStart w:id="799882411" w:edGrp="everyone"/>
      <w:r w:rsidRPr="00A45A6D">
        <w:rPr>
          <w:rStyle w:val="fontstyle01"/>
          <w:rFonts w:ascii="Arial" w:hAnsi="Arial" w:cs="Arial"/>
          <w:b w:val="0"/>
          <w:i/>
          <w:sz w:val="20"/>
          <w:szCs w:val="20"/>
        </w:rPr>
        <w:t>No, we agree with corrections to be made “without undue delay”.</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28C0C5C5" w14:textId="77777777" w:rsidR="00A45A6D" w:rsidRPr="00A45A6D" w:rsidRDefault="00A45A6D" w:rsidP="00A45A6D">
      <w:pPr>
        <w:rPr>
          <w:rStyle w:val="fontstyle01"/>
          <w:rFonts w:ascii="Arial" w:hAnsi="Arial" w:cs="Arial"/>
          <w:b w:val="0"/>
          <w:i/>
          <w:sz w:val="20"/>
          <w:szCs w:val="20"/>
        </w:rPr>
      </w:pPr>
      <w:permStart w:id="686508107" w:edGrp="everyone"/>
      <w:r w:rsidRPr="00A45A6D">
        <w:rPr>
          <w:rStyle w:val="fontstyle01"/>
          <w:rFonts w:ascii="Arial" w:hAnsi="Arial" w:cs="Arial"/>
          <w:b w:val="0"/>
          <w:i/>
          <w:sz w:val="20"/>
          <w:szCs w:val="20"/>
        </w:rPr>
        <w:t>The costs, also for reporting entities already working with ECB templates may be underestimated. While the mandatory fields in ECB templates were often “low-hanging fruit”,</w:t>
      </w:r>
    </w:p>
    <w:p w14:paraId="066FE3F9" w14:textId="77777777" w:rsidR="00A45A6D" w:rsidRPr="00A45A6D" w:rsidRDefault="00A45A6D" w:rsidP="00A45A6D">
      <w:pPr>
        <w:rPr>
          <w:rStyle w:val="fontstyle01"/>
          <w:rFonts w:ascii="Arial" w:hAnsi="Arial" w:cs="Arial"/>
          <w:b w:val="0"/>
          <w:i/>
          <w:sz w:val="20"/>
          <w:szCs w:val="20"/>
        </w:rPr>
      </w:pPr>
      <w:r w:rsidRPr="00A45A6D">
        <w:rPr>
          <w:rStyle w:val="fontstyle01"/>
          <w:rFonts w:ascii="Arial" w:hAnsi="Arial" w:cs="Arial"/>
          <w:b w:val="0"/>
          <w:i/>
          <w:sz w:val="20"/>
          <w:szCs w:val="20"/>
        </w:rPr>
        <w:t xml:space="preserve">the previously optional and the new fields may require much more effort to fill. </w:t>
      </w:r>
    </w:p>
    <w:p w14:paraId="3038B38A" w14:textId="6C246CAD" w:rsidR="002174B5" w:rsidRPr="00A45A6D" w:rsidRDefault="00A45A6D" w:rsidP="002174B5">
      <w:pPr>
        <w:rPr>
          <w:rFonts w:cs="Arial"/>
          <w:b/>
          <w:bCs/>
          <w:i/>
          <w:color w:val="000000"/>
          <w:szCs w:val="20"/>
        </w:rPr>
      </w:pPr>
      <w:r w:rsidRPr="00A45A6D">
        <w:rPr>
          <w:rStyle w:val="fontstyle01"/>
          <w:rFonts w:ascii="Arial" w:hAnsi="Arial" w:cs="Arial"/>
          <w:b w:val="0"/>
          <w:i/>
          <w:sz w:val="20"/>
          <w:szCs w:val="20"/>
        </w:rPr>
        <w:t xml:space="preserve">The comparison based on net increases in fields may be relevant for the ongoing reporting efforts, but not for the upfront work. Reporting entities do not get hours/money credited for fields they no longer have to provide. </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689D219B" w:rsidR="002174B5" w:rsidRPr="00A45A6D" w:rsidRDefault="00A45A6D" w:rsidP="002174B5">
      <w:pPr>
        <w:rPr>
          <w:rFonts w:cs="Arial"/>
          <w:b/>
          <w:bCs/>
          <w:i/>
          <w:color w:val="000000"/>
          <w:szCs w:val="20"/>
        </w:rPr>
      </w:pPr>
      <w:permStart w:id="1559573162" w:edGrp="everyone"/>
      <w:r w:rsidRPr="00A45A6D">
        <w:rPr>
          <w:rStyle w:val="fontstyle01"/>
          <w:rFonts w:ascii="Arial" w:hAnsi="Arial" w:cs="Arial"/>
          <w:b w:val="0"/>
          <w:i/>
          <w:sz w:val="20"/>
          <w:szCs w:val="20"/>
        </w:rPr>
        <w:t>No, it is very difficult to track this cost information, also for reasons of competition.</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1105D7EA" w:rsidR="002174B5" w:rsidRPr="007B4693" w:rsidRDefault="007B4693" w:rsidP="002174B5">
      <w:pPr>
        <w:rPr>
          <w:rFonts w:cs="Arial"/>
          <w:b/>
          <w:bCs/>
          <w:i/>
          <w:color w:val="000000"/>
          <w:szCs w:val="20"/>
        </w:rPr>
      </w:pPr>
      <w:permStart w:id="111374680" w:edGrp="everyone"/>
      <w:r w:rsidRPr="007B4693">
        <w:rPr>
          <w:rStyle w:val="fontstyle01"/>
          <w:rFonts w:ascii="Arial" w:hAnsi="Arial" w:cs="Arial"/>
          <w:b w:val="0"/>
          <w:i/>
          <w:sz w:val="20"/>
          <w:szCs w:val="20"/>
        </w:rPr>
        <w:t xml:space="preserve">Yes; the chosen options may create an extra entrance barrier for repositories, but that should not be a reason to choose less demanding options. </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2FCC49C4" w:rsidR="002174B5" w:rsidRPr="007B4693" w:rsidRDefault="007B4693" w:rsidP="002174B5">
      <w:pPr>
        <w:rPr>
          <w:i/>
        </w:rPr>
      </w:pPr>
      <w:permStart w:id="1573270983" w:edGrp="everyone"/>
      <w:r>
        <w:rPr>
          <w:i/>
        </w:rPr>
        <w:lastRenderedPageBreak/>
        <w:t>No.</w:t>
      </w:r>
      <w:bookmarkStart w:id="1" w:name="_GoBack"/>
      <w:bookmarkEnd w:id="1"/>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28B6D6C5"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B4693">
            <w:rPr>
              <w:rFonts w:cs="Arial"/>
              <w:noProof/>
              <w:sz w:val="22"/>
              <w:szCs w:val="22"/>
            </w:rPr>
            <w:t>12</w:t>
          </w:r>
          <w:r w:rsidRPr="00616B9B">
            <w:rPr>
              <w:rFonts w:cs="Arial"/>
              <w:noProof/>
              <w:sz w:val="22"/>
              <w:szCs w:val="22"/>
            </w:rPr>
            <w:fldChar w:fldCharType="end"/>
          </w:r>
        </w:p>
      </w:tc>
    </w:tr>
  </w:tbl>
  <w:p w14:paraId="3F8E2998" w14:textId="77777777" w:rsidR="00811EDA" w:rsidRDefault="00811ED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Koptekst"/>
    </w:pPr>
    <w:r>
      <w:rPr>
        <w:noProof/>
        <w:lang w:val="nl-NL" w:eastAsia="nl-NL"/>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Koptekst"/>
      <w:jc w:val="right"/>
    </w:pPr>
    <w:r>
      <w:rPr>
        <w:noProof/>
        <w:lang w:val="nl-NL" w:eastAsia="nl-NL"/>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tekst"/>
      <w:rPr>
        <w:lang w:val="fr-FR"/>
      </w:rPr>
    </w:pPr>
  </w:p>
  <w:p w14:paraId="7D075F96" w14:textId="77777777" w:rsidR="00811EDA" w:rsidRPr="002F4496" w:rsidRDefault="00811EDA" w:rsidP="000C06C9">
    <w:pPr>
      <w:pStyle w:val="Koptekst"/>
      <w:tabs>
        <w:tab w:val="clear" w:pos="4536"/>
        <w:tab w:val="clear" w:pos="9072"/>
        <w:tab w:val="left" w:pos="8227"/>
      </w:tabs>
      <w:rPr>
        <w:lang w:val="fr-FR"/>
      </w:rPr>
    </w:pPr>
  </w:p>
  <w:p w14:paraId="1EEAF2AF" w14:textId="77777777" w:rsidR="00811EDA" w:rsidRPr="002F4496" w:rsidRDefault="00811EDA" w:rsidP="000C06C9">
    <w:pPr>
      <w:pStyle w:val="Koptekst"/>
      <w:tabs>
        <w:tab w:val="clear" w:pos="4536"/>
        <w:tab w:val="clear" w:pos="9072"/>
        <w:tab w:val="left" w:pos="8227"/>
      </w:tabs>
      <w:rPr>
        <w:lang w:val="fr-FR"/>
      </w:rPr>
    </w:pPr>
  </w:p>
  <w:p w14:paraId="366CDA59" w14:textId="77777777" w:rsidR="00811EDA" w:rsidRPr="002F4496" w:rsidRDefault="00811EDA">
    <w:pPr>
      <w:pStyle w:val="Koptekst"/>
      <w:rPr>
        <w:lang w:val="fr-FR"/>
      </w:rPr>
    </w:pPr>
  </w:p>
  <w:p w14:paraId="090159B5" w14:textId="77777777" w:rsidR="00811EDA" w:rsidRPr="002F4496" w:rsidRDefault="00811EDA">
    <w:pPr>
      <w:pStyle w:val="Koptekst"/>
      <w:rPr>
        <w:lang w:val="fr-FR"/>
      </w:rPr>
    </w:pPr>
  </w:p>
  <w:p w14:paraId="13DB3246" w14:textId="77777777" w:rsidR="00811EDA" w:rsidRPr="002F4496" w:rsidRDefault="00811EDA">
    <w:pPr>
      <w:pStyle w:val="Koptekst"/>
      <w:rPr>
        <w:lang w:val="fr-FR"/>
      </w:rPr>
    </w:pPr>
  </w:p>
  <w:p w14:paraId="5B245FC6" w14:textId="77777777" w:rsidR="00811EDA" w:rsidRPr="002F4496" w:rsidRDefault="00811EDA">
    <w:pPr>
      <w:pStyle w:val="Koptekst"/>
      <w:rPr>
        <w:lang w:val="fr-FR"/>
      </w:rPr>
    </w:pPr>
  </w:p>
  <w:p w14:paraId="1D7B1F8D" w14:textId="77777777" w:rsidR="00811EDA" w:rsidRPr="002F4496" w:rsidRDefault="00811EDA">
    <w:pPr>
      <w:pStyle w:val="Koptekst"/>
      <w:rPr>
        <w:highlight w:val="yellow"/>
        <w:lang w:val="fr-FR"/>
      </w:rPr>
    </w:pPr>
  </w:p>
  <w:p w14:paraId="177617ED" w14:textId="77777777" w:rsidR="00811EDA" w:rsidRDefault="00DE66EB">
    <w:pPr>
      <w:pStyle w:val="Koptekst"/>
    </w:pPr>
    <w:r>
      <w:rPr>
        <w:noProof/>
        <w:lang w:val="nl-NL" w:eastAsia="nl-NL"/>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905"/>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BF"/>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951"/>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38A"/>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0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CC8"/>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693"/>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A6D"/>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AF6AE8"/>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2CF"/>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57E"/>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2BE"/>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90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0769"/>
    <w:rPr>
      <w:rFonts w:ascii="Arial" w:hAnsi="Arial"/>
      <w:szCs w:val="24"/>
      <w:lang w:eastAsia="de-DE"/>
    </w:rPr>
  </w:style>
  <w:style w:type="paragraph" w:styleId="Kop1">
    <w:name w:val="heading 1"/>
    <w:basedOn w:val="Standaard"/>
    <w:next w:val="Standaard"/>
    <w:link w:val="Kop1Char"/>
    <w:qFormat/>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rsid w:val="00886A60"/>
    <w:pPr>
      <w:keepNext/>
      <w:keepLines/>
      <w:spacing w:before="200" w:after="120"/>
      <w:outlineLvl w:val="1"/>
    </w:pPr>
    <w:rPr>
      <w:b/>
      <w:bCs/>
      <w:szCs w:val="26"/>
    </w:rPr>
  </w:style>
  <w:style w:type="paragraph" w:styleId="Kop3">
    <w:name w:val="heading 3"/>
    <w:basedOn w:val="Standaard"/>
    <w:next w:val="Standaard"/>
    <w:link w:val="Kop3Char"/>
    <w:qFormat/>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qFormat/>
    <w:rsid w:val="00E9344E"/>
    <w:pPr>
      <w:keepNext/>
      <w:keepLines/>
      <w:numPr>
        <w:numId w:val="13"/>
      </w:numPr>
      <w:spacing w:before="200"/>
      <w:jc w:val="both"/>
      <w:outlineLvl w:val="4"/>
    </w:pPr>
    <w:rPr>
      <w:b/>
    </w:rPr>
  </w:style>
  <w:style w:type="paragraph" w:styleId="Kop6">
    <w:name w:val="heading 6"/>
    <w:basedOn w:val="Standaard"/>
    <w:next w:val="Standaard"/>
    <w:link w:val="Kop6Char"/>
    <w:qFormat/>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64CB"/>
    <w:pPr>
      <w:tabs>
        <w:tab w:val="center" w:pos="4536"/>
        <w:tab w:val="right" w:pos="9072"/>
      </w:tabs>
    </w:pPr>
  </w:style>
  <w:style w:type="paragraph" w:styleId="Voettekst">
    <w:name w:val="footer"/>
    <w:basedOn w:val="Standaard"/>
    <w:link w:val="VoettekstChar"/>
    <w:rsid w:val="005B64CB"/>
    <w:pPr>
      <w:tabs>
        <w:tab w:val="center" w:pos="4536"/>
        <w:tab w:val="right" w:pos="9072"/>
      </w:tabs>
    </w:pPr>
  </w:style>
  <w:style w:type="table" w:styleId="Tabelraster">
    <w:name w:val="Table Grid"/>
    <w:basedOn w:val="Standaardtabe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rsid w:val="003E3ACA"/>
    <w:pPr>
      <w:spacing w:line="200" w:lineRule="exact"/>
    </w:pPr>
    <w:rPr>
      <w:color w:val="2D4190"/>
      <w:sz w:val="16"/>
    </w:rPr>
  </w:style>
  <w:style w:type="paragraph" w:customStyle="1" w:styleId="05aTitle">
    <w:name w:val="05a_Title"/>
    <w:basedOn w:val="Standaard"/>
    <w:rsid w:val="00791EB4"/>
    <w:pPr>
      <w:spacing w:line="340" w:lineRule="exact"/>
    </w:pPr>
    <w:rPr>
      <w:b/>
      <w:color w:val="000000"/>
      <w:sz w:val="28"/>
    </w:rPr>
  </w:style>
  <w:style w:type="paragraph" w:customStyle="1" w:styleId="02Date">
    <w:name w:val="02_Date"/>
    <w:basedOn w:val="Standa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inanummer">
    <w:name w:val="page number"/>
    <w:basedOn w:val="Standaardalinea-lettertype"/>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Fußnote, Cha"/>
    <w:basedOn w:val="Standaard"/>
    <w:link w:val="VoetnoottekstChar"/>
    <w:qFormat/>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hopg2">
    <w:name w:val="toc 2"/>
    <w:basedOn w:val="Standaard"/>
    <w:next w:val="Standa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Verwijzingopmerking">
    <w:name w:val="annotation reference"/>
    <w:rsid w:val="004B1E61"/>
    <w:rPr>
      <w:sz w:val="16"/>
      <w:szCs w:val="16"/>
    </w:rPr>
  </w:style>
  <w:style w:type="paragraph" w:styleId="Tekstopmerking">
    <w:name w:val="annotation text"/>
    <w:basedOn w:val="Standaard"/>
    <w:link w:val="TekstopmerkingChar"/>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
    <w:basedOn w:val="Standaard"/>
    <w:link w:val="LijstalineaChar"/>
    <w:uiPriority w:val="34"/>
    <w:qFormat/>
    <w:rsid w:val="002A0C82"/>
    <w:pPr>
      <w:ind w:left="720"/>
      <w:contextualSpacing/>
    </w:pPr>
  </w:style>
  <w:style w:type="paragraph" w:styleId="Kopvaninhoudsopgave">
    <w:name w:val="TOC Heading"/>
    <w:basedOn w:val="Kop1"/>
    <w:next w:val="Standa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Cha Char"/>
    <w:link w:val="Voetnootteks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rsid w:val="008E1B6A"/>
  </w:style>
  <w:style w:type="paragraph" w:customStyle="1" w:styleId="ManualNumPar1">
    <w:name w:val="Manual NumPar 1"/>
    <w:basedOn w:val="Standaard"/>
    <w:next w:val="Standa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adruk">
    <w:name w:val="Emphasis"/>
    <w:uiPriority w:val="20"/>
    <w:qFormat/>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ijschrift">
    <w:name w:val="caption"/>
    <w:basedOn w:val="Standaard"/>
    <w:next w:val="Standa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structuur">
    <w:name w:val="Document Map"/>
    <w:basedOn w:val="Standaard"/>
    <w:link w:val="DocumentstructuurChar"/>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Zwaar">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rsid w:val="002D6E1A"/>
  </w:style>
  <w:style w:type="character" w:styleId="GevolgdeHyperlink">
    <w:name w:val="FollowedHyperlink"/>
    <w:unhideWhenUs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rsid w:val="002D6E1A"/>
    <w:rPr>
      <w:rFonts w:ascii="Georgia" w:hAnsi="Georgia"/>
      <w:sz w:val="22"/>
      <w:szCs w:val="24"/>
      <w:lang w:eastAsia="de-DE"/>
    </w:rPr>
  </w:style>
  <w:style w:type="paragraph" w:styleId="Eindnoottekst">
    <w:name w:val="endnote text"/>
    <w:basedOn w:val="Standaard"/>
    <w:link w:val="EindnoottekstChar"/>
    <w:unhideWhenUs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
    <w:link w:val="Lijstalinea"/>
    <w:uiPriority w:val="34"/>
    <w:locked/>
    <w:rsid w:val="002D6E1A"/>
    <w:rPr>
      <w:rFonts w:ascii="Georgia" w:hAnsi="Georgia"/>
      <w:sz w:val="22"/>
      <w:szCs w:val="24"/>
      <w:lang w:eastAsia="de-DE"/>
    </w:rPr>
  </w:style>
  <w:style w:type="paragraph" w:customStyle="1" w:styleId="04anumbering0">
    <w:name w:val="04anumbering"/>
    <w:basedOn w:val="Standa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rsid w:val="002D6E1A"/>
    <w:pPr>
      <w:ind w:left="708"/>
      <w:contextualSpacing w:val="0"/>
      <w:jc w:val="both"/>
    </w:pPr>
    <w:rPr>
      <w:b/>
      <w:szCs w:val="20"/>
      <w:u w:val="single"/>
    </w:rPr>
  </w:style>
  <w:style w:type="paragraph" w:customStyle="1" w:styleId="Bullet">
    <w:name w:val="Bullet"/>
    <w:basedOn w:val="Standaar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rsid w:val="002D6E1A"/>
    <w:rPr>
      <w:vertAlign w:val="superscript"/>
    </w:rPr>
  </w:style>
  <w:style w:type="character" w:styleId="Tekstvantijdelijkeaanduidin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ardtabe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rsid w:val="00952F2C"/>
  </w:style>
  <w:style w:type="paragraph" w:customStyle="1" w:styleId="aStyle">
    <w:name w:val="a) Style"/>
    <w:basedOn w:val="Standa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Kop5Char">
    <w:name w:val="Kop 5 Char"/>
    <w:aliases w:val="Questions Char7"/>
    <w:link w:val="Kop5"/>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Kop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Kop1"/>
    <w:next w:val="Standa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rsid w:val="000D2D0B"/>
    <w:pPr>
      <w:spacing w:before="120" w:after="120"/>
      <w:ind w:left="850"/>
      <w:jc w:val="both"/>
    </w:pPr>
    <w:rPr>
      <w:rFonts w:ascii="Times New Roman" w:hAnsi="Times New Roman"/>
      <w:sz w:val="24"/>
      <w:lang w:eastAsia="en-US"/>
    </w:rPr>
  </w:style>
  <w:style w:type="paragraph" w:customStyle="1" w:styleId="Text2">
    <w:name w:val="Text 2"/>
    <w:basedOn w:val="Standaar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rsid w:val="000D2D0B"/>
    <w:pPr>
      <w:spacing w:after="240"/>
    </w:pPr>
    <w:rPr>
      <w:rFonts w:ascii="Times New Roman" w:hAnsi="Times New Roman"/>
      <w:sz w:val="24"/>
      <w:lang w:eastAsia="en-US"/>
    </w:rPr>
  </w:style>
  <w:style w:type="paragraph" w:customStyle="1" w:styleId="Datedadoption">
    <w:name w:val="Date d'adoption"/>
    <w:basedOn w:val="Standa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rsid w:val="000D2D0B"/>
    <w:rPr>
      <w:rFonts w:cs="Arial"/>
      <w:sz w:val="24"/>
      <w:lang w:eastAsia="en-US"/>
    </w:rPr>
  </w:style>
  <w:style w:type="paragraph" w:customStyle="1" w:styleId="Rfrenceinstitutionnelle">
    <w:name w:val="Référence institutionnelle"/>
    <w:basedOn w:val="Standa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ard"/>
    <w:rsid w:val="000D2D0B"/>
    <w:pPr>
      <w:jc w:val="center"/>
    </w:pPr>
    <w:rPr>
      <w:rFonts w:ascii="Times New Roman" w:hAnsi="Times New Roman"/>
      <w:b/>
      <w:sz w:val="24"/>
      <w:lang w:eastAsia="en-US"/>
    </w:rPr>
  </w:style>
  <w:style w:type="paragraph" w:customStyle="1" w:styleId="Statut">
    <w:name w:val="Statut"/>
    <w:basedOn w:val="Standa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ard"/>
    <w:next w:val="Standa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rsid w:val="000D2D0B"/>
    <w:pPr>
      <w:spacing w:before="360"/>
      <w:jc w:val="center"/>
    </w:pPr>
    <w:rPr>
      <w:rFonts w:ascii="Times New Roman" w:hAnsi="Times New Roman"/>
      <w:sz w:val="24"/>
      <w:lang w:eastAsia="en-US"/>
    </w:rPr>
  </w:style>
  <w:style w:type="paragraph" w:customStyle="1" w:styleId="Rfrencecroise">
    <w:name w:val="Référence croisée"/>
    <w:basedOn w:val="Standaar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rsid w:val="000D2D0B"/>
    <w:pPr>
      <w:spacing w:after="240"/>
    </w:pPr>
  </w:style>
  <w:style w:type="paragraph" w:customStyle="1" w:styleId="Accompagnant">
    <w:name w:val="Accompagnant"/>
    <w:basedOn w:val="Standa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ard"/>
    <w:next w:val="Standaard"/>
    <w:rsid w:val="000D2D0B"/>
    <w:pPr>
      <w:spacing w:before="360"/>
      <w:jc w:val="center"/>
    </w:pPr>
    <w:rPr>
      <w:rFonts w:ascii="Times New Roman" w:hAnsi="Times New Roman"/>
      <w:sz w:val="24"/>
      <w:lang w:eastAsia="en-US"/>
    </w:rPr>
  </w:style>
  <w:style w:type="paragraph" w:styleId="Lijstnummering2">
    <w:name w:val="List Number 2"/>
    <w:basedOn w:val="Standaar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rsid w:val="000D2D0B"/>
    <w:pPr>
      <w:ind w:left="720"/>
      <w:contextualSpacing/>
    </w:pPr>
    <w:rPr>
      <w:rFonts w:ascii="Cambria" w:hAnsi="Cambria"/>
      <w:sz w:val="24"/>
      <w:lang w:val="en-US" w:eastAsia="en-US"/>
    </w:rPr>
  </w:style>
  <w:style w:type="paragraph" w:customStyle="1" w:styleId="Listeavsnitt1">
    <w:name w:val="Listeavsnitt1"/>
    <w:basedOn w:val="Standa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ardalinea-lettertype"/>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ard"/>
    <w:next w:val="Standa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ardalinea-lettertype"/>
    <w:link w:val="Questionstyle"/>
    <w:rsid w:val="008701E5"/>
    <w:rPr>
      <w:rFonts w:asciiTheme="minorHAnsi" w:eastAsiaTheme="minorEastAsia" w:hAnsiTheme="minorHAnsi" w:cstheme="minorBidi"/>
      <w:b/>
      <w:sz w:val="22"/>
      <w:lang w:eastAsia="en-US"/>
    </w:rPr>
  </w:style>
  <w:style w:type="paragraph" w:styleId="Ondertitel">
    <w:name w:val="Subtitle"/>
    <w:basedOn w:val="Standaard"/>
    <w:next w:val="Standaard"/>
    <w:link w:val="Ondertitel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OndertitelChar">
    <w:name w:val="Ondertitel Char"/>
    <w:basedOn w:val="Standaardalinea-lettertype"/>
    <w:link w:val="Ond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jstaline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ardalinea-lettertype"/>
    <w:link w:val="ParagraphoftheCP"/>
    <w:rsid w:val="00820CBA"/>
    <w:rPr>
      <w:rFonts w:asciiTheme="minorHAnsi" w:eastAsiaTheme="minorEastAsia" w:hAnsiTheme="minorHAnsi" w:cstheme="minorBidi"/>
      <w:sz w:val="22"/>
      <w:szCs w:val="22"/>
      <w:lang w:eastAsia="en-US"/>
    </w:rPr>
  </w:style>
  <w:style w:type="character" w:customStyle="1" w:styleId="fontstyle01">
    <w:name w:val="fontstyle01"/>
    <w:rsid w:val="00AF6AE8"/>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2006/metadata/properties"/>
    <ds:schemaRef ds:uri="a090d947-cb5a-4e71-a094-4f979ca4aec0"/>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28C6A152-4082-4F3A-A478-89C42E6E44A6}">
  <ds:schemaRefs>
    <ds:schemaRef ds:uri="http://schemas.openxmlformats.org/officeDocument/2006/bibliography"/>
  </ds:schemaRefs>
</ds:datastoreItem>
</file>

<file path=customXml/itemProps6.xml><?xml version="1.0" encoding="utf-8"?>
<ds:datastoreItem xmlns:ds="http://schemas.openxmlformats.org/officeDocument/2006/customXml" ds:itemID="{C64D16DF-D868-4C16-A651-69DBC4D2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6614FBBC</Template>
  <TotalTime>94</TotalTime>
  <Pages>12</Pages>
  <Words>3671</Words>
  <Characters>20196</Characters>
  <Application>Microsoft Office Word</Application>
  <DocSecurity>8</DocSecurity>
  <Lines>168</Lines>
  <Paragraphs>47</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23820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Rob Koning</cp:lastModifiedBy>
  <cp:revision>14</cp:revision>
  <cp:lastPrinted>2015-02-18T11:01:00Z</cp:lastPrinted>
  <dcterms:created xsi:type="dcterms:W3CDTF">2018-03-16T16:00:00Z</dcterms:created>
  <dcterms:modified xsi:type="dcterms:W3CDTF">2018-03-19T10:26:00Z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