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86" w:type="dxa"/>
        <w:tblInd w:w="-1084" w:type="dxa"/>
        <w:tblLayout w:type="fixed"/>
        <w:tblCellMar>
          <w:left w:w="0" w:type="dxa"/>
          <w:right w:w="0" w:type="dxa"/>
        </w:tblCellMar>
        <w:tblLook w:val="0000" w:firstRow="0" w:lastRow="0" w:firstColumn="0" w:lastColumn="0" w:noHBand="0" w:noVBand="0"/>
      </w:tblPr>
      <w:tblGrid>
        <w:gridCol w:w="8364"/>
        <w:gridCol w:w="22"/>
      </w:tblGrid>
      <w:tr w:rsidR="00894750" w:rsidRPr="00CB67A6" w:rsidTr="00CB67A6">
        <w:trPr>
          <w:trHeight w:hRule="exact" w:val="1680"/>
        </w:trPr>
        <w:tc>
          <w:tcPr>
            <w:tcW w:w="8364" w:type="dxa"/>
          </w:tcPr>
          <w:p w:rsidR="00894750" w:rsidRPr="00CB67A6" w:rsidRDefault="00CB67A6" w:rsidP="00CB67A6">
            <w:pPr>
              <w:spacing w:line="276" w:lineRule="auto"/>
              <w:jc w:val="center"/>
              <w:rPr>
                <w:b/>
                <w:sz w:val="28"/>
                <w:szCs w:val="28"/>
                <w:lang w:val="en-US" w:bidi="x-none"/>
              </w:rPr>
            </w:pPr>
            <w:proofErr w:type="spellStart"/>
            <w:r w:rsidRPr="00CB67A6">
              <w:rPr>
                <w:b/>
                <w:sz w:val="28"/>
                <w:szCs w:val="28"/>
                <w:lang w:val="en-US" w:bidi="x-none"/>
              </w:rPr>
              <w:t>Amundi’s</w:t>
            </w:r>
            <w:proofErr w:type="spellEnd"/>
            <w:r w:rsidRPr="00CB67A6">
              <w:rPr>
                <w:b/>
                <w:sz w:val="28"/>
                <w:szCs w:val="28"/>
                <w:lang w:val="en-US" w:bidi="x-none"/>
              </w:rPr>
              <w:t xml:space="preserve"> response to ESMA’s consultation on</w:t>
            </w:r>
          </w:p>
          <w:p w:rsidR="00CB67A6" w:rsidRDefault="00CB67A6" w:rsidP="00CB67A6">
            <w:pPr>
              <w:spacing w:line="276" w:lineRule="auto"/>
              <w:jc w:val="center"/>
              <w:rPr>
                <w:b/>
                <w:sz w:val="28"/>
                <w:szCs w:val="28"/>
                <w:lang w:val="en-US" w:bidi="x-none"/>
              </w:rPr>
            </w:pPr>
            <w:r>
              <w:rPr>
                <w:b/>
                <w:sz w:val="28"/>
                <w:szCs w:val="28"/>
                <w:lang w:val="en-US" w:bidi="x-none"/>
              </w:rPr>
              <w:t>Draft guidelines on anti-</w:t>
            </w:r>
            <w:proofErr w:type="spellStart"/>
            <w:r>
              <w:rPr>
                <w:b/>
                <w:sz w:val="28"/>
                <w:szCs w:val="28"/>
                <w:lang w:val="en-US" w:bidi="x-none"/>
              </w:rPr>
              <w:t>procyclicality</w:t>
            </w:r>
            <w:proofErr w:type="spellEnd"/>
            <w:r>
              <w:rPr>
                <w:b/>
                <w:sz w:val="28"/>
                <w:szCs w:val="28"/>
                <w:lang w:val="en-US" w:bidi="x-none"/>
              </w:rPr>
              <w:t xml:space="preserve"> margin measures for central counterparties.</w:t>
            </w:r>
          </w:p>
          <w:p w:rsidR="00CB67A6" w:rsidRPr="00CB67A6" w:rsidRDefault="00CB67A6" w:rsidP="00CB67A6">
            <w:pPr>
              <w:spacing w:line="276" w:lineRule="auto"/>
              <w:jc w:val="center"/>
              <w:rPr>
                <w:sz w:val="24"/>
                <w:szCs w:val="24"/>
                <w:lang w:val="en-US" w:bidi="x-none"/>
              </w:rPr>
            </w:pPr>
            <w:r>
              <w:rPr>
                <w:sz w:val="24"/>
                <w:szCs w:val="24"/>
                <w:lang w:val="en-US" w:bidi="x-none"/>
              </w:rPr>
              <w:t>(February 28, 2018)</w:t>
            </w:r>
          </w:p>
        </w:tc>
        <w:tc>
          <w:tcPr>
            <w:tcW w:w="22" w:type="dxa"/>
          </w:tcPr>
          <w:p w:rsidR="00894750" w:rsidRPr="00CB67A6" w:rsidRDefault="00894750">
            <w:pPr>
              <w:spacing w:line="216" w:lineRule="atLeast"/>
              <w:rPr>
                <w:sz w:val="18"/>
                <w:lang w:val="en-US" w:bidi="x-none"/>
              </w:rPr>
            </w:pPr>
          </w:p>
        </w:tc>
      </w:tr>
      <w:tr w:rsidR="00894750" w:rsidRPr="00CB67A6" w:rsidTr="00CB67A6">
        <w:trPr>
          <w:trHeight w:hRule="exact" w:val="200"/>
        </w:trPr>
        <w:tc>
          <w:tcPr>
            <w:tcW w:w="8386" w:type="dxa"/>
            <w:gridSpan w:val="2"/>
          </w:tcPr>
          <w:p w:rsidR="00894750" w:rsidRPr="00CB67A6" w:rsidRDefault="00894750">
            <w:pPr>
              <w:rPr>
                <w:lang w:val="en-US" w:bidi="x-none"/>
              </w:rPr>
            </w:pPr>
          </w:p>
        </w:tc>
      </w:tr>
      <w:tr w:rsidR="00894750" w:rsidRPr="00CB67A6" w:rsidTr="00CB67A6">
        <w:trPr>
          <w:trHeight w:hRule="exact" w:val="216"/>
        </w:trPr>
        <w:tc>
          <w:tcPr>
            <w:tcW w:w="8386" w:type="dxa"/>
            <w:gridSpan w:val="2"/>
          </w:tcPr>
          <w:p w:rsidR="00894750" w:rsidRPr="00CB67A6" w:rsidRDefault="00894750">
            <w:pPr>
              <w:rPr>
                <w:lang w:val="en-US" w:bidi="x-none"/>
              </w:rPr>
            </w:pPr>
          </w:p>
        </w:tc>
      </w:tr>
    </w:tbl>
    <w:p w:rsidR="00F0338F" w:rsidRPr="00F0338F" w:rsidRDefault="00F0338F" w:rsidP="00F0338F">
      <w:pPr>
        <w:rPr>
          <w:vanish/>
        </w:rPr>
      </w:pPr>
    </w:p>
    <w:tbl>
      <w:tblPr>
        <w:tblW w:w="6804" w:type="dxa"/>
        <w:tblLayout w:type="fixed"/>
        <w:tblCellMar>
          <w:left w:w="0" w:type="dxa"/>
          <w:right w:w="0" w:type="dxa"/>
        </w:tblCellMar>
        <w:tblLook w:val="00A0" w:firstRow="1" w:lastRow="0" w:firstColumn="1" w:lastColumn="0" w:noHBand="0" w:noVBand="0"/>
      </w:tblPr>
      <w:tblGrid>
        <w:gridCol w:w="6804"/>
      </w:tblGrid>
      <w:tr w:rsidR="00894750" w:rsidTr="00897CDD">
        <w:trPr>
          <w:trHeight w:hRule="exact" w:val="1560"/>
        </w:trPr>
        <w:tc>
          <w:tcPr>
            <w:tcW w:w="6804" w:type="dxa"/>
            <w:vAlign w:val="bottom"/>
          </w:tcPr>
          <w:p w:rsidR="00897CDD" w:rsidRDefault="00897CDD" w:rsidP="00897CDD">
            <w:pPr>
              <w:framePr w:w="7088" w:h="57" w:wrap="notBeside" w:vAnchor="page" w:hAnchor="page" w:x="681" w:y="14460" w:anchorLock="1"/>
              <w:spacing w:line="240" w:lineRule="auto"/>
              <w:rPr>
                <w:color w:val="00235D"/>
                <w:sz w:val="16"/>
                <w:lang w:bidi="x-none"/>
              </w:rPr>
            </w:pPr>
            <w:r w:rsidRPr="00897CDD">
              <w:rPr>
                <w:color w:val="00235D"/>
                <w:sz w:val="16"/>
                <w:lang w:bidi="x-none"/>
              </w:rPr>
              <w:t xml:space="preserve">Siège social : 90, boulevard Pasteur - 75015 Paris - France </w:t>
            </w:r>
          </w:p>
          <w:p w:rsidR="00897CDD" w:rsidRPr="00897CDD" w:rsidRDefault="00897CDD" w:rsidP="00897CDD">
            <w:pPr>
              <w:framePr w:w="7088" w:h="57" w:wrap="notBeside" w:vAnchor="page" w:hAnchor="page" w:x="681" w:y="14460" w:anchorLock="1"/>
              <w:spacing w:line="240" w:lineRule="auto"/>
              <w:rPr>
                <w:color w:val="00235D"/>
                <w:sz w:val="16"/>
                <w:lang w:bidi="x-none"/>
              </w:rPr>
            </w:pPr>
            <w:r w:rsidRPr="00897CDD">
              <w:rPr>
                <w:color w:val="00235D"/>
                <w:sz w:val="16"/>
                <w:lang w:bidi="x-none"/>
              </w:rPr>
              <w:t>Adresse postale : Amundi - 90, boulevard Pasteur - CS 21564 - 75730 Paris Cedex 15 - France</w:t>
            </w:r>
          </w:p>
          <w:p w:rsidR="00894750" w:rsidRPr="000E6929" w:rsidRDefault="00897CDD" w:rsidP="00897CDD">
            <w:pPr>
              <w:pStyle w:val="Adressepieddepage"/>
              <w:framePr w:w="7088" w:wrap="notBeside"/>
            </w:pPr>
            <w:r w:rsidRPr="00897CDD">
              <w:t>Tél. : +33 (0)1 76 33 30 30 - amundi.com</w:t>
            </w:r>
          </w:p>
          <w:p w:rsidR="00894750" w:rsidRPr="000E6929" w:rsidRDefault="00894750" w:rsidP="00897CDD">
            <w:pPr>
              <w:framePr w:w="7088" w:h="57" w:wrap="notBeside" w:vAnchor="page" w:hAnchor="page" w:x="681" w:y="14460" w:anchorLock="1"/>
              <w:spacing w:line="60" w:lineRule="exact"/>
              <w:rPr>
                <w:color w:val="00235D"/>
                <w:lang w:bidi="x-none"/>
              </w:rPr>
            </w:pPr>
          </w:p>
          <w:p w:rsidR="00894750" w:rsidRPr="000E6929" w:rsidRDefault="005B06B4" w:rsidP="00897CDD">
            <w:pPr>
              <w:pStyle w:val="Capitaletrfrences"/>
              <w:framePr w:w="7088" w:wrap="notBeside"/>
            </w:pPr>
            <w:r>
              <w:t xml:space="preserve">Société Anonyme au capital de </w:t>
            </w:r>
            <w:r w:rsidRPr="005B06B4">
              <w:t>1 086 262</w:t>
            </w:r>
            <w:r>
              <w:t> </w:t>
            </w:r>
            <w:r w:rsidRPr="005B06B4">
              <w:t>605</w:t>
            </w:r>
            <w:r>
              <w:t xml:space="preserve"> </w:t>
            </w:r>
            <w:r w:rsidR="00897CDD" w:rsidRPr="00897CDD">
              <w:t xml:space="preserve">euros - 437 574 452 </w:t>
            </w:r>
            <w:r w:rsidR="00897CDD">
              <w:t xml:space="preserve">RCS Paris - Société de Gestion </w:t>
            </w:r>
            <w:r w:rsidR="00897CDD">
              <w:br/>
            </w:r>
            <w:r w:rsidR="00897CDD" w:rsidRPr="00897CDD">
              <w:t>de Portefeuille agréée par l’AMF (Autorité des Marchés Financiers) n° GP 04000036</w:t>
            </w:r>
            <w:r w:rsidR="00894750" w:rsidRPr="000E6929">
              <w:fldChar w:fldCharType="begin">
                <w:ffData>
                  <w:name w:val="Texte43"/>
                  <w:enabled/>
                  <w:calcOnExit w:val="0"/>
                  <w:textInput>
                    <w:default w:val="."/>
                  </w:textInput>
                </w:ffData>
              </w:fldChar>
            </w:r>
            <w:bookmarkStart w:id="0" w:name="Texte43"/>
            <w:r w:rsidR="00894750" w:rsidRPr="000E6929">
              <w:instrText xml:space="preserve"> FORMTEXT </w:instrText>
            </w:r>
            <w:r w:rsidR="00894750" w:rsidRPr="000E6929">
              <w:fldChar w:fldCharType="separate"/>
            </w:r>
            <w:r w:rsidR="00894750" w:rsidRPr="000E6929">
              <w:rPr>
                <w:noProof/>
              </w:rPr>
              <w:t>.</w:t>
            </w:r>
            <w:r w:rsidR="00894750" w:rsidRPr="000E6929">
              <w:fldChar w:fldCharType="end"/>
            </w:r>
            <w:bookmarkEnd w:id="0"/>
          </w:p>
        </w:tc>
      </w:tr>
    </w:tbl>
    <w:p w:rsidR="00894750" w:rsidRDefault="00894750"/>
    <w:p w:rsidR="00894750" w:rsidRDefault="00894750">
      <w:pPr>
        <w:sectPr w:rsidR="00894750">
          <w:headerReference w:type="default" r:id="rId8"/>
          <w:footerReference w:type="default" r:id="rId9"/>
          <w:headerReference w:type="first" r:id="rId10"/>
          <w:footerReference w:type="first" r:id="rId11"/>
          <w:type w:val="continuous"/>
          <w:pgSz w:w="11906" w:h="16838"/>
          <w:pgMar w:top="680" w:right="680" w:bottom="851" w:left="2852" w:header="567" w:footer="567" w:gutter="0"/>
          <w:cols w:space="709"/>
          <w:titlePg/>
        </w:sectPr>
      </w:pPr>
    </w:p>
    <w:p w:rsidR="002A6896" w:rsidRDefault="00CB67A6" w:rsidP="0098580A">
      <w:pPr>
        <w:spacing w:after="120" w:line="276" w:lineRule="auto"/>
        <w:jc w:val="both"/>
        <w:rPr>
          <w:sz w:val="21"/>
          <w:szCs w:val="21"/>
          <w:lang w:val="en-US"/>
        </w:rPr>
      </w:pPr>
      <w:r w:rsidRPr="00CB67A6">
        <w:rPr>
          <w:sz w:val="21"/>
          <w:szCs w:val="21"/>
          <w:lang w:val="en-US"/>
        </w:rPr>
        <w:lastRenderedPageBreak/>
        <w:t xml:space="preserve">As an asset manager, Amundi is not </w:t>
      </w:r>
      <w:r>
        <w:rPr>
          <w:sz w:val="21"/>
          <w:szCs w:val="21"/>
          <w:lang w:val="en-US"/>
        </w:rPr>
        <w:t xml:space="preserve">equally </w:t>
      </w:r>
      <w:r w:rsidRPr="00CB67A6">
        <w:rPr>
          <w:sz w:val="21"/>
          <w:szCs w:val="21"/>
          <w:lang w:val="en-US"/>
        </w:rPr>
        <w:t xml:space="preserve">concerned by all the provisions held in the proposed guidelines. </w:t>
      </w:r>
      <w:r>
        <w:rPr>
          <w:sz w:val="21"/>
          <w:szCs w:val="21"/>
          <w:lang w:val="en-US"/>
        </w:rPr>
        <w:t xml:space="preserve">We do agree with the general intent to </w:t>
      </w:r>
      <w:r w:rsidR="0098580A">
        <w:rPr>
          <w:sz w:val="21"/>
          <w:szCs w:val="21"/>
          <w:lang w:val="en-US"/>
        </w:rPr>
        <w:t>enhance</w:t>
      </w:r>
      <w:r>
        <w:rPr>
          <w:sz w:val="21"/>
          <w:szCs w:val="21"/>
          <w:lang w:val="en-US"/>
        </w:rPr>
        <w:t xml:space="preserve"> financial stability and consider that </w:t>
      </w:r>
      <w:proofErr w:type="spellStart"/>
      <w:r>
        <w:rPr>
          <w:sz w:val="21"/>
          <w:szCs w:val="21"/>
          <w:lang w:val="en-US"/>
        </w:rPr>
        <w:t>harmonising</w:t>
      </w:r>
      <w:proofErr w:type="spellEnd"/>
      <w:r>
        <w:rPr>
          <w:sz w:val="21"/>
          <w:szCs w:val="21"/>
          <w:lang w:val="en-US"/>
        </w:rPr>
        <w:t xml:space="preserve"> APC margin measures of CCPs participates to this global goal. </w:t>
      </w:r>
    </w:p>
    <w:p w:rsidR="00CB67A6" w:rsidRDefault="00CB67A6" w:rsidP="0098580A">
      <w:pPr>
        <w:spacing w:after="120" w:line="276" w:lineRule="auto"/>
        <w:jc w:val="both"/>
        <w:rPr>
          <w:sz w:val="21"/>
          <w:szCs w:val="21"/>
          <w:lang w:val="en-US"/>
        </w:rPr>
      </w:pPr>
      <w:r>
        <w:rPr>
          <w:sz w:val="21"/>
          <w:szCs w:val="21"/>
          <w:lang w:val="en-US"/>
        </w:rPr>
        <w:t>Our key concern and only comment is to ensure that end users of CCPs have a total transparency on the margin</w:t>
      </w:r>
      <w:r w:rsidR="0098580A">
        <w:rPr>
          <w:sz w:val="21"/>
          <w:szCs w:val="21"/>
          <w:lang w:val="en-US"/>
        </w:rPr>
        <w:t xml:space="preserve"> calculation</w:t>
      </w:r>
      <w:r>
        <w:rPr>
          <w:sz w:val="21"/>
          <w:szCs w:val="21"/>
          <w:lang w:val="en-US"/>
        </w:rPr>
        <w:t xml:space="preserve"> changes that CCPs may decide. Investors should not suffer from unexpected sudden margin changes</w:t>
      </w:r>
      <w:r w:rsidR="00ED53CC">
        <w:rPr>
          <w:sz w:val="21"/>
          <w:szCs w:val="21"/>
          <w:lang w:val="en-US"/>
        </w:rPr>
        <w:t xml:space="preserve"> and should be given sufficient advance warning. Predictability that is foreseen in </w:t>
      </w:r>
      <w:proofErr w:type="spellStart"/>
      <w:r w:rsidR="00ED53CC">
        <w:rPr>
          <w:sz w:val="21"/>
          <w:szCs w:val="21"/>
          <w:lang w:val="en-US"/>
        </w:rPr>
        <w:t>favour</w:t>
      </w:r>
      <w:proofErr w:type="spellEnd"/>
      <w:r w:rsidR="00ED53CC">
        <w:rPr>
          <w:sz w:val="21"/>
          <w:szCs w:val="21"/>
          <w:lang w:val="en-US"/>
        </w:rPr>
        <w:t xml:space="preserve"> of CCP Members should extend to end users and clients of the Clearing Members. </w:t>
      </w:r>
    </w:p>
    <w:p w:rsidR="00ED53CC" w:rsidRDefault="00ED53CC" w:rsidP="00CB67A6">
      <w:pPr>
        <w:spacing w:line="276" w:lineRule="auto"/>
        <w:jc w:val="both"/>
        <w:rPr>
          <w:sz w:val="21"/>
          <w:szCs w:val="21"/>
          <w:lang w:val="en-US"/>
        </w:rPr>
      </w:pPr>
      <w:r>
        <w:rPr>
          <w:sz w:val="21"/>
          <w:szCs w:val="21"/>
          <w:lang w:val="en-US"/>
        </w:rPr>
        <w:t>We therefore want to make the point of transparency in answering to question 8.</w:t>
      </w:r>
    </w:p>
    <w:p w:rsidR="00ED53CC" w:rsidRDefault="00ED53CC" w:rsidP="00CB67A6">
      <w:pPr>
        <w:spacing w:line="276" w:lineRule="auto"/>
        <w:jc w:val="both"/>
        <w:rPr>
          <w:sz w:val="21"/>
          <w:szCs w:val="21"/>
          <w:lang w:val="en-US"/>
        </w:rPr>
      </w:pPr>
    </w:p>
    <w:p w:rsidR="00ED53CC" w:rsidRDefault="00ED53CC" w:rsidP="00CB67A6">
      <w:pPr>
        <w:spacing w:line="276" w:lineRule="auto"/>
        <w:jc w:val="both"/>
        <w:rPr>
          <w:b/>
          <w:sz w:val="21"/>
          <w:szCs w:val="21"/>
          <w:lang w:val="en-US"/>
        </w:rPr>
      </w:pPr>
      <w:r>
        <w:rPr>
          <w:b/>
          <w:sz w:val="21"/>
          <w:szCs w:val="21"/>
          <w:lang w:val="en-US"/>
        </w:rPr>
        <w:t>Question 8: Do you consider it appropriate for CCPs to disclose information on the margin models and the parameters used therein to facilitate the replication of margin calculations and improve the predictability of margins for clearing participants ?</w:t>
      </w:r>
    </w:p>
    <w:p w:rsidR="00ED53CC" w:rsidRDefault="00ED53CC" w:rsidP="00CB67A6">
      <w:pPr>
        <w:spacing w:line="276" w:lineRule="auto"/>
        <w:jc w:val="both"/>
        <w:rPr>
          <w:b/>
          <w:sz w:val="21"/>
          <w:szCs w:val="21"/>
          <w:lang w:val="en-US"/>
        </w:rPr>
      </w:pPr>
    </w:p>
    <w:p w:rsidR="00ED53CC" w:rsidRDefault="00ED53CC" w:rsidP="00B2617D">
      <w:pPr>
        <w:spacing w:after="120" w:line="276" w:lineRule="auto"/>
        <w:jc w:val="both"/>
        <w:rPr>
          <w:sz w:val="21"/>
          <w:szCs w:val="21"/>
          <w:lang w:val="en-US"/>
        </w:rPr>
      </w:pPr>
      <w:r>
        <w:rPr>
          <w:sz w:val="21"/>
          <w:szCs w:val="21"/>
          <w:lang w:val="en-US"/>
        </w:rPr>
        <w:t>Yes, Amundi strongly support</w:t>
      </w:r>
      <w:r w:rsidR="00B2617D">
        <w:rPr>
          <w:sz w:val="21"/>
          <w:szCs w:val="21"/>
          <w:lang w:val="en-US"/>
        </w:rPr>
        <w:t>s</w:t>
      </w:r>
      <w:r>
        <w:rPr>
          <w:sz w:val="21"/>
          <w:szCs w:val="21"/>
          <w:lang w:val="en-US"/>
        </w:rPr>
        <w:t xml:space="preserve"> the wording of guideline 6 when it requires CCPs to “publicly disclose the parameters and information on the model used in the calculation of margin requirements”. In our view users of the services provided by a CCP should not be in position where they do not master the functioning of the CCP. It would make participants</w:t>
      </w:r>
      <w:r w:rsidR="00B2617D">
        <w:rPr>
          <w:sz w:val="21"/>
          <w:szCs w:val="21"/>
          <w:lang w:val="en-US"/>
        </w:rPr>
        <w:t xml:space="preserve"> look</w:t>
      </w:r>
      <w:r>
        <w:rPr>
          <w:sz w:val="21"/>
          <w:szCs w:val="21"/>
          <w:lang w:val="en-US"/>
        </w:rPr>
        <w:t xml:space="preserve"> passive and would reduce the</w:t>
      </w:r>
      <w:r w:rsidR="00B2617D">
        <w:rPr>
          <w:sz w:val="21"/>
          <w:szCs w:val="21"/>
          <w:lang w:val="en-US"/>
        </w:rPr>
        <w:t>ir</w:t>
      </w:r>
      <w:r>
        <w:rPr>
          <w:sz w:val="21"/>
          <w:szCs w:val="21"/>
          <w:lang w:val="en-US"/>
        </w:rPr>
        <w:t xml:space="preserve"> adhesion to the positive </w:t>
      </w:r>
      <w:r w:rsidR="00B2617D">
        <w:rPr>
          <w:sz w:val="21"/>
          <w:szCs w:val="21"/>
          <w:lang w:val="en-US"/>
        </w:rPr>
        <w:t xml:space="preserve">benefits of the clearing mechanism, be it an obligation or spontaneous decision for them to use it. Of course not all asset managers, if any, will want to recalculate margin calls daily. But the fact that it will be possible to double check and challenge what the Clearing Member has called for is essential to build a strong and confident relationship. </w:t>
      </w:r>
    </w:p>
    <w:p w:rsidR="00B2617D" w:rsidRDefault="00B2617D" w:rsidP="00CB67A6">
      <w:pPr>
        <w:spacing w:line="276" w:lineRule="auto"/>
        <w:jc w:val="both"/>
        <w:rPr>
          <w:sz w:val="21"/>
          <w:szCs w:val="21"/>
          <w:lang w:val="en-US"/>
        </w:rPr>
      </w:pPr>
      <w:r>
        <w:rPr>
          <w:sz w:val="21"/>
          <w:szCs w:val="21"/>
          <w:lang w:val="en-US"/>
        </w:rPr>
        <w:t xml:space="preserve">We also see very positively the mention at the end of the guideline that participants would be able to anticipate “big-stepped margin revisions”. Typically, those occur in times of stressed market conditions when liquidity adjustments become more difficult to </w:t>
      </w:r>
      <w:proofErr w:type="spellStart"/>
      <w:r>
        <w:rPr>
          <w:sz w:val="21"/>
          <w:szCs w:val="21"/>
          <w:lang w:val="en-US"/>
        </w:rPr>
        <w:t>realise</w:t>
      </w:r>
      <w:proofErr w:type="spellEnd"/>
      <w:r>
        <w:rPr>
          <w:sz w:val="21"/>
          <w:szCs w:val="21"/>
          <w:lang w:val="en-US"/>
        </w:rPr>
        <w:t xml:space="preserve"> immediately. Predictability is of the essence of financial stability under those circumstances.</w:t>
      </w:r>
    </w:p>
    <w:p w:rsidR="0098580A" w:rsidRDefault="0098580A" w:rsidP="00CB67A6">
      <w:pPr>
        <w:spacing w:line="276" w:lineRule="auto"/>
        <w:jc w:val="both"/>
        <w:rPr>
          <w:sz w:val="21"/>
          <w:szCs w:val="21"/>
          <w:lang w:val="en-US"/>
        </w:rPr>
      </w:pPr>
    </w:p>
    <w:p w:rsidR="0098580A" w:rsidRDefault="0098580A" w:rsidP="00CB67A6">
      <w:pPr>
        <w:spacing w:line="276" w:lineRule="auto"/>
        <w:jc w:val="both"/>
        <w:rPr>
          <w:i/>
          <w:sz w:val="21"/>
          <w:szCs w:val="21"/>
          <w:u w:val="single"/>
          <w:lang w:val="en-US"/>
        </w:rPr>
      </w:pPr>
      <w:r w:rsidRPr="0098580A">
        <w:rPr>
          <w:i/>
          <w:sz w:val="21"/>
          <w:szCs w:val="21"/>
          <w:u w:val="single"/>
          <w:lang w:val="en-US"/>
        </w:rPr>
        <w:t>Contact at Amundi :</w:t>
      </w:r>
    </w:p>
    <w:p w:rsidR="0098580A" w:rsidRPr="0098580A" w:rsidRDefault="0098580A" w:rsidP="00CB67A6">
      <w:pPr>
        <w:spacing w:line="276" w:lineRule="auto"/>
        <w:jc w:val="both"/>
        <w:rPr>
          <w:sz w:val="21"/>
          <w:szCs w:val="21"/>
        </w:rPr>
      </w:pPr>
      <w:r w:rsidRPr="0098580A">
        <w:rPr>
          <w:sz w:val="21"/>
          <w:szCs w:val="21"/>
        </w:rPr>
        <w:t xml:space="preserve">Frédéric Bompaire, Public </w:t>
      </w:r>
      <w:proofErr w:type="spellStart"/>
      <w:r w:rsidRPr="0098580A">
        <w:rPr>
          <w:sz w:val="21"/>
          <w:szCs w:val="21"/>
        </w:rPr>
        <w:t>Affairs</w:t>
      </w:r>
      <w:proofErr w:type="spellEnd"/>
      <w:r w:rsidRPr="0098580A">
        <w:rPr>
          <w:sz w:val="21"/>
          <w:szCs w:val="21"/>
        </w:rPr>
        <w:br/>
      </w:r>
      <w:hyperlink r:id="rId12" w:history="1">
        <w:r w:rsidR="00D92168" w:rsidRPr="00641589">
          <w:rPr>
            <w:rStyle w:val="Lienhypertexte"/>
            <w:sz w:val="21"/>
            <w:szCs w:val="21"/>
          </w:rPr>
          <w:t>frederic.bompaire@amundi.com</w:t>
        </w:r>
      </w:hyperlink>
      <w:r w:rsidRPr="0098580A">
        <w:rPr>
          <w:sz w:val="21"/>
          <w:szCs w:val="21"/>
        </w:rPr>
        <w:br/>
      </w:r>
      <w:r>
        <w:rPr>
          <w:sz w:val="21"/>
          <w:szCs w:val="21"/>
        </w:rPr>
        <w:t>Tél : 01 7637 9144</w:t>
      </w:r>
      <w:bookmarkStart w:id="1" w:name="_GoBack"/>
      <w:bookmarkEnd w:id="1"/>
    </w:p>
    <w:sectPr w:rsidR="0098580A" w:rsidRPr="0098580A" w:rsidSect="00CB67A6">
      <w:type w:val="continuous"/>
      <w:pgSz w:w="11906" w:h="16838"/>
      <w:pgMar w:top="1701" w:right="1418" w:bottom="1701" w:left="1418" w:header="567" w:footer="567" w:gutter="0"/>
      <w:cols w:space="709"/>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A6" w:rsidRDefault="00CB67A6">
      <w:r>
        <w:separator/>
      </w:r>
    </w:p>
  </w:endnote>
  <w:endnote w:type="continuationSeparator" w:id="0">
    <w:p w:rsidR="00CB67A6" w:rsidRDefault="00CB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p w:rsidR="00894750" w:rsidRDefault="00894750">
    <w:pPr>
      <w:pStyle w:val="Pieddepage"/>
      <w:tabs>
        <w:tab w:val="clear" w:pos="4536"/>
        <w:tab w:val="clear" w:pos="9072"/>
      </w:tabs>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A6" w:rsidRDefault="00CB67A6">
      <w:r>
        <w:separator/>
      </w:r>
    </w:p>
  </w:footnote>
  <w:footnote w:type="continuationSeparator" w:id="0">
    <w:p w:rsidR="00CB67A6" w:rsidRDefault="00CB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50" w:rsidRDefault="002A6896">
    <w:pPr>
      <w:pStyle w:val="En-tte"/>
      <w:tabs>
        <w:tab w:val="clear" w:pos="4536"/>
        <w:tab w:val="clear" w:pos="9072"/>
      </w:tabs>
      <w:spacing w:line="240" w:lineRule="exact"/>
    </w:pPr>
    <w:r>
      <w:rPr>
        <w:noProof/>
        <w:lang w:val="en-US" w:eastAsia="zh-TW"/>
      </w:rPr>
      <w:drawing>
        <wp:anchor distT="0" distB="0" distL="114300" distR="114300" simplePos="0" relativeHeight="251662336" behindDoc="1" locked="0" layoutInCell="1" allowOverlap="1" wp14:anchorId="06B95238" wp14:editId="0E93F468">
          <wp:simplePos x="0" y="0"/>
          <wp:positionH relativeFrom="page">
            <wp:posOffset>280670</wp:posOffset>
          </wp:positionH>
          <wp:positionV relativeFrom="page">
            <wp:posOffset>259080</wp:posOffset>
          </wp:positionV>
          <wp:extent cx="1248410" cy="565785"/>
          <wp:effectExtent l="0" t="0" r="0" b="0"/>
          <wp:wrapThrough wrapText="bothSides">
            <wp:wrapPolygon edited="0">
              <wp:start x="0" y="0"/>
              <wp:lineTo x="0" y="20364"/>
              <wp:lineTo x="21095" y="20364"/>
              <wp:lineTo x="21095" y="0"/>
              <wp:lineTo x="0" y="0"/>
            </wp:wrapPolygon>
          </wp:wrapThrough>
          <wp:docPr id="66" name="Image 66" descr="Amundi_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mundi_co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50" w:rsidRDefault="00897CDD">
    <w:pPr>
      <w:pStyle w:val="En-tte"/>
      <w:tabs>
        <w:tab w:val="clear" w:pos="4536"/>
        <w:tab w:val="clear" w:pos="9072"/>
      </w:tabs>
      <w:spacing w:line="240" w:lineRule="exact"/>
    </w:pPr>
    <w:r>
      <w:rPr>
        <w:noProof/>
        <w:lang w:val="en-US" w:eastAsia="zh-TW"/>
      </w:rPr>
      <w:drawing>
        <wp:anchor distT="0" distB="0" distL="114300" distR="114300" simplePos="0" relativeHeight="251660288" behindDoc="1" locked="0" layoutInCell="1" allowOverlap="1">
          <wp:simplePos x="0" y="0"/>
          <wp:positionH relativeFrom="page">
            <wp:posOffset>230505</wp:posOffset>
          </wp:positionH>
          <wp:positionV relativeFrom="page">
            <wp:posOffset>338455</wp:posOffset>
          </wp:positionV>
          <wp:extent cx="1764030" cy="799465"/>
          <wp:effectExtent l="0" t="0" r="0" b="0"/>
          <wp:wrapNone/>
          <wp:docPr id="4" name="Image 9" descr="Description : Amundi_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Amundi_co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3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240" w:lineRule="exact"/>
    </w:pPr>
  </w:p>
  <w:p w:rsidR="00894750" w:rsidRDefault="00894750">
    <w:pPr>
      <w:pStyle w:val="En-tte"/>
      <w:tabs>
        <w:tab w:val="clear" w:pos="4536"/>
        <w:tab w:val="clear" w:pos="9072"/>
      </w:tabs>
      <w:spacing w:line="19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665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revisionView w:inkAnnotation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95"/>
    <w:rsid w:val="000C105E"/>
    <w:rsid w:val="000C79F0"/>
    <w:rsid w:val="000E6929"/>
    <w:rsid w:val="0014520A"/>
    <w:rsid w:val="002250CE"/>
    <w:rsid w:val="002A6896"/>
    <w:rsid w:val="002B182A"/>
    <w:rsid w:val="002B6B9B"/>
    <w:rsid w:val="00415CB0"/>
    <w:rsid w:val="00422F6C"/>
    <w:rsid w:val="004C5DB8"/>
    <w:rsid w:val="00536081"/>
    <w:rsid w:val="00556337"/>
    <w:rsid w:val="005B06B4"/>
    <w:rsid w:val="00770E95"/>
    <w:rsid w:val="007D135B"/>
    <w:rsid w:val="00894750"/>
    <w:rsid w:val="00897CDD"/>
    <w:rsid w:val="0098580A"/>
    <w:rsid w:val="00B2617D"/>
    <w:rsid w:val="00BB541B"/>
    <w:rsid w:val="00C32D2F"/>
    <w:rsid w:val="00CB67A6"/>
    <w:rsid w:val="00D92168"/>
    <w:rsid w:val="00EB25F9"/>
    <w:rsid w:val="00ED53CC"/>
    <w:rsid w:val="00F0338F"/>
    <w:rsid w:val="00F3106C"/>
    <w:rsid w:val="00F57883"/>
    <w:rsid w:val="00FE33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Signature">
    <w:name w:val="Signature"/>
    <w:basedOn w:val="Normal"/>
    <w:pPr>
      <w:ind w:left="4004"/>
    </w:pPr>
  </w:style>
  <w:style w:type="paragraph" w:customStyle="1" w:styleId="Nomdelafiliale">
    <w:name w:val="Nom de la filiale"/>
    <w:basedOn w:val="Normal"/>
    <w:rsid w:val="007E7A2A"/>
    <w:pPr>
      <w:framePr w:w="6237" w:h="57" w:wrap="notBeside" w:vAnchor="page" w:hAnchor="page" w:x="681" w:y="14856"/>
      <w:spacing w:line="216" w:lineRule="exact"/>
    </w:pPr>
    <w:rPr>
      <w:b/>
      <w:sz w:val="18"/>
    </w:rPr>
  </w:style>
  <w:style w:type="paragraph" w:customStyle="1" w:styleId="Adressepieddepage">
    <w:name w:val="Adresse pied de page"/>
    <w:basedOn w:val="Normal"/>
    <w:rsid w:val="00A40595"/>
    <w:pPr>
      <w:framePr w:w="6521" w:h="57" w:wrap="notBeside" w:vAnchor="page" w:hAnchor="page" w:x="681" w:y="14460" w:anchorLock="1"/>
      <w:spacing w:line="192" w:lineRule="exact"/>
    </w:pPr>
    <w:rPr>
      <w:color w:val="00235D"/>
      <w:sz w:val="16"/>
    </w:rPr>
  </w:style>
  <w:style w:type="paragraph" w:customStyle="1" w:styleId="Capitaletrfrences">
    <w:name w:val="Capital et références"/>
    <w:basedOn w:val="Adressepieddepage"/>
    <w:rsid w:val="007E7A2A"/>
    <w:pPr>
      <w:framePr w:wrap="notBeside"/>
      <w:spacing w:line="168" w:lineRule="exact"/>
    </w:pPr>
    <w:rPr>
      <w:sz w:val="14"/>
    </w:rPr>
  </w:style>
  <w:style w:type="character" w:customStyle="1" w:styleId="apple-converted-space">
    <w:name w:val="apple-converted-space"/>
    <w:basedOn w:val="Policepardfaut"/>
    <w:rsid w:val="002B182A"/>
  </w:style>
  <w:style w:type="character" w:styleId="Lienhypertexte">
    <w:name w:val="Hyperlink"/>
    <w:basedOn w:val="Policepardfaut"/>
    <w:rsid w:val="009858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Signature">
    <w:name w:val="Signature"/>
    <w:basedOn w:val="Normal"/>
    <w:pPr>
      <w:ind w:left="4004"/>
    </w:pPr>
  </w:style>
  <w:style w:type="paragraph" w:customStyle="1" w:styleId="Nomdelafiliale">
    <w:name w:val="Nom de la filiale"/>
    <w:basedOn w:val="Normal"/>
    <w:rsid w:val="007E7A2A"/>
    <w:pPr>
      <w:framePr w:w="6237" w:h="57" w:wrap="notBeside" w:vAnchor="page" w:hAnchor="page" w:x="681" w:y="14856"/>
      <w:spacing w:line="216" w:lineRule="exact"/>
    </w:pPr>
    <w:rPr>
      <w:b/>
      <w:sz w:val="18"/>
    </w:rPr>
  </w:style>
  <w:style w:type="paragraph" w:customStyle="1" w:styleId="Adressepieddepage">
    <w:name w:val="Adresse pied de page"/>
    <w:basedOn w:val="Normal"/>
    <w:rsid w:val="00A40595"/>
    <w:pPr>
      <w:framePr w:w="6521" w:h="57" w:wrap="notBeside" w:vAnchor="page" w:hAnchor="page" w:x="681" w:y="14460" w:anchorLock="1"/>
      <w:spacing w:line="192" w:lineRule="exact"/>
    </w:pPr>
    <w:rPr>
      <w:color w:val="00235D"/>
      <w:sz w:val="16"/>
    </w:rPr>
  </w:style>
  <w:style w:type="paragraph" w:customStyle="1" w:styleId="Capitaletrfrences">
    <w:name w:val="Capital et références"/>
    <w:basedOn w:val="Adressepieddepage"/>
    <w:rsid w:val="007E7A2A"/>
    <w:pPr>
      <w:framePr w:wrap="notBeside"/>
      <w:spacing w:line="168" w:lineRule="exact"/>
    </w:pPr>
    <w:rPr>
      <w:sz w:val="14"/>
    </w:rPr>
  </w:style>
  <w:style w:type="character" w:customStyle="1" w:styleId="apple-converted-space">
    <w:name w:val="apple-converted-space"/>
    <w:basedOn w:val="Policepardfaut"/>
    <w:rsid w:val="002B182A"/>
  </w:style>
  <w:style w:type="character" w:styleId="Lienhypertexte">
    <w:name w:val="Hyperlink"/>
    <w:basedOn w:val="Policepardfaut"/>
    <w:rsid w:val="00985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64784">
      <w:bodyDiv w:val="1"/>
      <w:marLeft w:val="0"/>
      <w:marRight w:val="0"/>
      <w:marTop w:val="0"/>
      <w:marBottom w:val="0"/>
      <w:divBdr>
        <w:top w:val="none" w:sz="0" w:space="0" w:color="auto"/>
        <w:left w:val="none" w:sz="0" w:space="0" w:color="auto"/>
        <w:bottom w:val="none" w:sz="0" w:space="0" w:color="auto"/>
        <w:right w:val="none" w:sz="0" w:space="0" w:color="auto"/>
      </w:divBdr>
      <w:divsChild>
        <w:div w:id="772701419">
          <w:marLeft w:val="0"/>
          <w:marRight w:val="0"/>
          <w:marTop w:val="0"/>
          <w:marBottom w:val="0"/>
          <w:divBdr>
            <w:top w:val="none" w:sz="0" w:space="0" w:color="auto"/>
            <w:left w:val="none" w:sz="0" w:space="0" w:color="auto"/>
            <w:bottom w:val="none" w:sz="0" w:space="0" w:color="auto"/>
            <w:right w:val="none" w:sz="0" w:space="0" w:color="auto"/>
          </w:divBdr>
          <w:divsChild>
            <w:div w:id="1242058572">
              <w:marLeft w:val="0"/>
              <w:marRight w:val="0"/>
              <w:marTop w:val="0"/>
              <w:marBottom w:val="0"/>
              <w:divBdr>
                <w:top w:val="none" w:sz="0" w:space="0" w:color="auto"/>
                <w:left w:val="none" w:sz="0" w:space="0" w:color="auto"/>
                <w:bottom w:val="none" w:sz="0" w:space="0" w:color="auto"/>
                <w:right w:val="none" w:sz="0" w:space="0" w:color="auto"/>
              </w:divBdr>
              <w:divsChild>
                <w:div w:id="1109012625">
                  <w:marLeft w:val="0"/>
                  <w:marRight w:val="0"/>
                  <w:marTop w:val="0"/>
                  <w:marBottom w:val="0"/>
                  <w:divBdr>
                    <w:top w:val="none" w:sz="0" w:space="0" w:color="auto"/>
                    <w:left w:val="none" w:sz="0" w:space="0" w:color="auto"/>
                    <w:bottom w:val="none" w:sz="0" w:space="0" w:color="auto"/>
                    <w:right w:val="none" w:sz="0" w:space="0" w:color="auto"/>
                  </w:divBdr>
                  <w:divsChild>
                    <w:div w:id="1804420496">
                      <w:marLeft w:val="0"/>
                      <w:marRight w:val="0"/>
                      <w:marTop w:val="0"/>
                      <w:marBottom w:val="0"/>
                      <w:divBdr>
                        <w:top w:val="none" w:sz="0" w:space="0" w:color="auto"/>
                        <w:left w:val="none" w:sz="0" w:space="0" w:color="auto"/>
                        <w:bottom w:val="none" w:sz="0" w:space="0" w:color="auto"/>
                        <w:right w:val="none" w:sz="0" w:space="0" w:color="auto"/>
                      </w:divBdr>
                      <w:divsChild>
                        <w:div w:id="608009628">
                          <w:marLeft w:val="0"/>
                          <w:marRight w:val="0"/>
                          <w:marTop w:val="0"/>
                          <w:marBottom w:val="0"/>
                          <w:divBdr>
                            <w:top w:val="none" w:sz="0" w:space="0" w:color="auto"/>
                            <w:left w:val="none" w:sz="0" w:space="0" w:color="auto"/>
                            <w:bottom w:val="none" w:sz="0" w:space="0" w:color="auto"/>
                            <w:right w:val="none" w:sz="0" w:space="0" w:color="auto"/>
                          </w:divBdr>
                          <w:divsChild>
                            <w:div w:id="10994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52125">
          <w:marLeft w:val="0"/>
          <w:marRight w:val="0"/>
          <w:marTop w:val="0"/>
          <w:marBottom w:val="0"/>
          <w:divBdr>
            <w:top w:val="none" w:sz="0" w:space="0" w:color="auto"/>
            <w:left w:val="none" w:sz="0" w:space="0" w:color="auto"/>
            <w:bottom w:val="none" w:sz="0" w:space="0" w:color="auto"/>
            <w:right w:val="none" w:sz="0" w:space="0" w:color="auto"/>
          </w:divBdr>
          <w:divsChild>
            <w:div w:id="665942496">
              <w:marLeft w:val="0"/>
              <w:marRight w:val="0"/>
              <w:marTop w:val="0"/>
              <w:marBottom w:val="0"/>
              <w:divBdr>
                <w:top w:val="none" w:sz="0" w:space="0" w:color="auto"/>
                <w:left w:val="none" w:sz="0" w:space="0" w:color="auto"/>
                <w:bottom w:val="none" w:sz="0" w:space="0" w:color="auto"/>
                <w:right w:val="none" w:sz="0" w:space="0" w:color="auto"/>
              </w:divBdr>
              <w:divsChild>
                <w:div w:id="1215698479">
                  <w:marLeft w:val="0"/>
                  <w:marRight w:val="0"/>
                  <w:marTop w:val="0"/>
                  <w:marBottom w:val="0"/>
                  <w:divBdr>
                    <w:top w:val="none" w:sz="0" w:space="0" w:color="auto"/>
                    <w:left w:val="none" w:sz="0" w:space="0" w:color="auto"/>
                    <w:bottom w:val="none" w:sz="0" w:space="0" w:color="auto"/>
                    <w:right w:val="none" w:sz="0" w:space="0" w:color="auto"/>
                  </w:divBdr>
                  <w:divsChild>
                    <w:div w:id="1984235506">
                      <w:marLeft w:val="0"/>
                      <w:marRight w:val="0"/>
                      <w:marTop w:val="0"/>
                      <w:marBottom w:val="0"/>
                      <w:divBdr>
                        <w:top w:val="none" w:sz="0" w:space="0" w:color="auto"/>
                        <w:left w:val="none" w:sz="0" w:space="0" w:color="auto"/>
                        <w:bottom w:val="none" w:sz="0" w:space="0" w:color="auto"/>
                        <w:right w:val="none" w:sz="0" w:space="0" w:color="auto"/>
                      </w:divBdr>
                      <w:divsChild>
                        <w:div w:id="965623502">
                          <w:marLeft w:val="0"/>
                          <w:marRight w:val="0"/>
                          <w:marTop w:val="0"/>
                          <w:marBottom w:val="0"/>
                          <w:divBdr>
                            <w:top w:val="none" w:sz="0" w:space="0" w:color="auto"/>
                            <w:left w:val="none" w:sz="0" w:space="0" w:color="auto"/>
                            <w:bottom w:val="none" w:sz="0" w:space="0" w:color="auto"/>
                            <w:right w:val="none" w:sz="0" w:space="0" w:color="auto"/>
                          </w:divBdr>
                          <w:divsChild>
                            <w:div w:id="18167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9079">
          <w:marLeft w:val="0"/>
          <w:marRight w:val="0"/>
          <w:marTop w:val="0"/>
          <w:marBottom w:val="0"/>
          <w:divBdr>
            <w:top w:val="none" w:sz="0" w:space="0" w:color="auto"/>
            <w:left w:val="none" w:sz="0" w:space="0" w:color="auto"/>
            <w:bottom w:val="none" w:sz="0" w:space="0" w:color="auto"/>
            <w:right w:val="none" w:sz="0" w:space="0" w:color="auto"/>
          </w:divBdr>
          <w:divsChild>
            <w:div w:id="1062294013">
              <w:marLeft w:val="0"/>
              <w:marRight w:val="0"/>
              <w:marTop w:val="0"/>
              <w:marBottom w:val="0"/>
              <w:divBdr>
                <w:top w:val="none" w:sz="0" w:space="0" w:color="auto"/>
                <w:left w:val="none" w:sz="0" w:space="0" w:color="auto"/>
                <w:bottom w:val="none" w:sz="0" w:space="0" w:color="auto"/>
                <w:right w:val="none" w:sz="0" w:space="0" w:color="auto"/>
              </w:divBdr>
              <w:divsChild>
                <w:div w:id="233856595">
                  <w:marLeft w:val="0"/>
                  <w:marRight w:val="0"/>
                  <w:marTop w:val="0"/>
                  <w:marBottom w:val="0"/>
                  <w:divBdr>
                    <w:top w:val="none" w:sz="0" w:space="0" w:color="auto"/>
                    <w:left w:val="none" w:sz="0" w:space="0" w:color="auto"/>
                    <w:bottom w:val="none" w:sz="0" w:space="0" w:color="auto"/>
                    <w:right w:val="none" w:sz="0" w:space="0" w:color="auto"/>
                  </w:divBdr>
                  <w:divsChild>
                    <w:div w:id="769620120">
                      <w:marLeft w:val="0"/>
                      <w:marRight w:val="0"/>
                      <w:marTop w:val="0"/>
                      <w:marBottom w:val="0"/>
                      <w:divBdr>
                        <w:top w:val="none" w:sz="0" w:space="0" w:color="auto"/>
                        <w:left w:val="none" w:sz="0" w:space="0" w:color="auto"/>
                        <w:bottom w:val="none" w:sz="0" w:space="0" w:color="auto"/>
                        <w:right w:val="none" w:sz="0" w:space="0" w:color="auto"/>
                      </w:divBdr>
                      <w:divsChild>
                        <w:div w:id="665135838">
                          <w:marLeft w:val="0"/>
                          <w:marRight w:val="0"/>
                          <w:marTop w:val="0"/>
                          <w:marBottom w:val="0"/>
                          <w:divBdr>
                            <w:top w:val="none" w:sz="0" w:space="0" w:color="auto"/>
                            <w:left w:val="none" w:sz="0" w:space="0" w:color="auto"/>
                            <w:bottom w:val="none" w:sz="0" w:space="0" w:color="auto"/>
                            <w:right w:val="none" w:sz="0" w:space="0" w:color="auto"/>
                          </w:divBdr>
                          <w:divsChild>
                            <w:div w:id="2036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rederic.bompaire@amund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2378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AMUNDI</vt:lpstr>
    </vt:vector>
  </TitlesOfParts>
  <Company>AMUNDI-ITS</Company>
  <LinksUpToDate>false</LinksUpToDate>
  <CharactersWithSpaces>2817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AMUNDI</dc:title>
  <dc:creator>bompaire</dc:creator>
  <cp:lastModifiedBy>bompaire</cp:lastModifiedBy>
  <cp:revision>4</cp:revision>
  <cp:lastPrinted>1900-12-31T23:50:00Z</cp:lastPrinted>
  <dcterms:created xsi:type="dcterms:W3CDTF">2018-02-28T15:30:00Z</dcterms:created>
  <dcterms:modified xsi:type="dcterms:W3CDTF">2018-02-28T15:32:00Z</dcterms:modified>
</cp:coreProperties>
</file>