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C2094B" w:rsidRPr="00583885" w:rsidRDefault="00A52EBB" w:rsidP="00431B0A">
            <w:pPr>
              <w:pStyle w:val="Footer"/>
              <w:rPr>
                <w:rFonts w:cs="Arial"/>
                <w:sz w:val="22"/>
                <w:szCs w:val="22"/>
              </w:rPr>
            </w:pPr>
            <w:bookmarkStart w:id="0" w:name="_GoBack"/>
            <w:bookmarkEnd w:id="0"/>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431B0A">
              <w:rPr>
                <w:rFonts w:cs="Arial"/>
                <w:color w:val="FFFFFF" w:themeColor="background1"/>
                <w:sz w:val="22"/>
                <w:szCs w:val="22"/>
              </w:rPr>
              <w:t>9</w:t>
            </w:r>
            <w:r w:rsidRPr="00583885">
              <w:rPr>
                <w:rFonts w:cs="Arial"/>
                <w:color w:val="FFFFFF" w:themeColor="background1"/>
                <w:sz w:val="22"/>
                <w:szCs w:val="22"/>
              </w:rPr>
              <w:t xml:space="preserve"> </w:t>
            </w:r>
            <w:r w:rsidR="00583885">
              <w:rPr>
                <w:rFonts w:cs="Arial"/>
                <w:color w:val="FFFFFF" w:themeColor="background1"/>
                <w:sz w:val="22"/>
                <w:szCs w:val="22"/>
              </w:rPr>
              <w:t>November 201</w:t>
            </w:r>
            <w:r w:rsidR="00431B0A">
              <w:rPr>
                <w:rFonts w:cs="Arial"/>
                <w:color w:val="FFFFFF" w:themeColor="background1"/>
                <w:sz w:val="22"/>
                <w:szCs w:val="22"/>
              </w:rPr>
              <w:t>7</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791EB4" w:rsidRPr="00616B9B" w:rsidRDefault="00AE627C" w:rsidP="00431B0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2C0642">
              <w:rPr>
                <w:rFonts w:cs="Arial"/>
              </w:rPr>
              <w:t>Consultation</w:t>
            </w:r>
            <w:r w:rsidR="003A5DAC">
              <w:rPr>
                <w:rFonts w:cs="Arial"/>
              </w:rPr>
              <w:t xml:space="preserve"> Paper </w:t>
            </w:r>
            <w:r w:rsidR="002C0642">
              <w:rPr>
                <w:rFonts w:cs="Arial"/>
              </w:rPr>
              <w:t xml:space="preserve">on </w:t>
            </w:r>
            <w:r w:rsidR="00431B0A" w:rsidRPr="00431B0A">
              <w:rPr>
                <w:rFonts w:cs="Arial"/>
              </w:rPr>
              <w:t>Amendments to Commission Delegated Regulation (EU) 2017/587 (RTS 1)</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431B0A">
            <w:pPr>
              <w:pStyle w:val="02Date"/>
              <w:rPr>
                <w:rFonts w:cs="Arial"/>
              </w:rPr>
            </w:pPr>
            <w:r w:rsidRPr="00A52EBB">
              <w:rPr>
                <w:rFonts w:cs="Arial"/>
              </w:rPr>
              <w:lastRenderedPageBreak/>
              <w:t xml:space="preserve">Date: </w:t>
            </w:r>
            <w:r w:rsidR="00431B0A">
              <w:rPr>
                <w:rFonts w:cs="Arial"/>
              </w:rPr>
              <w:t>9</w:t>
            </w:r>
            <w:r w:rsidR="00583885" w:rsidRPr="00583885">
              <w:rPr>
                <w:rFonts w:cs="Arial"/>
              </w:rPr>
              <w:t xml:space="preserve"> November</w:t>
            </w:r>
            <w:r w:rsidR="004E49B0" w:rsidRPr="00583885">
              <w:rPr>
                <w:rFonts w:cs="Arial"/>
              </w:rPr>
              <w:t xml:space="preserve"> 201</w:t>
            </w:r>
            <w:r w:rsidR="00431B0A">
              <w:rPr>
                <w:rFonts w:cs="Arial"/>
              </w:rPr>
              <w:t>7</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431B0A">
        <w:rPr>
          <w:rFonts w:cs="Arial"/>
        </w:rPr>
        <w:t>a</w:t>
      </w:r>
      <w:r w:rsidR="00431B0A" w:rsidRPr="00431B0A">
        <w:rPr>
          <w:rFonts w:cs="Arial"/>
        </w:rPr>
        <w:t>mendments to Commission Delegated Regulation (EU) 2017/587 (RTS 1)</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431B0A">
        <w:rPr>
          <w:rFonts w:cs="Arial"/>
        </w:rPr>
        <w:t xml:space="preserve"> QUESTION_RTS1</w:t>
      </w:r>
      <w:r w:rsidR="00955F48" w:rsidRPr="00EF0769">
        <w:rPr>
          <w:rFonts w:cs="Arial"/>
        </w:rPr>
        <w:t>_</w:t>
      </w:r>
      <w:r w:rsidR="00431B0A">
        <w:rPr>
          <w:rFonts w:cs="Arial"/>
        </w:rPr>
        <w:t>AMND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431B0A">
        <w:rPr>
          <w:rFonts w:cs="Arial"/>
          <w:b/>
        </w:rPr>
        <w:t>25</w:t>
      </w:r>
      <w:r w:rsidR="00583885" w:rsidRPr="00583885">
        <w:rPr>
          <w:rFonts w:cs="Arial"/>
          <w:b/>
        </w:rPr>
        <w:t xml:space="preserve"> January</w:t>
      </w:r>
      <w:r w:rsidR="00416ABC" w:rsidRPr="00583885">
        <w:rPr>
          <w:rFonts w:cs="Arial"/>
          <w:b/>
        </w:rPr>
        <w:t xml:space="preserve"> 201</w:t>
      </w:r>
      <w:r w:rsidR="00431B0A">
        <w:rPr>
          <w:rFonts w:cs="Arial"/>
          <w:b/>
        </w:rPr>
        <w:t>8</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A8728B" w:rsidRPr="00070630" w:rsidRDefault="00431B0A" w:rsidP="00431B0A">
      <w:pPr>
        <w:pStyle w:val="CPQuestions"/>
      </w:pPr>
      <w:r w:rsidRPr="00431B0A">
        <w:t>Do you agree with ESMA’s proposal to clarify that SIs’ quotes would only reflect prevailing market conditions where the price levels could be traded on a trading venue at the time of publication?</w:t>
      </w:r>
    </w:p>
    <w:p w:rsidR="00A8728B" w:rsidRDefault="00A8728B" w:rsidP="00A8728B">
      <w:r>
        <w:t>&lt;ESMA_QUESTION</w:t>
      </w:r>
      <w:r w:rsidR="00D920D1">
        <w:t>_</w:t>
      </w:r>
      <w:r w:rsidR="00431B0A">
        <w:t>RTS1_AMND_</w:t>
      </w:r>
      <w:r>
        <w:t>1&gt;</w:t>
      </w:r>
    </w:p>
    <w:p w:rsidR="00801F18" w:rsidRDefault="00801F18" w:rsidP="00F0582C">
      <w:permStart w:id="1579693351" w:edGrp="everyone"/>
      <w:r>
        <w:t>Nasdaq fully supports the analysis put forward by ESMA in the consultation paper and agrees with proposed amendment</w:t>
      </w:r>
      <w:r w:rsidRPr="00FA7C9D">
        <w:t>s</w:t>
      </w:r>
      <w:r>
        <w:t xml:space="preserve"> to Article 10. </w:t>
      </w:r>
    </w:p>
    <w:p w:rsidR="00801F18" w:rsidRDefault="00801F18" w:rsidP="00F0582C">
      <w:r>
        <w:t xml:space="preserve">With MIFID II the intention of the co-legislators was to remedy some of the shortcomings that contributed to the recent financial crisis and in particular promote more transparent and orderly markets with strong price formation capabilities. This can only be achieved if transparent multilateral trading venues can offer trade execution services on a level playing field with execution offered on a bilateral basis by investment firms i.e. systematic internalisers. </w:t>
      </w:r>
    </w:p>
    <w:p w:rsidR="00801F18" w:rsidRPr="00FA7C9D" w:rsidRDefault="00801F18" w:rsidP="00F0582C">
      <w:r>
        <w:t>One important element for ensuring a level playing is that both multilateral and bilateral trade execution services use the same price increment when offering execution prices. This is key to avoid that systematic internalisers use different tick-size</w:t>
      </w:r>
      <w:r w:rsidRPr="00FA7C9D">
        <w:t>,</w:t>
      </w:r>
      <w:r>
        <w:t xml:space="preserve"> allowing for non-significant price </w:t>
      </w:r>
      <w:r w:rsidRPr="00FA7C9D">
        <w:t xml:space="preserve">improvement, to artificially direct order flow for execution on systematic internalizers with detrimental consequences on interaction of orders on multilateral venues and as a result worse price formation. </w:t>
      </w:r>
    </w:p>
    <w:p w:rsidR="00801F18" w:rsidRPr="00FA7C9D" w:rsidRDefault="00801F18" w:rsidP="00F0582C">
      <w:r w:rsidRPr="00FA7C9D">
        <w:t xml:space="preserve">The modification proposed by ESMA is all the more important, given that statistics on trading since 3 January, under the new MIFID II framework, show a very significant increase of the share of orders executed by systematic internalisers. In some markets, this share of order execution has increased by more than 10%, making the issue at stake a significant one. </w:t>
      </w:r>
    </w:p>
    <w:p w:rsidR="00A8728B" w:rsidRDefault="00801F18" w:rsidP="00A8728B">
      <w:r w:rsidRPr="00FA7C9D">
        <w:t>Moreover, whereas the proposed change is both useful and justified, and should be implemented, it will only apply to orders up to the SMS. Nasdaq believes that arguments justifying the application of the</w:t>
      </w:r>
      <w:r>
        <w:t xml:space="preserve"> same tick-size regime to trading venues and systematic internalisers up to the SMS are also relevant for sizes above the SMS. We would therefore see benefits in making the necessary changes at level 1 to allow for the tick-size regime to apply also above the SMS.</w:t>
      </w:r>
      <w:permEnd w:id="1579693351"/>
    </w:p>
    <w:p w:rsidR="00A8728B" w:rsidRDefault="00A8728B" w:rsidP="00A8728B">
      <w:r>
        <w:t>&lt;ESMA_QUESTION</w:t>
      </w:r>
      <w:r w:rsidR="00D920D1">
        <w:t>_</w:t>
      </w:r>
      <w:r w:rsidR="00431B0A">
        <w:t>RTS1_AMND_</w:t>
      </w:r>
      <w:r>
        <w:t>1&gt;</w:t>
      </w:r>
    </w:p>
    <w:p w:rsidR="00431DA4" w:rsidRPr="00431DA4" w:rsidRDefault="00EF383B" w:rsidP="00EF383B">
      <w:pPr>
        <w:pStyle w:val="CPQuestions"/>
      </w:pPr>
      <w:r w:rsidRPr="00EF383B">
        <w:t>Do you agree with the drafting amendment described above?</w:t>
      </w:r>
    </w:p>
    <w:p w:rsidR="00A8728B" w:rsidRDefault="00A8728B" w:rsidP="00A8728B">
      <w:r>
        <w:t>&lt;ESMA_QUESTION</w:t>
      </w:r>
      <w:r w:rsidR="00D920D1">
        <w:t>_</w:t>
      </w:r>
      <w:r w:rsidR="00431B0A">
        <w:t>RTS1_AMND_</w:t>
      </w:r>
      <w:r>
        <w:t>2&gt;</w:t>
      </w:r>
    </w:p>
    <w:p w:rsidR="00A8728B" w:rsidRDefault="00801F18" w:rsidP="00A8728B">
      <w:permStart w:id="752156862" w:edGrp="everyone"/>
      <w:r>
        <w:t>Nasdaq agrees with the proposed amendments</w:t>
      </w:r>
      <w:permEnd w:id="752156862"/>
    </w:p>
    <w:p w:rsidR="00A8728B" w:rsidRDefault="00A8728B" w:rsidP="00A8728B">
      <w:r>
        <w:t>&lt;ESMA_QUESTION</w:t>
      </w:r>
      <w:r w:rsidR="00D920D1">
        <w:t>_</w:t>
      </w:r>
      <w:r w:rsidR="00431B0A">
        <w:t>RTS1_AMND_</w:t>
      </w:r>
      <w:r>
        <w:t>2&gt;</w:t>
      </w:r>
    </w:p>
    <w:sectPr w:rsidR="00A8728B"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01F18">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583885">
    <w:pPr>
      <w:pStyle w:val="Header"/>
      <w:jc w:val="right"/>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sv-SE" w:eastAsia="sv-S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972275"/>
    <w:multiLevelType w:val="hybridMultilevel"/>
    <w:tmpl w:val="436C1344"/>
    <w:lvl w:ilvl="0" w:tplc="6A829860">
      <w:start w:val="1"/>
      <w:numFmt w:val="decimal"/>
      <w:lvlText w:val="%1."/>
      <w:lvlJc w:val="left"/>
      <w:pPr>
        <w:ind w:left="796" w:hanging="360"/>
      </w:pPr>
    </w:lvl>
    <w:lvl w:ilvl="1" w:tplc="08090001">
      <w:start w:val="1"/>
      <w:numFmt w:val="bullet"/>
      <w:lvlText w:val=""/>
      <w:lvlJc w:val="left"/>
      <w:pPr>
        <w:ind w:left="1516" w:hanging="360"/>
      </w:pPr>
      <w:rPr>
        <w:rFonts w:ascii="Symbol" w:hAnsi="Symbol" w:hint="default"/>
      </w:rPr>
    </w:lvl>
    <w:lvl w:ilvl="2" w:tplc="B9C8DE8A">
      <w:start w:val="1"/>
      <w:numFmt w:val="lowerLetter"/>
      <w:lvlText w:val="(%3)"/>
      <w:lvlJc w:val="right"/>
      <w:pPr>
        <w:ind w:left="2236" w:hanging="180"/>
      </w:pPr>
      <w:rPr>
        <w:rFonts w:asciiTheme="minorHAnsi" w:eastAsiaTheme="minorEastAsia" w:hAnsiTheme="minorHAnsi" w:cstheme="minorBidi"/>
      </w:rPr>
    </w:lvl>
    <w:lvl w:ilvl="3" w:tplc="5A3E5556">
      <w:start w:val="1"/>
      <w:numFmt w:val="lowerLetter"/>
      <w:lvlText w:val="(%4)"/>
      <w:lvlJc w:val="left"/>
      <w:pPr>
        <w:ind w:left="2956" w:hanging="360"/>
      </w:pPr>
      <w:rPr>
        <w:rFonts w:hint="default"/>
      </w:rPr>
    </w:lvl>
    <w:lvl w:ilvl="4" w:tplc="08090019">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9EC80AFC"/>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ECF2C2B"/>
    <w:multiLevelType w:val="hybridMultilevel"/>
    <w:tmpl w:val="619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4"/>
  </w:num>
  <w:num w:numId="36">
    <w:abstractNumId w:val="33"/>
  </w:num>
  <w:num w:numId="37">
    <w:abstractNumId w:val="2"/>
  </w:num>
  <w:num w:numId="38">
    <w:abstractNumId w:val="38"/>
  </w:num>
  <w:num w:numId="39">
    <w:abstractNumId w:val="20"/>
  </w:num>
  <w:num w:numId="40">
    <w:abstractNumId w:val="20"/>
    <w:lvlOverride w:ilvl="0">
      <w:startOverride w:val="1"/>
    </w:lvlOverride>
  </w:num>
  <w:num w:numId="41">
    <w:abstractNumId w:val="20"/>
  </w:num>
  <w:num w:numId="42">
    <w:abstractNumId w:val="20"/>
    <w:lvlOverride w:ilvl="0">
      <w:startOverride w:val="1"/>
    </w:lvlOverride>
  </w:num>
  <w:num w:numId="4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5a/r63k4pNZnEJ9GCy+gk6XKgORN547pfE82xAKNf04xH+3R5SzkV6RHY3uEicys799EMGsxIgBeTT3qP+UA3Q==" w:salt="PaLg1IkbTcrukHtBU5XqwQ=="/>
  <w:defaultTabStop w:val="709"/>
  <w:autoHyphenation/>
  <w:hyphenationZone w:val="567"/>
  <w:characterSpacingControl w:val="doNotCompress"/>
  <w:hdrShapeDefaults>
    <o:shapedefaults v:ext="edit" spidmax="3891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1F1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35DE"/>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2d4491,#283583"/>
    </o:shapedefaults>
    <o:shapelayout v:ext="edit">
      <o:idmap v:ext="edit" data="1"/>
    </o:shapelayout>
  </w:shapeDefaults>
  <w:decimalSymbol w:val=","/>
  <w:listSeparator w:val=";"/>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5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04e156a7-4389-4348-bdc5-772e1b15193f"/>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5.xml><?xml version="1.0" encoding="utf-8"?>
<ds:datastoreItem xmlns:ds="http://schemas.openxmlformats.org/officeDocument/2006/customXml" ds:itemID="{329E159A-6810-48E1-A6A0-77C54B2ADBB3}">
  <ds:schemaRefs>
    <ds:schemaRef ds:uri="http://schemas.openxmlformats.org/officeDocument/2006/bibliography"/>
  </ds:schemaRefs>
</ds:datastoreItem>
</file>

<file path=customXml/itemProps6.xml><?xml version="1.0" encoding="utf-8"?>
<ds:datastoreItem xmlns:ds="http://schemas.openxmlformats.org/officeDocument/2006/customXml" ds:itemID="{BA0224C9-FC8D-4E63-B734-0CABF78E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4291</Characters>
  <Application>Microsoft Office Word</Application>
  <DocSecurity>12</DocSecurity>
  <Lines>35</Lines>
  <Paragraphs>10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5035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Elina Yrgård</cp:lastModifiedBy>
  <cp:revision>2</cp:revision>
  <cp:lastPrinted>2015-02-18T11:01:00Z</cp:lastPrinted>
  <dcterms:created xsi:type="dcterms:W3CDTF">2018-01-25T15:58:00Z</dcterms:created>
  <dcterms:modified xsi:type="dcterms:W3CDTF">2018-01-25T15:58:00Z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