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431B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431B0A">
              <w:rPr>
                <w:rFonts w:cs="Arial"/>
                <w:color w:val="FFFFFF" w:themeColor="background1"/>
                <w:sz w:val="22"/>
                <w:szCs w:val="22"/>
              </w:rPr>
              <w:t>9</w:t>
            </w:r>
            <w:r w:rsidRPr="00583885">
              <w:rPr>
                <w:rFonts w:cs="Arial"/>
                <w:color w:val="FFFFFF" w:themeColor="background1"/>
                <w:sz w:val="22"/>
                <w:szCs w:val="22"/>
              </w:rPr>
              <w:t xml:space="preserve"> </w:t>
            </w:r>
            <w:r w:rsidR="00583885">
              <w:rPr>
                <w:rFonts w:cs="Arial"/>
                <w:color w:val="FFFFFF" w:themeColor="background1"/>
                <w:sz w:val="22"/>
                <w:szCs w:val="22"/>
              </w:rPr>
              <w:t>November 201</w:t>
            </w:r>
            <w:r w:rsidR="00431B0A">
              <w:rPr>
                <w:rFonts w:cs="Arial"/>
                <w:color w:val="FFFFFF" w:themeColor="background1"/>
                <w:sz w:val="22"/>
                <w:szCs w:val="22"/>
              </w:rPr>
              <w:t>7</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431B0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 xml:space="preserve">on </w:t>
            </w:r>
            <w:r w:rsidR="00431B0A" w:rsidRPr="00431B0A">
              <w:rPr>
                <w:rFonts w:cs="Arial"/>
              </w:rPr>
              <w:t>Amendments to Commission Delegated Regulation (EU) 2017/587 (RTS 1)</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431B0A">
            <w:pPr>
              <w:pStyle w:val="02Date"/>
              <w:rPr>
                <w:rFonts w:cs="Arial"/>
              </w:rPr>
            </w:pPr>
            <w:r w:rsidRPr="00A52EBB">
              <w:rPr>
                <w:rFonts w:cs="Arial"/>
              </w:rPr>
              <w:lastRenderedPageBreak/>
              <w:t xml:space="preserve">Date: </w:t>
            </w:r>
            <w:r w:rsidR="00431B0A">
              <w:rPr>
                <w:rFonts w:cs="Arial"/>
              </w:rPr>
              <w:t>9</w:t>
            </w:r>
            <w:r w:rsidR="00583885" w:rsidRPr="00583885">
              <w:rPr>
                <w:rFonts w:cs="Arial"/>
              </w:rPr>
              <w:t xml:space="preserve"> November</w:t>
            </w:r>
            <w:r w:rsidR="004E49B0" w:rsidRPr="00583885">
              <w:rPr>
                <w:rFonts w:cs="Arial"/>
              </w:rPr>
              <w:t xml:space="preserve"> 201</w:t>
            </w:r>
            <w:r w:rsidR="00431B0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431B0A">
        <w:rPr>
          <w:rFonts w:cs="Arial"/>
        </w:rPr>
        <w:t>a</w:t>
      </w:r>
      <w:r w:rsidR="00431B0A" w:rsidRPr="00431B0A">
        <w:rPr>
          <w:rFonts w:cs="Arial"/>
        </w:rPr>
        <w:t>mendments to Commission Delegated Regulation (EU) 2017/587 (RTS 1)</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431B0A">
        <w:rPr>
          <w:rFonts w:cs="Arial"/>
        </w:rPr>
        <w:t xml:space="preserve"> QUESTION_RTS1</w:t>
      </w:r>
      <w:r w:rsidR="00955F48" w:rsidRPr="00EF0769">
        <w:rPr>
          <w:rFonts w:cs="Arial"/>
        </w:rPr>
        <w:t>_</w:t>
      </w:r>
      <w:r w:rsidR="00431B0A">
        <w:rPr>
          <w:rFonts w:cs="Arial"/>
        </w:rPr>
        <w:t>AMND</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31B0A">
        <w:rPr>
          <w:rFonts w:cs="Arial"/>
        </w:rPr>
        <w:t>RTS1</w:t>
      </w:r>
      <w:r w:rsidR="00431B0A" w:rsidRPr="00EF0769">
        <w:rPr>
          <w:rFonts w:cs="Arial"/>
        </w:rPr>
        <w:t>_</w:t>
      </w:r>
      <w:r w:rsidR="00431B0A">
        <w:rPr>
          <w:rFonts w:cs="Arial"/>
        </w:rPr>
        <w:t>AMND</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431B0A">
        <w:rPr>
          <w:rFonts w:cs="Arial"/>
        </w:rPr>
        <w:t>RTS1</w:t>
      </w:r>
      <w:r w:rsidR="00431B0A" w:rsidRPr="00EF0769">
        <w:rPr>
          <w:rFonts w:cs="Arial"/>
        </w:rPr>
        <w:t>_</w:t>
      </w:r>
      <w:r w:rsidR="00431B0A">
        <w:rPr>
          <w:rFonts w:cs="Arial"/>
        </w:rPr>
        <w:t>AMND</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431B0A">
        <w:rPr>
          <w:rFonts w:cs="Arial"/>
        </w:rPr>
        <w:t>RTS1</w:t>
      </w:r>
      <w:r w:rsidR="00431B0A" w:rsidRPr="00EF0769">
        <w:rPr>
          <w:rFonts w:cs="Arial"/>
        </w:rPr>
        <w:t>_</w:t>
      </w:r>
      <w:r w:rsidR="00431B0A">
        <w:rPr>
          <w:rFonts w:cs="Arial"/>
        </w:rPr>
        <w:t>AMND</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431B0A">
        <w:rPr>
          <w:rFonts w:cs="Arial"/>
          <w:b/>
        </w:rPr>
        <w:t>25</w:t>
      </w:r>
      <w:r w:rsidR="00583885" w:rsidRPr="00583885">
        <w:rPr>
          <w:rFonts w:cs="Arial"/>
          <w:b/>
        </w:rPr>
        <w:t xml:space="preserve"> January</w:t>
      </w:r>
      <w:r w:rsidR="00416ABC" w:rsidRPr="00583885">
        <w:rPr>
          <w:rFonts w:cs="Arial"/>
          <w:b/>
        </w:rPr>
        <w:t xml:space="preserve"> 201</w:t>
      </w:r>
      <w:r w:rsidR="00431B0A">
        <w:rPr>
          <w:rFonts w:cs="Arial"/>
          <w:b/>
        </w:rPr>
        <w:t>8</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A8728B" w:rsidRPr="00070630" w:rsidRDefault="00431B0A" w:rsidP="00431B0A">
      <w:pPr>
        <w:pStyle w:val="CPQuestions"/>
      </w:pPr>
      <w:r w:rsidRPr="00431B0A">
        <w:lastRenderedPageBreak/>
        <w:t>Do you agree with ESMA’s proposal to clarify that SIs’ quotes would only reflect prevailing market conditions where the price levels could be traded on a trading venue at the time of publication?</w:t>
      </w:r>
    </w:p>
    <w:p w:rsidR="00A8728B" w:rsidRDefault="00A8728B" w:rsidP="00A8728B">
      <w:r>
        <w:t>&lt;ESMA_QUESTION</w:t>
      </w:r>
      <w:r w:rsidR="00D920D1">
        <w:t>_</w:t>
      </w:r>
      <w:r w:rsidR="00431B0A">
        <w:t>RTS1_AMND_</w:t>
      </w:r>
      <w:r>
        <w:t>1&gt;</w:t>
      </w:r>
    </w:p>
    <w:p w:rsidR="00CF4259" w:rsidRPr="005D54CB" w:rsidRDefault="00CF4259" w:rsidP="00CF4259">
      <w:pPr>
        <w:suppressAutoHyphens/>
        <w:jc w:val="both"/>
        <w:rPr>
          <w:rFonts w:ascii="Garamond" w:hAnsi="Garamond"/>
          <w:sz w:val="24"/>
        </w:rPr>
      </w:pPr>
      <w:permStart w:id="1845179484" w:edGrp="everyone"/>
      <w:r>
        <w:rPr>
          <w:rFonts w:ascii="Garamond" w:hAnsi="Garamond"/>
          <w:sz w:val="24"/>
        </w:rPr>
        <w:t xml:space="preserve">As general comments, </w:t>
      </w:r>
      <w:r>
        <w:rPr>
          <w:rFonts w:ascii="Garamond" w:hAnsi="Garamond"/>
          <w:sz w:val="24"/>
        </w:rPr>
        <w:t>the European Savings and Retail Banking Group (ESBG)</w:t>
      </w:r>
      <w:r w:rsidRPr="00BA303B">
        <w:rPr>
          <w:rFonts w:ascii="Garamond" w:hAnsi="Garamond"/>
          <w:sz w:val="24"/>
        </w:rPr>
        <w:t xml:space="preserve"> agree</w:t>
      </w:r>
      <w:r>
        <w:rPr>
          <w:rFonts w:ascii="Garamond" w:hAnsi="Garamond"/>
          <w:sz w:val="24"/>
        </w:rPr>
        <w:t>s</w:t>
      </w:r>
      <w:r w:rsidRPr="00BA303B">
        <w:rPr>
          <w:rFonts w:ascii="Garamond" w:hAnsi="Garamond"/>
          <w:sz w:val="24"/>
        </w:rPr>
        <w:t xml:space="preserve"> with ESMA's view</w:t>
      </w:r>
      <w:r>
        <w:rPr>
          <w:rFonts w:ascii="Garamond" w:hAnsi="Garamond"/>
          <w:sz w:val="24"/>
        </w:rPr>
        <w:t xml:space="preserve"> and</w:t>
      </w:r>
      <w:r w:rsidRPr="00BA303B">
        <w:rPr>
          <w:rFonts w:ascii="Garamond" w:hAnsi="Garamond"/>
          <w:sz w:val="24"/>
        </w:rPr>
        <w:t xml:space="preserve"> welcome</w:t>
      </w:r>
      <w:r>
        <w:rPr>
          <w:rFonts w:ascii="Garamond" w:hAnsi="Garamond"/>
          <w:sz w:val="24"/>
        </w:rPr>
        <w:t>s</w:t>
      </w:r>
      <w:r w:rsidRPr="00BA303B">
        <w:rPr>
          <w:rFonts w:ascii="Garamond" w:hAnsi="Garamond"/>
          <w:sz w:val="24"/>
        </w:rPr>
        <w:t xml:space="preserve"> a clarification that the quotations of the </w:t>
      </w:r>
      <w:r>
        <w:rPr>
          <w:rFonts w:ascii="Garamond" w:hAnsi="Garamond"/>
          <w:sz w:val="24"/>
        </w:rPr>
        <w:t>Systematic Internalisers</w:t>
      </w:r>
      <w:r w:rsidRPr="00BA303B">
        <w:rPr>
          <w:rFonts w:ascii="Garamond" w:hAnsi="Garamond"/>
          <w:sz w:val="24"/>
        </w:rPr>
        <w:t xml:space="preserve"> reflect only the prevailing market conditions in which the price level could be traded at the time of publication at a trading venue.</w:t>
      </w:r>
    </w:p>
    <w:p w:rsidR="00CF4259" w:rsidRDefault="00CF4259" w:rsidP="00CF4259">
      <w:pPr>
        <w:suppressAutoHyphens/>
        <w:jc w:val="both"/>
        <w:rPr>
          <w:rFonts w:ascii="Garamond" w:hAnsi="Garamond"/>
          <w:sz w:val="24"/>
        </w:rPr>
      </w:pPr>
    </w:p>
    <w:p w:rsidR="00CF4259" w:rsidRDefault="00CF4259" w:rsidP="00CF4259">
      <w:pPr>
        <w:suppressAutoHyphens/>
        <w:jc w:val="both"/>
        <w:rPr>
          <w:rFonts w:ascii="Garamond" w:hAnsi="Garamond"/>
          <w:sz w:val="24"/>
        </w:rPr>
      </w:pPr>
      <w:r>
        <w:rPr>
          <w:rFonts w:ascii="Garamond" w:hAnsi="Garamond"/>
          <w:sz w:val="24"/>
        </w:rPr>
        <w:t>ESBG</w:t>
      </w:r>
      <w:r w:rsidRPr="00BA303B">
        <w:rPr>
          <w:rFonts w:ascii="Garamond" w:hAnsi="Garamond"/>
          <w:sz w:val="24"/>
        </w:rPr>
        <w:t xml:space="preserve"> believe</w:t>
      </w:r>
      <w:r>
        <w:rPr>
          <w:rFonts w:ascii="Garamond" w:hAnsi="Garamond"/>
          <w:sz w:val="24"/>
        </w:rPr>
        <w:t>s</w:t>
      </w:r>
      <w:r w:rsidRPr="00BA303B">
        <w:rPr>
          <w:rFonts w:ascii="Garamond" w:hAnsi="Garamond"/>
          <w:sz w:val="24"/>
        </w:rPr>
        <w:t xml:space="preserve"> that the tick size regime is necessary to prevent the negative effects of high frequency trading as a special form of algorithmic trading and to ensure the stability and functioning of financial markets. Furthermore, </w:t>
      </w:r>
      <w:r>
        <w:rPr>
          <w:rFonts w:ascii="Garamond" w:hAnsi="Garamond"/>
          <w:sz w:val="24"/>
        </w:rPr>
        <w:t>ESBG</w:t>
      </w:r>
      <w:r w:rsidRPr="00BA303B">
        <w:rPr>
          <w:rFonts w:ascii="Garamond" w:hAnsi="Garamond"/>
          <w:sz w:val="24"/>
        </w:rPr>
        <w:t xml:space="preserve"> believe</w:t>
      </w:r>
      <w:r>
        <w:rPr>
          <w:rFonts w:ascii="Garamond" w:hAnsi="Garamond"/>
          <w:sz w:val="24"/>
        </w:rPr>
        <w:t>s</w:t>
      </w:r>
      <w:r w:rsidRPr="00BA303B">
        <w:rPr>
          <w:rFonts w:ascii="Garamond" w:hAnsi="Garamond"/>
          <w:sz w:val="24"/>
        </w:rPr>
        <w:t xml:space="preserve"> that the activities of trading venue operators and SIs are comparable in such a way that, in principle, identical rules should apply to these market players (</w:t>
      </w:r>
      <w:r>
        <w:rPr>
          <w:rFonts w:ascii="Garamond" w:hAnsi="Garamond"/>
          <w:sz w:val="24"/>
        </w:rPr>
        <w:t xml:space="preserve">or </w:t>
      </w:r>
      <w:r w:rsidRPr="00BA303B">
        <w:rPr>
          <w:rFonts w:ascii="Garamond" w:hAnsi="Garamond"/>
          <w:sz w:val="24"/>
        </w:rPr>
        <w:t xml:space="preserve">"level playing field"). The current legal situation leads to </w:t>
      </w:r>
      <w:r>
        <w:rPr>
          <w:rFonts w:ascii="Garamond" w:hAnsi="Garamond"/>
          <w:sz w:val="24"/>
        </w:rPr>
        <w:t>Systematic Internalisers</w:t>
      </w:r>
      <w:r w:rsidRPr="00BA303B">
        <w:rPr>
          <w:rFonts w:ascii="Garamond" w:hAnsi="Garamond"/>
          <w:sz w:val="24"/>
        </w:rPr>
        <w:t xml:space="preserve"> having a competitive advantage over the pricing of trading venue operators. As a result, trade tends to shift from trading venues to </w:t>
      </w:r>
      <w:r>
        <w:rPr>
          <w:rFonts w:ascii="Garamond" w:hAnsi="Garamond"/>
          <w:sz w:val="24"/>
        </w:rPr>
        <w:t>Systematic Internalisers</w:t>
      </w:r>
      <w:r w:rsidRPr="00BA303B">
        <w:rPr>
          <w:rFonts w:ascii="Garamond" w:hAnsi="Garamond"/>
          <w:sz w:val="24"/>
        </w:rPr>
        <w:t xml:space="preserve">. As </w:t>
      </w:r>
      <w:r>
        <w:rPr>
          <w:rFonts w:ascii="Garamond" w:hAnsi="Garamond"/>
          <w:sz w:val="24"/>
        </w:rPr>
        <w:t>ESBG</w:t>
      </w:r>
      <w:r w:rsidRPr="00BA303B">
        <w:rPr>
          <w:rFonts w:ascii="Garamond" w:hAnsi="Garamond"/>
          <w:sz w:val="24"/>
        </w:rPr>
        <w:t xml:space="preserve"> understand</w:t>
      </w:r>
      <w:r>
        <w:rPr>
          <w:rFonts w:ascii="Garamond" w:hAnsi="Garamond"/>
          <w:sz w:val="24"/>
        </w:rPr>
        <w:t>s</w:t>
      </w:r>
      <w:r w:rsidRPr="00BA303B">
        <w:rPr>
          <w:rFonts w:ascii="Garamond" w:hAnsi="Garamond"/>
          <w:sz w:val="24"/>
        </w:rPr>
        <w:t xml:space="preserve"> it, the spirit of MiFIR / MiFID II is to steer the trading of financial instruments </w:t>
      </w:r>
      <w:r>
        <w:rPr>
          <w:rFonts w:ascii="Garamond" w:hAnsi="Garamond"/>
          <w:sz w:val="24"/>
        </w:rPr>
        <w:t xml:space="preserve">towards the transparent and liquid </w:t>
      </w:r>
      <w:r w:rsidRPr="00BA303B">
        <w:rPr>
          <w:rFonts w:ascii="Garamond" w:hAnsi="Garamond"/>
          <w:sz w:val="24"/>
        </w:rPr>
        <w:t xml:space="preserve">trading venues. The unequal treatment undermines the spirit of MiFIR / MiFID II. Furthermore, </w:t>
      </w:r>
      <w:r>
        <w:rPr>
          <w:rFonts w:ascii="Garamond" w:hAnsi="Garamond"/>
          <w:sz w:val="24"/>
        </w:rPr>
        <w:t>ESBG</w:t>
      </w:r>
      <w:r w:rsidRPr="00BA303B">
        <w:rPr>
          <w:rFonts w:ascii="Garamond" w:hAnsi="Garamond"/>
          <w:sz w:val="24"/>
        </w:rPr>
        <w:t xml:space="preserve"> note</w:t>
      </w:r>
      <w:r>
        <w:rPr>
          <w:rFonts w:ascii="Garamond" w:hAnsi="Garamond"/>
          <w:sz w:val="24"/>
        </w:rPr>
        <w:t>s</w:t>
      </w:r>
      <w:r w:rsidRPr="00BA303B">
        <w:rPr>
          <w:rFonts w:ascii="Garamond" w:hAnsi="Garamond"/>
          <w:sz w:val="24"/>
        </w:rPr>
        <w:t xml:space="preserve"> that banks are facing expenses in connection with the implementation, validation and furthe</w:t>
      </w:r>
      <w:r>
        <w:rPr>
          <w:rFonts w:ascii="Garamond" w:hAnsi="Garamond"/>
          <w:sz w:val="24"/>
        </w:rPr>
        <w:t>r development of best execution</w:t>
      </w:r>
      <w:r w:rsidRPr="00BA303B">
        <w:rPr>
          <w:rFonts w:ascii="Garamond" w:hAnsi="Garamond"/>
          <w:sz w:val="24"/>
        </w:rPr>
        <w:t xml:space="preserve">/smart order routing. These costs are passed on to end customers as part of the pricing for value-added services. A tick size regime inconsistent or not </w:t>
      </w:r>
      <w:r>
        <w:rPr>
          <w:rFonts w:ascii="Garamond" w:hAnsi="Garamond"/>
          <w:sz w:val="24"/>
        </w:rPr>
        <w:t xml:space="preserve">applied to </w:t>
      </w:r>
      <w:r w:rsidRPr="00BA303B">
        <w:rPr>
          <w:rFonts w:ascii="Garamond" w:hAnsi="Garamond"/>
          <w:sz w:val="24"/>
        </w:rPr>
        <w:t>all market participants increases the complexity for the validation and further development</w:t>
      </w:r>
      <w:r>
        <w:rPr>
          <w:rFonts w:ascii="Garamond" w:hAnsi="Garamond"/>
          <w:sz w:val="24"/>
        </w:rPr>
        <w:t xml:space="preserve"> of the IT infrastructures</w:t>
      </w:r>
      <w:r w:rsidRPr="00BA303B">
        <w:rPr>
          <w:rFonts w:ascii="Garamond" w:hAnsi="Garamond"/>
          <w:sz w:val="24"/>
        </w:rPr>
        <w:t xml:space="preserve">. Consequently, costs for investment services, which are borne by the </w:t>
      </w:r>
      <w:r>
        <w:rPr>
          <w:rFonts w:ascii="Garamond" w:hAnsi="Garamond"/>
          <w:sz w:val="24"/>
        </w:rPr>
        <w:t>end-</w:t>
      </w:r>
      <w:r w:rsidRPr="00BA303B">
        <w:rPr>
          <w:rFonts w:ascii="Garamond" w:hAnsi="Garamond"/>
          <w:sz w:val="24"/>
        </w:rPr>
        <w:t>customers, increase.</w:t>
      </w:r>
    </w:p>
    <w:p w:rsidR="00CF4259" w:rsidRDefault="00CF4259" w:rsidP="00CF4259">
      <w:pPr>
        <w:suppressAutoHyphens/>
        <w:jc w:val="both"/>
        <w:rPr>
          <w:rFonts w:ascii="Garamond" w:hAnsi="Garamond"/>
          <w:sz w:val="24"/>
        </w:rPr>
      </w:pPr>
    </w:p>
    <w:p w:rsidR="00CF4259" w:rsidRPr="00BA303B" w:rsidRDefault="00CF4259" w:rsidP="00CF4259">
      <w:pPr>
        <w:suppressAutoHyphens/>
        <w:jc w:val="both"/>
        <w:rPr>
          <w:rFonts w:ascii="Garamond" w:hAnsi="Garamond"/>
          <w:sz w:val="24"/>
        </w:rPr>
      </w:pPr>
      <w:r w:rsidRPr="00BA303B">
        <w:rPr>
          <w:rFonts w:ascii="Garamond" w:hAnsi="Garamond"/>
          <w:sz w:val="24"/>
        </w:rPr>
        <w:t xml:space="preserve">Furthermore, </w:t>
      </w:r>
      <w:r>
        <w:rPr>
          <w:rFonts w:ascii="Garamond" w:hAnsi="Garamond"/>
          <w:sz w:val="24"/>
        </w:rPr>
        <w:t>ESBG</w:t>
      </w:r>
      <w:r w:rsidRPr="00BA303B">
        <w:rPr>
          <w:rFonts w:ascii="Garamond" w:hAnsi="Garamond"/>
          <w:sz w:val="24"/>
        </w:rPr>
        <w:t xml:space="preserve"> would like to draw your attention to the experiences of the MiFID I application. </w:t>
      </w:r>
      <w:r>
        <w:rPr>
          <w:rFonts w:ascii="Garamond" w:hAnsi="Garamond"/>
          <w:sz w:val="24"/>
        </w:rPr>
        <w:t>A “</w:t>
      </w:r>
      <w:r w:rsidRPr="00BA303B">
        <w:rPr>
          <w:rFonts w:ascii="Garamond" w:hAnsi="Garamond"/>
          <w:sz w:val="24"/>
        </w:rPr>
        <w:t>race to the bottom</w:t>
      </w:r>
      <w:r>
        <w:rPr>
          <w:rFonts w:ascii="Garamond" w:hAnsi="Garamond"/>
          <w:sz w:val="24"/>
        </w:rPr>
        <w:t>” took place concerning the</w:t>
      </w:r>
      <w:r w:rsidRPr="00BA303B">
        <w:rPr>
          <w:rFonts w:ascii="Garamond" w:hAnsi="Garamond"/>
          <w:sz w:val="24"/>
        </w:rPr>
        <w:t xml:space="preserve"> tick size </w:t>
      </w:r>
      <w:r>
        <w:rPr>
          <w:rFonts w:ascii="Garamond" w:hAnsi="Garamond"/>
          <w:sz w:val="24"/>
        </w:rPr>
        <w:t xml:space="preserve">and did </w:t>
      </w:r>
      <w:r w:rsidRPr="00BA303B">
        <w:rPr>
          <w:rFonts w:ascii="Garamond" w:hAnsi="Garamond"/>
          <w:sz w:val="24"/>
        </w:rPr>
        <w:t xml:space="preserve">not lead to improved price quality, higher liquidity, efficient valuation or more efficient pricing. A competition of this kind among the </w:t>
      </w:r>
      <w:r>
        <w:rPr>
          <w:rFonts w:ascii="Garamond" w:hAnsi="Garamond"/>
          <w:sz w:val="24"/>
        </w:rPr>
        <w:t>Systematic Internalisers</w:t>
      </w:r>
      <w:r w:rsidRPr="00BA303B">
        <w:rPr>
          <w:rFonts w:ascii="Garamond" w:hAnsi="Garamond"/>
          <w:sz w:val="24"/>
        </w:rPr>
        <w:t xml:space="preserve"> does not make economic sense. To prevent this foreseeable malfunction, </w:t>
      </w:r>
      <w:r>
        <w:rPr>
          <w:rFonts w:ascii="Garamond" w:hAnsi="Garamond"/>
          <w:sz w:val="24"/>
        </w:rPr>
        <w:t>ESBG</w:t>
      </w:r>
      <w:r w:rsidRPr="00BA303B">
        <w:rPr>
          <w:rFonts w:ascii="Garamond" w:hAnsi="Garamond"/>
          <w:sz w:val="24"/>
        </w:rPr>
        <w:t xml:space="preserve"> would also welcome an extension of the tick size regime to </w:t>
      </w:r>
      <w:r>
        <w:rPr>
          <w:rFonts w:ascii="Garamond" w:hAnsi="Garamond"/>
          <w:sz w:val="24"/>
        </w:rPr>
        <w:t>Systematic Internalisers</w:t>
      </w:r>
      <w:r w:rsidRPr="00BA303B">
        <w:rPr>
          <w:rFonts w:ascii="Garamond" w:hAnsi="Garamond"/>
          <w:sz w:val="24"/>
        </w:rPr>
        <w:t>.</w:t>
      </w:r>
    </w:p>
    <w:p w:rsidR="00CF4259" w:rsidRPr="00BA303B" w:rsidRDefault="00CF4259" w:rsidP="00CF4259">
      <w:pPr>
        <w:suppressAutoHyphens/>
        <w:jc w:val="both"/>
        <w:rPr>
          <w:rFonts w:ascii="Garamond" w:hAnsi="Garamond"/>
          <w:sz w:val="24"/>
        </w:rPr>
      </w:pPr>
    </w:p>
    <w:p w:rsidR="00CF4259" w:rsidRDefault="00CF4259" w:rsidP="00CF4259">
      <w:pPr>
        <w:suppressAutoHyphens/>
        <w:jc w:val="both"/>
        <w:rPr>
          <w:rFonts w:ascii="Garamond" w:hAnsi="Garamond"/>
          <w:sz w:val="24"/>
        </w:rPr>
      </w:pPr>
      <w:r w:rsidRPr="00BA303B">
        <w:rPr>
          <w:rFonts w:ascii="Garamond" w:hAnsi="Garamond"/>
          <w:sz w:val="24"/>
        </w:rPr>
        <w:t xml:space="preserve">In addition, </w:t>
      </w:r>
      <w:r>
        <w:rPr>
          <w:rFonts w:ascii="Garamond" w:hAnsi="Garamond"/>
          <w:sz w:val="24"/>
        </w:rPr>
        <w:t>ESBG</w:t>
      </w:r>
      <w:r w:rsidRPr="00BA303B">
        <w:rPr>
          <w:rFonts w:ascii="Garamond" w:hAnsi="Garamond"/>
          <w:sz w:val="24"/>
        </w:rPr>
        <w:t xml:space="preserve"> would like to point out further aspects in this context:</w:t>
      </w:r>
      <w:r>
        <w:rPr>
          <w:rFonts w:ascii="Garamond" w:hAnsi="Garamond"/>
          <w:sz w:val="24"/>
        </w:rPr>
        <w:t xml:space="preserve"> Systematic Internalisers</w:t>
      </w:r>
      <w:r w:rsidRPr="00BA303B">
        <w:rPr>
          <w:rFonts w:ascii="Garamond" w:hAnsi="Garamond"/>
          <w:sz w:val="24"/>
        </w:rPr>
        <w:t xml:space="preserve"> and EU trading venues also compete with third-</w:t>
      </w:r>
      <w:r>
        <w:rPr>
          <w:rFonts w:ascii="Garamond" w:hAnsi="Garamond"/>
          <w:sz w:val="24"/>
        </w:rPr>
        <w:t>countries</w:t>
      </w:r>
      <w:r w:rsidRPr="00BA303B">
        <w:rPr>
          <w:rFonts w:ascii="Garamond" w:hAnsi="Garamond"/>
          <w:sz w:val="24"/>
        </w:rPr>
        <w:t xml:space="preserve"> trading venues. Legislators and regulators need to find solutions to prevent leakage of liquidity to </w:t>
      </w:r>
      <w:r>
        <w:rPr>
          <w:rFonts w:ascii="Garamond" w:hAnsi="Garamond"/>
          <w:sz w:val="24"/>
        </w:rPr>
        <w:t xml:space="preserve">these external </w:t>
      </w:r>
      <w:r w:rsidRPr="00BA303B">
        <w:rPr>
          <w:rFonts w:ascii="Garamond" w:hAnsi="Garamond"/>
          <w:sz w:val="24"/>
        </w:rPr>
        <w:t xml:space="preserve">trading venues. </w:t>
      </w:r>
      <w:r>
        <w:rPr>
          <w:rFonts w:ascii="Garamond" w:hAnsi="Garamond"/>
          <w:sz w:val="24"/>
        </w:rPr>
        <w:t>ESBG</w:t>
      </w:r>
      <w:r w:rsidRPr="00BA303B">
        <w:rPr>
          <w:rFonts w:ascii="Garamond" w:hAnsi="Garamond"/>
          <w:sz w:val="24"/>
        </w:rPr>
        <w:t xml:space="preserve"> see</w:t>
      </w:r>
      <w:r>
        <w:rPr>
          <w:rFonts w:ascii="Garamond" w:hAnsi="Garamond"/>
          <w:sz w:val="24"/>
        </w:rPr>
        <w:t>s</w:t>
      </w:r>
      <w:r w:rsidRPr="00BA303B">
        <w:rPr>
          <w:rFonts w:ascii="Garamond" w:hAnsi="Garamond"/>
          <w:sz w:val="24"/>
        </w:rPr>
        <w:t xml:space="preserve"> this risk particularly in a post-Brexit </w:t>
      </w:r>
      <w:r>
        <w:rPr>
          <w:rFonts w:ascii="Garamond" w:hAnsi="Garamond"/>
          <w:sz w:val="24"/>
        </w:rPr>
        <w:t xml:space="preserve">global </w:t>
      </w:r>
      <w:r w:rsidRPr="00BA303B">
        <w:rPr>
          <w:rFonts w:ascii="Garamond" w:hAnsi="Garamond"/>
          <w:sz w:val="24"/>
        </w:rPr>
        <w:t>market.</w:t>
      </w:r>
    </w:p>
    <w:p w:rsidR="00CF4259" w:rsidRDefault="00CF4259" w:rsidP="00CF4259">
      <w:pPr>
        <w:suppressAutoHyphens/>
        <w:jc w:val="both"/>
        <w:rPr>
          <w:rFonts w:ascii="Garamond" w:hAnsi="Garamond"/>
          <w:sz w:val="24"/>
        </w:rPr>
      </w:pPr>
    </w:p>
    <w:p w:rsidR="00CF4259" w:rsidRDefault="00CF4259" w:rsidP="00CF4259">
      <w:pPr>
        <w:suppressAutoHyphens/>
        <w:jc w:val="both"/>
        <w:rPr>
          <w:rFonts w:ascii="Garamond" w:hAnsi="Garamond"/>
          <w:sz w:val="24"/>
        </w:rPr>
      </w:pPr>
    </w:p>
    <w:p w:rsidR="00CF4259" w:rsidRDefault="00CF4259" w:rsidP="00CF4259">
      <w:pPr>
        <w:suppressAutoHyphens/>
        <w:jc w:val="both"/>
        <w:rPr>
          <w:rFonts w:ascii="Garamond" w:hAnsi="Garamond"/>
          <w:sz w:val="24"/>
        </w:rPr>
      </w:pPr>
      <w:r>
        <w:rPr>
          <w:rFonts w:ascii="Garamond" w:hAnsi="Garamond"/>
          <w:sz w:val="24"/>
        </w:rPr>
        <w:t>With regards to the specificities of the consultation,</w:t>
      </w:r>
      <w:r w:rsidRPr="005D54CB">
        <w:rPr>
          <w:rFonts w:ascii="Garamond" w:hAnsi="Garamond"/>
          <w:sz w:val="24"/>
        </w:rPr>
        <w:t xml:space="preserve"> ESMA stresses that questions have emerged whether the quotes of an SI can adequately reflect prevailing market conditions (as stated in MiFIR, art. 14 (7)) when those quotes do not reflect the minimum price increments (“tick sizes”) applicable to on-venue to the quoted financial instrument. In this context, ESMAs concerns are primarily related to shares.</w:t>
      </w:r>
    </w:p>
    <w:p w:rsidR="00CF4259" w:rsidRPr="005D54CB" w:rsidRDefault="00CF4259" w:rsidP="00CF4259">
      <w:pPr>
        <w:suppressAutoHyphens/>
        <w:jc w:val="both"/>
        <w:rPr>
          <w:rFonts w:ascii="Garamond" w:hAnsi="Garamond"/>
          <w:sz w:val="24"/>
        </w:rPr>
      </w:pPr>
    </w:p>
    <w:p w:rsidR="00CF4259" w:rsidRPr="005D54CB" w:rsidRDefault="00CF4259" w:rsidP="00CF4259">
      <w:pPr>
        <w:suppressAutoHyphens/>
        <w:jc w:val="both"/>
        <w:rPr>
          <w:rFonts w:ascii="Garamond" w:hAnsi="Garamond"/>
          <w:sz w:val="24"/>
        </w:rPr>
      </w:pPr>
      <w:r>
        <w:rPr>
          <w:rFonts w:ascii="Garamond" w:hAnsi="Garamond"/>
          <w:sz w:val="24"/>
        </w:rPr>
        <w:t>Question 1</w:t>
      </w:r>
      <w:r w:rsidRPr="005D54CB">
        <w:rPr>
          <w:rFonts w:ascii="Garamond" w:hAnsi="Garamond"/>
          <w:sz w:val="24"/>
        </w:rPr>
        <w:t xml:space="preserve"> reflects this statement, as ESMA asks whether we agree with ESMA’s proposal to clarify that SIs’ quotes would only reflect prevailing market conditions where the price levels could be traded on a trading venue at the time of publication, </w:t>
      </w:r>
      <w:r w:rsidRPr="005D54CB">
        <w:rPr>
          <w:rFonts w:ascii="Garamond" w:hAnsi="Garamond"/>
          <w:i/>
          <w:sz w:val="24"/>
        </w:rPr>
        <w:t>i.e.</w:t>
      </w:r>
      <w:r w:rsidRPr="005D54CB">
        <w:rPr>
          <w:rFonts w:ascii="Garamond" w:hAnsi="Garamond"/>
          <w:sz w:val="24"/>
        </w:rPr>
        <w:t xml:space="preserve"> SIs must be subject to the tick size regime as specified in RTS 11.</w:t>
      </w:r>
    </w:p>
    <w:p w:rsidR="00CF4259" w:rsidRPr="005D54CB" w:rsidRDefault="00CF4259" w:rsidP="00CF4259">
      <w:pPr>
        <w:suppressAutoHyphens/>
        <w:jc w:val="both"/>
        <w:rPr>
          <w:rFonts w:ascii="Garamond" w:hAnsi="Garamond"/>
          <w:sz w:val="24"/>
        </w:rPr>
      </w:pPr>
    </w:p>
    <w:p w:rsidR="00CF4259" w:rsidRPr="005D54CB" w:rsidRDefault="00CF4259" w:rsidP="00CF4259">
      <w:pPr>
        <w:suppressAutoHyphens/>
        <w:jc w:val="both"/>
        <w:rPr>
          <w:rFonts w:ascii="Garamond" w:hAnsi="Garamond"/>
          <w:sz w:val="24"/>
        </w:rPr>
      </w:pPr>
      <w:r>
        <w:rPr>
          <w:rFonts w:ascii="Garamond" w:hAnsi="Garamond"/>
          <w:sz w:val="24"/>
        </w:rPr>
        <w:t>As indicated above, ESBG</w:t>
      </w:r>
      <w:r w:rsidRPr="005D54CB">
        <w:rPr>
          <w:rFonts w:ascii="Garamond" w:hAnsi="Garamond"/>
          <w:sz w:val="24"/>
        </w:rPr>
        <w:t xml:space="preserve"> </w:t>
      </w:r>
      <w:r>
        <w:rPr>
          <w:rFonts w:ascii="Garamond" w:hAnsi="Garamond"/>
          <w:sz w:val="24"/>
        </w:rPr>
        <w:t xml:space="preserve">supports </w:t>
      </w:r>
      <w:r w:rsidRPr="005D54CB">
        <w:rPr>
          <w:rFonts w:ascii="Garamond" w:hAnsi="Garamond"/>
          <w:sz w:val="24"/>
        </w:rPr>
        <w:t>ESMA</w:t>
      </w:r>
      <w:r>
        <w:rPr>
          <w:rFonts w:ascii="Garamond" w:hAnsi="Garamond"/>
          <w:sz w:val="24"/>
        </w:rPr>
        <w:t>’</w:t>
      </w:r>
      <w:r w:rsidRPr="005D54CB">
        <w:rPr>
          <w:rFonts w:ascii="Garamond" w:hAnsi="Garamond"/>
          <w:sz w:val="24"/>
        </w:rPr>
        <w:t xml:space="preserve">s intention to ensure a level playing field between the trading venues and </w:t>
      </w:r>
      <w:r>
        <w:rPr>
          <w:rFonts w:ascii="Garamond" w:hAnsi="Garamond"/>
          <w:sz w:val="24"/>
        </w:rPr>
        <w:t>Systematic Internalisers</w:t>
      </w:r>
      <w:r w:rsidRPr="005D54CB">
        <w:rPr>
          <w:rFonts w:ascii="Garamond" w:hAnsi="Garamond"/>
          <w:sz w:val="24"/>
        </w:rPr>
        <w:t>. However, it is of great importance to ensure that a level playing field go both ways, which does not seems be the case in the proposal, as it stands.</w:t>
      </w:r>
    </w:p>
    <w:p w:rsidR="00CF4259" w:rsidRPr="005D54CB" w:rsidRDefault="00CF4259" w:rsidP="00CF4259">
      <w:pPr>
        <w:suppressAutoHyphens/>
        <w:jc w:val="both"/>
        <w:rPr>
          <w:rFonts w:ascii="Garamond" w:hAnsi="Garamond"/>
          <w:sz w:val="24"/>
        </w:rPr>
      </w:pPr>
    </w:p>
    <w:p w:rsidR="00CF4259" w:rsidRPr="005D54CB" w:rsidRDefault="00CF4259" w:rsidP="00CF4259">
      <w:pPr>
        <w:suppressAutoHyphens/>
        <w:jc w:val="both"/>
        <w:rPr>
          <w:rFonts w:ascii="Garamond" w:hAnsi="Garamond"/>
          <w:i/>
          <w:sz w:val="24"/>
        </w:rPr>
      </w:pPr>
      <w:r w:rsidRPr="005D54CB">
        <w:rPr>
          <w:rFonts w:ascii="Garamond" w:hAnsi="Garamond"/>
          <w:sz w:val="24"/>
        </w:rPr>
        <w:t>First</w:t>
      </w:r>
      <w:r>
        <w:rPr>
          <w:rFonts w:ascii="Garamond" w:hAnsi="Garamond"/>
          <w:sz w:val="24"/>
        </w:rPr>
        <w:t>ly</w:t>
      </w:r>
      <w:r w:rsidRPr="005D54CB">
        <w:rPr>
          <w:rFonts w:ascii="Garamond" w:hAnsi="Garamond"/>
          <w:sz w:val="24"/>
        </w:rPr>
        <w:t xml:space="preserve">, </w:t>
      </w:r>
      <w:r>
        <w:rPr>
          <w:rFonts w:ascii="Garamond" w:hAnsi="Garamond"/>
          <w:sz w:val="24"/>
        </w:rPr>
        <w:t>it should be highlighted</w:t>
      </w:r>
      <w:r w:rsidRPr="005D54CB">
        <w:rPr>
          <w:rFonts w:ascii="Garamond" w:hAnsi="Garamond"/>
          <w:sz w:val="24"/>
        </w:rPr>
        <w:t xml:space="preserve"> that trading venues can easily offer trading at midpoint, </w:t>
      </w:r>
      <w:r w:rsidRPr="005D54CB">
        <w:rPr>
          <w:rFonts w:ascii="Garamond" w:hAnsi="Garamond"/>
          <w:i/>
          <w:sz w:val="24"/>
        </w:rPr>
        <w:t>i.e.</w:t>
      </w:r>
      <w:r w:rsidRPr="005D54CB">
        <w:rPr>
          <w:rFonts w:ascii="Garamond" w:hAnsi="Garamond"/>
          <w:sz w:val="24"/>
        </w:rPr>
        <w:t xml:space="preserve"> circumventing the tick size regime themselves. This can for example be the case for trading under the reference price waiver, the negotiated trade waiver or the large in scale waiver. Furthermore, most trading venues offer additional trading methods in order to attract liquidity from SIs, </w:t>
      </w:r>
      <w:r w:rsidRPr="005D54CB">
        <w:rPr>
          <w:rFonts w:ascii="Garamond" w:hAnsi="Garamond"/>
          <w:i/>
          <w:sz w:val="24"/>
        </w:rPr>
        <w:t>i.e.</w:t>
      </w:r>
      <w:r w:rsidRPr="005D54CB">
        <w:rPr>
          <w:rFonts w:ascii="Garamond" w:hAnsi="Garamond"/>
          <w:sz w:val="24"/>
        </w:rPr>
        <w:t xml:space="preserve"> </w:t>
      </w:r>
      <w:proofErr w:type="gramStart"/>
      <w:r w:rsidRPr="005D54CB">
        <w:rPr>
          <w:rFonts w:ascii="Garamond" w:hAnsi="Garamond"/>
          <w:sz w:val="24"/>
        </w:rPr>
        <w:t>Nasdaq</w:t>
      </w:r>
      <w:proofErr w:type="gramEnd"/>
      <w:r w:rsidRPr="005D54CB">
        <w:rPr>
          <w:rFonts w:ascii="Garamond" w:hAnsi="Garamond"/>
          <w:sz w:val="24"/>
        </w:rPr>
        <w:t xml:space="preserve"> offers Auction on Demand, in which trading at midpoint is doable. Similar initiatives can be found on other exchanges, most likely subject to some kind of midpoint peg, which is not tick size validated.</w:t>
      </w:r>
    </w:p>
    <w:p w:rsidR="00CF4259" w:rsidRPr="005D54CB" w:rsidRDefault="00CF4259" w:rsidP="00CF4259">
      <w:pPr>
        <w:suppressAutoHyphens/>
        <w:jc w:val="both"/>
        <w:rPr>
          <w:rFonts w:ascii="Garamond" w:hAnsi="Garamond"/>
          <w:sz w:val="24"/>
        </w:rPr>
      </w:pPr>
    </w:p>
    <w:p w:rsidR="00CF4259" w:rsidRPr="005D54CB" w:rsidRDefault="00CF4259" w:rsidP="00CF4259">
      <w:pPr>
        <w:suppressAutoHyphens/>
        <w:jc w:val="both"/>
        <w:rPr>
          <w:rFonts w:ascii="Garamond" w:hAnsi="Garamond"/>
          <w:sz w:val="24"/>
        </w:rPr>
      </w:pPr>
      <w:r w:rsidRPr="005D54CB">
        <w:rPr>
          <w:rFonts w:ascii="Garamond" w:hAnsi="Garamond"/>
          <w:sz w:val="24"/>
        </w:rPr>
        <w:t>So, adopting a rule which will allow trading venues to continue circumventing the tick size regime, whereas SIs cannot, does not seem to be in line with a level playing field approach.</w:t>
      </w:r>
    </w:p>
    <w:p w:rsidR="00CF4259" w:rsidRPr="005D54CB" w:rsidRDefault="00CF4259" w:rsidP="00CF4259">
      <w:pPr>
        <w:suppressAutoHyphens/>
        <w:jc w:val="both"/>
        <w:rPr>
          <w:rFonts w:ascii="Garamond" w:hAnsi="Garamond"/>
          <w:sz w:val="24"/>
        </w:rPr>
      </w:pPr>
    </w:p>
    <w:p w:rsidR="00CF4259" w:rsidRPr="005D54CB" w:rsidRDefault="00CF4259" w:rsidP="00CF4259">
      <w:pPr>
        <w:suppressAutoHyphens/>
        <w:jc w:val="both"/>
        <w:rPr>
          <w:rFonts w:ascii="Garamond" w:hAnsi="Garamond"/>
          <w:sz w:val="24"/>
        </w:rPr>
      </w:pPr>
      <w:r w:rsidRPr="005D54CB">
        <w:rPr>
          <w:rFonts w:ascii="Garamond" w:hAnsi="Garamond"/>
          <w:sz w:val="24"/>
        </w:rPr>
        <w:t>Secondly, the SIs obligations as specified in MiFIR (</w:t>
      </w:r>
      <w:r>
        <w:rPr>
          <w:rFonts w:ascii="Garamond" w:hAnsi="Garamond"/>
          <w:sz w:val="24"/>
        </w:rPr>
        <w:t>Article</w:t>
      </w:r>
      <w:r w:rsidRPr="005D54CB">
        <w:rPr>
          <w:rFonts w:ascii="Garamond" w:hAnsi="Garamond"/>
          <w:sz w:val="24"/>
        </w:rPr>
        <w:t xml:space="preserve"> 14</w:t>
      </w:r>
      <w:r>
        <w:rPr>
          <w:rFonts w:ascii="Garamond" w:hAnsi="Garamond"/>
          <w:sz w:val="24"/>
        </w:rPr>
        <w:t xml:space="preserve"> to </w:t>
      </w:r>
      <w:r w:rsidRPr="005D54CB">
        <w:rPr>
          <w:rFonts w:ascii="Garamond" w:hAnsi="Garamond"/>
          <w:sz w:val="24"/>
        </w:rPr>
        <w:t>17), are only applicable for SI when dealing up to st</w:t>
      </w:r>
      <w:r>
        <w:rPr>
          <w:rFonts w:ascii="Garamond" w:hAnsi="Garamond"/>
          <w:sz w:val="24"/>
        </w:rPr>
        <w:t>andard market size (cf. MiFIR, A</w:t>
      </w:r>
      <w:r w:rsidRPr="005D54CB">
        <w:rPr>
          <w:rFonts w:ascii="Garamond" w:hAnsi="Garamond"/>
          <w:sz w:val="24"/>
        </w:rPr>
        <w:t>rt</w:t>
      </w:r>
      <w:r>
        <w:rPr>
          <w:rFonts w:ascii="Garamond" w:hAnsi="Garamond"/>
          <w:sz w:val="24"/>
        </w:rPr>
        <w:t>icle</w:t>
      </w:r>
      <w:r w:rsidRPr="005D54CB">
        <w:rPr>
          <w:rFonts w:ascii="Garamond" w:hAnsi="Garamond"/>
          <w:sz w:val="24"/>
        </w:rPr>
        <w:t xml:space="preserve"> 14(2)). Therefore, MiFIR </w:t>
      </w:r>
      <w:r>
        <w:rPr>
          <w:rFonts w:ascii="Garamond" w:hAnsi="Garamond"/>
          <w:sz w:val="24"/>
        </w:rPr>
        <w:t>Article</w:t>
      </w:r>
      <w:r w:rsidRPr="005D54CB">
        <w:rPr>
          <w:rFonts w:ascii="Garamond" w:hAnsi="Garamond"/>
          <w:sz w:val="24"/>
        </w:rPr>
        <w:t xml:space="preserve"> </w:t>
      </w:r>
      <w:r>
        <w:rPr>
          <w:rFonts w:ascii="Garamond" w:hAnsi="Garamond"/>
          <w:sz w:val="24"/>
        </w:rPr>
        <w:t>14(</w:t>
      </w:r>
      <w:r w:rsidRPr="005D54CB">
        <w:rPr>
          <w:rFonts w:ascii="Garamond" w:hAnsi="Garamond"/>
          <w:sz w:val="24"/>
        </w:rPr>
        <w:t xml:space="preserve">7) is only applicable up to standard market size. This implies that if the suggested tick size requirement is adapted, it is crucial that this is only applicable when dealing up to standard market size. </w:t>
      </w:r>
    </w:p>
    <w:p w:rsidR="00CF4259" w:rsidRPr="005D54CB" w:rsidRDefault="00CF4259" w:rsidP="00CF4259">
      <w:pPr>
        <w:suppressAutoHyphens/>
        <w:jc w:val="both"/>
        <w:rPr>
          <w:rFonts w:ascii="Garamond" w:hAnsi="Garamond"/>
          <w:sz w:val="24"/>
        </w:rPr>
      </w:pPr>
    </w:p>
    <w:p w:rsidR="00CF4259" w:rsidRPr="005D54CB" w:rsidRDefault="00CF4259" w:rsidP="00CF4259">
      <w:pPr>
        <w:suppressAutoHyphens/>
        <w:jc w:val="both"/>
        <w:rPr>
          <w:rFonts w:ascii="Garamond" w:hAnsi="Garamond"/>
          <w:sz w:val="24"/>
        </w:rPr>
      </w:pPr>
      <w:r w:rsidRPr="005D54CB">
        <w:rPr>
          <w:rFonts w:ascii="Garamond" w:hAnsi="Garamond"/>
          <w:sz w:val="24"/>
        </w:rPr>
        <w:t xml:space="preserve">Thirdly, as discussed at length, the trading venues – and in particular the incumbent exchanges – continuously demonstrates a remarkable creative ability when using their pricing power in the market data space. </w:t>
      </w:r>
      <w:r>
        <w:rPr>
          <w:rFonts w:ascii="Garamond" w:hAnsi="Garamond"/>
          <w:sz w:val="24"/>
        </w:rPr>
        <w:t>Hence,</w:t>
      </w:r>
      <w:r w:rsidRPr="005D54CB">
        <w:rPr>
          <w:rFonts w:ascii="Garamond" w:hAnsi="Garamond"/>
          <w:sz w:val="24"/>
        </w:rPr>
        <w:t xml:space="preserve"> requiring that SI quotes de facto should mirror the prices on the trading venues will undoubtedly serve as a catalyst for trading venues claiming that SI prices belong to the trading venues. Thereby, trading venues will pursue this as an additional source of income </w:t>
      </w:r>
      <w:r w:rsidRPr="005D54CB">
        <w:rPr>
          <w:rFonts w:ascii="Garamond" w:hAnsi="Garamond"/>
          <w:i/>
          <w:sz w:val="24"/>
        </w:rPr>
        <w:t>i.e.</w:t>
      </w:r>
      <w:r w:rsidRPr="005D54CB">
        <w:rPr>
          <w:rFonts w:ascii="Garamond" w:hAnsi="Garamond"/>
          <w:sz w:val="24"/>
        </w:rPr>
        <w:t xml:space="preserve"> in the form of a derived data license. Additional cost on investment firms will in the end of the day be passed on to the clients, which can be harmful for liquidity. </w:t>
      </w:r>
    </w:p>
    <w:p w:rsidR="00CF4259" w:rsidRPr="005D54CB" w:rsidRDefault="00CF4259" w:rsidP="00CF4259">
      <w:pPr>
        <w:suppressAutoHyphens/>
        <w:jc w:val="both"/>
        <w:rPr>
          <w:rFonts w:ascii="Garamond" w:hAnsi="Garamond"/>
          <w:sz w:val="24"/>
        </w:rPr>
      </w:pPr>
    </w:p>
    <w:p w:rsidR="00CF4259" w:rsidRDefault="00CF4259" w:rsidP="00CF4259">
      <w:pPr>
        <w:suppressAutoHyphens/>
        <w:jc w:val="both"/>
        <w:rPr>
          <w:rFonts w:ascii="Garamond" w:hAnsi="Garamond"/>
          <w:sz w:val="24"/>
        </w:rPr>
      </w:pPr>
      <w:r w:rsidRPr="005D54CB">
        <w:rPr>
          <w:rFonts w:ascii="Garamond" w:hAnsi="Garamond"/>
          <w:sz w:val="24"/>
        </w:rPr>
        <w:t xml:space="preserve">In short, </w:t>
      </w:r>
      <w:r>
        <w:rPr>
          <w:rFonts w:ascii="Garamond" w:hAnsi="Garamond"/>
          <w:sz w:val="24"/>
        </w:rPr>
        <w:t>ESBG</w:t>
      </w:r>
      <w:r w:rsidRPr="005D54CB">
        <w:rPr>
          <w:rFonts w:ascii="Garamond" w:hAnsi="Garamond"/>
          <w:sz w:val="24"/>
        </w:rPr>
        <w:t xml:space="preserve"> strongly supports a level playing field approach. However, ESMA</w:t>
      </w:r>
      <w:r>
        <w:rPr>
          <w:rFonts w:ascii="Garamond" w:hAnsi="Garamond"/>
          <w:sz w:val="24"/>
        </w:rPr>
        <w:t>’s</w:t>
      </w:r>
      <w:r w:rsidRPr="005D54CB">
        <w:rPr>
          <w:rFonts w:ascii="Garamond" w:hAnsi="Garamond"/>
          <w:sz w:val="24"/>
        </w:rPr>
        <w:t xml:space="preserve"> proposal </w:t>
      </w:r>
      <w:r w:rsidRPr="00406399">
        <w:rPr>
          <w:rFonts w:ascii="Garamond" w:hAnsi="Garamond"/>
          <w:sz w:val="24"/>
        </w:rPr>
        <w:t xml:space="preserve">reflected in the question 1 </w:t>
      </w:r>
      <w:r w:rsidRPr="005D54CB">
        <w:rPr>
          <w:rFonts w:ascii="Garamond" w:hAnsi="Garamond"/>
          <w:sz w:val="24"/>
        </w:rPr>
        <w:t>does not seem to support this approach as trading venues can offer execution which is not tick size validated. Furthermore, trading venues will most likely exploit requirements to mirror prices on trading venues to introduce additional payment</w:t>
      </w:r>
      <w:r>
        <w:rPr>
          <w:rFonts w:ascii="Garamond" w:hAnsi="Garamond"/>
          <w:sz w:val="24"/>
        </w:rPr>
        <w:t>s</w:t>
      </w:r>
      <w:r w:rsidRPr="005D54CB">
        <w:rPr>
          <w:rFonts w:ascii="Garamond" w:hAnsi="Garamond"/>
          <w:sz w:val="24"/>
        </w:rPr>
        <w:t xml:space="preserve"> on market data. But, if ESMA escalate its focus on reasonable market data pricing by ensuring that the proposed change will not imply additional charges on date users and that the tick size regime only apply up to standard market size, </w:t>
      </w:r>
      <w:r>
        <w:rPr>
          <w:rFonts w:ascii="Garamond" w:hAnsi="Garamond"/>
          <w:sz w:val="24"/>
        </w:rPr>
        <w:t>ESBG</w:t>
      </w:r>
      <w:r w:rsidRPr="005D54CB">
        <w:rPr>
          <w:rFonts w:ascii="Garamond" w:hAnsi="Garamond"/>
          <w:sz w:val="24"/>
        </w:rPr>
        <w:t xml:space="preserve"> can accept the amendment.</w:t>
      </w:r>
    </w:p>
    <w:p w:rsidR="00A8728B" w:rsidRDefault="00A8728B" w:rsidP="00A8728B">
      <w:pPr>
        <w:rPr>
          <w:rFonts w:ascii="Garamond" w:hAnsi="Garamond"/>
          <w:sz w:val="24"/>
        </w:rPr>
      </w:pPr>
    </w:p>
    <w:permEnd w:id="1845179484"/>
    <w:p w:rsidR="00A8728B" w:rsidRDefault="00A8728B" w:rsidP="00A8728B"/>
    <w:p w:rsidR="00A8728B" w:rsidRDefault="00A8728B" w:rsidP="00A8728B">
      <w:r>
        <w:t>&lt;ESMA_QUESTION</w:t>
      </w:r>
      <w:r w:rsidR="00D920D1">
        <w:t>_</w:t>
      </w:r>
      <w:r w:rsidR="00431B0A">
        <w:t>RTS1_AMND_</w:t>
      </w:r>
      <w:r>
        <w:t>1&gt;</w:t>
      </w:r>
    </w:p>
    <w:p w:rsidR="00431DA4" w:rsidRPr="00431DA4" w:rsidRDefault="00EF383B" w:rsidP="00EF383B">
      <w:pPr>
        <w:pStyle w:val="CPQuestions"/>
      </w:pPr>
      <w:r w:rsidRPr="00EF383B">
        <w:t>Do you agree with the drafting amendment described above?</w:t>
      </w:r>
    </w:p>
    <w:p w:rsidR="00A8728B" w:rsidRDefault="00A8728B" w:rsidP="00A8728B">
      <w:r>
        <w:t>&lt;ESMA_QUESTION</w:t>
      </w:r>
      <w:r w:rsidR="00D920D1">
        <w:t>_</w:t>
      </w:r>
      <w:r w:rsidR="00431B0A">
        <w:t>RTS1_AMND_</w:t>
      </w:r>
      <w:r>
        <w:t>2&gt;</w:t>
      </w:r>
    </w:p>
    <w:p w:rsidR="00CF4259" w:rsidRDefault="00CF4259" w:rsidP="00CF4259">
      <w:pPr>
        <w:suppressAutoHyphens/>
        <w:jc w:val="both"/>
        <w:rPr>
          <w:rFonts w:ascii="Garamond" w:hAnsi="Garamond"/>
          <w:sz w:val="24"/>
        </w:rPr>
      </w:pPr>
      <w:permStart w:id="1197216813" w:edGrp="everyone"/>
      <w:r>
        <w:rPr>
          <w:rFonts w:ascii="Garamond" w:hAnsi="Garamond"/>
          <w:sz w:val="24"/>
        </w:rPr>
        <w:t xml:space="preserve">ESBG welcomes the </w:t>
      </w:r>
      <w:r w:rsidRPr="00334A4A">
        <w:rPr>
          <w:rFonts w:ascii="Garamond" w:hAnsi="Garamond"/>
          <w:sz w:val="24"/>
        </w:rPr>
        <w:t xml:space="preserve">deletion of Articles 2 (h) and </w:t>
      </w:r>
      <w:proofErr w:type="gramStart"/>
      <w:r w:rsidRPr="00334A4A">
        <w:rPr>
          <w:rFonts w:ascii="Garamond" w:hAnsi="Garamond"/>
          <w:sz w:val="24"/>
        </w:rPr>
        <w:t>6</w:t>
      </w:r>
      <w:proofErr w:type="gramEnd"/>
      <w:r w:rsidRPr="00334A4A">
        <w:rPr>
          <w:rFonts w:ascii="Garamond" w:hAnsi="Garamond"/>
          <w:sz w:val="24"/>
        </w:rPr>
        <w:t xml:space="preserve"> (h) and the correction of the cross-reference in Article 3 (2)</w:t>
      </w:r>
      <w:r>
        <w:rPr>
          <w:rFonts w:ascii="Garamond" w:hAnsi="Garamond"/>
          <w:sz w:val="24"/>
        </w:rPr>
        <w:t xml:space="preserve"> as t</w:t>
      </w:r>
      <w:r w:rsidRPr="00406399">
        <w:rPr>
          <w:rFonts w:ascii="Garamond" w:hAnsi="Garamond"/>
          <w:sz w:val="24"/>
        </w:rPr>
        <w:t>hese changes are merely seen as an attempt to correct errors in the implementation in order to ensure consis</w:t>
      </w:r>
      <w:r>
        <w:rPr>
          <w:rFonts w:ascii="Garamond" w:hAnsi="Garamond"/>
          <w:sz w:val="24"/>
        </w:rPr>
        <w:t>tent and unambiguous legal text.</w:t>
      </w:r>
    </w:p>
    <w:p w:rsidR="00CF4259" w:rsidRDefault="00CF4259" w:rsidP="00CF4259">
      <w:pPr>
        <w:suppressAutoHyphens/>
        <w:jc w:val="both"/>
        <w:rPr>
          <w:rFonts w:ascii="Garamond" w:hAnsi="Garamond"/>
          <w:sz w:val="24"/>
        </w:rPr>
      </w:pPr>
    </w:p>
    <w:p w:rsidR="00CF4259" w:rsidRPr="00406399" w:rsidRDefault="00CF4259" w:rsidP="00CF4259">
      <w:pPr>
        <w:suppressAutoHyphens/>
        <w:jc w:val="both"/>
        <w:rPr>
          <w:rFonts w:ascii="Garamond" w:hAnsi="Garamond"/>
          <w:sz w:val="24"/>
        </w:rPr>
      </w:pPr>
      <w:r>
        <w:rPr>
          <w:rFonts w:ascii="Garamond" w:hAnsi="Garamond"/>
          <w:sz w:val="24"/>
        </w:rPr>
        <w:t>However</w:t>
      </w:r>
      <w:r w:rsidRPr="00334A4A">
        <w:rPr>
          <w:rFonts w:ascii="Garamond" w:hAnsi="Garamond"/>
          <w:sz w:val="24"/>
        </w:rPr>
        <w:t xml:space="preserve">, </w:t>
      </w:r>
      <w:r>
        <w:rPr>
          <w:rFonts w:ascii="Garamond" w:hAnsi="Garamond"/>
          <w:sz w:val="24"/>
        </w:rPr>
        <w:t>ESBG</w:t>
      </w:r>
      <w:r w:rsidRPr="00334A4A">
        <w:rPr>
          <w:rFonts w:ascii="Garamond" w:hAnsi="Garamond"/>
          <w:sz w:val="24"/>
        </w:rPr>
        <w:t xml:space="preserve"> </w:t>
      </w:r>
      <w:r>
        <w:rPr>
          <w:rFonts w:ascii="Garamond" w:hAnsi="Garamond"/>
          <w:sz w:val="24"/>
        </w:rPr>
        <w:t>rejects the other</w:t>
      </w:r>
      <w:r w:rsidRPr="00334A4A">
        <w:rPr>
          <w:rFonts w:ascii="Garamond" w:hAnsi="Garamond"/>
          <w:sz w:val="24"/>
        </w:rPr>
        <w:t xml:space="preserve"> ad</w:t>
      </w:r>
      <w:bookmarkStart w:id="3" w:name="_GoBack"/>
      <w:bookmarkEnd w:id="3"/>
      <w:r w:rsidRPr="00334A4A">
        <w:rPr>
          <w:rFonts w:ascii="Garamond" w:hAnsi="Garamond"/>
          <w:sz w:val="24"/>
        </w:rPr>
        <w:t>justments to RTS 1</w:t>
      </w:r>
      <w:r>
        <w:rPr>
          <w:rFonts w:ascii="Garamond" w:hAnsi="Garamond"/>
          <w:sz w:val="24"/>
        </w:rPr>
        <w:t xml:space="preserve"> for the time being</w:t>
      </w:r>
      <w:r w:rsidRPr="00334A4A">
        <w:rPr>
          <w:rFonts w:ascii="Garamond" w:hAnsi="Garamond"/>
          <w:sz w:val="24"/>
        </w:rPr>
        <w:t xml:space="preserve">. In particular, the effects </w:t>
      </w:r>
      <w:r>
        <w:rPr>
          <w:rFonts w:ascii="Garamond" w:hAnsi="Garamond"/>
          <w:sz w:val="24"/>
        </w:rPr>
        <w:t xml:space="preserve">of the changes </w:t>
      </w:r>
      <w:r w:rsidRPr="00334A4A">
        <w:rPr>
          <w:rFonts w:ascii="Garamond" w:hAnsi="Garamond"/>
          <w:sz w:val="24"/>
        </w:rPr>
        <w:t>cannot be estimated in the current</w:t>
      </w:r>
      <w:r>
        <w:rPr>
          <w:rFonts w:ascii="Garamond" w:hAnsi="Garamond"/>
          <w:sz w:val="24"/>
        </w:rPr>
        <w:t xml:space="preserve"> state of play</w:t>
      </w:r>
      <w:r w:rsidRPr="00334A4A">
        <w:rPr>
          <w:rFonts w:ascii="Garamond" w:hAnsi="Garamond"/>
          <w:sz w:val="24"/>
        </w:rPr>
        <w:t>. Due to transitional</w:t>
      </w:r>
      <w:r>
        <w:rPr>
          <w:rFonts w:ascii="Garamond" w:hAnsi="Garamond"/>
          <w:sz w:val="24"/>
        </w:rPr>
        <w:t xml:space="preserve"> rules and various developments,</w:t>
      </w:r>
      <w:r w:rsidRPr="00334A4A">
        <w:rPr>
          <w:rFonts w:ascii="Garamond" w:hAnsi="Garamond"/>
          <w:sz w:val="24"/>
        </w:rPr>
        <w:t xml:space="preserve"> consequences are not yet foreseeable. </w:t>
      </w:r>
      <w:r>
        <w:rPr>
          <w:rFonts w:ascii="Garamond" w:hAnsi="Garamond"/>
          <w:sz w:val="24"/>
        </w:rPr>
        <w:t>ESBG</w:t>
      </w:r>
      <w:r w:rsidRPr="00334A4A">
        <w:rPr>
          <w:rFonts w:ascii="Garamond" w:hAnsi="Garamond"/>
          <w:sz w:val="24"/>
        </w:rPr>
        <w:t xml:space="preserve"> would welcome a similar consultation at a later stage, taking into acc</w:t>
      </w:r>
      <w:r>
        <w:rPr>
          <w:rFonts w:ascii="Garamond" w:hAnsi="Garamond"/>
          <w:sz w:val="24"/>
        </w:rPr>
        <w:t>ount the D</w:t>
      </w:r>
      <w:r w:rsidRPr="00334A4A">
        <w:rPr>
          <w:rFonts w:ascii="Garamond" w:hAnsi="Garamond"/>
          <w:sz w:val="24"/>
        </w:rPr>
        <w:t xml:space="preserve">elegated </w:t>
      </w:r>
      <w:r>
        <w:rPr>
          <w:rFonts w:ascii="Garamond" w:hAnsi="Garamond"/>
          <w:sz w:val="24"/>
        </w:rPr>
        <w:t>R</w:t>
      </w:r>
      <w:r w:rsidRPr="00334A4A">
        <w:rPr>
          <w:rFonts w:ascii="Garamond" w:hAnsi="Garamond"/>
          <w:sz w:val="24"/>
        </w:rPr>
        <w:t>egulations, which are also concerned.</w:t>
      </w:r>
    </w:p>
    <w:p w:rsidR="00A8728B" w:rsidRDefault="00CF4259" w:rsidP="00A8728B">
      <w:r>
        <w:t xml:space="preserve"> </w:t>
      </w:r>
      <w:permEnd w:id="1197216813"/>
    </w:p>
    <w:p w:rsidR="00A8728B" w:rsidRDefault="00A8728B" w:rsidP="00A8728B">
      <w:r>
        <w:t>&lt;ESMA_QUESTION</w:t>
      </w:r>
      <w:r w:rsidR="00D920D1">
        <w:t>_</w:t>
      </w:r>
      <w:r w:rsidR="00431B0A">
        <w:t>RTS1_AMND_</w:t>
      </w:r>
      <w:r>
        <w:t>2&gt;</w:t>
      </w:r>
    </w:p>
    <w:sectPr w:rsidR="00A8728B"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F4259">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583885">
    <w:pPr>
      <w:pStyle w:val="Header"/>
      <w:jc w:val="right"/>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7"/>
  </w:num>
  <w:num w:numId="29">
    <w:abstractNumId w:val="8"/>
  </w:num>
  <w:num w:numId="30">
    <w:abstractNumId w:val="4"/>
  </w:num>
  <w:num w:numId="31">
    <w:abstractNumId w:val="21"/>
  </w:num>
  <w:num w:numId="32">
    <w:abstractNumId w:val="3"/>
  </w:num>
  <w:num w:numId="33">
    <w:abstractNumId w:val="7"/>
  </w:num>
  <w:num w:numId="34">
    <w:abstractNumId w:val="20"/>
  </w:num>
  <w:num w:numId="35">
    <w:abstractNumId w:val="34"/>
  </w:num>
  <w:num w:numId="36">
    <w:abstractNumId w:val="33"/>
  </w:num>
  <w:num w:numId="37">
    <w:abstractNumId w:val="2"/>
  </w:num>
  <w:num w:numId="38">
    <w:abstractNumId w:val="38"/>
  </w:num>
  <w:num w:numId="39">
    <w:abstractNumId w:val="20"/>
  </w:num>
  <w:num w:numId="40">
    <w:abstractNumId w:val="20"/>
    <w:lvlOverride w:ilvl="0">
      <w:startOverride w:val="1"/>
    </w:lvlOverride>
  </w:num>
  <w:num w:numId="41">
    <w:abstractNumId w:val="20"/>
  </w:num>
  <w:num w:numId="42">
    <w:abstractNumId w:val="20"/>
    <w:lvlOverride w:ilvl="0">
      <w:startOverride w:val="1"/>
    </w:lvlOverride>
  </w:num>
  <w:num w:numId="4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a/r63k4pNZnEJ9GCy+gk6XKgORN547pfE82xAKNf04xH+3R5SzkV6RHY3uEicys799EMGsxIgBeTT3qP+UA3Q==" w:salt="PaLg1IkbTcrukHtBU5XqwQ=="/>
  <w:defaultTabStop w:val="709"/>
  <w:autoHyphenation/>
  <w:hyphenationZone w:val="567"/>
  <w:characterSpacingControl w:val="doNotCompress"/>
  <w:hdrShapeDefaults>
    <o:shapedefaults v:ext="edit" spidmax="3686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259"/>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purl.org/dc/dcmitype/"/>
    <ds:schemaRef ds:uri="04e156a7-4389-4348-bdc5-772e1b15193f"/>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E214F7-2EB1-4373-92F0-FE935C9A61B5}">
  <ds:schemaRefs>
    <ds:schemaRef ds:uri="http://schemas.openxmlformats.org/officeDocument/2006/bibliography"/>
  </ds:schemaRefs>
</ds:datastoreItem>
</file>

<file path=customXml/itemProps6.xml><?xml version="1.0" encoding="utf-8"?>
<ds:datastoreItem xmlns:ds="http://schemas.openxmlformats.org/officeDocument/2006/customXml" ds:itemID="{4C26179C-AA06-4A5D-8210-E82B8EFE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1516</Words>
  <Characters>8269</Characters>
  <Application>Microsoft Office Word</Application>
  <DocSecurity>8</DocSecurity>
  <Lines>68</Lines>
  <Paragraphs>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9766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Moura Rémy</cp:lastModifiedBy>
  <cp:revision>14</cp:revision>
  <cp:lastPrinted>2015-02-18T11:01:00Z</cp:lastPrinted>
  <dcterms:created xsi:type="dcterms:W3CDTF">2016-10-31T09:59:00Z</dcterms:created>
  <dcterms:modified xsi:type="dcterms:W3CDTF">2018-01-25T14:14:00Z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