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5C248A" w:rsidP="005552FC">
            <w:pPr>
              <w:pStyle w:val="00bDBInfo"/>
              <w:rPr>
                <w:rFonts w:cs="Arial"/>
              </w:rPr>
            </w:pPr>
            <w:r>
              <w:rPr>
                <w:rFonts w:cs="Arial"/>
              </w:rPr>
              <w:t>2</w:t>
            </w:r>
            <w:r w:rsidR="005552FC">
              <w:rPr>
                <w:rFonts w:cs="Arial"/>
              </w:rPr>
              <w:t>9</w:t>
            </w:r>
            <w:r>
              <w:rPr>
                <w:rFonts w:cs="Arial"/>
              </w:rPr>
              <w:t xml:space="preserve"> September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tblPr>
      <w:tblGrid>
        <w:gridCol w:w="9586"/>
      </w:tblGrid>
      <w:tr w:rsidR="006F4535" w:rsidRPr="00616B9B" w:rsidTr="006F4535">
        <w:trPr>
          <w:trHeight w:hRule="exact" w:val="1912"/>
        </w:trPr>
        <w:tc>
          <w:tcPr>
            <w:tcW w:w="9586" w:type="dxa"/>
            <w:vAlign w:val="bottom"/>
          </w:tcPr>
          <w:p w:rsidR="006F4535" w:rsidRDefault="006F4535" w:rsidP="00105FE4">
            <w:pPr>
              <w:pStyle w:val="01aDBTitle"/>
              <w:jc w:val="left"/>
              <w:rPr>
                <w:rFonts w:cs="Arial"/>
                <w:sz w:val="32"/>
              </w:rPr>
            </w:pPr>
            <w:bookmarkStart w:id="0" w:name="_GoBack"/>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rsidR="00EB2A3F" w:rsidRPr="00550A1A" w:rsidRDefault="005C248A" w:rsidP="00105FE4">
            <w:pPr>
              <w:pStyle w:val="01aDBTitle"/>
              <w:jc w:val="left"/>
              <w:rPr>
                <w:rFonts w:cs="Arial"/>
                <w:sz w:val="32"/>
                <w:szCs w:val="32"/>
              </w:rPr>
            </w:pPr>
            <w:r w:rsidRPr="005C248A">
              <w:rPr>
                <w:rFonts w:cs="Arial"/>
                <w:sz w:val="32"/>
                <w:szCs w:val="32"/>
              </w:rPr>
              <w:t>draft guidelines on non-significant benchmarks</w:t>
            </w:r>
          </w:p>
          <w:bookmarkEnd w:id="0"/>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5552FC">
            <w:pPr>
              <w:pStyle w:val="02Date"/>
              <w:rPr>
                <w:rFonts w:cs="Arial"/>
              </w:rPr>
            </w:pPr>
            <w:r w:rsidRPr="004E49B0">
              <w:rPr>
                <w:rFonts w:cs="Arial"/>
              </w:rPr>
              <w:lastRenderedPageBreak/>
              <w:t xml:space="preserve">Date: </w:t>
            </w:r>
            <w:r w:rsidR="005C248A">
              <w:rPr>
                <w:rFonts w:cs="Arial"/>
              </w:rPr>
              <w:t>2</w:t>
            </w:r>
            <w:r w:rsidR="005552FC">
              <w:rPr>
                <w:rFonts w:cs="Arial"/>
              </w:rPr>
              <w:t>9</w:t>
            </w:r>
            <w:r w:rsidR="005C248A">
              <w:rPr>
                <w:rFonts w:cs="Arial"/>
              </w:rPr>
              <w:t xml:space="preserve"> September</w:t>
            </w:r>
            <w:r w:rsidR="00F65811">
              <w:rPr>
                <w:rFonts w:cs="Arial"/>
              </w:rPr>
              <w:t xml:space="preserve"> 2017</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51277E" w:rsidRPr="00550A1A" w:rsidRDefault="0051277E" w:rsidP="0051277E">
      <w:pPr>
        <w:spacing w:after="240"/>
        <w:jc w:val="both"/>
        <w:rPr>
          <w:rStyle w:val="Emphaseple"/>
          <w:b w:val="0"/>
          <w:sz w:val="22"/>
        </w:rPr>
      </w:pPr>
      <w:r w:rsidRPr="00550A1A">
        <w:rPr>
          <w:rStyle w:val="Emphaseple"/>
          <w:b w:val="0"/>
          <w:sz w:val="22"/>
        </w:rPr>
        <w:t>ESMA invites responses to the questions set out throughout this Consultation Paper. Responses are most helpful if they:</w:t>
      </w:r>
    </w:p>
    <w:p w:rsidR="0051277E" w:rsidRPr="00550A1A" w:rsidRDefault="0051277E" w:rsidP="0051277E">
      <w:pPr>
        <w:pStyle w:val="Paragraphedeliste"/>
        <w:numPr>
          <w:ilvl w:val="0"/>
          <w:numId w:val="56"/>
        </w:numPr>
        <w:spacing w:after="240" w:line="276" w:lineRule="auto"/>
        <w:ind w:left="567" w:hanging="567"/>
        <w:contextualSpacing w:val="0"/>
        <w:jc w:val="both"/>
        <w:rPr>
          <w:rStyle w:val="Emphaseple"/>
          <w:b w:val="0"/>
          <w:sz w:val="22"/>
        </w:rPr>
      </w:pPr>
      <w:r w:rsidRPr="00550A1A">
        <w:rPr>
          <w:rStyle w:val="Emphaseple"/>
          <w:b w:val="0"/>
          <w:sz w:val="22"/>
        </w:rPr>
        <w:t>respond to the question stated;</w:t>
      </w:r>
    </w:p>
    <w:p w:rsidR="0051277E" w:rsidRPr="00550A1A" w:rsidRDefault="0051277E" w:rsidP="0051277E">
      <w:pPr>
        <w:pStyle w:val="Paragraphedeliste"/>
        <w:numPr>
          <w:ilvl w:val="0"/>
          <w:numId w:val="56"/>
        </w:numPr>
        <w:spacing w:after="240" w:line="276" w:lineRule="auto"/>
        <w:ind w:left="567" w:hanging="567"/>
        <w:contextualSpacing w:val="0"/>
        <w:jc w:val="both"/>
        <w:rPr>
          <w:rStyle w:val="Emphaseple"/>
          <w:b w:val="0"/>
          <w:sz w:val="22"/>
        </w:rPr>
      </w:pPr>
      <w:r w:rsidRPr="00550A1A">
        <w:rPr>
          <w:rStyle w:val="Emphaseple"/>
          <w:b w:val="0"/>
          <w:sz w:val="22"/>
        </w:rPr>
        <w:t>contain a clear rationale; and</w:t>
      </w:r>
    </w:p>
    <w:p w:rsidR="0051277E" w:rsidRPr="00550A1A" w:rsidRDefault="0051277E" w:rsidP="0051277E">
      <w:pPr>
        <w:pStyle w:val="Paragraphedeliste"/>
        <w:numPr>
          <w:ilvl w:val="0"/>
          <w:numId w:val="56"/>
        </w:numPr>
        <w:spacing w:after="240" w:line="276" w:lineRule="auto"/>
        <w:ind w:left="567" w:hanging="567"/>
        <w:contextualSpacing w:val="0"/>
        <w:jc w:val="both"/>
        <w:rPr>
          <w:rStyle w:val="Emphaseple"/>
          <w:b w:val="0"/>
          <w:sz w:val="22"/>
        </w:rPr>
      </w:pPr>
      <w:r w:rsidRPr="00550A1A">
        <w:rPr>
          <w:rStyle w:val="Emphaseple"/>
          <w:b w:val="0"/>
          <w:sz w:val="22"/>
        </w:rPr>
        <w:t>describe any alternatives ESMA should consider.</w:t>
      </w:r>
    </w:p>
    <w:p w:rsidR="0051277E" w:rsidRPr="00550A1A" w:rsidRDefault="0051277E" w:rsidP="0051277E">
      <w:pPr>
        <w:spacing w:after="240"/>
        <w:jc w:val="both"/>
        <w:rPr>
          <w:rStyle w:val="Emphaseple"/>
          <w:b w:val="0"/>
          <w:sz w:val="22"/>
        </w:rPr>
      </w:pPr>
      <w:r w:rsidRPr="00550A1A">
        <w:rPr>
          <w:rStyle w:val="Emphaseple"/>
          <w:b w:val="0"/>
          <w:sz w:val="22"/>
        </w:rPr>
        <w:t xml:space="preserve">ESMA will consider all responses received by </w:t>
      </w:r>
      <w:r w:rsidR="005C248A">
        <w:rPr>
          <w:rStyle w:val="Emphaseple"/>
          <w:b w:val="0"/>
          <w:sz w:val="22"/>
        </w:rPr>
        <w:t>30 November</w:t>
      </w:r>
      <w:r w:rsidRPr="00550A1A">
        <w:rPr>
          <w:rStyle w:val="Emphaseple"/>
          <w:b w:val="0"/>
          <w:sz w:val="22"/>
        </w:rPr>
        <w:t xml:space="preserve"> 2017.</w:t>
      </w:r>
    </w:p>
    <w:p w:rsidR="0051277E" w:rsidRPr="00550A1A" w:rsidRDefault="0051277E" w:rsidP="0051277E">
      <w:pPr>
        <w:spacing w:after="120"/>
        <w:jc w:val="both"/>
        <w:rPr>
          <w:rStyle w:val="Emphaseple"/>
          <w:sz w:val="22"/>
        </w:rPr>
      </w:pPr>
      <w:r w:rsidRPr="00550A1A">
        <w:rPr>
          <w:rStyle w:val="Emphaseple"/>
          <w:sz w:val="22"/>
        </w:rPr>
        <w:t>Instructions</w:t>
      </w:r>
    </w:p>
    <w:p w:rsidR="0051277E" w:rsidRPr="00550A1A" w:rsidRDefault="0051277E" w:rsidP="0051277E">
      <w:pPr>
        <w:spacing w:after="240"/>
        <w:jc w:val="both"/>
        <w:rPr>
          <w:rStyle w:val="Emphaseple"/>
          <w:b w:val="0"/>
          <w:sz w:val="22"/>
        </w:rPr>
      </w:pPr>
      <w:r w:rsidRPr="00550A1A">
        <w:rPr>
          <w:rStyle w:val="Emphaseple"/>
          <w:b w:val="0"/>
          <w:sz w:val="22"/>
        </w:rPr>
        <w:t>In order to facilitate analysis of responses to the Consultation Paper, respondents are requested to follow the below steps when preparing and submitting their response:</w:t>
      </w:r>
    </w:p>
    <w:p w:rsidR="0051277E" w:rsidRPr="00550A1A" w:rsidRDefault="0051277E" w:rsidP="0051277E">
      <w:pPr>
        <w:pStyle w:val="Paragraphedeliste"/>
        <w:numPr>
          <w:ilvl w:val="0"/>
          <w:numId w:val="56"/>
        </w:numPr>
        <w:spacing w:after="240" w:line="276" w:lineRule="auto"/>
        <w:ind w:left="567" w:hanging="567"/>
        <w:contextualSpacing w:val="0"/>
        <w:jc w:val="both"/>
        <w:rPr>
          <w:rStyle w:val="Emphaseple"/>
          <w:b w:val="0"/>
          <w:sz w:val="22"/>
        </w:rPr>
      </w:pPr>
      <w:r w:rsidRPr="00550A1A">
        <w:rPr>
          <w:rStyle w:val="Emphaseple"/>
          <w:b w:val="0"/>
          <w:sz w:val="22"/>
        </w:rPr>
        <w:t>Insert your responses to the questions in the Consultation Paper in the form “Response form_Consultation Paper on scrutiny and approval”, available on ESMA’s website alon</w:t>
      </w:r>
      <w:r w:rsidRPr="00550A1A">
        <w:rPr>
          <w:rStyle w:val="Emphaseple"/>
          <w:b w:val="0"/>
          <w:sz w:val="22"/>
        </w:rPr>
        <w:t>g</w:t>
      </w:r>
      <w:r w:rsidRPr="00550A1A">
        <w:rPr>
          <w:rStyle w:val="Emphaseple"/>
          <w:b w:val="0"/>
          <w:sz w:val="22"/>
        </w:rPr>
        <w:t>side the present Consultation Paper (</w:t>
      </w:r>
      <w:hyperlink r:id="rId16" w:history="1">
        <w:r w:rsidRPr="00550A1A">
          <w:rPr>
            <w:rStyle w:val="Lienhypertexte"/>
            <w:rFonts w:cs="Arial"/>
            <w:sz w:val="22"/>
          </w:rPr>
          <w:t>www.esma.europa.eu</w:t>
        </w:r>
      </w:hyperlink>
      <w:r w:rsidRPr="00550A1A">
        <w:rPr>
          <w:rStyle w:val="Emphaseple"/>
          <w:b w:val="0"/>
          <w:sz w:val="22"/>
        </w:rPr>
        <w:t xml:space="preserve"> </w:t>
      </w:r>
      <w:r w:rsidRPr="00550A1A">
        <w:rPr>
          <w:rStyle w:val="Emphaseple"/>
          <w:b w:val="0"/>
          <w:sz w:val="22"/>
        </w:rPr>
        <w:sym w:font="Wingdings" w:char="F0E0"/>
      </w:r>
      <w:r w:rsidRPr="00550A1A">
        <w:rPr>
          <w:rStyle w:val="Emphaseple"/>
          <w:b w:val="0"/>
          <w:sz w:val="22"/>
        </w:rPr>
        <w:t xml:space="preserve"> ‘Your input – Open consu</w:t>
      </w:r>
      <w:r w:rsidRPr="00550A1A">
        <w:rPr>
          <w:rStyle w:val="Emphaseple"/>
          <w:b w:val="0"/>
          <w:sz w:val="22"/>
        </w:rPr>
        <w:t>l</w:t>
      </w:r>
      <w:r w:rsidRPr="00550A1A">
        <w:rPr>
          <w:rStyle w:val="Emphaseple"/>
          <w:b w:val="0"/>
          <w:sz w:val="22"/>
        </w:rPr>
        <w:t xml:space="preserve">tations’ </w:t>
      </w:r>
      <w:r w:rsidRPr="00550A1A">
        <w:rPr>
          <w:rStyle w:val="Emphaseple"/>
          <w:b w:val="0"/>
          <w:sz w:val="22"/>
        </w:rPr>
        <w:sym w:font="Wingdings" w:char="F0E0"/>
      </w:r>
      <w:r w:rsidRPr="00550A1A">
        <w:rPr>
          <w:rStyle w:val="Emphaseple"/>
          <w:b w:val="0"/>
          <w:sz w:val="22"/>
        </w:rPr>
        <w:t xml:space="preserve"> ‘Consultation on technical advice under the new Prospectus Regulation’).</w:t>
      </w:r>
    </w:p>
    <w:p w:rsidR="0051277E" w:rsidRPr="00550A1A" w:rsidRDefault="0051277E" w:rsidP="0051277E">
      <w:pPr>
        <w:pStyle w:val="Paragraphedeliste"/>
        <w:numPr>
          <w:ilvl w:val="0"/>
          <w:numId w:val="56"/>
        </w:numPr>
        <w:spacing w:after="240" w:line="276" w:lineRule="auto"/>
        <w:ind w:left="567" w:hanging="567"/>
        <w:contextualSpacing w:val="0"/>
        <w:jc w:val="both"/>
        <w:rPr>
          <w:rStyle w:val="Emphaseple"/>
          <w:b w:val="0"/>
          <w:sz w:val="22"/>
        </w:rPr>
      </w:pPr>
      <w:r w:rsidRPr="00550A1A">
        <w:rPr>
          <w:rStyle w:val="Emphaseple"/>
          <w:b w:val="0"/>
          <w:sz w:val="22"/>
        </w:rPr>
        <w:t>Please do not remove tags of the type &lt;ESMA_QUESTION_</w:t>
      </w:r>
      <w:r w:rsidR="005C248A">
        <w:rPr>
          <w:rStyle w:val="Emphaseple"/>
          <w:b w:val="0"/>
          <w:sz w:val="22"/>
        </w:rPr>
        <w:t>GBMR</w:t>
      </w:r>
      <w:r w:rsidRPr="00550A1A">
        <w:rPr>
          <w:rStyle w:val="Emphaseple"/>
          <w:b w:val="0"/>
          <w:sz w:val="22"/>
        </w:rPr>
        <w:t>_1&gt;. Your response to each question has to be framed by the two tags corresponding to the question.</w:t>
      </w:r>
    </w:p>
    <w:p w:rsidR="0051277E" w:rsidRPr="00550A1A" w:rsidRDefault="0051277E" w:rsidP="0051277E">
      <w:pPr>
        <w:pStyle w:val="Paragraphedeliste"/>
        <w:numPr>
          <w:ilvl w:val="0"/>
          <w:numId w:val="56"/>
        </w:numPr>
        <w:spacing w:after="240" w:line="276" w:lineRule="auto"/>
        <w:ind w:left="567" w:hanging="567"/>
        <w:contextualSpacing w:val="0"/>
        <w:jc w:val="both"/>
        <w:rPr>
          <w:rStyle w:val="Emphaseple"/>
          <w:b w:val="0"/>
          <w:sz w:val="22"/>
        </w:rPr>
      </w:pPr>
      <w:r w:rsidRPr="00550A1A">
        <w:rPr>
          <w:rStyle w:val="Emphaseple"/>
          <w:b w:val="0"/>
          <w:sz w:val="22"/>
        </w:rPr>
        <w:t>If you do not wish to respond to a given question, please do not delete it but simply leave the text “TYPE YOUR TEXT HERE” between the tags.</w:t>
      </w:r>
    </w:p>
    <w:p w:rsidR="0051277E" w:rsidRPr="00550A1A" w:rsidRDefault="0051277E" w:rsidP="0051277E">
      <w:pPr>
        <w:pStyle w:val="Paragraphedeliste"/>
        <w:numPr>
          <w:ilvl w:val="0"/>
          <w:numId w:val="56"/>
        </w:numPr>
        <w:spacing w:after="240" w:line="276" w:lineRule="auto"/>
        <w:ind w:left="567" w:hanging="567"/>
        <w:contextualSpacing w:val="0"/>
        <w:jc w:val="both"/>
        <w:rPr>
          <w:rStyle w:val="Emphaseple"/>
          <w:b w:val="0"/>
          <w:sz w:val="22"/>
        </w:rPr>
      </w:pPr>
      <w:r w:rsidRPr="00550A1A">
        <w:rPr>
          <w:rStyle w:val="Emphaseple"/>
          <w:b w:val="0"/>
          <w:sz w:val="22"/>
        </w:rPr>
        <w:t>When you have drafted your response, name your response form according to the follo</w:t>
      </w:r>
      <w:r w:rsidRPr="00550A1A">
        <w:rPr>
          <w:rStyle w:val="Emphaseple"/>
          <w:b w:val="0"/>
          <w:sz w:val="22"/>
        </w:rPr>
        <w:t>w</w:t>
      </w:r>
      <w:r w:rsidRPr="00550A1A">
        <w:rPr>
          <w:rStyle w:val="Emphaseple"/>
          <w:b w:val="0"/>
          <w:sz w:val="22"/>
        </w:rPr>
        <w:t>ing convention: ESMA_</w:t>
      </w:r>
      <w:r w:rsidR="005C248A" w:rsidRPr="005C248A">
        <w:rPr>
          <w:rStyle w:val="Emphaseple"/>
          <w:b w:val="0"/>
          <w:sz w:val="22"/>
        </w:rPr>
        <w:t xml:space="preserve"> </w:t>
      </w:r>
      <w:r w:rsidR="005C248A">
        <w:rPr>
          <w:rStyle w:val="Emphaseple"/>
          <w:b w:val="0"/>
          <w:sz w:val="22"/>
        </w:rPr>
        <w:t>GBMR</w:t>
      </w:r>
      <w:r w:rsidR="005C248A" w:rsidRPr="00550A1A">
        <w:rPr>
          <w:rStyle w:val="Emphaseple"/>
          <w:b w:val="0"/>
          <w:sz w:val="22"/>
        </w:rPr>
        <w:t xml:space="preserve"> </w:t>
      </w:r>
      <w:r w:rsidRPr="00550A1A">
        <w:rPr>
          <w:rStyle w:val="Emphaseple"/>
          <w:b w:val="0"/>
          <w:sz w:val="22"/>
        </w:rPr>
        <w:t>_nameofrespondent_RESPONSEFORM. For example, for a respondent named ABCD, the response form would be entitled ESMA_</w:t>
      </w:r>
      <w:r w:rsidR="005C248A">
        <w:rPr>
          <w:rStyle w:val="Emphaseple"/>
          <w:b w:val="0"/>
          <w:sz w:val="22"/>
        </w:rPr>
        <w:t>GBMR</w:t>
      </w:r>
      <w:r w:rsidRPr="00550A1A">
        <w:rPr>
          <w:rStyle w:val="Emphaseple"/>
          <w:b w:val="0"/>
          <w:sz w:val="22"/>
        </w:rPr>
        <w:t>_ABCD_RESPONSEFORM.</w:t>
      </w:r>
    </w:p>
    <w:p w:rsidR="0051277E" w:rsidRPr="00550A1A" w:rsidRDefault="0051277E" w:rsidP="0051277E">
      <w:pPr>
        <w:pStyle w:val="Paragraphedeliste"/>
        <w:numPr>
          <w:ilvl w:val="0"/>
          <w:numId w:val="56"/>
        </w:numPr>
        <w:spacing w:after="240" w:line="276" w:lineRule="auto"/>
        <w:ind w:left="567" w:hanging="567"/>
        <w:contextualSpacing w:val="0"/>
        <w:jc w:val="both"/>
        <w:rPr>
          <w:rStyle w:val="Emphaseple"/>
          <w:b w:val="0"/>
          <w:sz w:val="22"/>
        </w:rPr>
      </w:pPr>
      <w:r w:rsidRPr="00550A1A">
        <w:rPr>
          <w:rStyle w:val="Emphaseple"/>
          <w:b w:val="0"/>
          <w:sz w:val="22"/>
        </w:rPr>
        <w:t xml:space="preserve">Upload the form containing your responses, </w:t>
      </w:r>
      <w:r w:rsidRPr="00550A1A">
        <w:rPr>
          <w:rStyle w:val="Emphaseple"/>
          <w:b w:val="0"/>
          <w:sz w:val="22"/>
          <w:u w:val="single"/>
        </w:rPr>
        <w:t>in Word format</w:t>
      </w:r>
      <w:r w:rsidRPr="00550A1A">
        <w:rPr>
          <w:rStyle w:val="Emphaseple"/>
          <w:b w:val="0"/>
          <w:sz w:val="22"/>
        </w:rPr>
        <w:t>, to ESMA’s website (</w:t>
      </w:r>
      <w:hyperlink r:id="rId17" w:history="1">
        <w:r w:rsidRPr="00550A1A">
          <w:rPr>
            <w:rStyle w:val="Lienhypertexte"/>
            <w:rFonts w:cs="Arial"/>
            <w:sz w:val="22"/>
          </w:rPr>
          <w:t>www.esma.europa.eu</w:t>
        </w:r>
      </w:hyperlink>
      <w:r w:rsidRPr="00550A1A">
        <w:rPr>
          <w:rStyle w:val="Emphaseple"/>
          <w:b w:val="0"/>
          <w:sz w:val="22"/>
        </w:rPr>
        <w:t xml:space="preserve"> under the heading ‘Your input – Open consultations’ </w:t>
      </w:r>
      <w:r w:rsidRPr="00550A1A">
        <w:rPr>
          <w:rStyle w:val="Emphaseple"/>
          <w:b w:val="0"/>
          <w:sz w:val="22"/>
        </w:rPr>
        <w:sym w:font="Wingdings" w:char="F0E0"/>
      </w:r>
      <w:r w:rsidRPr="00550A1A">
        <w:rPr>
          <w:rStyle w:val="Emphaseple"/>
          <w:b w:val="0"/>
          <w:sz w:val="22"/>
        </w:rPr>
        <w:t xml:space="preserve"> ‘Consult</w:t>
      </w:r>
      <w:r w:rsidRPr="00550A1A">
        <w:rPr>
          <w:rStyle w:val="Emphaseple"/>
          <w:b w:val="0"/>
          <w:sz w:val="22"/>
        </w:rPr>
        <w:t>a</w:t>
      </w:r>
      <w:r w:rsidRPr="00550A1A">
        <w:rPr>
          <w:rStyle w:val="Emphaseple"/>
          <w:b w:val="0"/>
          <w:sz w:val="22"/>
        </w:rPr>
        <w:t>tion on technical advice under the new Prospectus Regulation’).</w:t>
      </w:r>
    </w:p>
    <w:p w:rsidR="0051277E" w:rsidRPr="00550A1A" w:rsidRDefault="0051277E" w:rsidP="0051277E">
      <w:pPr>
        <w:spacing w:after="120"/>
        <w:jc w:val="both"/>
        <w:rPr>
          <w:rStyle w:val="Emphaseple"/>
          <w:sz w:val="22"/>
          <w:lang w:eastAsia="en-GB"/>
        </w:rPr>
      </w:pPr>
      <w:r w:rsidRPr="00550A1A">
        <w:rPr>
          <w:rStyle w:val="Emphaseple"/>
          <w:sz w:val="22"/>
          <w:lang w:eastAsia="en-GB"/>
        </w:rPr>
        <w:t>Publication of responses</w:t>
      </w:r>
    </w:p>
    <w:p w:rsidR="0051277E" w:rsidRPr="00550A1A" w:rsidRDefault="0051277E" w:rsidP="0051277E">
      <w:pPr>
        <w:spacing w:after="240"/>
        <w:jc w:val="both"/>
        <w:rPr>
          <w:rStyle w:val="Emphaseple"/>
          <w:b w:val="0"/>
          <w:sz w:val="22"/>
          <w:lang w:eastAsia="en-GB"/>
        </w:rPr>
      </w:pPr>
      <w:r w:rsidRPr="00550A1A">
        <w:rPr>
          <w:rStyle w:val="Emphaseple"/>
          <w:b w:val="0"/>
          <w:sz w:val="22"/>
          <w:lang w:eastAsia="en-GB"/>
        </w:rPr>
        <w:t xml:space="preserve">All contributions received will be published following the close of the consultation, unless you request otherwise. </w:t>
      </w:r>
      <w:r w:rsidRPr="00550A1A">
        <w:rPr>
          <w:rStyle w:val="Emphaseple"/>
          <w:b w:val="0"/>
          <w:sz w:val="22"/>
          <w:u w:val="single"/>
          <w:lang w:eastAsia="en-GB"/>
        </w:rPr>
        <w:t>Please clearly indicate by ticking the appropriate checkbox on the website submission page if you do not wish your contribution to be publicly disclosed.</w:t>
      </w:r>
      <w:r w:rsidRPr="00550A1A">
        <w:rPr>
          <w:rStyle w:val="Emphaseple"/>
          <w:b w:val="0"/>
          <w:sz w:val="22"/>
          <w:lang w:eastAsia="en-GB"/>
        </w:rPr>
        <w:t xml:space="preserve"> A standard conf</w:t>
      </w:r>
      <w:r w:rsidRPr="00550A1A">
        <w:rPr>
          <w:rStyle w:val="Emphaseple"/>
          <w:b w:val="0"/>
          <w:sz w:val="22"/>
          <w:lang w:eastAsia="en-GB"/>
        </w:rPr>
        <w:t>i</w:t>
      </w:r>
      <w:r w:rsidRPr="00550A1A">
        <w:rPr>
          <w:rStyle w:val="Emphaseple"/>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550A1A">
        <w:rPr>
          <w:rStyle w:val="Emphaseple"/>
          <w:b w:val="0"/>
          <w:sz w:val="22"/>
          <w:lang w:eastAsia="en-GB"/>
        </w:rPr>
        <w:lastRenderedPageBreak/>
        <w:t>disclose the response is reviewable by ESMA’s Board of Appeal and the European Ombud</w:t>
      </w:r>
      <w:r w:rsidRPr="00550A1A">
        <w:rPr>
          <w:rStyle w:val="Emphaseple"/>
          <w:b w:val="0"/>
          <w:sz w:val="22"/>
          <w:lang w:eastAsia="en-GB"/>
        </w:rPr>
        <w:t>s</w:t>
      </w:r>
      <w:r w:rsidRPr="00550A1A">
        <w:rPr>
          <w:rStyle w:val="Emphaseple"/>
          <w:b w:val="0"/>
          <w:sz w:val="22"/>
          <w:lang w:eastAsia="en-GB"/>
        </w:rPr>
        <w:t>man.</w:t>
      </w:r>
    </w:p>
    <w:p w:rsidR="0051277E" w:rsidRPr="00550A1A" w:rsidRDefault="0051277E" w:rsidP="0051277E">
      <w:pPr>
        <w:spacing w:after="120"/>
        <w:jc w:val="both"/>
        <w:rPr>
          <w:rStyle w:val="Emphaseple"/>
          <w:sz w:val="22"/>
          <w:lang w:eastAsia="en-GB"/>
        </w:rPr>
      </w:pPr>
      <w:r w:rsidRPr="00550A1A">
        <w:rPr>
          <w:rStyle w:val="Emphaseple"/>
          <w:sz w:val="22"/>
          <w:lang w:eastAsia="en-GB"/>
        </w:rPr>
        <w:t>Data protection</w:t>
      </w:r>
    </w:p>
    <w:p w:rsidR="0051277E" w:rsidRPr="00550A1A" w:rsidRDefault="0051277E" w:rsidP="0051277E">
      <w:pPr>
        <w:spacing w:after="240"/>
        <w:jc w:val="both"/>
        <w:rPr>
          <w:rStyle w:val="Emphaseple"/>
          <w:b w:val="0"/>
          <w:sz w:val="22"/>
          <w:lang w:eastAsia="en-GB"/>
        </w:rPr>
      </w:pPr>
      <w:r w:rsidRPr="00550A1A">
        <w:rPr>
          <w:rStyle w:val="Emphaseple"/>
          <w:b w:val="0"/>
          <w:sz w:val="22"/>
          <w:lang w:eastAsia="en-GB"/>
        </w:rPr>
        <w:t xml:space="preserve">Information on data protection can be found at </w:t>
      </w:r>
      <w:hyperlink r:id="rId18" w:history="1">
        <w:r w:rsidRPr="00550A1A">
          <w:rPr>
            <w:rStyle w:val="Lienhypertexte"/>
            <w:rFonts w:cs="Arial"/>
            <w:sz w:val="22"/>
            <w:lang w:eastAsia="en-GB"/>
          </w:rPr>
          <w:t>www.esma.europa.eu</w:t>
        </w:r>
      </w:hyperlink>
      <w:r w:rsidRPr="00550A1A">
        <w:rPr>
          <w:rStyle w:val="Emphaseple"/>
          <w:b w:val="0"/>
          <w:sz w:val="22"/>
          <w:lang w:eastAsia="en-GB"/>
        </w:rPr>
        <w:t xml:space="preserve"> under the heading ‘Data  protection’.</w:t>
      </w:r>
    </w:p>
    <w:p w:rsidR="0051277E" w:rsidRPr="00550A1A" w:rsidRDefault="0051277E" w:rsidP="0051277E">
      <w:pPr>
        <w:spacing w:after="120"/>
        <w:jc w:val="both"/>
        <w:rPr>
          <w:rStyle w:val="Emphaseple"/>
          <w:sz w:val="22"/>
          <w:lang w:eastAsia="en-GB"/>
        </w:rPr>
      </w:pPr>
      <w:r w:rsidRPr="00550A1A">
        <w:rPr>
          <w:rStyle w:val="Emphaseple"/>
          <w:sz w:val="22"/>
          <w:lang w:eastAsia="en-GB"/>
        </w:rPr>
        <w:t>Who should read this Consultation Paper</w:t>
      </w:r>
    </w:p>
    <w:p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Emphaseple"/>
          <w:b w:val="0"/>
          <w:sz w:val="22"/>
          <w:lang w:eastAsia="en-GB"/>
        </w:rPr>
        <w:t xml:space="preserve">This Consultation Paper may be of particular interest to </w:t>
      </w:r>
      <w:r w:rsidR="005552FC">
        <w:rPr>
          <w:rStyle w:val="Emphaseple"/>
          <w:b w:val="0"/>
          <w:sz w:val="22"/>
          <w:lang w:eastAsia="en-GB"/>
        </w:rPr>
        <w:t>administrators of benchmarks, contrib</w:t>
      </w:r>
      <w:r w:rsidR="005552FC">
        <w:rPr>
          <w:rStyle w:val="Emphaseple"/>
          <w:b w:val="0"/>
          <w:sz w:val="22"/>
          <w:lang w:eastAsia="en-GB"/>
        </w:rPr>
        <w:t>u</w:t>
      </w:r>
      <w:r w:rsidR="005552FC">
        <w:rPr>
          <w:rStyle w:val="Emphaseple"/>
          <w:b w:val="0"/>
          <w:sz w:val="22"/>
          <w:lang w:eastAsia="en-GB"/>
        </w:rPr>
        <w:t>tors to benchmarks and users of benchmarks</w:t>
      </w:r>
      <w:r w:rsidRPr="00550A1A">
        <w:rPr>
          <w:rStyle w:val="Emphaseple"/>
          <w:b w:val="0"/>
          <w:sz w:val="22"/>
          <w:lang w:eastAsia="en-GB"/>
        </w:rPr>
        <w:t xml:space="preserve"> as well as to any market partici</w:t>
      </w:r>
      <w:r w:rsidR="005552FC">
        <w:rPr>
          <w:rStyle w:val="Emphaseple"/>
          <w:b w:val="0"/>
          <w:sz w:val="22"/>
          <w:lang w:eastAsia="en-GB"/>
        </w:rPr>
        <w:t>pant who is a</w:t>
      </w:r>
      <w:r w:rsidR="005552FC">
        <w:rPr>
          <w:rStyle w:val="Emphaseple"/>
          <w:b w:val="0"/>
          <w:sz w:val="22"/>
          <w:lang w:eastAsia="en-GB"/>
        </w:rPr>
        <w:t>f</w:t>
      </w:r>
      <w:r w:rsidR="005552FC">
        <w:rPr>
          <w:rStyle w:val="Emphaseple"/>
          <w:b w:val="0"/>
          <w:sz w:val="22"/>
          <w:lang w:eastAsia="en-GB"/>
        </w:rPr>
        <w:t>fected by the Benchmarks</w:t>
      </w:r>
      <w:r w:rsidRPr="00550A1A">
        <w:rPr>
          <w:rStyle w:val="Emphaseple"/>
          <w:b w:val="0"/>
          <w:sz w:val="22"/>
          <w:lang w:eastAsia="en-GB"/>
        </w:rPr>
        <w:t xml:space="preserve"> Regulation.</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B327E9" w:rsidRPr="00AB6D88" w:rsidRDefault="00B327E9" w:rsidP="00B327E9">
      <w:pPr>
        <w:pStyle w:val="Titre1"/>
        <w:numPr>
          <w:ilvl w:val="0"/>
          <w:numId w:val="0"/>
        </w:numPr>
      </w:pPr>
      <w:r w:rsidRPr="00AB6D88">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F136AD">
        <w:tc>
          <w:tcPr>
            <w:tcW w:w="3929" w:type="dxa"/>
            <w:shd w:val="clear" w:color="auto" w:fill="auto"/>
          </w:tcPr>
          <w:p w:rsidR="00B327E9" w:rsidRPr="00550A1A" w:rsidRDefault="00B327E9" w:rsidP="00F136AD">
            <w:pPr>
              <w:rPr>
                <w:rFonts w:cs="Arial"/>
                <w:sz w:val="22"/>
              </w:rPr>
            </w:pPr>
            <w:permStart w:id="0" w:edGrp="everyone" w:colFirst="1" w:colLast="1"/>
            <w:r w:rsidRPr="00550A1A">
              <w:rPr>
                <w:rFonts w:cs="Arial"/>
                <w:sz w:val="22"/>
              </w:rPr>
              <w:t>Name of the company / organisation</w:t>
            </w:r>
          </w:p>
        </w:tc>
        <w:sdt>
          <w:sdtPr>
            <w:rPr>
              <w:rStyle w:val="Textedelespacerserv"/>
              <w:rFonts w:cs="Arial"/>
            </w:rPr>
            <w:id w:val="-1905066999"/>
            <w:text/>
          </w:sdtPr>
          <w:sdtContent>
            <w:tc>
              <w:tcPr>
                <w:tcW w:w="5595" w:type="dxa"/>
                <w:shd w:val="clear" w:color="auto" w:fill="auto"/>
              </w:tcPr>
              <w:p w:rsidR="00B327E9" w:rsidRPr="00AB6D88" w:rsidRDefault="00D11305" w:rsidP="00D11305">
                <w:pPr>
                  <w:rPr>
                    <w:rStyle w:val="Textedelespacerserv"/>
                    <w:rFonts w:cs="Arial"/>
                  </w:rPr>
                </w:pPr>
                <w:r>
                  <w:rPr>
                    <w:rStyle w:val="Textedelespacerserv"/>
                    <w:rFonts w:cs="Arial"/>
                  </w:rPr>
                  <w:t>AMAFI</w:t>
                </w:r>
              </w:p>
            </w:tc>
          </w:sdtContent>
        </w:sdt>
      </w:tr>
      <w:tr w:rsidR="00B327E9" w:rsidRPr="00AB6D88" w:rsidTr="00F136AD">
        <w:tc>
          <w:tcPr>
            <w:tcW w:w="3929" w:type="dxa"/>
            <w:shd w:val="clear" w:color="auto" w:fill="auto"/>
          </w:tcPr>
          <w:p w:rsidR="00B327E9" w:rsidRPr="00550A1A" w:rsidRDefault="00B327E9" w:rsidP="00F136AD">
            <w:pPr>
              <w:rPr>
                <w:rFonts w:cs="Arial"/>
                <w:sz w:val="22"/>
              </w:rPr>
            </w:pPr>
            <w:permStart w:id="1" w:edGrp="everyone" w:colFirst="1" w:colLast="1"/>
            <w:permEnd w:id="0"/>
            <w:r w:rsidRPr="00550A1A">
              <w:rPr>
                <w:rFonts w:cs="Arial"/>
                <w:sz w:val="22"/>
              </w:rPr>
              <w:t>Activity</w:t>
            </w:r>
          </w:p>
        </w:tc>
        <w:tc>
          <w:tcPr>
            <w:tcW w:w="5595" w:type="dxa"/>
            <w:shd w:val="clear" w:color="auto" w:fill="auto"/>
          </w:tcPr>
          <w:p w:rsidR="00B327E9" w:rsidRPr="00AB6D88" w:rsidRDefault="007E3337"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11305">
                  <w:rPr>
                    <w:rFonts w:cs="Arial"/>
                  </w:rPr>
                  <w:t>Investment Services</w:t>
                </w:r>
              </w:sdtContent>
            </w:sdt>
          </w:p>
        </w:tc>
      </w:tr>
      <w:tr w:rsidR="00B327E9" w:rsidRPr="00AB6D88" w:rsidTr="00F136AD">
        <w:tc>
          <w:tcPr>
            <w:tcW w:w="3929" w:type="dxa"/>
            <w:shd w:val="clear" w:color="auto" w:fill="auto"/>
          </w:tcPr>
          <w:p w:rsidR="00B327E9" w:rsidRPr="00550A1A" w:rsidRDefault="00B327E9" w:rsidP="00F136AD">
            <w:pPr>
              <w:rPr>
                <w:rFonts w:cs="Arial"/>
                <w:sz w:val="22"/>
              </w:rPr>
            </w:pPr>
            <w:permStart w:id="2" w:edGrp="everyone" w:colFirst="1" w:colLast="1"/>
            <w:permEnd w:id="1"/>
            <w:r w:rsidRPr="00550A1A">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D11305" w:rsidP="00D11305">
                <w:pPr>
                  <w:rPr>
                    <w:rFonts w:cs="Arial"/>
                  </w:rPr>
                </w:pPr>
                <w:r>
                  <w:rPr>
                    <w:rFonts w:ascii="MS Gothic" w:eastAsia="MS Gothic" w:hAnsi="MS Gothic" w:cs="Arial"/>
                  </w:rPr>
                  <w:t>yes</w:t>
                </w:r>
              </w:p>
            </w:tc>
          </w:sdtContent>
        </w:sdt>
      </w:tr>
      <w:tr w:rsidR="00B327E9" w:rsidRPr="00AB6D88" w:rsidTr="00F136AD">
        <w:tc>
          <w:tcPr>
            <w:tcW w:w="3929" w:type="dxa"/>
            <w:shd w:val="clear" w:color="auto" w:fill="auto"/>
          </w:tcPr>
          <w:p w:rsidR="00B327E9" w:rsidRPr="00550A1A" w:rsidRDefault="00B327E9" w:rsidP="00F136AD">
            <w:pPr>
              <w:rPr>
                <w:rFonts w:cs="Arial"/>
                <w:sz w:val="22"/>
              </w:rPr>
            </w:pPr>
            <w:permStart w:id="3" w:edGrp="everyone" w:colFirst="1" w:colLast="1"/>
            <w:permEnd w:id="2"/>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D11305" w:rsidP="00F136AD">
                <w:pPr>
                  <w:rPr>
                    <w:rFonts w:cs="Arial"/>
                  </w:rPr>
                </w:pPr>
                <w:r>
                  <w:rPr>
                    <w:rFonts w:cs="Arial"/>
                  </w:rPr>
                  <w:t>France</w:t>
                </w:r>
              </w:p>
            </w:tc>
          </w:sdtContent>
        </w:sdt>
      </w:tr>
      <w:permEnd w:id="3"/>
    </w:tbl>
    <w:p w:rsidR="00B327E9" w:rsidRDefault="00B327E9" w:rsidP="00B327E9">
      <w:pPr>
        <w:spacing w:after="120" w:line="264" w:lineRule="auto"/>
      </w:pPr>
    </w:p>
    <w:p w:rsidR="00B327E9" w:rsidRDefault="00B327E9" w:rsidP="00B327E9">
      <w:pPr>
        <w:pStyle w:val="Titre1"/>
        <w:numPr>
          <w:ilvl w:val="0"/>
          <w:numId w:val="0"/>
        </w:numPr>
        <w:ind w:left="431" w:hanging="431"/>
      </w:pPr>
      <w:r>
        <w:t>Introduction</w:t>
      </w:r>
    </w:p>
    <w:p w:rsidR="00B327E9" w:rsidRPr="001D47A5" w:rsidRDefault="00B327E9" w:rsidP="00B327E9">
      <w:pPr>
        <w:rPr>
          <w:rStyle w:val="Emphaseintense"/>
        </w:rPr>
      </w:pPr>
      <w:r w:rsidRPr="00550A1A">
        <w:rPr>
          <w:rStyle w:val="Emphaseintense"/>
          <w:sz w:val="22"/>
        </w:rPr>
        <w:t>Please make your introductory comments below, if any:</w:t>
      </w:r>
    </w:p>
    <w:p w:rsidR="00B327E9" w:rsidRPr="00BF28DA" w:rsidRDefault="00B327E9" w:rsidP="00B327E9"/>
    <w:p w:rsidR="00B327E9" w:rsidRPr="006F4535" w:rsidRDefault="00B327E9" w:rsidP="00B327E9">
      <w:r w:rsidRPr="006F4535">
        <w:t>&lt;ESMA_COMMENT_</w:t>
      </w:r>
      <w:r w:rsidR="00905361">
        <w:t>GBMR</w:t>
      </w:r>
      <w:r w:rsidRPr="006F4535">
        <w:t>_1&gt;</w:t>
      </w:r>
    </w:p>
    <w:p w:rsidR="00D11305" w:rsidRPr="00D11305" w:rsidRDefault="00D11305" w:rsidP="00D11305">
      <w:pPr>
        <w:pStyle w:val="Default"/>
        <w:spacing w:line="240" w:lineRule="atLeast"/>
        <w:jc w:val="both"/>
        <w:rPr>
          <w:rFonts w:ascii="Arial" w:hAnsi="Arial" w:cs="Arial"/>
          <w:sz w:val="20"/>
          <w:szCs w:val="20"/>
          <w:lang w:val="en-GB"/>
        </w:rPr>
      </w:pPr>
      <w:permStart w:id="4" w:edGrp="everyone"/>
      <w:r w:rsidRPr="00D11305">
        <w:rPr>
          <w:rFonts w:ascii="Arial" w:hAnsi="Arial" w:cs="Arial"/>
          <w:sz w:val="20"/>
          <w:szCs w:val="20"/>
          <w:lang w:val="en-GB"/>
        </w:rPr>
        <w:t xml:space="preserve">Association </w:t>
      </w:r>
      <w:proofErr w:type="spellStart"/>
      <w:r w:rsidRPr="00D11305">
        <w:rPr>
          <w:rFonts w:ascii="Arial" w:hAnsi="Arial" w:cs="Arial"/>
          <w:sz w:val="20"/>
          <w:szCs w:val="20"/>
          <w:lang w:val="en-GB"/>
        </w:rPr>
        <w:t>française</w:t>
      </w:r>
      <w:proofErr w:type="spellEnd"/>
      <w:r w:rsidRPr="00D11305">
        <w:rPr>
          <w:rFonts w:ascii="Arial" w:hAnsi="Arial" w:cs="Arial"/>
          <w:sz w:val="20"/>
          <w:szCs w:val="20"/>
          <w:lang w:val="en-GB"/>
        </w:rPr>
        <w:t xml:space="preserve"> des </w:t>
      </w:r>
      <w:proofErr w:type="spellStart"/>
      <w:r w:rsidRPr="00D11305">
        <w:rPr>
          <w:rFonts w:ascii="Arial" w:hAnsi="Arial" w:cs="Arial"/>
          <w:sz w:val="20"/>
          <w:szCs w:val="20"/>
          <w:lang w:val="en-GB"/>
        </w:rPr>
        <w:t>marchés</w:t>
      </w:r>
      <w:proofErr w:type="spellEnd"/>
      <w:r w:rsidRPr="00D11305">
        <w:rPr>
          <w:rFonts w:ascii="Arial" w:hAnsi="Arial" w:cs="Arial"/>
          <w:sz w:val="20"/>
          <w:szCs w:val="20"/>
          <w:lang w:val="en-GB"/>
        </w:rPr>
        <w:t xml:space="preserve"> financiers (AMAFI) is the trade organisation working at national, Eur</w:t>
      </w:r>
      <w:r w:rsidRPr="00D11305">
        <w:rPr>
          <w:rFonts w:ascii="Arial" w:hAnsi="Arial" w:cs="Arial"/>
          <w:sz w:val="20"/>
          <w:szCs w:val="20"/>
          <w:lang w:val="en-GB"/>
        </w:rPr>
        <w:t>o</w:t>
      </w:r>
      <w:r w:rsidRPr="00D11305">
        <w:rPr>
          <w:rFonts w:ascii="Arial" w:hAnsi="Arial" w:cs="Arial"/>
          <w:sz w:val="20"/>
          <w:szCs w:val="20"/>
          <w:lang w:val="en-GB"/>
        </w:rPr>
        <w:t>pean and international levels to represent financial market participants in France. It mainly acts on behalf of credit institutions, investment firms and trading and post-trade infrastructures, regardless of where they operate or where their clients or counterparties are located. AMAFI has more than 140 me</w:t>
      </w:r>
      <w:r w:rsidRPr="00D11305">
        <w:rPr>
          <w:rFonts w:ascii="Arial" w:hAnsi="Arial" w:cs="Arial"/>
          <w:sz w:val="20"/>
          <w:szCs w:val="20"/>
          <w:lang w:val="en-GB"/>
        </w:rPr>
        <w:t>m</w:t>
      </w:r>
      <w:r w:rsidRPr="00D11305">
        <w:rPr>
          <w:rFonts w:ascii="Arial" w:hAnsi="Arial" w:cs="Arial"/>
          <w:sz w:val="20"/>
          <w:szCs w:val="20"/>
          <w:lang w:val="en-GB"/>
        </w:rPr>
        <w:t xml:space="preserve">bers operating for their own account or for clients in equities, fixed-income products and derivatives. Nearly one-third of its members are subsidiaries or branches of non-French institutions. </w:t>
      </w:r>
    </w:p>
    <w:p w:rsidR="00D11305" w:rsidRPr="00D11305" w:rsidRDefault="00D11305" w:rsidP="00D11305">
      <w:pPr>
        <w:jc w:val="both"/>
        <w:rPr>
          <w:rFonts w:cs="Arial"/>
        </w:rPr>
      </w:pPr>
    </w:p>
    <w:p w:rsidR="00D11305" w:rsidRPr="00D11305" w:rsidRDefault="00D11305" w:rsidP="00D11305">
      <w:pPr>
        <w:jc w:val="both"/>
        <w:rPr>
          <w:rFonts w:cs="Arial"/>
        </w:rPr>
      </w:pPr>
      <w:r w:rsidRPr="00D11305">
        <w:rPr>
          <w:rFonts w:cs="Arial"/>
        </w:rPr>
        <w:t>AMAFI welcomes the opportunity to comment on ESMA’s consultation paper regarding the draft guid</w:t>
      </w:r>
      <w:r w:rsidRPr="00D11305">
        <w:rPr>
          <w:rFonts w:cs="Arial"/>
        </w:rPr>
        <w:t>e</w:t>
      </w:r>
      <w:r w:rsidRPr="00D11305">
        <w:rPr>
          <w:rFonts w:cs="Arial"/>
        </w:rPr>
        <w:t>lines on non-significant benchmarks. Before responding to the specific questions of ESMA’s consultation document, we would like to point out the following general comments.</w:t>
      </w:r>
    </w:p>
    <w:p w:rsidR="00D11305" w:rsidRPr="00D11305" w:rsidRDefault="00D11305" w:rsidP="00D11305">
      <w:pPr>
        <w:jc w:val="both"/>
        <w:rPr>
          <w:rFonts w:cs="Arial"/>
        </w:rPr>
      </w:pPr>
    </w:p>
    <w:p w:rsidR="00D11305" w:rsidRPr="00D11305" w:rsidRDefault="00D11305" w:rsidP="00D11305">
      <w:pPr>
        <w:pStyle w:val="Default"/>
        <w:spacing w:line="240" w:lineRule="atLeast"/>
        <w:jc w:val="both"/>
        <w:rPr>
          <w:rFonts w:ascii="Arial" w:hAnsi="Arial" w:cs="Arial"/>
          <w:sz w:val="20"/>
          <w:szCs w:val="20"/>
          <w:lang w:val="en-GB"/>
        </w:rPr>
      </w:pPr>
      <w:r w:rsidRPr="00D11305">
        <w:rPr>
          <w:rFonts w:ascii="Arial" w:hAnsi="Arial" w:cs="Arial"/>
          <w:sz w:val="20"/>
          <w:szCs w:val="20"/>
          <w:lang w:val="en-GB"/>
        </w:rPr>
        <w:t xml:space="preserve">AMAFI is confused by the extent of the requirements of these draft Guidelines which are very similar to the ones for significant and critical benchmarks. Therefore, as a whole, the Consultation Paper </w:t>
      </w:r>
      <w:proofErr w:type="gramStart"/>
      <w:r w:rsidRPr="00D11305">
        <w:rPr>
          <w:rFonts w:ascii="Arial" w:hAnsi="Arial" w:cs="Arial"/>
          <w:sz w:val="20"/>
          <w:szCs w:val="20"/>
          <w:lang w:val="en-GB"/>
        </w:rPr>
        <w:t>do</w:t>
      </w:r>
      <w:proofErr w:type="gramEnd"/>
      <w:r w:rsidRPr="00D11305">
        <w:rPr>
          <w:rFonts w:ascii="Arial" w:hAnsi="Arial" w:cs="Arial"/>
          <w:sz w:val="20"/>
          <w:szCs w:val="20"/>
          <w:lang w:val="en-GB"/>
        </w:rPr>
        <w:t xml:space="preserve"> not seem to reflect the need for proportionality for non-significant benchmark administrators. It may lead to the wrong impression that the same conditions apply to all categories of benchmarks whereas level 1 is clearly designed around the distinction that has to be made for the 3 different categories: critical, signif</w:t>
      </w:r>
      <w:r w:rsidRPr="00D11305">
        <w:rPr>
          <w:rFonts w:ascii="Arial" w:hAnsi="Arial" w:cs="Arial"/>
          <w:sz w:val="20"/>
          <w:szCs w:val="20"/>
          <w:lang w:val="en-GB"/>
        </w:rPr>
        <w:t>i</w:t>
      </w:r>
      <w:r w:rsidRPr="00D11305">
        <w:rPr>
          <w:rFonts w:ascii="Arial" w:hAnsi="Arial" w:cs="Arial"/>
          <w:sz w:val="20"/>
          <w:szCs w:val="20"/>
          <w:lang w:val="en-GB"/>
        </w:rPr>
        <w:t xml:space="preserve">cant and non significant benchmarks. </w:t>
      </w:r>
    </w:p>
    <w:p w:rsidR="00D11305" w:rsidRPr="00D11305" w:rsidRDefault="00D11305" w:rsidP="00D11305">
      <w:pPr>
        <w:pStyle w:val="Default"/>
        <w:spacing w:line="240" w:lineRule="atLeast"/>
        <w:jc w:val="both"/>
        <w:rPr>
          <w:rFonts w:ascii="Arial" w:hAnsi="Arial" w:cs="Arial"/>
          <w:sz w:val="20"/>
          <w:szCs w:val="20"/>
          <w:lang w:val="en-GB"/>
        </w:rPr>
      </w:pPr>
    </w:p>
    <w:p w:rsidR="00D11305" w:rsidRPr="00D11305" w:rsidRDefault="00D11305" w:rsidP="00D11305">
      <w:pPr>
        <w:pStyle w:val="Default"/>
        <w:spacing w:line="240" w:lineRule="atLeast"/>
        <w:jc w:val="both"/>
        <w:rPr>
          <w:rFonts w:ascii="Arial" w:hAnsi="Arial" w:cs="Arial"/>
          <w:sz w:val="20"/>
          <w:szCs w:val="20"/>
          <w:lang w:val="en-GB"/>
        </w:rPr>
      </w:pPr>
      <w:r w:rsidRPr="00D11305">
        <w:rPr>
          <w:rFonts w:ascii="Arial" w:hAnsi="Arial" w:cs="Arial"/>
          <w:sz w:val="20"/>
          <w:szCs w:val="20"/>
          <w:lang w:val="en-GB"/>
        </w:rPr>
        <w:t>Moreover, AMAFI questions the opportunity to draft such precise Guidelines on provisions that administr</w:t>
      </w:r>
      <w:r w:rsidRPr="00D11305">
        <w:rPr>
          <w:rFonts w:ascii="Arial" w:hAnsi="Arial" w:cs="Arial"/>
          <w:sz w:val="20"/>
          <w:szCs w:val="20"/>
          <w:lang w:val="en-GB"/>
        </w:rPr>
        <w:t>a</w:t>
      </w:r>
      <w:r w:rsidRPr="00D11305">
        <w:rPr>
          <w:rFonts w:ascii="Arial" w:hAnsi="Arial" w:cs="Arial"/>
          <w:sz w:val="20"/>
          <w:szCs w:val="20"/>
          <w:lang w:val="en-GB"/>
        </w:rPr>
        <w:t xml:space="preserve">tors of non-significant benchmarks have the option of not applying according to article 26.1 of BMR. </w:t>
      </w:r>
      <w:r w:rsidRPr="00D11305">
        <w:rPr>
          <w:rFonts w:ascii="Arial" w:hAnsi="Arial" w:cs="Arial"/>
          <w:sz w:val="20"/>
          <w:szCs w:val="20"/>
          <w:lang w:val="en-US"/>
        </w:rPr>
        <w:t>In our understanding of BMR, there is two different sets of rules regarding the non-significant benchmarks: (1) article 26 allows to exempt non-significant benchmarks from certain requirements based on the princ</w:t>
      </w:r>
      <w:r w:rsidRPr="00D11305">
        <w:rPr>
          <w:rFonts w:ascii="Arial" w:hAnsi="Arial" w:cs="Arial"/>
          <w:sz w:val="20"/>
          <w:szCs w:val="20"/>
          <w:lang w:val="en-US"/>
        </w:rPr>
        <w:t>i</w:t>
      </w:r>
      <w:r w:rsidRPr="00D11305">
        <w:rPr>
          <w:rFonts w:ascii="Arial" w:hAnsi="Arial" w:cs="Arial"/>
          <w:sz w:val="20"/>
          <w:szCs w:val="20"/>
          <w:lang w:val="en-US"/>
        </w:rPr>
        <w:t xml:space="preserve">ple “comply or explain”, and, (2) e articles 5, 11, 13 and 16 that introduce proportionality for the different requirements covered by those articles. This second set of provisions exclude non-significant benchmarks from their respective </w:t>
      </w:r>
      <w:proofErr w:type="gramStart"/>
      <w:r w:rsidRPr="00D11305">
        <w:rPr>
          <w:rFonts w:ascii="Arial" w:hAnsi="Arial" w:cs="Arial"/>
          <w:sz w:val="20"/>
          <w:szCs w:val="20"/>
          <w:lang w:val="en-US"/>
        </w:rPr>
        <w:t>scope  but</w:t>
      </w:r>
      <w:proofErr w:type="gramEnd"/>
      <w:r w:rsidRPr="00D11305">
        <w:rPr>
          <w:rFonts w:ascii="Arial" w:hAnsi="Arial" w:cs="Arial"/>
          <w:sz w:val="20"/>
          <w:szCs w:val="20"/>
          <w:lang w:val="en-US"/>
        </w:rPr>
        <w:t>, in the meantime, allowing curiously, ESMA to reintroduce some of those requirements addressed to administrators of non-significant benchmarks. It is also important to mention that those two regimes have their own logical but are not contradictory. The second exemption regime cannot be nullified by the first one. In general, it would be important to specify that the Guidelines co</w:t>
      </w:r>
      <w:r w:rsidRPr="00D11305">
        <w:rPr>
          <w:rFonts w:ascii="Arial" w:hAnsi="Arial" w:cs="Arial"/>
          <w:sz w:val="20"/>
          <w:szCs w:val="20"/>
          <w:lang w:val="en-US"/>
        </w:rPr>
        <w:t>m</w:t>
      </w:r>
      <w:r w:rsidRPr="00D11305">
        <w:rPr>
          <w:rFonts w:ascii="Arial" w:hAnsi="Arial" w:cs="Arial"/>
          <w:sz w:val="20"/>
          <w:szCs w:val="20"/>
          <w:lang w:val="en-US"/>
        </w:rPr>
        <w:t>plete the exemption regime under article 26 and do not make it null nor avoid. We would therefore be very cautious about legally unclear language or disproportionately burdensome requirements that could pote</w:t>
      </w:r>
      <w:r w:rsidRPr="00D11305">
        <w:rPr>
          <w:rFonts w:ascii="Arial" w:hAnsi="Arial" w:cs="Arial"/>
          <w:sz w:val="20"/>
          <w:szCs w:val="20"/>
          <w:lang w:val="en-US"/>
        </w:rPr>
        <w:t>n</w:t>
      </w:r>
      <w:r w:rsidRPr="00D11305">
        <w:rPr>
          <w:rFonts w:ascii="Arial" w:hAnsi="Arial" w:cs="Arial"/>
          <w:sz w:val="20"/>
          <w:szCs w:val="20"/>
          <w:lang w:val="en-US"/>
        </w:rPr>
        <w:t>tially bring any doubts in this respect.</w:t>
      </w:r>
    </w:p>
    <w:p w:rsidR="00D11305" w:rsidRPr="00D11305" w:rsidRDefault="00D11305" w:rsidP="00D11305">
      <w:pPr>
        <w:pStyle w:val="Default"/>
        <w:spacing w:line="240" w:lineRule="atLeast"/>
        <w:jc w:val="both"/>
        <w:rPr>
          <w:rFonts w:ascii="Arial" w:hAnsi="Arial" w:cs="Arial"/>
          <w:sz w:val="20"/>
          <w:szCs w:val="20"/>
          <w:lang w:val="en-GB"/>
        </w:rPr>
      </w:pPr>
      <w:r w:rsidRPr="00D11305">
        <w:rPr>
          <w:rFonts w:ascii="Arial" w:hAnsi="Arial" w:cs="Arial"/>
          <w:sz w:val="20"/>
          <w:szCs w:val="20"/>
          <w:lang w:val="en-US"/>
        </w:rPr>
        <w:t> </w:t>
      </w:r>
    </w:p>
    <w:p w:rsidR="00D11305" w:rsidRPr="00D11305" w:rsidRDefault="00D11305" w:rsidP="00D11305">
      <w:pPr>
        <w:pStyle w:val="Default"/>
        <w:spacing w:line="240" w:lineRule="atLeast"/>
        <w:jc w:val="both"/>
        <w:rPr>
          <w:rFonts w:ascii="Arial" w:hAnsi="Arial" w:cs="Arial"/>
          <w:sz w:val="20"/>
          <w:szCs w:val="20"/>
          <w:lang w:val="en-US"/>
        </w:rPr>
      </w:pPr>
      <w:r w:rsidRPr="00D11305">
        <w:rPr>
          <w:rFonts w:ascii="Arial" w:hAnsi="Arial" w:cs="Arial"/>
          <w:sz w:val="20"/>
          <w:szCs w:val="20"/>
          <w:lang w:val="en-US"/>
        </w:rPr>
        <w:t>We welcome the specifications as to which sections of the Guidelines are not applicable to administrators of non-significant benchmarks who chose not to apply the relevant article and paragraph of BMR. We would strongly encourage ESMA to include such clarifications consistently throughout the whole text of the Guidelines (</w:t>
      </w:r>
      <w:r w:rsidRPr="00D11305">
        <w:rPr>
          <w:rFonts w:ascii="Arial" w:hAnsi="Arial" w:cs="Arial"/>
          <w:i/>
          <w:iCs/>
          <w:sz w:val="20"/>
          <w:szCs w:val="20"/>
          <w:lang w:val="en-US"/>
        </w:rPr>
        <w:t>i.e.</w:t>
      </w:r>
      <w:r w:rsidRPr="00D11305">
        <w:rPr>
          <w:rFonts w:ascii="Arial" w:hAnsi="Arial" w:cs="Arial"/>
          <w:sz w:val="20"/>
          <w:szCs w:val="20"/>
          <w:lang w:val="en-US"/>
        </w:rPr>
        <w:t xml:space="preserve"> in the chapters on oversight, input data, methodology and contributors) in all co</w:t>
      </w:r>
      <w:r w:rsidRPr="00D11305">
        <w:rPr>
          <w:rFonts w:ascii="Arial" w:hAnsi="Arial" w:cs="Arial"/>
          <w:sz w:val="20"/>
          <w:szCs w:val="20"/>
          <w:lang w:val="en-US"/>
        </w:rPr>
        <w:t>n</w:t>
      </w:r>
      <w:r w:rsidRPr="00D11305">
        <w:rPr>
          <w:rFonts w:ascii="Arial" w:hAnsi="Arial" w:cs="Arial"/>
          <w:sz w:val="20"/>
          <w:szCs w:val="20"/>
          <w:lang w:val="en-US"/>
        </w:rPr>
        <w:t>cerned sections in order to avoid any legal uncertainties and not in some of them only.</w:t>
      </w:r>
    </w:p>
    <w:permEnd w:id="4"/>
    <w:p w:rsidR="00B327E9" w:rsidRPr="00BF28DA" w:rsidRDefault="00B327E9" w:rsidP="00B327E9">
      <w:r w:rsidRPr="00BF28DA">
        <w:t>&lt;ESMA_COMMENT_</w:t>
      </w:r>
      <w:r w:rsidR="00C56932">
        <w:rPr>
          <w:rFonts w:cs="Arial"/>
        </w:rPr>
        <w:t>GBMR</w:t>
      </w:r>
      <w:r w:rsidRPr="00BF28DA">
        <w:t>_1&gt;</w:t>
      </w:r>
    </w:p>
    <w:p w:rsidR="002E7113" w:rsidRDefault="002E7113" w:rsidP="002E7113">
      <w:pPr>
        <w:pStyle w:val="Titre1"/>
        <w:numPr>
          <w:ilvl w:val="0"/>
          <w:numId w:val="0"/>
        </w:numPr>
      </w:pPr>
    </w:p>
    <w:p w:rsidR="00F31E57" w:rsidRPr="00BF28DA" w:rsidRDefault="00F31E57" w:rsidP="00D34282"/>
    <w:p w:rsidR="00C56932" w:rsidRDefault="00F31E57" w:rsidP="00C56932">
      <w:pPr>
        <w:pStyle w:val="Questionstyle"/>
        <w:numPr>
          <w:ilvl w:val="0"/>
          <w:numId w:val="54"/>
        </w:numPr>
      </w:pPr>
      <w:r w:rsidRPr="0075015C">
        <w:br w:type="page"/>
      </w:r>
      <w:r w:rsidR="00C56932">
        <w:t>:</w:t>
      </w:r>
      <w:r w:rsidR="00C56932" w:rsidRPr="00F67F71">
        <w:t xml:space="preserve"> Do you have any views on the content of the draft guidelines on the oversight function for administrators of non-significant benchmarks? Would you suggest to include any additional elements or to delete one or more of the elements proposed? Please explain.</w:t>
      </w:r>
    </w:p>
    <w:p w:rsidR="00C56932" w:rsidRDefault="00C56932" w:rsidP="00C56932">
      <w:pPr>
        <w:rPr>
          <w:rFonts w:cs="Arial"/>
        </w:rPr>
      </w:pPr>
      <w:r>
        <w:rPr>
          <w:rFonts w:cs="Arial"/>
        </w:rPr>
        <w:t>&lt;ESMA_QUESTION_GBMR_1&gt;</w:t>
      </w:r>
    </w:p>
    <w:p w:rsidR="00C56932" w:rsidRDefault="00D11305" w:rsidP="00C56932">
      <w:pPr>
        <w:rPr>
          <w:rFonts w:cs="Arial"/>
        </w:rPr>
      </w:pPr>
      <w:permStart w:id="5" w:edGrp="everyone"/>
      <w:r>
        <w:rPr>
          <w:lang w:val="en-US"/>
        </w:rPr>
        <w:t>AMAFI believes any kind of benchmarks including non-significant benchmarks should have appropriate governance in place and the oversight function is its cornerstone. However, AMAFI is afraid that the requirements proposed by ESMA in this consultation paper do not seem proportionate to the nature and scale of activities of non-significant benchmark administrators. For example, it seems hardly feasible to have a detailed procedure for evaluation criteria or election of potential me</w:t>
      </w:r>
      <w:r>
        <w:rPr>
          <w:lang w:val="en-US"/>
        </w:rPr>
        <w:t>m</w:t>
      </w:r>
      <w:r>
        <w:rPr>
          <w:lang w:val="en-US"/>
        </w:rPr>
        <w:t>bers</w:t>
      </w:r>
      <w:proofErr w:type="gramStart"/>
      <w:r>
        <w:rPr>
          <w:lang w:val="en-US"/>
        </w:rPr>
        <w:t>.</w:t>
      </w:r>
      <w:permEnd w:id="5"/>
      <w:r w:rsidR="00C56932">
        <w:rPr>
          <w:rFonts w:cs="Arial"/>
        </w:rPr>
        <w:t>&lt;</w:t>
      </w:r>
      <w:proofErr w:type="gramEnd"/>
      <w:r w:rsidR="00C56932">
        <w:rPr>
          <w:rFonts w:cs="Arial"/>
        </w:rPr>
        <w:t>ESMA_QUESTION_GBMR_1&gt;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54"/>
        </w:numPr>
      </w:pPr>
      <w:r>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rsidR="00C56932" w:rsidRDefault="00C56932" w:rsidP="00C56932">
      <w:pPr>
        <w:rPr>
          <w:rFonts w:cs="Arial"/>
        </w:rPr>
      </w:pPr>
      <w:r>
        <w:rPr>
          <w:rFonts w:cs="Arial"/>
        </w:rPr>
        <w:t>&lt;ESMA_QUESTION_GBMR_2&gt;</w:t>
      </w:r>
    </w:p>
    <w:p w:rsidR="00C56932" w:rsidRDefault="00C56932" w:rsidP="00C56932">
      <w:pPr>
        <w:rPr>
          <w:rFonts w:cs="Arial"/>
        </w:rPr>
      </w:pPr>
      <w:permStart w:id="6" w:edGrp="everyone"/>
      <w:r>
        <w:rPr>
          <w:rFonts w:cs="Arial"/>
        </w:rPr>
        <w:t>TYPE YOUR TEXT HERE</w:t>
      </w:r>
    </w:p>
    <w:permEnd w:id="6"/>
    <w:p w:rsidR="00C56932" w:rsidRDefault="00C56932" w:rsidP="00C56932">
      <w:pPr>
        <w:rPr>
          <w:rFonts w:cs="Arial"/>
        </w:rPr>
      </w:pPr>
      <w:r>
        <w:rPr>
          <w:rFonts w:cs="Arial"/>
        </w:rPr>
        <w:t>&lt;ESMA_QUESTION_GBMR_2&gt;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54"/>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rsidR="00C56932" w:rsidRDefault="00C56932" w:rsidP="00C56932">
      <w:pPr>
        <w:rPr>
          <w:rFonts w:cs="Arial"/>
        </w:rPr>
      </w:pPr>
      <w:r>
        <w:rPr>
          <w:rFonts w:cs="Arial"/>
        </w:rPr>
        <w:t>&lt;ESMA_QUESTION_GBMR_3&gt;</w:t>
      </w:r>
    </w:p>
    <w:p w:rsidR="00C56932" w:rsidRDefault="00C56932" w:rsidP="00C56932">
      <w:pPr>
        <w:rPr>
          <w:rFonts w:cs="Arial"/>
        </w:rPr>
      </w:pPr>
      <w:permStart w:id="7" w:edGrp="everyone"/>
      <w:r>
        <w:rPr>
          <w:rFonts w:cs="Arial"/>
        </w:rPr>
        <w:t>TYPE YOUR TEXT HERE</w:t>
      </w:r>
    </w:p>
    <w:permEnd w:id="7"/>
    <w:p w:rsidR="00C56932" w:rsidRDefault="00C56932" w:rsidP="00C56932">
      <w:pPr>
        <w:rPr>
          <w:rFonts w:cs="Arial"/>
        </w:rPr>
      </w:pPr>
      <w:r>
        <w:rPr>
          <w:rFonts w:cs="Arial"/>
        </w:rPr>
        <w:t>&lt;ESMA_QUESTION_GBMR_3&gt;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54"/>
        </w:numPr>
      </w:pPr>
      <w:r>
        <w:t xml:space="preserve">: </w:t>
      </w:r>
      <w:r w:rsidRPr="00F67F71">
        <w:t>Do you agree with the content of the draft guidelines on the transparency of the m</w:t>
      </w:r>
      <w:r w:rsidR="00EB0BB9">
        <w:t>ethodo</w:t>
      </w:r>
      <w:r w:rsidR="00EB0BB9">
        <w:t>l</w:t>
      </w:r>
      <w:r w:rsidR="00EB0BB9">
        <w:t xml:space="preserve">ogy for administrators </w:t>
      </w:r>
      <w:r w:rsidR="00EB0BB9" w:rsidRPr="00EB0BB9">
        <w:t>of</w:t>
      </w:r>
      <w:r w:rsidRPr="00F67F71">
        <w:t xml:space="preserve"> non-significant benchmarks? Would you suggest to include any add</w:t>
      </w:r>
      <w:r w:rsidRPr="00F67F71">
        <w:t>i</w:t>
      </w:r>
      <w:r w:rsidRPr="00F67F71">
        <w:t>tional elements or to delete one or more of the elements proposed? Please explain.</w:t>
      </w:r>
    </w:p>
    <w:p w:rsidR="00C56932" w:rsidRDefault="00C56932" w:rsidP="00C56932">
      <w:pPr>
        <w:rPr>
          <w:rFonts w:cs="Arial"/>
        </w:rPr>
      </w:pPr>
      <w:r>
        <w:rPr>
          <w:rFonts w:cs="Arial"/>
        </w:rPr>
        <w:t>&lt;ESMA_QUESTION_GBMR_4&gt;</w:t>
      </w:r>
    </w:p>
    <w:p w:rsidR="00C56932" w:rsidRDefault="00D11305" w:rsidP="00C56932">
      <w:pPr>
        <w:rPr>
          <w:rFonts w:cs="Arial"/>
        </w:rPr>
      </w:pPr>
      <w:permStart w:id="8" w:edGrp="everyone"/>
      <w:r>
        <w:rPr>
          <w:lang w:val="en-US"/>
        </w:rPr>
        <w:t>AMAFI is not comfortable with the requirement for administrators to publish or to make available detailed information related to internal procedures and policies that managed transversally (meaning not specifica</w:t>
      </w:r>
      <w:r>
        <w:rPr>
          <w:lang w:val="en-US"/>
        </w:rPr>
        <w:t>l</w:t>
      </w:r>
      <w:r>
        <w:rPr>
          <w:lang w:val="en-US"/>
        </w:rPr>
        <w:t xml:space="preserve">ly to an index) regulatory requirements. This comment applies to internal policies related to the quality of the input data as well as the internal review of the methodology, and more generally to all internal policies and procedures. AMAFI supports the approach generally used in other regulations such as </w:t>
      </w:r>
      <w:proofErr w:type="spellStart"/>
      <w:r>
        <w:rPr>
          <w:lang w:val="en-US"/>
        </w:rPr>
        <w:t>MiFID</w:t>
      </w:r>
      <w:proofErr w:type="spellEnd"/>
      <w:r>
        <w:rPr>
          <w:lang w:val="en-US"/>
        </w:rPr>
        <w:t xml:space="preserve"> 2, where only a summary or some elements only of internal policies is required to be made available (the </w:t>
      </w:r>
      <w:proofErr w:type="spellStart"/>
      <w:r>
        <w:rPr>
          <w:lang w:val="en-US"/>
        </w:rPr>
        <w:t>MiFID</w:t>
      </w:r>
      <w:proofErr w:type="spellEnd"/>
      <w:r>
        <w:rPr>
          <w:lang w:val="en-US"/>
        </w:rPr>
        <w:t xml:space="preserve"> best execution Policy for instance). </w:t>
      </w:r>
      <w:permEnd w:id="8"/>
      <w:r w:rsidR="00C56932">
        <w:rPr>
          <w:rFonts w:cs="Arial"/>
        </w:rPr>
        <w:t>&lt;ESMA_QUESTION_GBMR_4&gt;</w:t>
      </w: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ind w:left="720"/>
      </w:pPr>
    </w:p>
    <w:p w:rsidR="00C56932" w:rsidRDefault="00C56932" w:rsidP="00C56932">
      <w:pPr>
        <w:pStyle w:val="Questionstyle"/>
        <w:numPr>
          <w:ilvl w:val="0"/>
          <w:numId w:val="54"/>
        </w:numPr>
      </w:pPr>
      <w:r>
        <w:t xml:space="preserve">: </w:t>
      </w:r>
      <w:r w:rsidRPr="00F67F71">
        <w:t>Do you think the proposal to include in the guidelines a requirement for publishing or mak</w:t>
      </w:r>
      <w:r w:rsidR="00EB0BB9"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00EB0BB9" w:rsidRPr="00EB0BB9">
        <w:t>i</w:t>
      </w:r>
      <w:r w:rsidRPr="00F67F71">
        <w:t>ficant benchmarks?</w:t>
      </w:r>
    </w:p>
    <w:p w:rsidR="00C56932" w:rsidRDefault="00C56932" w:rsidP="00C56932">
      <w:pPr>
        <w:rPr>
          <w:rFonts w:cs="Arial"/>
        </w:rPr>
      </w:pPr>
      <w:r>
        <w:rPr>
          <w:rFonts w:cs="Arial"/>
        </w:rPr>
        <w:t>&lt;ESMA_QUESTION_GBMR_5&gt;</w:t>
      </w:r>
    </w:p>
    <w:p w:rsidR="00D11305" w:rsidRDefault="00D11305" w:rsidP="00D11305">
      <w:pPr>
        <w:rPr>
          <w:lang w:val="en-US"/>
        </w:rPr>
      </w:pPr>
      <w:permStart w:id="9" w:edGrp="everyone"/>
      <w:r>
        <w:rPr>
          <w:lang w:val="en-US"/>
        </w:rPr>
        <w:t>AMAFI believes this proposal is not appropriate. Non-significant benchmarks are generally tailored-made benchmark with low level of outstanding contracts underlying the benchmark. Thus the specific events giving rise to an internal review are likely to be upon client request. If the review results in a material change of the benchmark, a new benchmark will be created.</w:t>
      </w:r>
    </w:p>
    <w:permEnd w:id="9"/>
    <w:p w:rsidR="00C56932" w:rsidRDefault="00C56932" w:rsidP="00C56932">
      <w:pPr>
        <w:rPr>
          <w:rFonts w:cs="Arial"/>
        </w:rPr>
      </w:pPr>
      <w:r>
        <w:rPr>
          <w:rFonts w:cs="Arial"/>
        </w:rPr>
        <w:t>&lt;ESMA_QUESTION_GBMR_5&gt;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54"/>
        </w:numPr>
      </w:pPr>
      <w:r>
        <w:t xml:space="preserve">: </w:t>
      </w:r>
      <w:r w:rsidRPr="00F67F71">
        <w:t>Do you agree with the content of the draft guidelines on governance and control requir</w:t>
      </w:r>
      <w:r w:rsidRPr="00F67F71">
        <w:t>e</w:t>
      </w:r>
      <w:r w:rsidRPr="00F67F71">
        <w:t>ments for supervised contributors to non-significant benchmarks? Would you suggest to i</w:t>
      </w:r>
      <w:r w:rsidRPr="00F67F71">
        <w:t>n</w:t>
      </w:r>
      <w:r w:rsidRPr="00F67F71">
        <w:t>clude any additional elements or to delete one or more of the elements proposed? Please e</w:t>
      </w:r>
      <w:r w:rsidRPr="00F67F71">
        <w:t>x</w:t>
      </w:r>
      <w:r w:rsidRPr="00F67F71">
        <w:t>plain.</w:t>
      </w:r>
    </w:p>
    <w:p w:rsidR="00C56932" w:rsidRDefault="00C56932" w:rsidP="00C56932">
      <w:pPr>
        <w:rPr>
          <w:rFonts w:cs="Arial"/>
        </w:rPr>
      </w:pPr>
      <w:r>
        <w:rPr>
          <w:rFonts w:cs="Arial"/>
        </w:rPr>
        <w:t>&lt;ESMA_QUESTION_GBMR_6&gt;</w:t>
      </w:r>
    </w:p>
    <w:p w:rsidR="00C56932" w:rsidRDefault="00C56932" w:rsidP="00C56932">
      <w:pPr>
        <w:rPr>
          <w:rFonts w:cs="Arial"/>
        </w:rPr>
      </w:pPr>
      <w:permStart w:id="10" w:edGrp="everyone"/>
      <w:r>
        <w:rPr>
          <w:rFonts w:cs="Arial"/>
        </w:rPr>
        <w:t>TYPE YOUR TEXT HERE</w:t>
      </w:r>
    </w:p>
    <w:permEnd w:id="10"/>
    <w:p w:rsidR="00C56932" w:rsidRDefault="00C56932" w:rsidP="00C56932">
      <w:pPr>
        <w:rPr>
          <w:rFonts w:cs="Arial"/>
        </w:rPr>
      </w:pPr>
      <w:r>
        <w:rPr>
          <w:rFonts w:cs="Arial"/>
        </w:rPr>
        <w:t>&lt;ESMA_QUESTION_GBMR_6&gt;</w:t>
      </w:r>
    </w:p>
    <w:p w:rsidR="00C56932" w:rsidRDefault="00C56932" w:rsidP="00C56932">
      <w:pPr>
        <w:rPr>
          <w:rFonts w:cs="Arial"/>
        </w:rPr>
      </w:pPr>
    </w:p>
    <w:p w:rsidR="00C56932" w:rsidRDefault="00C56932" w:rsidP="00C56932">
      <w:pPr>
        <w:rPr>
          <w:rFonts w:cs="Arial"/>
        </w:rPr>
      </w:pPr>
    </w:p>
    <w:p w:rsidR="00C56932" w:rsidRPr="007B52B2" w:rsidRDefault="00C56932" w:rsidP="00C56932">
      <w:pPr>
        <w:pStyle w:val="Questionstyle"/>
        <w:numPr>
          <w:ilvl w:val="0"/>
          <w:numId w:val="54"/>
        </w:numPr>
      </w:pPr>
      <w:r>
        <w:t xml:space="preserve">: </w:t>
      </w:r>
      <w:r w:rsidRPr="00F67F71">
        <w:t>Do you think that the proposal to include in the guidelines a requirement of establishing, where appropriate, a physical separation of submitters from other employees of the supe</w:t>
      </w:r>
      <w:r w:rsidRPr="00F67F71">
        <w:t>r</w:t>
      </w:r>
      <w:r w:rsidRPr="00F67F71">
        <w:t>vised contributor is suitable also for supervised contributors to non-significant benchmarks?</w:t>
      </w:r>
    </w:p>
    <w:p w:rsidR="00C56932" w:rsidRDefault="00C56932" w:rsidP="00C56932">
      <w:pPr>
        <w:rPr>
          <w:rFonts w:cs="Arial"/>
        </w:rPr>
      </w:pPr>
      <w:r>
        <w:rPr>
          <w:rFonts w:cs="Arial"/>
        </w:rPr>
        <w:t>&lt;ESMA_QUESTION_GBMR_7&gt;</w:t>
      </w:r>
    </w:p>
    <w:p w:rsidR="00C56932" w:rsidRDefault="00C56932" w:rsidP="00C56932">
      <w:pPr>
        <w:rPr>
          <w:rFonts w:cs="Arial"/>
        </w:rPr>
      </w:pPr>
      <w:permStart w:id="11" w:edGrp="everyone"/>
      <w:r>
        <w:rPr>
          <w:rFonts w:cs="Arial"/>
        </w:rPr>
        <w:t>TYPE YOUR TEXT HERE</w:t>
      </w:r>
    </w:p>
    <w:permEnd w:id="11"/>
    <w:p w:rsidR="00C56932" w:rsidRDefault="00C56932" w:rsidP="00C56932">
      <w:pPr>
        <w:rPr>
          <w:rFonts w:cs="Arial"/>
        </w:rPr>
      </w:pPr>
      <w:r>
        <w:rPr>
          <w:rFonts w:cs="Arial"/>
        </w:rPr>
        <w:t>&lt;ESMA_QUESTION_GBMR_7&gt;</w:t>
      </w:r>
    </w:p>
    <w:p w:rsidR="00C56932" w:rsidRDefault="00C56932" w:rsidP="00C56932">
      <w:pPr>
        <w:rPr>
          <w:rFonts w:cs="Arial"/>
        </w:rPr>
      </w:pPr>
    </w:p>
    <w:p w:rsidR="00C56932" w:rsidRPr="007B52B2" w:rsidRDefault="00C56932" w:rsidP="00C56932">
      <w:pPr>
        <w:rPr>
          <w:rFonts w:cs="Arial"/>
        </w:rPr>
      </w:pPr>
    </w:p>
    <w:p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A8" w:rsidRDefault="00BC41A8">
      <w:r>
        <w:separator/>
      </w:r>
    </w:p>
    <w:p w:rsidR="00BC41A8" w:rsidRDefault="00BC41A8"/>
  </w:endnote>
  <w:endnote w:type="continuationSeparator" w:id="0">
    <w:p w:rsidR="00BC41A8" w:rsidRDefault="00BC41A8">
      <w:r>
        <w:continuationSeparator/>
      </w:r>
    </w:p>
    <w:p w:rsidR="00BC41A8" w:rsidRDefault="00BC41A8"/>
  </w:endnote>
  <w:endnote w:type="continuationNotice" w:id="1">
    <w:p w:rsidR="00BC41A8" w:rsidRDefault="00BC41A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7E3337"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D11305">
            <w:rPr>
              <w:rFonts w:cs="Arial"/>
              <w:noProof/>
              <w:sz w:val="22"/>
              <w:szCs w:val="22"/>
            </w:rPr>
            <w:t>3</w:t>
          </w:r>
          <w:r w:rsidRPr="00616B9B">
            <w:rPr>
              <w:rFonts w:cs="Arial"/>
              <w:noProof/>
              <w:sz w:val="22"/>
              <w:szCs w:val="22"/>
            </w:rPr>
            <w:fldChar w:fldCharType="end"/>
          </w:r>
        </w:p>
      </w:tc>
    </w:tr>
  </w:tbl>
  <w:p w:rsidR="00811EDA" w:rsidRDefault="00811ED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A8" w:rsidRDefault="00BC41A8">
      <w:r>
        <w:separator/>
      </w:r>
    </w:p>
    <w:p w:rsidR="00BC41A8" w:rsidRDefault="00BC41A8"/>
  </w:footnote>
  <w:footnote w:type="continuationSeparator" w:id="0">
    <w:p w:rsidR="00BC41A8" w:rsidRDefault="00BC41A8">
      <w:r>
        <w:continuationSeparator/>
      </w:r>
    </w:p>
    <w:p w:rsidR="00BC41A8" w:rsidRDefault="00BC41A8"/>
  </w:footnote>
  <w:footnote w:type="continuationNotice" w:id="1">
    <w:p w:rsidR="00BC41A8" w:rsidRDefault="00BC41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7E3337" w:rsidRPr="007E3337">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tte"/>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highlight w:val="yellow"/>
        <w:lang w:val="fr-FR"/>
      </w:rPr>
    </w:pPr>
  </w:p>
  <w:p w:rsidR="00811EDA" w:rsidRDefault="007E3337">
    <w:pPr>
      <w:pStyle w:val="En-tte"/>
    </w:pPr>
    <w:r w:rsidRPr="007E3337">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1F01"/>
  <w:documentProtection w:edit="readOnly" w:enforcement="1" w:cryptProviderType="rsaAES" w:cryptAlgorithmClass="hash" w:cryptAlgorithmType="typeAny" w:cryptAlgorithmSid="14" w:cryptSpinCount="100000" w:hash="mj+uv4yhbskj2+FuZrkX82SDJpJmFaqDFpWuWejElEDiBM7BL29X+3hPb+dyHxzssoOnosSR3ftC&#10;fyymD4rQ1w==" w:salt="qya7AOXYyJo/eZ501sUDBw=="/>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09A"/>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337"/>
    <w:rsid w:val="007E3514"/>
    <w:rsid w:val="007E4AAA"/>
    <w:rsid w:val="007E4BD2"/>
    <w:rsid w:val="007E4C29"/>
    <w:rsid w:val="007E5E44"/>
    <w:rsid w:val="007F0DDA"/>
    <w:rsid w:val="007F1939"/>
    <w:rsid w:val="007F26F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A8"/>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305"/>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3E73"/>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rPr>
  </w:style>
  <w:style w:type="character" w:customStyle="1" w:styleId="aStyle1Char">
    <w:name w:val="a. Style1 Char"/>
    <w:link w:val="aStyle1"/>
    <w:rsid w:val="000D2D0B"/>
    <w:rPr>
      <w:rFonts w:ascii="Georgia" w:hAnsi="Georgia"/>
      <w:lang/>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6CE2180C-014C-495C-AA40-E9B563E2210C}">
  <ds:schemaRefs>
    <ds:schemaRef ds:uri="http://schemas.openxmlformats.org/officeDocument/2006/bibliography"/>
  </ds:schemaRefs>
</ds:datastoreItem>
</file>

<file path=customXml/itemProps6.xml><?xml version="1.0" encoding="utf-8"?>
<ds:datastoreItem xmlns:ds="http://schemas.openxmlformats.org/officeDocument/2006/customXml" ds:itemID="{C5136F31-2F36-41E7-B9C0-62515FFB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1489</Words>
  <Characters>8816</Characters>
  <Application>Microsoft Office Word</Application>
  <DocSecurity>8</DocSecurity>
  <Lines>73</Lines>
  <Paragraphs>20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10285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Blandine Julé</cp:lastModifiedBy>
  <cp:revision>3</cp:revision>
  <cp:lastPrinted>2015-02-18T11:01:00Z</cp:lastPrinted>
  <dcterms:created xsi:type="dcterms:W3CDTF">2017-11-28T09:56:00Z</dcterms:created>
  <dcterms:modified xsi:type="dcterms:W3CDTF">2017-11-28T09:59:00Z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