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chwacheHervorhebung"/>
          <w:b w:val="0"/>
          <w:sz w:val="22"/>
        </w:rPr>
      </w:pPr>
      <w:r w:rsidRPr="00550A1A">
        <w:rPr>
          <w:rStyle w:val="SchwacheHervorhebung"/>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respond to the question stated;</w:t>
      </w:r>
    </w:p>
    <w:p w14:paraId="7CA2EBEF"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contain a clear rationale; and</w:t>
      </w:r>
    </w:p>
    <w:p w14:paraId="114234D3"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describe any alternatives ESMA should consider.</w:t>
      </w:r>
    </w:p>
    <w:p w14:paraId="33F14604" w14:textId="316D0C7C" w:rsidR="0051277E" w:rsidRPr="00550A1A" w:rsidRDefault="0051277E" w:rsidP="0051277E">
      <w:pPr>
        <w:spacing w:after="240"/>
        <w:jc w:val="both"/>
        <w:rPr>
          <w:rStyle w:val="SchwacheHervorhebung"/>
          <w:b w:val="0"/>
          <w:sz w:val="22"/>
        </w:rPr>
      </w:pPr>
      <w:r w:rsidRPr="00550A1A">
        <w:rPr>
          <w:rStyle w:val="SchwacheHervorhebung"/>
          <w:b w:val="0"/>
          <w:sz w:val="22"/>
        </w:rPr>
        <w:t xml:space="preserve">ESMA will consider all responses received by </w:t>
      </w:r>
      <w:r w:rsidR="005C248A">
        <w:rPr>
          <w:rStyle w:val="SchwacheHervorhebung"/>
          <w:b w:val="0"/>
          <w:sz w:val="22"/>
        </w:rPr>
        <w:t>30 November</w:t>
      </w:r>
      <w:r w:rsidRPr="00550A1A">
        <w:rPr>
          <w:rStyle w:val="SchwacheHervorhebung"/>
          <w:b w:val="0"/>
          <w:sz w:val="22"/>
        </w:rPr>
        <w:t xml:space="preserve"> 2017.</w:t>
      </w:r>
    </w:p>
    <w:p w14:paraId="4A17C63E" w14:textId="77777777" w:rsidR="0051277E" w:rsidRPr="00550A1A" w:rsidRDefault="0051277E" w:rsidP="0051277E">
      <w:pPr>
        <w:spacing w:after="120"/>
        <w:jc w:val="both"/>
        <w:rPr>
          <w:rStyle w:val="SchwacheHervorhebung"/>
          <w:sz w:val="22"/>
        </w:rPr>
      </w:pPr>
      <w:r w:rsidRPr="00550A1A">
        <w:rPr>
          <w:rStyle w:val="SchwacheHervorhebung"/>
          <w:sz w:val="22"/>
        </w:rPr>
        <w:t>Instructions</w:t>
      </w:r>
    </w:p>
    <w:p w14:paraId="0D1D1A9C" w14:textId="77777777" w:rsidR="0051277E" w:rsidRPr="00550A1A" w:rsidRDefault="0051277E" w:rsidP="0051277E">
      <w:pPr>
        <w:spacing w:after="240"/>
        <w:jc w:val="both"/>
        <w:rPr>
          <w:rStyle w:val="SchwacheHervorhebung"/>
          <w:b w:val="0"/>
          <w:sz w:val="22"/>
        </w:rPr>
      </w:pPr>
      <w:r w:rsidRPr="00550A1A">
        <w:rPr>
          <w:rStyle w:val="SchwacheHervorhebung"/>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Insert your responses to the questions in the Consultation Paper in the form “Response form_Consultation Paper on scrutiny and approval”, available on ESMA’s website alon</w:t>
      </w:r>
      <w:r w:rsidRPr="00550A1A">
        <w:rPr>
          <w:rStyle w:val="SchwacheHervorhebung"/>
          <w:b w:val="0"/>
          <w:sz w:val="22"/>
        </w:rPr>
        <w:t>g</w:t>
      </w:r>
      <w:r w:rsidRPr="00550A1A">
        <w:rPr>
          <w:rStyle w:val="SchwacheHervorhebung"/>
          <w:b w:val="0"/>
          <w:sz w:val="22"/>
        </w:rPr>
        <w:t>side the present Consultation Paper (</w:t>
      </w:r>
      <w:hyperlink r:id="rId17" w:history="1">
        <w:r w:rsidRPr="00550A1A">
          <w:rPr>
            <w:rStyle w:val="Hyperlink"/>
            <w:rFonts w:cs="Arial"/>
            <w:sz w:val="22"/>
          </w:rPr>
          <w:t>www.esma.europa.eu</w:t>
        </w:r>
      </w:hyperlink>
      <w:r w:rsidRPr="00550A1A">
        <w:rPr>
          <w:rStyle w:val="SchwacheHervorhebung"/>
          <w:b w:val="0"/>
          <w:sz w:val="22"/>
        </w:rPr>
        <w:t xml:space="preserve"> </w:t>
      </w:r>
      <w:r w:rsidRPr="00550A1A">
        <w:rPr>
          <w:rStyle w:val="SchwacheHervorhebung"/>
          <w:b w:val="0"/>
          <w:sz w:val="22"/>
        </w:rPr>
        <w:sym w:font="Wingdings" w:char="F0E0"/>
      </w:r>
      <w:r w:rsidRPr="00550A1A">
        <w:rPr>
          <w:rStyle w:val="SchwacheHervorhebung"/>
          <w:b w:val="0"/>
          <w:sz w:val="22"/>
        </w:rPr>
        <w:t xml:space="preserve"> ‘Your input – Open consu</w:t>
      </w:r>
      <w:r w:rsidRPr="00550A1A">
        <w:rPr>
          <w:rStyle w:val="SchwacheHervorhebung"/>
          <w:b w:val="0"/>
          <w:sz w:val="22"/>
        </w:rPr>
        <w:t>l</w:t>
      </w:r>
      <w:r w:rsidRPr="00550A1A">
        <w:rPr>
          <w:rStyle w:val="SchwacheHervorhebung"/>
          <w:b w:val="0"/>
          <w:sz w:val="22"/>
        </w:rPr>
        <w:t xml:space="preserve">tations’ </w:t>
      </w:r>
      <w:r w:rsidRPr="00550A1A">
        <w:rPr>
          <w:rStyle w:val="SchwacheHervorhebung"/>
          <w:b w:val="0"/>
          <w:sz w:val="22"/>
        </w:rPr>
        <w:sym w:font="Wingdings" w:char="F0E0"/>
      </w:r>
      <w:r w:rsidRPr="00550A1A">
        <w:rPr>
          <w:rStyle w:val="SchwacheHervorhebung"/>
          <w:b w:val="0"/>
          <w:sz w:val="22"/>
        </w:rPr>
        <w:t xml:space="preserve"> ‘Consultation on technical advice under the new Prospectus Regulation’).</w:t>
      </w:r>
    </w:p>
    <w:p w14:paraId="7EDB20DD" w14:textId="4BDD18DA"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Please do not remove tags of the type &lt;ESMA_QUESTION_</w:t>
      </w:r>
      <w:r w:rsidR="005C248A">
        <w:rPr>
          <w:rStyle w:val="SchwacheHervorhebung"/>
          <w:b w:val="0"/>
          <w:sz w:val="22"/>
        </w:rPr>
        <w:t>GBMR</w:t>
      </w:r>
      <w:r w:rsidRPr="00550A1A">
        <w:rPr>
          <w:rStyle w:val="SchwacheHervorhebung"/>
          <w:b w:val="0"/>
          <w:sz w:val="22"/>
        </w:rPr>
        <w:t>_1&gt;. Your response to each question has to be framed by the two tags corresponding to the question.</w:t>
      </w:r>
    </w:p>
    <w:p w14:paraId="3788B5B9"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When you have drafted your response, name your response form according to the follo</w:t>
      </w:r>
      <w:r w:rsidRPr="00550A1A">
        <w:rPr>
          <w:rStyle w:val="SchwacheHervorhebung"/>
          <w:b w:val="0"/>
          <w:sz w:val="22"/>
        </w:rPr>
        <w:t>w</w:t>
      </w:r>
      <w:r w:rsidRPr="00550A1A">
        <w:rPr>
          <w:rStyle w:val="SchwacheHervorhebung"/>
          <w:b w:val="0"/>
          <w:sz w:val="22"/>
        </w:rPr>
        <w:t>ing convention: ESMA_</w:t>
      </w:r>
      <w:r w:rsidR="005C248A" w:rsidRPr="005C248A">
        <w:rPr>
          <w:rStyle w:val="SchwacheHervorhebung"/>
          <w:b w:val="0"/>
          <w:sz w:val="22"/>
        </w:rPr>
        <w:t xml:space="preserve"> </w:t>
      </w:r>
      <w:r w:rsidR="005C248A">
        <w:rPr>
          <w:rStyle w:val="SchwacheHervorhebung"/>
          <w:b w:val="0"/>
          <w:sz w:val="22"/>
        </w:rPr>
        <w:t>GBMR</w:t>
      </w:r>
      <w:r w:rsidR="005C248A" w:rsidRPr="00550A1A">
        <w:rPr>
          <w:rStyle w:val="SchwacheHervorhebung"/>
          <w:b w:val="0"/>
          <w:sz w:val="22"/>
        </w:rPr>
        <w:t xml:space="preserve"> </w:t>
      </w:r>
      <w:r w:rsidRPr="00550A1A">
        <w:rPr>
          <w:rStyle w:val="SchwacheHervorhebung"/>
          <w:b w:val="0"/>
          <w:sz w:val="22"/>
        </w:rPr>
        <w:t>_nameofrespondent_RESPONSEFORM. For example, for a respondent named ABCD, the response form would be entitled E</w:t>
      </w:r>
      <w:r w:rsidRPr="00550A1A">
        <w:rPr>
          <w:rStyle w:val="SchwacheHervorhebung"/>
          <w:b w:val="0"/>
          <w:sz w:val="22"/>
        </w:rPr>
        <w:t>S</w:t>
      </w:r>
      <w:r w:rsidRPr="00550A1A">
        <w:rPr>
          <w:rStyle w:val="SchwacheHervorhebung"/>
          <w:b w:val="0"/>
          <w:sz w:val="22"/>
        </w:rPr>
        <w:t>MA_</w:t>
      </w:r>
      <w:r w:rsidR="005C248A">
        <w:rPr>
          <w:rStyle w:val="SchwacheHervorhebung"/>
          <w:b w:val="0"/>
          <w:sz w:val="22"/>
        </w:rPr>
        <w:t>GBMR</w:t>
      </w:r>
      <w:r w:rsidRPr="00550A1A">
        <w:rPr>
          <w:rStyle w:val="SchwacheHervorhebung"/>
          <w:b w:val="0"/>
          <w:sz w:val="22"/>
        </w:rPr>
        <w:t>_ABCD_RESPONSEFORM.</w:t>
      </w:r>
    </w:p>
    <w:p w14:paraId="0EEEC08E" w14:textId="77777777" w:rsidR="0051277E" w:rsidRPr="00550A1A" w:rsidRDefault="0051277E" w:rsidP="0051277E">
      <w:pPr>
        <w:pStyle w:val="Listenabsatz"/>
        <w:numPr>
          <w:ilvl w:val="0"/>
          <w:numId w:val="39"/>
        </w:numPr>
        <w:spacing w:after="240" w:line="276" w:lineRule="auto"/>
        <w:ind w:left="567" w:hanging="567"/>
        <w:contextualSpacing w:val="0"/>
        <w:jc w:val="both"/>
        <w:rPr>
          <w:rStyle w:val="SchwacheHervorhebung"/>
          <w:b w:val="0"/>
          <w:sz w:val="22"/>
        </w:rPr>
      </w:pPr>
      <w:r w:rsidRPr="00550A1A">
        <w:rPr>
          <w:rStyle w:val="SchwacheHervorhebung"/>
          <w:b w:val="0"/>
          <w:sz w:val="22"/>
        </w:rPr>
        <w:t xml:space="preserve">Upload the form containing your responses, </w:t>
      </w:r>
      <w:r w:rsidRPr="00550A1A">
        <w:rPr>
          <w:rStyle w:val="SchwacheHervorhebung"/>
          <w:b w:val="0"/>
          <w:sz w:val="22"/>
          <w:u w:val="single"/>
        </w:rPr>
        <w:t>in Word format</w:t>
      </w:r>
      <w:r w:rsidRPr="00550A1A">
        <w:rPr>
          <w:rStyle w:val="SchwacheHervorhebung"/>
          <w:b w:val="0"/>
          <w:sz w:val="22"/>
        </w:rPr>
        <w:t>, to ESMA’s website (</w:t>
      </w:r>
      <w:hyperlink r:id="rId18" w:history="1">
        <w:r w:rsidRPr="00550A1A">
          <w:rPr>
            <w:rStyle w:val="Hyperlink"/>
            <w:rFonts w:cs="Arial"/>
            <w:sz w:val="22"/>
          </w:rPr>
          <w:t>www.esma.euro</w:t>
        </w:r>
        <w:bookmarkStart w:id="1" w:name="_GoBack"/>
        <w:bookmarkEnd w:id="1"/>
        <w:r w:rsidRPr="00550A1A">
          <w:rPr>
            <w:rStyle w:val="Hyperlink"/>
            <w:rFonts w:cs="Arial"/>
            <w:sz w:val="22"/>
          </w:rPr>
          <w:t>pa.eu</w:t>
        </w:r>
      </w:hyperlink>
      <w:r w:rsidRPr="00550A1A">
        <w:rPr>
          <w:rStyle w:val="SchwacheHervorhebung"/>
          <w:b w:val="0"/>
          <w:sz w:val="22"/>
        </w:rPr>
        <w:t xml:space="preserve"> under the heading ‘Your input – Open consultations’ </w:t>
      </w:r>
      <w:r w:rsidRPr="00550A1A">
        <w:rPr>
          <w:rStyle w:val="SchwacheHervorhebung"/>
          <w:b w:val="0"/>
          <w:sz w:val="22"/>
        </w:rPr>
        <w:sym w:font="Wingdings" w:char="F0E0"/>
      </w:r>
      <w:r w:rsidRPr="00550A1A">
        <w:rPr>
          <w:rStyle w:val="SchwacheHervorhebung"/>
          <w:b w:val="0"/>
          <w:sz w:val="22"/>
        </w:rPr>
        <w:t xml:space="preserve"> ‘Consult</w:t>
      </w:r>
      <w:r w:rsidRPr="00550A1A">
        <w:rPr>
          <w:rStyle w:val="SchwacheHervorhebung"/>
          <w:b w:val="0"/>
          <w:sz w:val="22"/>
        </w:rPr>
        <w:t>a</w:t>
      </w:r>
      <w:r w:rsidRPr="00550A1A">
        <w:rPr>
          <w:rStyle w:val="SchwacheHervorhebung"/>
          <w:b w:val="0"/>
          <w:sz w:val="22"/>
        </w:rPr>
        <w:t>tion on technical advice under the new Prospectus Regulation’).</w:t>
      </w:r>
    </w:p>
    <w:p w14:paraId="785DC819"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Publication of responses</w:t>
      </w:r>
    </w:p>
    <w:p w14:paraId="40D24FFB" w14:textId="77777777" w:rsidR="0051277E" w:rsidRPr="00550A1A" w:rsidRDefault="0051277E" w:rsidP="0051277E">
      <w:pPr>
        <w:spacing w:after="240"/>
        <w:jc w:val="both"/>
        <w:rPr>
          <w:rStyle w:val="SchwacheHervorhebung"/>
          <w:b w:val="0"/>
          <w:sz w:val="22"/>
          <w:lang w:eastAsia="en-GB"/>
        </w:rPr>
      </w:pPr>
      <w:r w:rsidRPr="00550A1A">
        <w:rPr>
          <w:rStyle w:val="SchwacheHervorhebung"/>
          <w:b w:val="0"/>
          <w:sz w:val="22"/>
          <w:lang w:eastAsia="en-GB"/>
        </w:rPr>
        <w:t xml:space="preserve">All contributions received will be published following the close of the consultation, unless you request otherwise. </w:t>
      </w:r>
      <w:r w:rsidRPr="00550A1A">
        <w:rPr>
          <w:rStyle w:val="SchwacheHervorhebung"/>
          <w:b w:val="0"/>
          <w:sz w:val="22"/>
          <w:u w:val="single"/>
          <w:lang w:eastAsia="en-GB"/>
        </w:rPr>
        <w:t>Please clearly indicate by ticking the appropriate checkbox on the website submission page if you do not wish your contribution to be publicly disclosed.</w:t>
      </w:r>
      <w:r w:rsidRPr="00550A1A">
        <w:rPr>
          <w:rStyle w:val="SchwacheHervorhebung"/>
          <w:b w:val="0"/>
          <w:sz w:val="22"/>
          <w:lang w:eastAsia="en-GB"/>
        </w:rPr>
        <w:t xml:space="preserve"> A standard conf</w:t>
      </w:r>
      <w:r w:rsidRPr="00550A1A">
        <w:rPr>
          <w:rStyle w:val="SchwacheHervorhebung"/>
          <w:b w:val="0"/>
          <w:sz w:val="22"/>
          <w:lang w:eastAsia="en-GB"/>
        </w:rPr>
        <w:t>i</w:t>
      </w:r>
      <w:r w:rsidRPr="00550A1A">
        <w:rPr>
          <w:rStyle w:val="SchwacheHervorhebung"/>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SchwacheHervorhebung"/>
          <w:b w:val="0"/>
          <w:sz w:val="22"/>
          <w:lang w:eastAsia="en-GB"/>
        </w:rPr>
        <w:lastRenderedPageBreak/>
        <w:t>disclose the response is reviewable by ESMA’s Board of Appeal and the European Ombud</w:t>
      </w:r>
      <w:r w:rsidRPr="00550A1A">
        <w:rPr>
          <w:rStyle w:val="SchwacheHervorhebung"/>
          <w:b w:val="0"/>
          <w:sz w:val="22"/>
          <w:lang w:eastAsia="en-GB"/>
        </w:rPr>
        <w:t>s</w:t>
      </w:r>
      <w:r w:rsidRPr="00550A1A">
        <w:rPr>
          <w:rStyle w:val="SchwacheHervorhebung"/>
          <w:b w:val="0"/>
          <w:sz w:val="22"/>
          <w:lang w:eastAsia="en-GB"/>
        </w:rPr>
        <w:t>man.</w:t>
      </w:r>
    </w:p>
    <w:p w14:paraId="5F533569"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Data protection</w:t>
      </w:r>
    </w:p>
    <w:p w14:paraId="1634E632" w14:textId="77777777" w:rsidR="0051277E" w:rsidRPr="00550A1A" w:rsidRDefault="0051277E" w:rsidP="0051277E">
      <w:pPr>
        <w:spacing w:after="240"/>
        <w:jc w:val="both"/>
        <w:rPr>
          <w:rStyle w:val="SchwacheHervorhebung"/>
          <w:b w:val="0"/>
          <w:sz w:val="22"/>
          <w:lang w:eastAsia="en-GB"/>
        </w:rPr>
      </w:pPr>
      <w:r w:rsidRPr="00550A1A">
        <w:rPr>
          <w:rStyle w:val="SchwacheHervorhebung"/>
          <w:b w:val="0"/>
          <w:sz w:val="22"/>
          <w:lang w:eastAsia="en-GB"/>
        </w:rPr>
        <w:t xml:space="preserve">Information on data protection can be found at </w:t>
      </w:r>
      <w:hyperlink r:id="rId19" w:history="1">
        <w:r w:rsidRPr="00550A1A">
          <w:rPr>
            <w:rStyle w:val="Hyperlink"/>
            <w:rFonts w:cs="Arial"/>
            <w:sz w:val="22"/>
            <w:lang w:eastAsia="en-GB"/>
          </w:rPr>
          <w:t>www.esma.europa.eu</w:t>
        </w:r>
      </w:hyperlink>
      <w:r w:rsidRPr="00550A1A">
        <w:rPr>
          <w:rStyle w:val="SchwacheHervorhebung"/>
          <w:b w:val="0"/>
          <w:sz w:val="22"/>
          <w:lang w:eastAsia="en-GB"/>
        </w:rPr>
        <w:t xml:space="preserve"> under the heading ‘Data  protection’.</w:t>
      </w:r>
    </w:p>
    <w:p w14:paraId="066FD8F8"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chwacheHervorhebung"/>
          <w:b w:val="0"/>
          <w:sz w:val="22"/>
          <w:lang w:eastAsia="en-GB"/>
        </w:rPr>
        <w:t xml:space="preserve">This Consultation Paper may be of particular interest to </w:t>
      </w:r>
      <w:r w:rsidR="005552FC">
        <w:rPr>
          <w:rStyle w:val="SchwacheHervorhebung"/>
          <w:b w:val="0"/>
          <w:sz w:val="22"/>
          <w:lang w:eastAsia="en-GB"/>
        </w:rPr>
        <w:t>administrators of benchmarks, contrib</w:t>
      </w:r>
      <w:r w:rsidR="005552FC">
        <w:rPr>
          <w:rStyle w:val="SchwacheHervorhebung"/>
          <w:b w:val="0"/>
          <w:sz w:val="22"/>
          <w:lang w:eastAsia="en-GB"/>
        </w:rPr>
        <w:t>u</w:t>
      </w:r>
      <w:r w:rsidR="005552FC">
        <w:rPr>
          <w:rStyle w:val="SchwacheHervorhebung"/>
          <w:b w:val="0"/>
          <w:sz w:val="22"/>
          <w:lang w:eastAsia="en-GB"/>
        </w:rPr>
        <w:t>tors to benchmarks and users of benchmarks</w:t>
      </w:r>
      <w:r w:rsidRPr="00550A1A">
        <w:rPr>
          <w:rStyle w:val="SchwacheHervorhebung"/>
          <w:b w:val="0"/>
          <w:sz w:val="22"/>
          <w:lang w:eastAsia="en-GB"/>
        </w:rPr>
        <w:t xml:space="preserve"> as well as to any market partici</w:t>
      </w:r>
      <w:r w:rsidR="005552FC">
        <w:rPr>
          <w:rStyle w:val="SchwacheHervorhebung"/>
          <w:b w:val="0"/>
          <w:sz w:val="22"/>
          <w:lang w:eastAsia="en-GB"/>
        </w:rPr>
        <w:t>pant who is affec</w:t>
      </w:r>
      <w:r w:rsidR="005552FC">
        <w:rPr>
          <w:rStyle w:val="SchwacheHervorhebung"/>
          <w:b w:val="0"/>
          <w:sz w:val="22"/>
          <w:lang w:eastAsia="en-GB"/>
        </w:rPr>
        <w:t>t</w:t>
      </w:r>
      <w:r w:rsidR="005552FC">
        <w:rPr>
          <w:rStyle w:val="SchwacheHervorhebung"/>
          <w:b w:val="0"/>
          <w:sz w:val="22"/>
          <w:lang w:eastAsia="en-GB"/>
        </w:rPr>
        <w:t>ed by the Benchmarks</w:t>
      </w:r>
      <w:r w:rsidRPr="00550A1A">
        <w:rPr>
          <w:rStyle w:val="SchwacheHervorhebung"/>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601BAD">
        <w:tc>
          <w:tcPr>
            <w:tcW w:w="3929" w:type="dxa"/>
            <w:shd w:val="clear" w:color="auto" w:fill="auto"/>
          </w:tcPr>
          <w:p w14:paraId="6A42BBC9" w14:textId="77777777" w:rsidR="00B327E9" w:rsidRPr="00550A1A" w:rsidRDefault="00B327E9" w:rsidP="00601BAD">
            <w:pPr>
              <w:rPr>
                <w:rFonts w:cs="Arial"/>
                <w:sz w:val="22"/>
              </w:rPr>
            </w:pPr>
            <w:permStart w:id="584150857" w:edGrp="everyone" w:colFirst="1" w:colLast="1"/>
            <w:r w:rsidRPr="00550A1A">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158819D1" w:rsidR="00B327E9" w:rsidRPr="00AB6D88" w:rsidRDefault="00A307E2" w:rsidP="00A307E2">
                <w:pPr>
                  <w:rPr>
                    <w:rStyle w:val="Platzhaltertext"/>
                    <w:rFonts w:cs="Arial"/>
                  </w:rPr>
                </w:pPr>
                <w:r>
                  <w:rPr>
                    <w:rStyle w:val="Platzhaltertext"/>
                    <w:rFonts w:cs="Arial"/>
                  </w:rPr>
                  <w:t>Solactive AG</w:t>
                </w:r>
              </w:p>
            </w:tc>
          </w:sdtContent>
        </w:sdt>
      </w:tr>
      <w:tr w:rsidR="00B327E9" w:rsidRPr="00AB6D88" w14:paraId="08FFF92A" w14:textId="77777777" w:rsidTr="00601BAD">
        <w:tc>
          <w:tcPr>
            <w:tcW w:w="3929" w:type="dxa"/>
            <w:shd w:val="clear" w:color="auto" w:fill="auto"/>
          </w:tcPr>
          <w:p w14:paraId="388AB0CD" w14:textId="77777777" w:rsidR="00B327E9" w:rsidRPr="00550A1A" w:rsidRDefault="00B327E9" w:rsidP="00601B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3D3A01D0" w:rsidR="00B327E9" w:rsidRPr="00AB6D88" w:rsidRDefault="00047C27" w:rsidP="00601B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307E2">
                  <w:rPr>
                    <w:rFonts w:cs="Arial"/>
                  </w:rPr>
                  <w:t>Other Financial service providers</w:t>
                </w:r>
              </w:sdtContent>
            </w:sdt>
          </w:p>
        </w:tc>
      </w:tr>
      <w:tr w:rsidR="00B327E9" w:rsidRPr="00AB6D88" w14:paraId="509F0A26" w14:textId="77777777" w:rsidTr="00601BAD">
        <w:tc>
          <w:tcPr>
            <w:tcW w:w="3929" w:type="dxa"/>
            <w:shd w:val="clear" w:color="auto" w:fill="auto"/>
          </w:tcPr>
          <w:p w14:paraId="5F066592" w14:textId="77777777" w:rsidR="00B327E9" w:rsidRPr="00550A1A" w:rsidRDefault="00B327E9" w:rsidP="00601B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601BAD">
                <w:pPr>
                  <w:rPr>
                    <w:rFonts w:cs="Arial"/>
                  </w:rPr>
                </w:pPr>
                <w:r>
                  <w:rPr>
                    <w:rFonts w:ascii="MS Gothic" w:eastAsia="MS Gothic" w:hAnsi="MS Gothic" w:cs="Arial" w:hint="eastAsia"/>
                  </w:rPr>
                  <w:t>☐</w:t>
                </w:r>
              </w:p>
            </w:tc>
          </w:sdtContent>
        </w:sdt>
      </w:tr>
      <w:tr w:rsidR="00B327E9" w:rsidRPr="00AB6D88" w14:paraId="059BC4BD" w14:textId="77777777" w:rsidTr="00601BAD">
        <w:tc>
          <w:tcPr>
            <w:tcW w:w="3929" w:type="dxa"/>
            <w:shd w:val="clear" w:color="auto" w:fill="auto"/>
          </w:tcPr>
          <w:p w14:paraId="005527F4" w14:textId="77777777" w:rsidR="00B327E9" w:rsidRPr="00550A1A" w:rsidRDefault="00B327E9" w:rsidP="00601B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EA7E763" w:rsidR="00B327E9" w:rsidRPr="00AB6D88" w:rsidRDefault="00A307E2" w:rsidP="00601B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1D47A5" w:rsidRDefault="00B327E9" w:rsidP="00B327E9">
      <w:pPr>
        <w:rPr>
          <w:rStyle w:val="IntensiveHervorhebung"/>
        </w:rPr>
      </w:pPr>
      <w:r w:rsidRPr="00550A1A">
        <w:rPr>
          <w:rStyle w:val="IntensiveHervorhebung"/>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5FF708E9" w14:textId="77777777" w:rsidR="007E24DF" w:rsidRPr="007E24DF" w:rsidRDefault="007E24DF" w:rsidP="007E24DF">
      <w:pPr>
        <w:jc w:val="both"/>
        <w:rPr>
          <w:rFonts w:cs="Arial"/>
        </w:rPr>
      </w:pPr>
      <w:permStart w:id="1937050393" w:edGrp="everyone"/>
      <w:r w:rsidRPr="007E24DF">
        <w:rPr>
          <w:rFonts w:cs="Arial"/>
        </w:rPr>
        <w:t xml:space="preserve">Solactive AG welcomes the opportunity to respond to </w:t>
      </w:r>
      <w:proofErr w:type="spellStart"/>
      <w:r w:rsidRPr="007E24DF">
        <w:rPr>
          <w:rFonts w:cs="Arial"/>
        </w:rPr>
        <w:t>ESMA’s</w:t>
      </w:r>
      <w:proofErr w:type="spellEnd"/>
      <w:r w:rsidRPr="007E24DF">
        <w:rPr>
          <w:rFonts w:cs="Arial"/>
        </w:rPr>
        <w:t xml:space="preserve"> proposals on the envisaged level III measures. We have assessed the contents of the present Discussion Paper and decided to provide our feedback on a wide range of questions. Insofar as we have not been affected by certain provisions or are not suited to deliver any specific contributions we have opted to leave out the concerned parts. </w:t>
      </w:r>
    </w:p>
    <w:p w14:paraId="231DBA92" w14:textId="77777777" w:rsidR="007E24DF" w:rsidRPr="007E24DF" w:rsidRDefault="007E24DF" w:rsidP="007E24DF">
      <w:pPr>
        <w:jc w:val="both"/>
        <w:rPr>
          <w:rFonts w:cs="Arial"/>
        </w:rPr>
      </w:pPr>
    </w:p>
    <w:p w14:paraId="468B4A68" w14:textId="77777777" w:rsidR="007E24DF" w:rsidRPr="007E24DF" w:rsidRDefault="007E24DF" w:rsidP="007E24DF">
      <w:pPr>
        <w:jc w:val="both"/>
        <w:rPr>
          <w:rFonts w:cs="Arial"/>
        </w:rPr>
      </w:pPr>
      <w:r w:rsidRPr="007E24DF">
        <w:rPr>
          <w:rFonts w:cs="Arial"/>
        </w:rPr>
        <w:t>Since its founding in 2007, Solactive has grown to be one of the important players in the indexing industry. The German index provider focuses on tailor-made indices across all asset classes, which are developed, calculated and distributed worldwide. The company’s fast service, flexibility and reasonable prices have made it one of the most rapidly growing index providers in recent years. Solactive now calculates indices for more than 350 clients in Europe, America and Asia. Approximately 100 billion USD are invested in products linked to 4,000 indices calculated by Solactive globally, primarily in the form of 250 ETFs. Ma</w:t>
      </w:r>
      <w:r w:rsidRPr="007E24DF">
        <w:rPr>
          <w:rFonts w:cs="Arial"/>
        </w:rPr>
        <w:t>n</w:t>
      </w:r>
      <w:r w:rsidRPr="007E24DF">
        <w:rPr>
          <w:rFonts w:cs="Arial"/>
        </w:rPr>
        <w:t xml:space="preserve">aged by Steffen Scheuble, CEO, Christian Grabbe, COO, and Christian Vollmuth, </w:t>
      </w:r>
      <w:proofErr w:type="spellStart"/>
      <w:r w:rsidRPr="007E24DF">
        <w:rPr>
          <w:rFonts w:cs="Arial"/>
        </w:rPr>
        <w:t>CRO</w:t>
      </w:r>
      <w:proofErr w:type="spellEnd"/>
      <w:r w:rsidRPr="007E24DF">
        <w:rPr>
          <w:rFonts w:cs="Arial"/>
        </w:rPr>
        <w:t>, Solactive is organized in two business units, Indexing and Research. The company employs 82 people in Frankfurt and is owned by its current management.</w:t>
      </w:r>
    </w:p>
    <w:p w14:paraId="68B249AD" w14:textId="77777777" w:rsidR="007E24DF" w:rsidRPr="007E24DF" w:rsidRDefault="007E24DF" w:rsidP="007E24DF">
      <w:pPr>
        <w:jc w:val="both"/>
        <w:rPr>
          <w:rFonts w:cs="Arial"/>
        </w:rPr>
      </w:pPr>
    </w:p>
    <w:p w14:paraId="1AC16025" w14:textId="77777777" w:rsidR="007E24DF" w:rsidRPr="007E24DF" w:rsidRDefault="007E24DF" w:rsidP="007E24DF">
      <w:pPr>
        <w:jc w:val="both"/>
        <w:rPr>
          <w:rFonts w:cs="Arial"/>
        </w:rPr>
      </w:pPr>
      <w:r w:rsidRPr="007E24DF">
        <w:rPr>
          <w:rFonts w:cs="Arial"/>
        </w:rPr>
        <w:t xml:space="preserve">While we do calculate a variety of indices which are widely used throughout the global financial industry, all of them classify as non-significant benchmarks under the </w:t>
      </w:r>
      <w:proofErr w:type="spellStart"/>
      <w:r w:rsidRPr="007E24DF">
        <w:rPr>
          <w:rFonts w:cs="Arial"/>
        </w:rPr>
        <w:t>BMR</w:t>
      </w:r>
      <w:proofErr w:type="spellEnd"/>
      <w:r w:rsidRPr="007E24DF">
        <w:rPr>
          <w:rFonts w:cs="Arial"/>
        </w:rPr>
        <w:t>. We therefore hope that our observ</w:t>
      </w:r>
      <w:r w:rsidRPr="007E24DF">
        <w:rPr>
          <w:rFonts w:cs="Arial"/>
        </w:rPr>
        <w:t>a</w:t>
      </w:r>
      <w:r w:rsidRPr="007E24DF">
        <w:rPr>
          <w:rFonts w:cs="Arial"/>
        </w:rPr>
        <w:t>tions and views on the draft guidelines from the perspective of an administrator of non-significant benc</w:t>
      </w:r>
      <w:r w:rsidRPr="007E24DF">
        <w:rPr>
          <w:rFonts w:cs="Arial"/>
        </w:rPr>
        <w:t>h</w:t>
      </w:r>
      <w:r w:rsidRPr="007E24DF">
        <w:rPr>
          <w:rFonts w:cs="Arial"/>
        </w:rPr>
        <w:t>marks may assist ESMA in finalising these level III measures.</w:t>
      </w:r>
    </w:p>
    <w:p w14:paraId="07922D4F" w14:textId="77777777" w:rsidR="007E24DF" w:rsidRPr="007E24DF" w:rsidRDefault="007E24DF" w:rsidP="007E24DF">
      <w:pPr>
        <w:jc w:val="both"/>
        <w:rPr>
          <w:rFonts w:cs="Arial"/>
        </w:rPr>
      </w:pPr>
    </w:p>
    <w:p w14:paraId="027EB30B" w14:textId="5A2FC947" w:rsidR="005A61F1" w:rsidRPr="00676F35" w:rsidRDefault="007E24DF" w:rsidP="00676F35">
      <w:pPr>
        <w:jc w:val="both"/>
        <w:rPr>
          <w:rFonts w:cs="Arial"/>
        </w:rPr>
      </w:pPr>
      <w:r w:rsidRPr="007E24DF">
        <w:rPr>
          <w:rFonts w:cs="Arial"/>
        </w:rPr>
        <w:t>Once more, we would also like to use the opportunity to address one of our longer-standing concerns with regard to the regulatory framework in the index industry and the index industry as a whole: We are co</w:t>
      </w:r>
      <w:r w:rsidRPr="007E24DF">
        <w:rPr>
          <w:rFonts w:cs="Arial"/>
        </w:rPr>
        <w:t>n</w:t>
      </w:r>
      <w:r w:rsidRPr="007E24DF">
        <w:rPr>
          <w:rFonts w:cs="Arial"/>
        </w:rPr>
        <w:t xml:space="preserve">cerned about the emerging concentration on the financial data vendor market. A factual oligopoly of a small number of vendors and only very few sources of input data relating to fixed income securities, puts index providers in a weak position when it comes to implementing and enforcing our Codes of Conduct. This market concentration also affects regulated stock exchanges some of which have considerably increased their data fees recently. We are concerned about these competitive distortions as </w:t>
      </w:r>
      <w:r w:rsidR="00966D86">
        <w:rPr>
          <w:rFonts w:cs="Arial"/>
        </w:rPr>
        <w:t xml:space="preserve">a </w:t>
      </w:r>
      <w:r w:rsidRPr="007E24DF">
        <w:rPr>
          <w:rFonts w:cs="Arial"/>
        </w:rPr>
        <w:t>result of an expanding monetarization of monopolies. We have experienced difficulties in this matter with regard to a leading global data provider.</w:t>
      </w:r>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40"/>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w:t>
      </w:r>
      <w:r w:rsidR="00C56932" w:rsidRPr="00F67F71">
        <w:t>l</w:t>
      </w:r>
      <w:r w:rsidR="00C56932" w:rsidRPr="00F67F71">
        <w:t>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49515509" w14:textId="25B914BB" w:rsidR="00B90358" w:rsidRDefault="00B90358" w:rsidP="0002394B">
      <w:pPr>
        <w:jc w:val="both"/>
        <w:rPr>
          <w:rFonts w:cs="Arial"/>
        </w:rPr>
      </w:pPr>
      <w:permStart w:id="1074155683" w:edGrp="everyone"/>
      <w:r w:rsidRPr="00B90358">
        <w:rPr>
          <w:rFonts w:cs="Arial"/>
        </w:rPr>
        <w:t xml:space="preserve">Solactive fully agrees with </w:t>
      </w:r>
      <w:proofErr w:type="spellStart"/>
      <w:r w:rsidRPr="00B90358">
        <w:rPr>
          <w:rFonts w:cs="Arial"/>
        </w:rPr>
        <w:t>ESMA’s</w:t>
      </w:r>
      <w:proofErr w:type="spellEnd"/>
      <w:r w:rsidRPr="00B90358">
        <w:rPr>
          <w:rFonts w:cs="Arial"/>
        </w:rPr>
        <w:t xml:space="preserve"> initial observation </w:t>
      </w:r>
      <w:r>
        <w:rPr>
          <w:rFonts w:cs="Arial"/>
        </w:rPr>
        <w:t xml:space="preserve">(in para. 12) </w:t>
      </w:r>
      <w:r w:rsidR="00ED7DFB">
        <w:rPr>
          <w:rFonts w:cs="Arial"/>
        </w:rPr>
        <w:t xml:space="preserve">that notwithstanding the possibility for administrators of non-significant benchmarks not to apply Art. </w:t>
      </w:r>
      <w:proofErr w:type="gramStart"/>
      <w:r w:rsidR="00ED7DFB">
        <w:rPr>
          <w:rFonts w:cs="Arial"/>
        </w:rPr>
        <w:t>5 (2), (3) and (4), the overarching obligation from Art.</w:t>
      </w:r>
      <w:proofErr w:type="gramEnd"/>
      <w:r w:rsidR="00ED7DFB">
        <w:rPr>
          <w:rFonts w:cs="Arial"/>
        </w:rPr>
        <w:t xml:space="preserve"> 5 (1) to “establish and maintain a </w:t>
      </w:r>
      <w:r w:rsidR="00ED7DFB" w:rsidRPr="00ED7DFB">
        <w:rPr>
          <w:rFonts w:cs="Arial"/>
          <w:i/>
        </w:rPr>
        <w:t>permanent</w:t>
      </w:r>
      <w:r w:rsidR="00ED7DFB">
        <w:rPr>
          <w:rFonts w:cs="Arial"/>
        </w:rPr>
        <w:t xml:space="preserve"> and </w:t>
      </w:r>
      <w:r w:rsidR="00ED7DFB" w:rsidRPr="00ED7DFB">
        <w:rPr>
          <w:rFonts w:cs="Arial"/>
          <w:i/>
        </w:rPr>
        <w:t>effective</w:t>
      </w:r>
      <w:r w:rsidR="00ED7DFB">
        <w:rPr>
          <w:rFonts w:cs="Arial"/>
        </w:rPr>
        <w:t xml:space="preserve"> oversight function”</w:t>
      </w:r>
      <w:r w:rsidR="00A055DE">
        <w:rPr>
          <w:rFonts w:cs="Arial"/>
        </w:rPr>
        <w:t xml:space="preserve"> </w:t>
      </w:r>
      <w:r w:rsidR="006F1A7C">
        <w:rPr>
          <w:rFonts w:cs="Arial"/>
        </w:rPr>
        <w:t>remains u</w:t>
      </w:r>
      <w:r w:rsidR="006F1A7C">
        <w:rPr>
          <w:rFonts w:cs="Arial"/>
        </w:rPr>
        <w:t>n</w:t>
      </w:r>
      <w:r w:rsidR="006F1A7C">
        <w:rPr>
          <w:rFonts w:cs="Arial"/>
        </w:rPr>
        <w:t xml:space="preserve">touched. </w:t>
      </w:r>
      <w:r w:rsidR="00A055DE">
        <w:rPr>
          <w:rFonts w:cs="Arial"/>
        </w:rPr>
        <w:t xml:space="preserve"> </w:t>
      </w:r>
    </w:p>
    <w:p w14:paraId="7B90701D" w14:textId="77777777" w:rsidR="00A055DE" w:rsidRPr="00B90358" w:rsidRDefault="00A055DE" w:rsidP="0002394B">
      <w:pPr>
        <w:jc w:val="both"/>
        <w:rPr>
          <w:rFonts w:cs="Arial"/>
        </w:rPr>
      </w:pPr>
    </w:p>
    <w:p w14:paraId="29FFA11C" w14:textId="0FBBDE84" w:rsidR="00B90358" w:rsidRDefault="00F5769C" w:rsidP="0002394B">
      <w:pPr>
        <w:jc w:val="both"/>
        <w:rPr>
          <w:rFonts w:cs="Arial"/>
        </w:rPr>
      </w:pPr>
      <w:proofErr w:type="gramStart"/>
      <w:r>
        <w:rPr>
          <w:rFonts w:cs="Arial"/>
        </w:rPr>
        <w:t>The possibility not to apply Art.</w:t>
      </w:r>
      <w:proofErr w:type="gramEnd"/>
      <w:r>
        <w:rPr>
          <w:rFonts w:cs="Arial"/>
        </w:rPr>
        <w:t xml:space="preserve"> 5 (2), (3) and (4) is therefore somewhat theoretical, as a permanent and effective oversight function seems to necessitate robust procedures, a clear allocation of tasks as set out in Art. </w:t>
      </w:r>
      <w:proofErr w:type="gramStart"/>
      <w:r>
        <w:rPr>
          <w:rFonts w:cs="Arial"/>
        </w:rPr>
        <w:t>5 (3) and an “appropriate governance arrangement”.</w:t>
      </w:r>
      <w:proofErr w:type="gramEnd"/>
      <w:r>
        <w:rPr>
          <w:rFonts w:cs="Arial"/>
        </w:rPr>
        <w:t xml:space="preserve"> Therefore Solactive perceives the relevant provisions essentially as indirectly obligatory.</w:t>
      </w:r>
    </w:p>
    <w:p w14:paraId="2B2A5FED" w14:textId="77777777" w:rsidR="00F5769C" w:rsidRDefault="00F5769C" w:rsidP="0002394B">
      <w:pPr>
        <w:jc w:val="both"/>
        <w:rPr>
          <w:rFonts w:cs="Arial"/>
        </w:rPr>
      </w:pPr>
    </w:p>
    <w:p w14:paraId="19B9027A" w14:textId="77777777" w:rsidR="008F39ED" w:rsidRDefault="00F5769C" w:rsidP="008F39ED">
      <w:pPr>
        <w:jc w:val="both"/>
        <w:rPr>
          <w:rFonts w:cs="Arial"/>
        </w:rPr>
      </w:pPr>
      <w:r>
        <w:rPr>
          <w:rFonts w:cs="Arial"/>
        </w:rPr>
        <w:t>Therefore, Solactive welcomes the issuance of the draft guidelines on the oversight function for admini</w:t>
      </w:r>
      <w:r>
        <w:rPr>
          <w:rFonts w:cs="Arial"/>
        </w:rPr>
        <w:t>s</w:t>
      </w:r>
      <w:r>
        <w:rPr>
          <w:rFonts w:cs="Arial"/>
        </w:rPr>
        <w:t>trators of non-significant benchmarks, as it would otherwise have seen itself compelled to adhere to the regulatory technical standards.</w:t>
      </w:r>
      <w:r w:rsidR="008F39ED">
        <w:rPr>
          <w:rFonts w:cs="Arial"/>
        </w:rPr>
        <w:t xml:space="preserve"> In light of the above, Solactive is not surprised that the content of the draft guidelines is in large parts identical to the regulatory technical standards. Only the </w:t>
      </w:r>
      <w:r w:rsidR="008F39ED" w:rsidRPr="00DA7279">
        <w:rPr>
          <w:rFonts w:cs="Arial"/>
          <w:i/>
        </w:rPr>
        <w:t>Procedures governing the oversight function</w:t>
      </w:r>
      <w:r w:rsidR="008F39ED">
        <w:rPr>
          <w:rFonts w:cs="Arial"/>
        </w:rPr>
        <w:t xml:space="preserve"> seem to be slightly less comprehensive, e.g. not requiring minutes of the meeting to be taken. </w:t>
      </w:r>
    </w:p>
    <w:p w14:paraId="576D44BA" w14:textId="08074399" w:rsidR="00F5769C" w:rsidRDefault="00F5769C" w:rsidP="0002394B">
      <w:pPr>
        <w:jc w:val="both"/>
        <w:rPr>
          <w:rFonts w:cs="Arial"/>
        </w:rPr>
      </w:pPr>
    </w:p>
    <w:p w14:paraId="670FCC55" w14:textId="77777777" w:rsidR="00F5769C" w:rsidRDefault="00F5769C" w:rsidP="0002394B">
      <w:pPr>
        <w:jc w:val="both"/>
        <w:rPr>
          <w:rFonts w:cs="Arial"/>
        </w:rPr>
      </w:pPr>
    </w:p>
    <w:p w14:paraId="223023FB" w14:textId="76C7774E" w:rsidR="00F5769C" w:rsidRDefault="00882E1D" w:rsidP="0002394B">
      <w:pPr>
        <w:jc w:val="both"/>
        <w:rPr>
          <w:rFonts w:cs="Arial"/>
        </w:rPr>
      </w:pPr>
      <w:r>
        <w:rPr>
          <w:rFonts w:cs="Arial"/>
        </w:rPr>
        <w:t>One the one hand the above thoughts raise doubts on the appropriate implementation of the proportional</w:t>
      </w:r>
      <w:r>
        <w:rPr>
          <w:rFonts w:cs="Arial"/>
        </w:rPr>
        <w:t>i</w:t>
      </w:r>
      <w:r>
        <w:rPr>
          <w:rFonts w:cs="Arial"/>
        </w:rPr>
        <w:t xml:space="preserve">ty principle, on the other hand Solactive is aware of </w:t>
      </w:r>
      <w:proofErr w:type="spellStart"/>
      <w:r>
        <w:rPr>
          <w:rFonts w:cs="Arial"/>
        </w:rPr>
        <w:t>ESMA’s</w:t>
      </w:r>
      <w:proofErr w:type="spellEnd"/>
      <w:r>
        <w:rPr>
          <w:rFonts w:cs="Arial"/>
        </w:rPr>
        <w:t xml:space="preserve"> intention to avoid excessive burdens for administrators of non-significant benchmarks and to retain their flexibility in establishing their oversight function. </w:t>
      </w:r>
      <w:r w:rsidR="0002394B">
        <w:rPr>
          <w:rFonts w:cs="Arial"/>
        </w:rPr>
        <w:t xml:space="preserve">We hope and expect that this will also be reflected by the supervisory practices of the </w:t>
      </w:r>
      <w:proofErr w:type="spellStart"/>
      <w:r w:rsidR="0002394B">
        <w:rPr>
          <w:rFonts w:cs="Arial"/>
        </w:rPr>
        <w:t>NCAs</w:t>
      </w:r>
      <w:proofErr w:type="spellEnd"/>
      <w:r w:rsidR="0002394B">
        <w:rPr>
          <w:rFonts w:cs="Arial"/>
        </w:rPr>
        <w:t>.</w:t>
      </w:r>
    </w:p>
    <w:p w14:paraId="5D38D5CF" w14:textId="77777777" w:rsidR="0002394B" w:rsidRDefault="0002394B" w:rsidP="0002394B">
      <w:pPr>
        <w:jc w:val="both"/>
        <w:rPr>
          <w:rFonts w:cs="Arial"/>
        </w:rPr>
      </w:pPr>
    </w:p>
    <w:p w14:paraId="65524E0D" w14:textId="0166C183" w:rsidR="00F5769C" w:rsidRPr="00DE24DF" w:rsidRDefault="008F39ED" w:rsidP="005A61F1">
      <w:pPr>
        <w:jc w:val="both"/>
        <w:rPr>
          <w:rFonts w:cs="Arial"/>
        </w:rPr>
      </w:pPr>
      <w:r>
        <w:rPr>
          <w:rFonts w:cs="Arial"/>
        </w:rPr>
        <w:t xml:space="preserve">In this regard, Solactive is </w:t>
      </w:r>
      <w:r w:rsidR="00D66C3D">
        <w:rPr>
          <w:rFonts w:cs="Arial"/>
        </w:rPr>
        <w:t>would like to address a more practical question</w:t>
      </w:r>
      <w:r>
        <w:rPr>
          <w:rFonts w:cs="Arial"/>
        </w:rPr>
        <w:t xml:space="preserve"> on the oversight function.</w:t>
      </w:r>
      <w:r w:rsidR="00A12A27">
        <w:rPr>
          <w:rFonts w:cs="Arial"/>
        </w:rPr>
        <w:t xml:space="preserve"> </w:t>
      </w:r>
      <w:proofErr w:type="gramStart"/>
      <w:r w:rsidR="00A12A27" w:rsidRPr="00264247">
        <w:rPr>
          <w:rFonts w:cs="Arial"/>
        </w:rPr>
        <w:t>Based on para.</w:t>
      </w:r>
      <w:proofErr w:type="gramEnd"/>
      <w:r w:rsidR="00A12A27" w:rsidRPr="00264247">
        <w:rPr>
          <w:rFonts w:cs="Arial"/>
        </w:rPr>
        <w:t xml:space="preserve"> 1 of the guidelines („The </w:t>
      </w:r>
      <w:proofErr w:type="spellStart"/>
      <w:r w:rsidR="00A12A27" w:rsidRPr="00264247">
        <w:rPr>
          <w:rFonts w:cs="Arial"/>
        </w:rPr>
        <w:t>BMR</w:t>
      </w:r>
      <w:proofErr w:type="spellEnd"/>
      <w:r w:rsidR="00A12A27" w:rsidRPr="00264247">
        <w:rPr>
          <w:rFonts w:cs="Arial"/>
        </w:rPr>
        <w:t xml:space="preserve"> sets out the minimum responsibilities and characteristics</w:t>
      </w:r>
      <w:r w:rsidR="00A12A27">
        <w:rPr>
          <w:rFonts w:cs="Arial"/>
        </w:rPr>
        <w:t xml:space="preserve"> of the oversight function to ensure oversight of all aspects of the provision of the administrator’s benc</w:t>
      </w:r>
      <w:r w:rsidR="00A12A27">
        <w:rPr>
          <w:rFonts w:cs="Arial"/>
        </w:rPr>
        <w:t>h</w:t>
      </w:r>
      <w:r w:rsidR="00A12A27">
        <w:rPr>
          <w:rFonts w:cs="Arial"/>
        </w:rPr>
        <w:t>marks</w:t>
      </w:r>
      <w:proofErr w:type="gramStart"/>
      <w:r w:rsidR="00A12A27">
        <w:rPr>
          <w:rFonts w:cs="Arial"/>
        </w:rPr>
        <w:t>.</w:t>
      </w:r>
      <w:r w:rsidR="00A12A27" w:rsidRPr="00264247">
        <w:rPr>
          <w:rFonts w:cs="Arial"/>
        </w:rPr>
        <w:t>“</w:t>
      </w:r>
      <w:proofErr w:type="gramEnd"/>
      <w:r w:rsidR="00A12A27">
        <w:rPr>
          <w:rFonts w:cs="Arial"/>
        </w:rPr>
        <w:t>), we assume that – if applying</w:t>
      </w:r>
      <w:r w:rsidR="00092851">
        <w:rPr>
          <w:rFonts w:cs="Arial"/>
        </w:rPr>
        <w:t xml:space="preserve"> all provisions of Art. 5 – </w:t>
      </w:r>
      <w:proofErr w:type="gramStart"/>
      <w:r w:rsidR="00092851">
        <w:rPr>
          <w:rFonts w:cs="Arial"/>
        </w:rPr>
        <w:t>an</w:t>
      </w:r>
      <w:proofErr w:type="gramEnd"/>
      <w:r w:rsidR="00092851">
        <w:rPr>
          <w:rFonts w:cs="Arial"/>
        </w:rPr>
        <w:t xml:space="preserve"> </w:t>
      </w:r>
      <w:r w:rsidR="00966D86">
        <w:rPr>
          <w:rFonts w:cs="Arial"/>
        </w:rPr>
        <w:t>administrator has established a</w:t>
      </w:r>
      <w:r w:rsidR="00092851">
        <w:rPr>
          <w:rFonts w:cs="Arial"/>
        </w:rPr>
        <w:t xml:space="preserve"> suff</w:t>
      </w:r>
      <w:r w:rsidR="00092851">
        <w:rPr>
          <w:rFonts w:cs="Arial"/>
        </w:rPr>
        <w:t>i</w:t>
      </w:r>
      <w:r w:rsidR="00092851">
        <w:rPr>
          <w:rFonts w:cs="Arial"/>
        </w:rPr>
        <w:t>ciently effective and permanent over</w:t>
      </w:r>
      <w:r w:rsidR="00C218DB">
        <w:rPr>
          <w:rFonts w:cs="Arial"/>
        </w:rPr>
        <w:t xml:space="preserve">sight function. </w:t>
      </w:r>
      <w:r w:rsidR="007E24DF">
        <w:rPr>
          <w:rFonts w:cs="Arial"/>
        </w:rPr>
        <w:t>A clarification in this regard would nevertheless be welcome.</w:t>
      </w:r>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40"/>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0D9CF2AA" w14:textId="3505853B" w:rsidR="00CC1FB8" w:rsidRDefault="005A61F1" w:rsidP="003E7974">
      <w:pPr>
        <w:jc w:val="both"/>
        <w:rPr>
          <w:rFonts w:cs="Arial"/>
        </w:rPr>
      </w:pPr>
      <w:permStart w:id="1699572635" w:edGrp="everyone"/>
      <w:r w:rsidRPr="005A61F1">
        <w:rPr>
          <w:rFonts w:cs="Arial"/>
        </w:rPr>
        <w:t xml:space="preserve">Solactive has some fundamental reservations regarding the concept of input data as contained in the </w:t>
      </w:r>
      <w:proofErr w:type="spellStart"/>
      <w:r w:rsidRPr="005A61F1">
        <w:rPr>
          <w:rFonts w:cs="Arial"/>
        </w:rPr>
        <w:t>BMR</w:t>
      </w:r>
      <w:proofErr w:type="spellEnd"/>
      <w:r w:rsidRPr="005A61F1">
        <w:rPr>
          <w:rFonts w:cs="Arial"/>
        </w:rPr>
        <w:t xml:space="preserve"> and developed by ESMA. </w:t>
      </w:r>
      <w:r>
        <w:rPr>
          <w:rFonts w:cs="Arial"/>
        </w:rPr>
        <w:t xml:space="preserve">In particular, there are still uncertainties in the indexing industry as to which data amount to input data. One view states that only those data utilised for the ongoing calculation of the index values should be covered, while the other view also includes specific data for the adjustment or rebalancing of the indices, i.e. the selection of its constituents. The definitions in the </w:t>
      </w:r>
      <w:proofErr w:type="spellStart"/>
      <w:r>
        <w:rPr>
          <w:rFonts w:cs="Arial"/>
        </w:rPr>
        <w:t>BMR</w:t>
      </w:r>
      <w:proofErr w:type="spellEnd"/>
      <w:r>
        <w:rPr>
          <w:rFonts w:cs="Arial"/>
        </w:rPr>
        <w:t xml:space="preserve"> seems to permit both opinions and a final decision by ESMA in thi</w:t>
      </w:r>
      <w:r w:rsidR="00CC1FB8">
        <w:rPr>
          <w:rFonts w:cs="Arial"/>
        </w:rPr>
        <w:t>s regard – perhaps in the Q&amp;</w:t>
      </w:r>
      <w:proofErr w:type="gramStart"/>
      <w:r w:rsidR="00CC1FB8">
        <w:rPr>
          <w:rFonts w:cs="Arial"/>
        </w:rPr>
        <w:t>As</w:t>
      </w:r>
      <w:proofErr w:type="gramEnd"/>
      <w:r w:rsidR="00CC1FB8">
        <w:rPr>
          <w:rFonts w:cs="Arial"/>
        </w:rPr>
        <w:t xml:space="preserve"> -</w:t>
      </w:r>
      <w:r>
        <w:rPr>
          <w:rFonts w:cs="Arial"/>
        </w:rPr>
        <w:t xml:space="preserve"> would be highly appreciated.</w:t>
      </w:r>
    </w:p>
    <w:p w14:paraId="3E5B37EB" w14:textId="77777777" w:rsidR="00CC1FB8" w:rsidRDefault="00CC1FB8" w:rsidP="003E7974">
      <w:pPr>
        <w:jc w:val="both"/>
        <w:rPr>
          <w:rFonts w:cs="Arial"/>
        </w:rPr>
      </w:pPr>
    </w:p>
    <w:p w14:paraId="0BE0D768" w14:textId="77777777" w:rsidR="00CC1FB8" w:rsidRDefault="00CC1FB8" w:rsidP="003E7974">
      <w:pPr>
        <w:jc w:val="both"/>
        <w:rPr>
          <w:rFonts w:cs="Arial"/>
        </w:rPr>
      </w:pPr>
      <w:r>
        <w:rPr>
          <w:rFonts w:cs="Arial"/>
        </w:rPr>
        <w:t xml:space="preserve">The concept of input data is one of the foundations of the framework of the </w:t>
      </w:r>
      <w:proofErr w:type="spellStart"/>
      <w:r>
        <w:rPr>
          <w:rFonts w:cs="Arial"/>
        </w:rPr>
        <w:t>BMR</w:t>
      </w:r>
      <w:proofErr w:type="spellEnd"/>
      <w:r>
        <w:rPr>
          <w:rFonts w:cs="Arial"/>
        </w:rPr>
        <w:t xml:space="preserve"> and</w:t>
      </w:r>
      <w:r w:rsidR="007132C2">
        <w:rPr>
          <w:rFonts w:cs="Arial"/>
        </w:rPr>
        <w:t xml:space="preserve"> also has obvious implication on what has to be regarded as contribu</w:t>
      </w:r>
      <w:r>
        <w:rPr>
          <w:rFonts w:cs="Arial"/>
        </w:rPr>
        <w:t xml:space="preserve">tions. It </w:t>
      </w:r>
      <w:r w:rsidR="007132C2">
        <w:rPr>
          <w:rFonts w:cs="Arial"/>
        </w:rPr>
        <w:t>thus plays an important role in the implement</w:t>
      </w:r>
      <w:r w:rsidR="007132C2">
        <w:rPr>
          <w:rFonts w:cs="Arial"/>
        </w:rPr>
        <w:t>a</w:t>
      </w:r>
      <w:r w:rsidR="007132C2">
        <w:rPr>
          <w:rFonts w:cs="Arial"/>
        </w:rPr>
        <w:t xml:space="preserve">tion of the </w:t>
      </w:r>
      <w:proofErr w:type="spellStart"/>
      <w:r w:rsidR="007132C2">
        <w:rPr>
          <w:rFonts w:cs="Arial"/>
        </w:rPr>
        <w:t>BMR</w:t>
      </w:r>
      <w:proofErr w:type="spellEnd"/>
      <w:r w:rsidR="007132C2">
        <w:rPr>
          <w:rFonts w:cs="Arial"/>
        </w:rPr>
        <w:t xml:space="preserve"> on the administrator’s level, i.e. for which parties Solactive will have to implement codes of conduct.</w:t>
      </w:r>
    </w:p>
    <w:p w14:paraId="6BA66F2E" w14:textId="60941F60" w:rsidR="00AF7994" w:rsidRDefault="00CC1FB8" w:rsidP="003E7974">
      <w:pPr>
        <w:jc w:val="both"/>
        <w:rPr>
          <w:rFonts w:cs="Arial"/>
        </w:rPr>
      </w:pPr>
      <w:r>
        <w:rPr>
          <w:rFonts w:cs="Arial"/>
        </w:rPr>
        <w:lastRenderedPageBreak/>
        <w:t xml:space="preserve">On a more granular level, </w:t>
      </w:r>
      <w:proofErr w:type="gramStart"/>
      <w:r w:rsidR="0047255E">
        <w:rPr>
          <w:rFonts w:cs="Arial"/>
        </w:rPr>
        <w:t>Regarding</w:t>
      </w:r>
      <w:proofErr w:type="gramEnd"/>
      <w:r w:rsidR="0047255E">
        <w:rPr>
          <w:rFonts w:cs="Arial"/>
        </w:rPr>
        <w:t xml:space="preserve"> 1. b) </w:t>
      </w:r>
      <w:proofErr w:type="gramStart"/>
      <w:r w:rsidR="0047255E">
        <w:rPr>
          <w:rFonts w:cs="Arial"/>
        </w:rPr>
        <w:t>of</w:t>
      </w:r>
      <w:proofErr w:type="gramEnd"/>
      <w:r w:rsidR="0047255E">
        <w:rPr>
          <w:rFonts w:cs="Arial"/>
        </w:rPr>
        <w:t xml:space="preserve"> the draft guidelines, Solactive suggest deleting the second part of the sentence, “(…) or is selected from a source specified by the administrator within a time-period prescribed by the administrator”. </w:t>
      </w:r>
      <w:r w:rsidR="006050AE">
        <w:rPr>
          <w:rFonts w:cs="Arial"/>
        </w:rPr>
        <w:t xml:space="preserve">In many instances, transaction data or related data can be obtained from a variety of sources – it should not be necessary to designate an individual source in these cases. </w:t>
      </w:r>
    </w:p>
    <w:p w14:paraId="78505C9E" w14:textId="77777777" w:rsidR="00990F95" w:rsidRDefault="00990F95" w:rsidP="003E7974">
      <w:pPr>
        <w:jc w:val="both"/>
        <w:rPr>
          <w:rFonts w:cs="Arial"/>
        </w:rPr>
      </w:pPr>
    </w:p>
    <w:p w14:paraId="3DFE1FBF" w14:textId="45DE97A3" w:rsidR="00990F95" w:rsidRDefault="00990F95" w:rsidP="003E7974">
      <w:pPr>
        <w:jc w:val="both"/>
        <w:rPr>
          <w:rFonts w:cs="Arial"/>
        </w:rPr>
      </w:pPr>
      <w:proofErr w:type="gramStart"/>
      <w:r>
        <w:rPr>
          <w:rFonts w:cs="Arial"/>
        </w:rPr>
        <w:t>Also 1.</w:t>
      </w:r>
      <w:proofErr w:type="gramEnd"/>
      <w:r>
        <w:rPr>
          <w:rFonts w:cs="Arial"/>
        </w:rPr>
        <w:t xml:space="preserve"> c) </w:t>
      </w:r>
      <w:proofErr w:type="gramStart"/>
      <w:r>
        <w:rPr>
          <w:rFonts w:cs="Arial"/>
        </w:rPr>
        <w:t>seems</w:t>
      </w:r>
      <w:proofErr w:type="gramEnd"/>
      <w:r>
        <w:rPr>
          <w:rFonts w:cs="Arial"/>
        </w:rPr>
        <w:t xml:space="preserve"> to imply that all input data need to </w:t>
      </w:r>
      <w:r w:rsidR="00871AB8">
        <w:rPr>
          <w:rFonts w:cs="Arial"/>
        </w:rPr>
        <w:t xml:space="preserve">be </w:t>
      </w:r>
      <w:r>
        <w:rPr>
          <w:rFonts w:cs="Arial"/>
        </w:rPr>
        <w:t xml:space="preserve">selected from a source  as defined in point 24 of </w:t>
      </w:r>
      <w:proofErr w:type="spellStart"/>
      <w:r>
        <w:rPr>
          <w:rFonts w:cs="Arial"/>
        </w:rPr>
        <w:t>Art.3</w:t>
      </w:r>
      <w:proofErr w:type="spellEnd"/>
      <w:r>
        <w:rPr>
          <w:rFonts w:cs="Arial"/>
        </w:rPr>
        <w:t xml:space="preserve"> (1), i.e. that all input data need to be regulated data. We would suggest changing the wording from “input data is contributed from the input data sources (…)” to “input data should be sourced from the input data sources (…) where applicable”. This would clarify that this requirement is only relevant if the input data are regulated data and would avoid the word “contribute” which seems to be misplaced here, as not all input data are necessarily contributions.</w:t>
      </w:r>
    </w:p>
    <w:p w14:paraId="48BB7B1B" w14:textId="77777777" w:rsidR="00990F95" w:rsidRDefault="00990F95" w:rsidP="003E7974">
      <w:pPr>
        <w:jc w:val="both"/>
        <w:rPr>
          <w:rFonts w:cs="Arial"/>
        </w:rPr>
      </w:pPr>
    </w:p>
    <w:p w14:paraId="22358337" w14:textId="215400E5" w:rsidR="0047255E" w:rsidRDefault="002E07CC" w:rsidP="003E7974">
      <w:pPr>
        <w:jc w:val="both"/>
        <w:rPr>
          <w:rFonts w:cs="Arial"/>
        </w:rPr>
      </w:pPr>
      <w:r>
        <w:rPr>
          <w:rFonts w:cs="Arial"/>
        </w:rPr>
        <w:t>Furthermore, number iii of 1. d)</w:t>
      </w:r>
      <w:r w:rsidRPr="002E07CC">
        <w:rPr>
          <w:rFonts w:cs="Arial"/>
        </w:rPr>
        <w:t xml:space="preserve"> </w:t>
      </w:r>
      <w:proofErr w:type="gramStart"/>
      <w:r w:rsidRPr="002E07CC">
        <w:rPr>
          <w:rFonts w:cs="Arial"/>
        </w:rPr>
        <w:t>should</w:t>
      </w:r>
      <w:proofErr w:type="gramEnd"/>
      <w:r w:rsidRPr="002E07CC">
        <w:rPr>
          <w:rFonts w:cs="Arial"/>
        </w:rPr>
        <w:t xml:space="preserve"> read: “the priority </w:t>
      </w:r>
      <w:r>
        <w:rPr>
          <w:rFonts w:cs="Arial"/>
        </w:rPr>
        <w:t>of use of different types of input data</w:t>
      </w:r>
      <w:r w:rsidRPr="002E07CC">
        <w:rPr>
          <w:rFonts w:cs="Arial"/>
          <w:u w:val="single"/>
        </w:rPr>
        <w:t>, where relevant</w:t>
      </w:r>
      <w:r w:rsidRPr="002E07CC">
        <w:rPr>
          <w:rFonts w:cs="Arial"/>
        </w:rPr>
        <w:t>”. Especially for regulated data, a hierarchy or priority of input data is not sensible, as each type of input data is necessary for the determination of such indices.</w:t>
      </w:r>
      <w:r>
        <w:rPr>
          <w:rFonts w:cs="Arial"/>
        </w:rPr>
        <w:t xml:space="preserve"> This is also reflected in our suggestion for the corresponding requirement under Art. 13.</w:t>
      </w: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40"/>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14A5A230" w:rsidR="00C56932" w:rsidRDefault="00E84F59" w:rsidP="00C56932">
      <w:pPr>
        <w:rPr>
          <w:rFonts w:cs="Arial"/>
        </w:rPr>
      </w:pPr>
      <w:permStart w:id="140182431" w:edGrp="everyone"/>
      <w:proofErr w:type="gramStart"/>
      <w:r>
        <w:rPr>
          <w:rFonts w:cs="Arial"/>
        </w:rPr>
        <w:t>As administrators of non-significant benchmarks may choose not to apply Art.</w:t>
      </w:r>
      <w:proofErr w:type="gramEnd"/>
      <w:r>
        <w:rPr>
          <w:rFonts w:cs="Arial"/>
        </w:rPr>
        <w:t xml:space="preserve"> 11 (3) in any case, Sola</w:t>
      </w:r>
      <w:r>
        <w:rPr>
          <w:rFonts w:cs="Arial"/>
        </w:rPr>
        <w:t>c</w:t>
      </w:r>
      <w:r>
        <w:rPr>
          <w:rFonts w:cs="Arial"/>
        </w:rPr>
        <w:t xml:space="preserve">tive has no objections to the three levels of control functions as such. </w:t>
      </w:r>
      <w:r w:rsidR="00AF7994">
        <w:rPr>
          <w:rFonts w:cs="Arial"/>
        </w:rPr>
        <w:t xml:space="preserve">The </w:t>
      </w:r>
      <w:proofErr w:type="gramStart"/>
      <w:r w:rsidR="00AF7994">
        <w:rPr>
          <w:rFonts w:cs="Arial"/>
        </w:rPr>
        <w:t>requirement for administrators to ensure that these measures have been implemented on a contributor level are</w:t>
      </w:r>
      <w:proofErr w:type="gramEnd"/>
      <w:r>
        <w:rPr>
          <w:rFonts w:cs="Arial"/>
        </w:rPr>
        <w:t xml:space="preserve"> grossly disproportionate. Effective assurance would necessitate ongoing supervision at the </w:t>
      </w:r>
      <w:r w:rsidR="002E07CC">
        <w:rPr>
          <w:rFonts w:cs="Arial"/>
        </w:rPr>
        <w:t>contributor’s premises.</w:t>
      </w: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40"/>
        </w:numPr>
      </w:pPr>
      <w:r>
        <w:t xml:space="preserve">: </w:t>
      </w:r>
      <w:r w:rsidRPr="00F67F71">
        <w:t>Do you agree with the content of the draft guidelines on the transparency of the m</w:t>
      </w:r>
      <w:r w:rsidR="00EB0BB9">
        <w:t>ethodol</w:t>
      </w:r>
      <w:r w:rsidR="00EB0BB9">
        <w:t>o</w:t>
      </w:r>
      <w:r w:rsidR="00EB0BB9">
        <w:t xml:space="preserve">gy for administrators </w:t>
      </w:r>
      <w:r w:rsidR="00EB0BB9" w:rsidRPr="00EB0BB9">
        <w:t>of</w:t>
      </w:r>
      <w:r w:rsidRPr="00F67F71">
        <w:t xml:space="preserve"> non-significant benchmarks? Would you suggest to include any add</w:t>
      </w:r>
      <w:r w:rsidRPr="00F67F71">
        <w:t>i</w:t>
      </w:r>
      <w:r w:rsidRPr="00F67F71">
        <w:t>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0CCB2FB1" w14:textId="484C9085" w:rsidR="00D10782" w:rsidRDefault="00D10782" w:rsidP="00C56932">
      <w:pPr>
        <w:rPr>
          <w:rFonts w:cs="Arial"/>
        </w:rPr>
      </w:pPr>
      <w:permStart w:id="455625406" w:edGrp="everyone"/>
      <w:r>
        <w:rPr>
          <w:rFonts w:cs="Arial"/>
        </w:rPr>
        <w:t xml:space="preserve">We acknowledge </w:t>
      </w:r>
      <w:proofErr w:type="spellStart"/>
      <w:r>
        <w:rPr>
          <w:rFonts w:cs="Arial"/>
        </w:rPr>
        <w:t>ESMA’s</w:t>
      </w:r>
      <w:proofErr w:type="spellEnd"/>
      <w:r>
        <w:rPr>
          <w:rFonts w:cs="Arial"/>
        </w:rPr>
        <w:t xml:space="preserve"> observation that “the general principles of transparency of the methodology (</w:t>
      </w:r>
      <w:proofErr w:type="gramStart"/>
      <w:r>
        <w:rPr>
          <w:rFonts w:cs="Arial"/>
        </w:rPr>
        <w:t>..)</w:t>
      </w:r>
      <w:proofErr w:type="gramEnd"/>
      <w:r>
        <w:rPr>
          <w:rFonts w:cs="Arial"/>
        </w:rPr>
        <w:t xml:space="preserve"> </w:t>
      </w:r>
      <w:proofErr w:type="gramStart"/>
      <w:r>
        <w:rPr>
          <w:rFonts w:cs="Arial"/>
        </w:rPr>
        <w:t>apply</w:t>
      </w:r>
      <w:proofErr w:type="gramEnd"/>
      <w:r>
        <w:rPr>
          <w:rFonts w:cs="Arial"/>
        </w:rPr>
        <w:t xml:space="preserve"> to all benchmarks” regardless of their classification as critical, significant or non-significant (para. 66). Solactive also understands that ESMA intends to </w:t>
      </w:r>
      <w:r w:rsidR="007079A0">
        <w:rPr>
          <w:rFonts w:cs="Arial"/>
        </w:rPr>
        <w:t xml:space="preserve">ease the compliance burden for administrators of non-significant benchmarks and welcomes the visible efforts in this regard. </w:t>
      </w:r>
      <w:r w:rsidR="00231E44">
        <w:rPr>
          <w:rFonts w:cs="Arial"/>
        </w:rPr>
        <w:t>The less granular draft guid</w:t>
      </w:r>
      <w:r w:rsidR="00231E44">
        <w:rPr>
          <w:rFonts w:cs="Arial"/>
        </w:rPr>
        <w:t>e</w:t>
      </w:r>
      <w:r w:rsidR="00231E44">
        <w:rPr>
          <w:rFonts w:cs="Arial"/>
        </w:rPr>
        <w:t>lines are better suit</w:t>
      </w:r>
      <w:r w:rsidR="00871AB8">
        <w:rPr>
          <w:rFonts w:cs="Arial"/>
        </w:rPr>
        <w:t xml:space="preserve">ed for non-significant indices and </w:t>
      </w:r>
      <w:r w:rsidR="00231E44">
        <w:rPr>
          <w:rFonts w:cs="Arial"/>
        </w:rPr>
        <w:t>will be considerably less burdensome while maintai</w:t>
      </w:r>
      <w:r w:rsidR="00231E44">
        <w:rPr>
          <w:rFonts w:cs="Arial"/>
        </w:rPr>
        <w:t>n</w:t>
      </w:r>
      <w:r w:rsidR="00231E44">
        <w:rPr>
          <w:rFonts w:cs="Arial"/>
        </w:rPr>
        <w:t>ing an appropriate level of transparency.</w:t>
      </w:r>
    </w:p>
    <w:p w14:paraId="63349AB2" w14:textId="6837617C" w:rsidR="00231E44" w:rsidRDefault="00231E44" w:rsidP="00C56932">
      <w:pPr>
        <w:rPr>
          <w:rFonts w:cs="Arial"/>
        </w:rPr>
      </w:pPr>
      <w:r>
        <w:rPr>
          <w:rFonts w:cs="Arial"/>
        </w:rPr>
        <w:t xml:space="preserve">While Solactive thus essentially agrees with </w:t>
      </w:r>
      <w:r w:rsidR="005F19E2">
        <w:rPr>
          <w:rFonts w:cs="Arial"/>
        </w:rPr>
        <w:t>the content of the draft guidelines, we suggest the following modifications:</w:t>
      </w:r>
    </w:p>
    <w:p w14:paraId="2FA3C271" w14:textId="77777777" w:rsidR="005F19E2" w:rsidRDefault="005F19E2" w:rsidP="00C56932">
      <w:pPr>
        <w:rPr>
          <w:rFonts w:cs="Arial"/>
        </w:rPr>
      </w:pPr>
    </w:p>
    <w:p w14:paraId="38672E36" w14:textId="63127256" w:rsidR="005F19E2" w:rsidRDefault="005F19E2" w:rsidP="0053508A">
      <w:pPr>
        <w:pStyle w:val="Listenabsatz"/>
        <w:numPr>
          <w:ilvl w:val="0"/>
          <w:numId w:val="41"/>
        </w:numPr>
        <w:rPr>
          <w:rFonts w:cs="Arial"/>
        </w:rPr>
      </w:pPr>
      <w:r w:rsidRPr="0053508A">
        <w:rPr>
          <w:rFonts w:cs="Arial"/>
        </w:rPr>
        <w:t>Letter c) of point 1 should read: “types of input data used and the priority to each type</w:t>
      </w:r>
      <w:r w:rsidRPr="0053508A">
        <w:rPr>
          <w:rFonts w:cs="Arial"/>
          <w:u w:val="single"/>
        </w:rPr>
        <w:t xml:space="preserve">, </w:t>
      </w:r>
      <w:r w:rsidRPr="00871AB8">
        <w:rPr>
          <w:rFonts w:cs="Arial"/>
          <w:b/>
          <w:u w:val="single"/>
        </w:rPr>
        <w:t>where re</w:t>
      </w:r>
      <w:r w:rsidRPr="00871AB8">
        <w:rPr>
          <w:rFonts w:cs="Arial"/>
          <w:b/>
          <w:u w:val="single"/>
        </w:rPr>
        <w:t>l</w:t>
      </w:r>
      <w:r w:rsidRPr="00871AB8">
        <w:rPr>
          <w:rFonts w:cs="Arial"/>
          <w:b/>
          <w:u w:val="single"/>
        </w:rPr>
        <w:t>evant</w:t>
      </w:r>
      <w:r w:rsidRPr="0053508A">
        <w:rPr>
          <w:rFonts w:cs="Arial"/>
        </w:rPr>
        <w:t xml:space="preserve">”. Especially for </w:t>
      </w:r>
      <w:r w:rsidR="0053508A">
        <w:rPr>
          <w:rFonts w:cs="Arial"/>
        </w:rPr>
        <w:t>regulated</w:t>
      </w:r>
      <w:r w:rsidRPr="0053508A">
        <w:rPr>
          <w:rFonts w:cs="Arial"/>
        </w:rPr>
        <w:t xml:space="preserve"> data, a hierarchy or priority of input data is not sensible, as each type of input data is necessary for the determination of such indices.</w:t>
      </w:r>
    </w:p>
    <w:p w14:paraId="30A01F0D" w14:textId="151784F7" w:rsidR="00505AF5" w:rsidRDefault="0053508A" w:rsidP="00505AF5">
      <w:pPr>
        <w:pStyle w:val="Listenabsatz"/>
        <w:numPr>
          <w:ilvl w:val="0"/>
          <w:numId w:val="41"/>
        </w:numPr>
        <w:rPr>
          <w:rFonts w:cs="Arial"/>
        </w:rPr>
      </w:pPr>
      <w:r>
        <w:rPr>
          <w:rFonts w:cs="Arial"/>
        </w:rPr>
        <w:t xml:space="preserve">Letter e) of point 1 should be deleted. </w:t>
      </w:r>
      <w:r w:rsidR="00505AF5">
        <w:rPr>
          <w:rFonts w:cs="Arial"/>
        </w:rPr>
        <w:t>Regulated data and other transaction-based data are a</w:t>
      </w:r>
      <w:r w:rsidR="00505AF5">
        <w:rPr>
          <w:rFonts w:cs="Arial"/>
        </w:rPr>
        <w:t>l</w:t>
      </w:r>
      <w:r w:rsidR="00505AF5">
        <w:rPr>
          <w:rFonts w:cs="Arial"/>
        </w:rPr>
        <w:t>ready subject to specific rules ensuring a minimum quality. Specifying a “minimum quantity” for i</w:t>
      </w:r>
      <w:r w:rsidR="00505AF5">
        <w:rPr>
          <w:rFonts w:cs="Arial"/>
        </w:rPr>
        <w:t>n</w:t>
      </w:r>
      <w:r w:rsidR="00505AF5">
        <w:rPr>
          <w:rFonts w:cs="Arial"/>
        </w:rPr>
        <w:t>put data is often not necessary – what rather matters is the frequency of their publication (e.g. r</w:t>
      </w:r>
      <w:r w:rsidR="00505AF5">
        <w:rPr>
          <w:rFonts w:cs="Arial"/>
        </w:rPr>
        <w:t>e</w:t>
      </w:r>
      <w:r w:rsidR="00505AF5">
        <w:rPr>
          <w:rFonts w:cs="Arial"/>
        </w:rPr>
        <w:t>al-time or end-of-day)</w:t>
      </w:r>
    </w:p>
    <w:p w14:paraId="7F08F121" w14:textId="77777777" w:rsidR="00505AF5" w:rsidRDefault="00505AF5" w:rsidP="00505AF5">
      <w:pPr>
        <w:rPr>
          <w:rFonts w:cs="Arial"/>
        </w:rPr>
      </w:pPr>
    </w:p>
    <w:p w14:paraId="5539B099" w14:textId="6F7237C4" w:rsidR="008402ED" w:rsidRPr="00FF77F6" w:rsidRDefault="00505AF5" w:rsidP="00C56932">
      <w:pPr>
        <w:rPr>
          <w:rFonts w:cs="Arial"/>
        </w:rPr>
      </w:pPr>
      <w:r>
        <w:rPr>
          <w:rFonts w:cs="Arial"/>
        </w:rPr>
        <w:lastRenderedPageBreak/>
        <w:t xml:space="preserve">Furthermore we would like to </w:t>
      </w:r>
      <w:r w:rsidR="00871AB8">
        <w:rPr>
          <w:rFonts w:cs="Arial"/>
        </w:rPr>
        <w:t>ask for clarification</w:t>
      </w:r>
      <w:r>
        <w:rPr>
          <w:rFonts w:cs="Arial"/>
        </w:rPr>
        <w:t xml:space="preserve"> </w:t>
      </w:r>
      <w:r w:rsidR="008402ED">
        <w:rPr>
          <w:rFonts w:cs="Arial"/>
        </w:rPr>
        <w:t>what is</w:t>
      </w:r>
      <w:r w:rsidR="00871AB8">
        <w:rPr>
          <w:rFonts w:cs="Arial"/>
        </w:rPr>
        <w:t xml:space="preserve"> precisely</w:t>
      </w:r>
      <w:r w:rsidR="008402ED">
        <w:rPr>
          <w:rFonts w:cs="Arial"/>
        </w:rPr>
        <w:t xml:space="preserve"> meant by “</w:t>
      </w:r>
      <w:r>
        <w:rPr>
          <w:rFonts w:cs="Arial"/>
        </w:rPr>
        <w:t>descripti</w:t>
      </w:r>
      <w:r w:rsidR="008402ED">
        <w:rPr>
          <w:rFonts w:cs="Arial"/>
        </w:rPr>
        <w:t>on of the constitu</w:t>
      </w:r>
      <w:r w:rsidR="00871AB8">
        <w:rPr>
          <w:rFonts w:cs="Arial"/>
        </w:rPr>
        <w:t>ent</w:t>
      </w:r>
      <w:r w:rsidR="008402ED">
        <w:rPr>
          <w:rFonts w:cs="Arial"/>
        </w:rPr>
        <w:t xml:space="preserve"> elements” in 1. d). It is our understanding that this indeed refers to an abstract description of the potential components of the index as part of the general selection process. As this composition usually changes over time at set dates, administrators should not be required to include a </w:t>
      </w:r>
      <w:r w:rsidR="008402ED" w:rsidRPr="008402ED">
        <w:rPr>
          <w:rFonts w:cs="Arial"/>
          <w:i/>
        </w:rPr>
        <w:t>list</w:t>
      </w:r>
      <w:r w:rsidR="008402ED">
        <w:rPr>
          <w:rFonts w:cs="Arial"/>
        </w:rPr>
        <w:t xml:space="preserve"> of the index constituents as part of the methodology but rather make it available via other means.</w:t>
      </w: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40"/>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444812A2" w14:textId="6453BCE9" w:rsidR="004F776E" w:rsidRDefault="00C018AE" w:rsidP="00C56932">
      <w:pPr>
        <w:rPr>
          <w:rFonts w:cs="Arial"/>
        </w:rPr>
      </w:pPr>
      <w:permStart w:id="279475324" w:edGrp="everyone"/>
      <w:r w:rsidRPr="00C018AE">
        <w:rPr>
          <w:rFonts w:cs="Arial"/>
        </w:rPr>
        <w:t xml:space="preserve">While we have no material objections to this proposal, we consider the wording of 2. </w:t>
      </w:r>
      <w:r>
        <w:rPr>
          <w:rFonts w:cs="Arial"/>
        </w:rPr>
        <w:t xml:space="preserve">b) – which is already contained in the draft RTS – to be misleading. The obligation to review the methodology of a benchmark can be found in Art. </w:t>
      </w:r>
      <w:proofErr w:type="gramStart"/>
      <w:r w:rsidR="004F776E">
        <w:rPr>
          <w:rFonts w:cs="Arial"/>
        </w:rPr>
        <w:t>13 (1) b) and Art.</w:t>
      </w:r>
      <w:proofErr w:type="gramEnd"/>
      <w:r w:rsidR="004F776E">
        <w:rPr>
          <w:rFonts w:cs="Arial"/>
        </w:rPr>
        <w:t xml:space="preserve"> </w:t>
      </w:r>
      <w:proofErr w:type="gramStart"/>
      <w:r w:rsidR="004F776E">
        <w:rPr>
          <w:rFonts w:cs="Arial"/>
        </w:rPr>
        <w:t>5 (3) a) on the on</w:t>
      </w:r>
      <w:r w:rsidR="00871AB8">
        <w:rPr>
          <w:rFonts w:cs="Arial"/>
        </w:rPr>
        <w:t>e</w:t>
      </w:r>
      <w:r w:rsidR="004F776E">
        <w:rPr>
          <w:rFonts w:cs="Arial"/>
        </w:rPr>
        <w:t xml:space="preserve"> hand.</w:t>
      </w:r>
      <w:proofErr w:type="gramEnd"/>
      <w:r w:rsidR="004F776E">
        <w:rPr>
          <w:rFonts w:cs="Arial"/>
        </w:rPr>
        <w:t xml:space="preserve"> </w:t>
      </w:r>
      <w:proofErr w:type="gramStart"/>
      <w:r w:rsidR="004F776E">
        <w:rPr>
          <w:rFonts w:cs="Arial"/>
        </w:rPr>
        <w:t>The requirement for using a methodology which is “traceable and verifiable” – pursuant to Art.</w:t>
      </w:r>
      <w:proofErr w:type="gramEnd"/>
      <w:r w:rsidR="004F776E">
        <w:rPr>
          <w:rFonts w:cs="Arial"/>
        </w:rPr>
        <w:t xml:space="preserve"> 12 (1) e) – relates to something entirely different and should not be </w:t>
      </w:r>
      <w:r w:rsidR="00871AB8">
        <w:rPr>
          <w:rFonts w:cs="Arial"/>
        </w:rPr>
        <w:t>mixed up</w:t>
      </w:r>
      <w:r w:rsidR="004F776E">
        <w:rPr>
          <w:rFonts w:cs="Arial"/>
        </w:rPr>
        <w:t>.</w:t>
      </w:r>
    </w:p>
    <w:p w14:paraId="31FBF04F" w14:textId="77777777" w:rsidR="004F776E" w:rsidRDefault="004F776E" w:rsidP="00C56932">
      <w:pPr>
        <w:rPr>
          <w:rFonts w:cs="Arial"/>
        </w:rPr>
      </w:pPr>
    </w:p>
    <w:p w14:paraId="20BEF76B" w14:textId="2902F874" w:rsidR="00EC58EA" w:rsidRDefault="004F776E" w:rsidP="00C56932">
      <w:pPr>
        <w:rPr>
          <w:rFonts w:cs="Arial"/>
        </w:rPr>
      </w:pPr>
      <w:r>
        <w:rPr>
          <w:rFonts w:cs="Arial"/>
        </w:rPr>
        <w:t xml:space="preserve">In </w:t>
      </w:r>
      <w:proofErr w:type="spellStart"/>
      <w:r>
        <w:rPr>
          <w:rFonts w:cs="Arial"/>
        </w:rPr>
        <w:t>Solactive’s</w:t>
      </w:r>
      <w:proofErr w:type="spellEnd"/>
      <w:r>
        <w:rPr>
          <w:rFonts w:cs="Arial"/>
        </w:rPr>
        <w:t xml:space="preserve"> view the “traceability and </w:t>
      </w:r>
      <w:proofErr w:type="spellStart"/>
      <w:r>
        <w:rPr>
          <w:rFonts w:cs="Arial"/>
        </w:rPr>
        <w:t>verifiabilty</w:t>
      </w:r>
      <w:proofErr w:type="spellEnd"/>
      <w:r>
        <w:rPr>
          <w:rFonts w:cs="Arial"/>
        </w:rPr>
        <w:t xml:space="preserve">” relates to the ability of the user of a benchmark or any other interested third party to understand the benchmark’s methodology and </w:t>
      </w:r>
      <w:r w:rsidR="00EC58EA">
        <w:rPr>
          <w:rFonts w:cs="Arial"/>
        </w:rPr>
        <w:t xml:space="preserve">to </w:t>
      </w:r>
      <w:r>
        <w:rPr>
          <w:rFonts w:cs="Arial"/>
        </w:rPr>
        <w:t xml:space="preserve">independently </w:t>
      </w:r>
      <w:r w:rsidR="00EC58EA">
        <w:rPr>
          <w:rFonts w:cs="Arial"/>
        </w:rPr>
        <w:t>verify</w:t>
      </w:r>
      <w:r>
        <w:rPr>
          <w:rFonts w:cs="Arial"/>
        </w:rPr>
        <w:t xml:space="preserve"> the correctness of the benchmark determination </w:t>
      </w:r>
      <w:r w:rsidR="00EC58EA">
        <w:rPr>
          <w:rFonts w:cs="Arial"/>
        </w:rPr>
        <w:t xml:space="preserve">and to assess a benchmark’s suitability for their personal </w:t>
      </w:r>
      <w:proofErr w:type="spellStart"/>
      <w:r w:rsidR="00EC58EA">
        <w:rPr>
          <w:rFonts w:cs="Arial"/>
        </w:rPr>
        <w:t>use.Therefore</w:t>
      </w:r>
      <w:proofErr w:type="spellEnd"/>
      <w:r w:rsidR="00EC58EA">
        <w:rPr>
          <w:rFonts w:cs="Arial"/>
        </w:rPr>
        <w:t>, this obl</w:t>
      </w:r>
      <w:r w:rsidR="00730A93">
        <w:rPr>
          <w:rFonts w:cs="Arial"/>
        </w:rPr>
        <w:t>igation should be equated with principle 9 (Transparency of Benchmark Determin</w:t>
      </w:r>
      <w:r w:rsidR="00730A93">
        <w:rPr>
          <w:rFonts w:cs="Arial"/>
        </w:rPr>
        <w:t>a</w:t>
      </w:r>
      <w:r w:rsidR="00730A93">
        <w:rPr>
          <w:rFonts w:cs="Arial"/>
        </w:rPr>
        <w:t xml:space="preserve">tions) of the </w:t>
      </w:r>
      <w:proofErr w:type="spellStart"/>
      <w:r w:rsidR="00730A93">
        <w:rPr>
          <w:rFonts w:cs="Arial"/>
        </w:rPr>
        <w:t>IOSCO</w:t>
      </w:r>
      <w:proofErr w:type="spellEnd"/>
      <w:r w:rsidR="00730A93">
        <w:rPr>
          <w:rFonts w:cs="Arial"/>
        </w:rPr>
        <w:t xml:space="preserve"> Principles for Financial Benchmarks.</w:t>
      </w:r>
    </w:p>
    <w:p w14:paraId="72023DE0" w14:textId="77777777" w:rsidR="00730A93" w:rsidRDefault="00730A93" w:rsidP="00C56932">
      <w:pPr>
        <w:rPr>
          <w:rFonts w:cs="Arial"/>
        </w:rPr>
      </w:pPr>
    </w:p>
    <w:p w14:paraId="0DC9C648" w14:textId="0BFEDD47" w:rsidR="00730A93" w:rsidRDefault="00730A93" w:rsidP="00C56932">
      <w:pPr>
        <w:rPr>
          <w:rFonts w:cs="Arial"/>
        </w:rPr>
      </w:pPr>
      <w:r>
        <w:rPr>
          <w:rFonts w:cs="Arial"/>
        </w:rPr>
        <w:t>Solactive follows a standard approach to ensure the traceability and verifiability of its indices by transpa</w:t>
      </w:r>
      <w:r>
        <w:rPr>
          <w:rFonts w:cs="Arial"/>
        </w:rPr>
        <w:t>r</w:t>
      </w:r>
      <w:r>
        <w:rPr>
          <w:rFonts w:cs="Arial"/>
        </w:rPr>
        <w:t>ently publishing the index methodology as well as continuously updating and publishing the relevant index metrics, especially the constituents and their respective weights of each index. This is particularly i</w:t>
      </w:r>
      <w:r>
        <w:rPr>
          <w:rFonts w:cs="Arial"/>
        </w:rPr>
        <w:t>m</w:t>
      </w:r>
      <w:r>
        <w:rPr>
          <w:rFonts w:cs="Arial"/>
        </w:rPr>
        <w:t xml:space="preserve">portant when indices are adjusted, i.e. the constituents of an index are selected according to the criteria contained in the methodology. </w:t>
      </w:r>
    </w:p>
    <w:p w14:paraId="4B7BB672" w14:textId="77777777" w:rsidR="00730A93" w:rsidRDefault="00730A93" w:rsidP="00C56932">
      <w:pPr>
        <w:rPr>
          <w:rFonts w:cs="Arial"/>
        </w:rPr>
      </w:pPr>
    </w:p>
    <w:p w14:paraId="5A49B518" w14:textId="13EFFD4B" w:rsidR="004F776E" w:rsidRPr="00C018AE" w:rsidRDefault="00730A93" w:rsidP="00C56932">
      <w:pPr>
        <w:rPr>
          <w:rFonts w:cs="Arial"/>
        </w:rPr>
      </w:pPr>
      <w:r>
        <w:rPr>
          <w:rFonts w:cs="Arial"/>
        </w:rPr>
        <w:t xml:space="preserve">As this is a generic approach which is deemed suitable for any type of index, Solactive does not see the need to cover this mechanism in the regular reviews of the index methodology. </w:t>
      </w:r>
      <w:proofErr w:type="gramStart"/>
      <w:r w:rsidR="005A61F1">
        <w:rPr>
          <w:rFonts w:cs="Arial"/>
        </w:rPr>
        <w:t>Point 2.</w:t>
      </w:r>
      <w:proofErr w:type="gramEnd"/>
      <w:r w:rsidR="005A61F1">
        <w:rPr>
          <w:rFonts w:cs="Arial"/>
        </w:rPr>
        <w:t xml:space="preserve"> b) </w:t>
      </w:r>
      <w:proofErr w:type="gramStart"/>
      <w:r w:rsidR="005A61F1">
        <w:rPr>
          <w:rFonts w:cs="Arial"/>
        </w:rPr>
        <w:t>should</w:t>
      </w:r>
      <w:proofErr w:type="gramEnd"/>
      <w:r w:rsidR="005A61F1">
        <w:rPr>
          <w:rFonts w:cs="Arial"/>
        </w:rPr>
        <w:t xml:space="preserve"> ther</w:t>
      </w:r>
      <w:r w:rsidR="005A61F1">
        <w:rPr>
          <w:rFonts w:cs="Arial"/>
        </w:rPr>
        <w:t>e</w:t>
      </w:r>
      <w:r w:rsidR="005A61F1">
        <w:rPr>
          <w:rFonts w:cs="Arial"/>
        </w:rPr>
        <w:t xml:space="preserve">fore be deleted. Solactive would also welcome further clarification side on whether its understanding of a transparent and verifiable methodology is in line with </w:t>
      </w:r>
      <w:proofErr w:type="spellStart"/>
      <w:r w:rsidR="005A61F1">
        <w:rPr>
          <w:rFonts w:cs="Arial"/>
        </w:rPr>
        <w:t>ESMA’s</w:t>
      </w:r>
      <w:proofErr w:type="spellEnd"/>
      <w:r w:rsidR="005A61F1">
        <w:rPr>
          <w:rFonts w:cs="Arial"/>
        </w:rPr>
        <w:t xml:space="preserve"> expectations.</w:t>
      </w: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40"/>
        </w:numPr>
      </w:pPr>
      <w:r>
        <w:t xml:space="preserve">: </w:t>
      </w:r>
      <w:r w:rsidRPr="00F67F71">
        <w:t>Do you agree with the content of the draft guidelines on governance and control requir</w:t>
      </w:r>
      <w:r w:rsidRPr="00F67F71">
        <w:t>e</w:t>
      </w:r>
      <w:r w:rsidRPr="00F67F71">
        <w:t>ments for supervised contributors to non-significant benchmarks? Would you suggest to i</w:t>
      </w:r>
      <w:r w:rsidRPr="00F67F71">
        <w:t>n</w:t>
      </w:r>
      <w:r w:rsidRPr="00F67F71">
        <w:t>clude any additional elements or to delete one or more of the elements proposed? Please e</w:t>
      </w:r>
      <w:r w:rsidRPr="00F67F71">
        <w:t>x</w:t>
      </w:r>
      <w:r w:rsidRPr="00F67F71">
        <w:t>plain.</w:t>
      </w:r>
    </w:p>
    <w:p w14:paraId="447F2719" w14:textId="77777777" w:rsidR="00C56932" w:rsidRDefault="00C56932" w:rsidP="00C56932">
      <w:pPr>
        <w:rPr>
          <w:rFonts w:cs="Arial"/>
        </w:rPr>
      </w:pPr>
      <w:r>
        <w:rPr>
          <w:rFonts w:cs="Arial"/>
        </w:rPr>
        <w:t>&lt;ESMA_QUESTION_GBMR_6&gt;</w:t>
      </w:r>
    </w:p>
    <w:p w14:paraId="5D0BBCF4" w14:textId="77777777" w:rsidR="00C56932" w:rsidRDefault="00C56932" w:rsidP="00C56932">
      <w:pPr>
        <w:rPr>
          <w:rFonts w:cs="Arial"/>
        </w:rPr>
      </w:pPr>
      <w:permStart w:id="1496982231" w:edGrp="everyone"/>
      <w:r>
        <w:rPr>
          <w:rFonts w:cs="Arial"/>
        </w:rPr>
        <w:t>TYPE YOUR TEXT HERE</w:t>
      </w: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40"/>
        </w:numPr>
      </w:pPr>
      <w:r>
        <w:lastRenderedPageBreak/>
        <w:t xml:space="preserve">: </w:t>
      </w:r>
      <w:r w:rsidRPr="00F67F71">
        <w:t>Do you think that the proposal to include in the guidelines a requirement of establishing, where appropriate, a physical separation of submitters from other employees of the supe</w:t>
      </w:r>
      <w:r w:rsidRPr="00F67F71">
        <w:t>r</w:t>
      </w:r>
      <w:r w:rsidRPr="00F67F71">
        <w:t>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77777777" w:rsidR="00C56932" w:rsidRDefault="00C56932" w:rsidP="00C56932">
      <w:pPr>
        <w:rPr>
          <w:rFonts w:cs="Arial"/>
        </w:rPr>
      </w:pPr>
      <w:permStart w:id="1964986532" w:edGrp="everyone"/>
      <w:r>
        <w:rPr>
          <w:rFonts w:cs="Arial"/>
        </w:rPr>
        <w:t>TYPE YOUR TEXT HERE</w:t>
      </w: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AE974" w14:textId="77777777" w:rsidR="00047C27" w:rsidRDefault="00047C27">
      <w:r>
        <w:separator/>
      </w:r>
    </w:p>
    <w:p w14:paraId="41EAE4A7" w14:textId="77777777" w:rsidR="00047C27" w:rsidRDefault="00047C27"/>
  </w:endnote>
  <w:endnote w:type="continuationSeparator" w:id="0">
    <w:p w14:paraId="5D17C597" w14:textId="77777777" w:rsidR="00047C27" w:rsidRDefault="00047C27">
      <w:r>
        <w:continuationSeparator/>
      </w:r>
    </w:p>
    <w:p w14:paraId="74041296" w14:textId="77777777" w:rsidR="00047C27" w:rsidRDefault="00047C27"/>
  </w:endnote>
  <w:endnote w:type="continuationNotice" w:id="1">
    <w:p w14:paraId="3EC033B9" w14:textId="77777777" w:rsidR="00047C27" w:rsidRDefault="00047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01BAD" w:rsidRPr="00616B9B" w14:paraId="1A11FFC7" w14:textId="77777777" w:rsidTr="00315E96">
      <w:trPr>
        <w:trHeight w:val="284"/>
      </w:trPr>
      <w:tc>
        <w:tcPr>
          <w:tcW w:w="8460" w:type="dxa"/>
        </w:tcPr>
        <w:p w14:paraId="2CE11161" w14:textId="77777777" w:rsidR="00601BAD" w:rsidRPr="00315E96" w:rsidRDefault="00601BAD" w:rsidP="00315E96">
          <w:pPr>
            <w:pStyle w:val="00Footer"/>
            <w:rPr>
              <w:lang w:val="fr-FR"/>
            </w:rPr>
          </w:pPr>
        </w:p>
      </w:tc>
      <w:tc>
        <w:tcPr>
          <w:tcW w:w="952" w:type="dxa"/>
        </w:tcPr>
        <w:p w14:paraId="516490C0" w14:textId="398A6004" w:rsidR="00601BAD" w:rsidRPr="00616B9B" w:rsidRDefault="00601BA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567A6">
            <w:rPr>
              <w:rFonts w:cs="Arial"/>
              <w:noProof/>
              <w:sz w:val="22"/>
              <w:szCs w:val="22"/>
            </w:rPr>
            <w:t>3</w:t>
          </w:r>
          <w:r w:rsidRPr="00616B9B">
            <w:rPr>
              <w:rFonts w:cs="Arial"/>
              <w:noProof/>
              <w:sz w:val="22"/>
              <w:szCs w:val="22"/>
            </w:rPr>
            <w:fldChar w:fldCharType="end"/>
          </w:r>
        </w:p>
      </w:tc>
    </w:tr>
  </w:tbl>
  <w:p w14:paraId="3F8E2998" w14:textId="77777777" w:rsidR="00601BAD" w:rsidRDefault="00601B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601BAD" w:rsidRDefault="00601B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5BB3C" w14:textId="77777777" w:rsidR="00047C27" w:rsidRDefault="00047C27">
      <w:r>
        <w:separator/>
      </w:r>
    </w:p>
    <w:p w14:paraId="4DACC656" w14:textId="77777777" w:rsidR="00047C27" w:rsidRDefault="00047C27"/>
  </w:footnote>
  <w:footnote w:type="continuationSeparator" w:id="0">
    <w:p w14:paraId="0AA6324C" w14:textId="77777777" w:rsidR="00047C27" w:rsidRDefault="00047C27">
      <w:r>
        <w:continuationSeparator/>
      </w:r>
    </w:p>
    <w:p w14:paraId="24E4340D" w14:textId="77777777" w:rsidR="00047C27" w:rsidRDefault="00047C27"/>
  </w:footnote>
  <w:footnote w:type="continuationNotice" w:id="1">
    <w:p w14:paraId="5AA6EC2C" w14:textId="77777777" w:rsidR="00047C27" w:rsidRDefault="00047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601BAD" w:rsidRDefault="00601BAD">
    <w:pPr>
      <w:pStyle w:val="Kopfzeile"/>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601BAD" w:rsidRDefault="00601BAD" w:rsidP="00013CCE">
    <w:pPr>
      <w:pStyle w:val="Kopfzeile"/>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601BAD" w:rsidRDefault="00601B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01BAD" w:rsidRPr="002F4496" w14:paraId="5A9CC9DB" w14:textId="77777777" w:rsidTr="000C06C9">
      <w:trPr>
        <w:trHeight w:val="284"/>
      </w:trPr>
      <w:tc>
        <w:tcPr>
          <w:tcW w:w="8460" w:type="dxa"/>
        </w:tcPr>
        <w:p w14:paraId="56125542" w14:textId="77777777" w:rsidR="00601BAD" w:rsidRPr="000C3B6D" w:rsidRDefault="00601BAD" w:rsidP="000C06C9">
          <w:pPr>
            <w:pStyle w:val="00Footer"/>
            <w:rPr>
              <w:lang w:val="fr-FR"/>
            </w:rPr>
          </w:pPr>
        </w:p>
      </w:tc>
      <w:tc>
        <w:tcPr>
          <w:tcW w:w="952" w:type="dxa"/>
        </w:tcPr>
        <w:p w14:paraId="185D9EAB" w14:textId="77777777" w:rsidR="00601BAD" w:rsidRPr="00146B34" w:rsidRDefault="00601BAD" w:rsidP="000C06C9">
          <w:pPr>
            <w:pStyle w:val="00aPagenumber"/>
            <w:rPr>
              <w:lang w:val="fr-FR"/>
            </w:rPr>
          </w:pPr>
        </w:p>
      </w:tc>
    </w:tr>
  </w:tbl>
  <w:p w14:paraId="4BF8B831" w14:textId="77777777" w:rsidR="00601BAD" w:rsidRPr="00DB46C3" w:rsidRDefault="00601BAD">
    <w:pPr>
      <w:rPr>
        <w:lang w:val="fr-FR"/>
      </w:rPr>
    </w:pPr>
  </w:p>
  <w:p w14:paraId="1FBEFD47" w14:textId="77777777" w:rsidR="00601BAD" w:rsidRPr="002F4496" w:rsidRDefault="00601BAD">
    <w:pPr>
      <w:pStyle w:val="Kopfzeile"/>
      <w:rPr>
        <w:lang w:val="fr-FR"/>
      </w:rPr>
    </w:pPr>
  </w:p>
  <w:p w14:paraId="7D075F96" w14:textId="77777777" w:rsidR="00601BAD" w:rsidRPr="002F4496" w:rsidRDefault="00601BAD" w:rsidP="000C06C9">
    <w:pPr>
      <w:pStyle w:val="Kopfzeile"/>
      <w:tabs>
        <w:tab w:val="clear" w:pos="4536"/>
        <w:tab w:val="clear" w:pos="9072"/>
        <w:tab w:val="left" w:pos="8227"/>
      </w:tabs>
      <w:rPr>
        <w:lang w:val="fr-FR"/>
      </w:rPr>
    </w:pPr>
  </w:p>
  <w:p w14:paraId="1EEAF2AF" w14:textId="77777777" w:rsidR="00601BAD" w:rsidRPr="002F4496" w:rsidRDefault="00601BAD" w:rsidP="000C06C9">
    <w:pPr>
      <w:pStyle w:val="Kopfzeile"/>
      <w:tabs>
        <w:tab w:val="clear" w:pos="4536"/>
        <w:tab w:val="clear" w:pos="9072"/>
        <w:tab w:val="left" w:pos="8227"/>
      </w:tabs>
      <w:rPr>
        <w:lang w:val="fr-FR"/>
      </w:rPr>
    </w:pPr>
  </w:p>
  <w:p w14:paraId="366CDA59" w14:textId="77777777" w:rsidR="00601BAD" w:rsidRPr="002F4496" w:rsidRDefault="00601BAD">
    <w:pPr>
      <w:pStyle w:val="Kopfzeile"/>
      <w:rPr>
        <w:lang w:val="fr-FR"/>
      </w:rPr>
    </w:pPr>
  </w:p>
  <w:p w14:paraId="090159B5" w14:textId="77777777" w:rsidR="00601BAD" w:rsidRPr="002F4496" w:rsidRDefault="00601BAD">
    <w:pPr>
      <w:pStyle w:val="Kopfzeile"/>
      <w:rPr>
        <w:lang w:val="fr-FR"/>
      </w:rPr>
    </w:pPr>
  </w:p>
  <w:p w14:paraId="13DB3246" w14:textId="77777777" w:rsidR="00601BAD" w:rsidRPr="002F4496" w:rsidRDefault="00601BAD">
    <w:pPr>
      <w:pStyle w:val="Kopfzeile"/>
      <w:rPr>
        <w:lang w:val="fr-FR"/>
      </w:rPr>
    </w:pPr>
  </w:p>
  <w:p w14:paraId="5B245FC6" w14:textId="77777777" w:rsidR="00601BAD" w:rsidRPr="002F4496" w:rsidRDefault="00601BAD">
    <w:pPr>
      <w:pStyle w:val="Kopfzeile"/>
      <w:rPr>
        <w:lang w:val="fr-FR"/>
      </w:rPr>
    </w:pPr>
  </w:p>
  <w:p w14:paraId="1D7B1F8D" w14:textId="77777777" w:rsidR="00601BAD" w:rsidRPr="002F4496" w:rsidRDefault="00601BAD">
    <w:pPr>
      <w:pStyle w:val="Kopfzeile"/>
      <w:rPr>
        <w:highlight w:val="yellow"/>
        <w:lang w:val="fr-FR"/>
      </w:rPr>
    </w:pPr>
  </w:p>
  <w:p w14:paraId="177617ED" w14:textId="77777777" w:rsidR="00601BAD" w:rsidRDefault="00601BAD">
    <w:pPr>
      <w:pStyle w:val="Kopfzeile"/>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E532F9"/>
    <w:multiLevelType w:val="multilevel"/>
    <w:tmpl w:val="7CFAD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02987"/>
    <w:multiLevelType w:val="hybridMultilevel"/>
    <w:tmpl w:val="C888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AB6D11"/>
    <w:multiLevelType w:val="hybridMultilevel"/>
    <w:tmpl w:val="E40EA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6"/>
  </w:num>
  <w:num w:numId="18">
    <w:abstractNumId w:val="18"/>
  </w:num>
  <w:num w:numId="19">
    <w:abstractNumId w:val="20"/>
  </w:num>
  <w:num w:numId="20">
    <w:abstractNumId w:val="29"/>
  </w:num>
  <w:num w:numId="21">
    <w:abstractNumId w:val="38"/>
  </w:num>
  <w:num w:numId="22">
    <w:abstractNumId w:val="27"/>
  </w:num>
  <w:num w:numId="23">
    <w:abstractNumId w:val="9"/>
  </w:num>
  <w:num w:numId="24">
    <w:abstractNumId w:val="32"/>
  </w:num>
  <w:num w:numId="25">
    <w:abstractNumId w:val="31"/>
  </w:num>
  <w:num w:numId="26">
    <w:abstractNumId w:val="22"/>
  </w:num>
  <w:num w:numId="27">
    <w:abstractNumId w:val="35"/>
  </w:num>
  <w:num w:numId="28">
    <w:abstractNumId w:val="40"/>
  </w:num>
  <w:num w:numId="29">
    <w:abstractNumId w:val="7"/>
  </w:num>
  <w:num w:numId="30">
    <w:abstractNumId w:val="4"/>
  </w:num>
  <w:num w:numId="31">
    <w:abstractNumId w:val="24"/>
  </w:num>
  <w:num w:numId="32">
    <w:abstractNumId w:val="23"/>
  </w:num>
  <w:num w:numId="33">
    <w:abstractNumId w:val="37"/>
  </w:num>
  <w:num w:numId="34">
    <w:abstractNumId w:val="36"/>
  </w:num>
  <w:num w:numId="35">
    <w:abstractNumId w:val="11"/>
  </w:num>
  <w:num w:numId="36">
    <w:abstractNumId w:val="14"/>
  </w:num>
  <w:num w:numId="37">
    <w:abstractNumId w:val="12"/>
  </w:num>
  <w:num w:numId="38">
    <w:abstractNumId w:val="17"/>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94B"/>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47C27"/>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2851"/>
    <w:rsid w:val="000932E0"/>
    <w:rsid w:val="00094C4C"/>
    <w:rsid w:val="00096762"/>
    <w:rsid w:val="000969C8"/>
    <w:rsid w:val="0009752D"/>
    <w:rsid w:val="00097AEE"/>
    <w:rsid w:val="000A014A"/>
    <w:rsid w:val="000A04B6"/>
    <w:rsid w:val="000A0E36"/>
    <w:rsid w:val="000A1BD2"/>
    <w:rsid w:val="000A2103"/>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6D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8BD"/>
    <w:rsid w:val="00143B87"/>
    <w:rsid w:val="001459E3"/>
    <w:rsid w:val="00146A0B"/>
    <w:rsid w:val="0014761E"/>
    <w:rsid w:val="00147CA6"/>
    <w:rsid w:val="00151907"/>
    <w:rsid w:val="001544C8"/>
    <w:rsid w:val="00155FAB"/>
    <w:rsid w:val="001567A1"/>
    <w:rsid w:val="001567A6"/>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1E44"/>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24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07CC"/>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41F8"/>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74"/>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67F8D"/>
    <w:rsid w:val="00470773"/>
    <w:rsid w:val="00471FF9"/>
    <w:rsid w:val="0047255E"/>
    <w:rsid w:val="00473E74"/>
    <w:rsid w:val="00473FEF"/>
    <w:rsid w:val="0047509A"/>
    <w:rsid w:val="00475B8E"/>
    <w:rsid w:val="0048104E"/>
    <w:rsid w:val="004814BB"/>
    <w:rsid w:val="004815DA"/>
    <w:rsid w:val="00482458"/>
    <w:rsid w:val="004837ED"/>
    <w:rsid w:val="00483942"/>
    <w:rsid w:val="004843CE"/>
    <w:rsid w:val="00485142"/>
    <w:rsid w:val="004852A7"/>
    <w:rsid w:val="00486B05"/>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76E"/>
    <w:rsid w:val="004F79A6"/>
    <w:rsid w:val="00501BF5"/>
    <w:rsid w:val="00501D8B"/>
    <w:rsid w:val="00503A3E"/>
    <w:rsid w:val="00503F59"/>
    <w:rsid w:val="005049A7"/>
    <w:rsid w:val="005053B2"/>
    <w:rsid w:val="00505AF5"/>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08A"/>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3202"/>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1F1"/>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E2"/>
    <w:rsid w:val="005F19F8"/>
    <w:rsid w:val="005F3A40"/>
    <w:rsid w:val="005F3FB1"/>
    <w:rsid w:val="005F5ACF"/>
    <w:rsid w:val="005F60DC"/>
    <w:rsid w:val="006000DD"/>
    <w:rsid w:val="00600F63"/>
    <w:rsid w:val="006012E1"/>
    <w:rsid w:val="00601BAD"/>
    <w:rsid w:val="00602253"/>
    <w:rsid w:val="006023E1"/>
    <w:rsid w:val="006036BB"/>
    <w:rsid w:val="006050AE"/>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6F35"/>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1A7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3C51"/>
    <w:rsid w:val="0070421B"/>
    <w:rsid w:val="007043F0"/>
    <w:rsid w:val="0070482E"/>
    <w:rsid w:val="00704D25"/>
    <w:rsid w:val="007079A0"/>
    <w:rsid w:val="00710519"/>
    <w:rsid w:val="00710F6E"/>
    <w:rsid w:val="00711663"/>
    <w:rsid w:val="007116B4"/>
    <w:rsid w:val="00712580"/>
    <w:rsid w:val="007132C2"/>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0A93"/>
    <w:rsid w:val="0073248E"/>
    <w:rsid w:val="00733EE9"/>
    <w:rsid w:val="00735B8E"/>
    <w:rsid w:val="0073673C"/>
    <w:rsid w:val="00736935"/>
    <w:rsid w:val="0073755C"/>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4616"/>
    <w:rsid w:val="00775937"/>
    <w:rsid w:val="00777046"/>
    <w:rsid w:val="007770DA"/>
    <w:rsid w:val="0077727E"/>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4DF"/>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2ED"/>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AB8"/>
    <w:rsid w:val="00871F04"/>
    <w:rsid w:val="00872785"/>
    <w:rsid w:val="008746C1"/>
    <w:rsid w:val="00880224"/>
    <w:rsid w:val="00881DE5"/>
    <w:rsid w:val="0088244C"/>
    <w:rsid w:val="00882E1D"/>
    <w:rsid w:val="00883367"/>
    <w:rsid w:val="00884C47"/>
    <w:rsid w:val="00884E92"/>
    <w:rsid w:val="00885E6F"/>
    <w:rsid w:val="008861AC"/>
    <w:rsid w:val="008868E4"/>
    <w:rsid w:val="00886A60"/>
    <w:rsid w:val="0088759B"/>
    <w:rsid w:val="008879A7"/>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39E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6D86"/>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95"/>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810"/>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5DE"/>
    <w:rsid w:val="00A06340"/>
    <w:rsid w:val="00A0684F"/>
    <w:rsid w:val="00A06867"/>
    <w:rsid w:val="00A10148"/>
    <w:rsid w:val="00A104FE"/>
    <w:rsid w:val="00A10776"/>
    <w:rsid w:val="00A113FD"/>
    <w:rsid w:val="00A11DDE"/>
    <w:rsid w:val="00A127A7"/>
    <w:rsid w:val="00A129F4"/>
    <w:rsid w:val="00A12A27"/>
    <w:rsid w:val="00A136F4"/>
    <w:rsid w:val="00A150F7"/>
    <w:rsid w:val="00A160D3"/>
    <w:rsid w:val="00A16DC9"/>
    <w:rsid w:val="00A20225"/>
    <w:rsid w:val="00A24269"/>
    <w:rsid w:val="00A243E4"/>
    <w:rsid w:val="00A25816"/>
    <w:rsid w:val="00A25ED4"/>
    <w:rsid w:val="00A263DA"/>
    <w:rsid w:val="00A26C5C"/>
    <w:rsid w:val="00A307E2"/>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D95"/>
    <w:rsid w:val="00A46246"/>
    <w:rsid w:val="00A46349"/>
    <w:rsid w:val="00A46D5E"/>
    <w:rsid w:val="00A50847"/>
    <w:rsid w:val="00A512C7"/>
    <w:rsid w:val="00A51F21"/>
    <w:rsid w:val="00A536BA"/>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67E66"/>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AF7994"/>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358"/>
    <w:rsid w:val="00B91B86"/>
    <w:rsid w:val="00B927CA"/>
    <w:rsid w:val="00B928AE"/>
    <w:rsid w:val="00B93CDA"/>
    <w:rsid w:val="00B942E9"/>
    <w:rsid w:val="00B9433A"/>
    <w:rsid w:val="00B948EE"/>
    <w:rsid w:val="00B94BF3"/>
    <w:rsid w:val="00B94F90"/>
    <w:rsid w:val="00B95DC5"/>
    <w:rsid w:val="00B95E32"/>
    <w:rsid w:val="00B96E13"/>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18AE"/>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8DB"/>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40FB"/>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B8"/>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58CE"/>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0782"/>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0EA0"/>
    <w:rsid w:val="00D511C6"/>
    <w:rsid w:val="00D5121D"/>
    <w:rsid w:val="00D516AC"/>
    <w:rsid w:val="00D521BB"/>
    <w:rsid w:val="00D52875"/>
    <w:rsid w:val="00D54050"/>
    <w:rsid w:val="00D56AC0"/>
    <w:rsid w:val="00D6081B"/>
    <w:rsid w:val="00D61A37"/>
    <w:rsid w:val="00D6240A"/>
    <w:rsid w:val="00D63093"/>
    <w:rsid w:val="00D63599"/>
    <w:rsid w:val="00D63EBD"/>
    <w:rsid w:val="00D66C3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A7279"/>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4DF"/>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6D6"/>
    <w:rsid w:val="00E3179E"/>
    <w:rsid w:val="00E32AC9"/>
    <w:rsid w:val="00E354DA"/>
    <w:rsid w:val="00E354F5"/>
    <w:rsid w:val="00E3687E"/>
    <w:rsid w:val="00E372DD"/>
    <w:rsid w:val="00E40974"/>
    <w:rsid w:val="00E40AAB"/>
    <w:rsid w:val="00E41205"/>
    <w:rsid w:val="00E41F32"/>
    <w:rsid w:val="00E42608"/>
    <w:rsid w:val="00E43536"/>
    <w:rsid w:val="00E43DA3"/>
    <w:rsid w:val="00E43ED4"/>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F59"/>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B7888"/>
    <w:rsid w:val="00EC078B"/>
    <w:rsid w:val="00EC07A0"/>
    <w:rsid w:val="00EC08E4"/>
    <w:rsid w:val="00EC3CB4"/>
    <w:rsid w:val="00EC443E"/>
    <w:rsid w:val="00EC4D83"/>
    <w:rsid w:val="00EC4EEE"/>
    <w:rsid w:val="00EC58EA"/>
    <w:rsid w:val="00EC634F"/>
    <w:rsid w:val="00EC7B97"/>
    <w:rsid w:val="00ED049C"/>
    <w:rsid w:val="00ED07B7"/>
    <w:rsid w:val="00ED19D7"/>
    <w:rsid w:val="00ED2167"/>
    <w:rsid w:val="00ED351E"/>
    <w:rsid w:val="00ED4B27"/>
    <w:rsid w:val="00ED543C"/>
    <w:rsid w:val="00ED6BA4"/>
    <w:rsid w:val="00ED7DA7"/>
    <w:rsid w:val="00ED7DFB"/>
    <w:rsid w:val="00EE0598"/>
    <w:rsid w:val="00EE311C"/>
    <w:rsid w:val="00EE56FF"/>
    <w:rsid w:val="00EE5886"/>
    <w:rsid w:val="00EE5FBF"/>
    <w:rsid w:val="00EE6472"/>
    <w:rsid w:val="00EE76F2"/>
    <w:rsid w:val="00EF0769"/>
    <w:rsid w:val="00EF0D7C"/>
    <w:rsid w:val="00EF28E7"/>
    <w:rsid w:val="00EF40E2"/>
    <w:rsid w:val="00EF61C1"/>
    <w:rsid w:val="00EF6E68"/>
    <w:rsid w:val="00EF76DB"/>
    <w:rsid w:val="00F005FD"/>
    <w:rsid w:val="00F0232D"/>
    <w:rsid w:val="00F02C04"/>
    <w:rsid w:val="00F03AF1"/>
    <w:rsid w:val="00F04BCD"/>
    <w:rsid w:val="00F05A8C"/>
    <w:rsid w:val="00F06211"/>
    <w:rsid w:val="00F06981"/>
    <w:rsid w:val="00F10A54"/>
    <w:rsid w:val="00F123D0"/>
    <w:rsid w:val="00F13200"/>
    <w:rsid w:val="00F13411"/>
    <w:rsid w:val="00F143BA"/>
    <w:rsid w:val="00F14D98"/>
    <w:rsid w:val="00F2081B"/>
    <w:rsid w:val="00F20A43"/>
    <w:rsid w:val="00F20C51"/>
    <w:rsid w:val="00F21049"/>
    <w:rsid w:val="00F218AE"/>
    <w:rsid w:val="00F22232"/>
    <w:rsid w:val="00F2228E"/>
    <w:rsid w:val="00F223AB"/>
    <w:rsid w:val="00F22D3C"/>
    <w:rsid w:val="00F23D66"/>
    <w:rsid w:val="00F24E6F"/>
    <w:rsid w:val="00F26069"/>
    <w:rsid w:val="00F26B7E"/>
    <w:rsid w:val="00F27D7D"/>
    <w:rsid w:val="00F3002B"/>
    <w:rsid w:val="00F30BC9"/>
    <w:rsid w:val="00F31E57"/>
    <w:rsid w:val="00F32462"/>
    <w:rsid w:val="00F32FF7"/>
    <w:rsid w:val="00F33EDE"/>
    <w:rsid w:val="00F33FF9"/>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595B"/>
    <w:rsid w:val="00F571C9"/>
    <w:rsid w:val="00F574D0"/>
    <w:rsid w:val="00F5769C"/>
    <w:rsid w:val="00F6031F"/>
    <w:rsid w:val="00F61664"/>
    <w:rsid w:val="00F61B99"/>
    <w:rsid w:val="00F61BA8"/>
    <w:rsid w:val="00F64C45"/>
    <w:rsid w:val="00F6502B"/>
    <w:rsid w:val="00F65811"/>
    <w:rsid w:val="00F6612A"/>
    <w:rsid w:val="00F66724"/>
    <w:rsid w:val="00F67F04"/>
    <w:rsid w:val="00F70207"/>
    <w:rsid w:val="00F702CB"/>
    <w:rsid w:val="00F71AC2"/>
    <w:rsid w:val="00F724C7"/>
    <w:rsid w:val="00F739D4"/>
    <w:rsid w:val="00F77D43"/>
    <w:rsid w:val="00F80953"/>
    <w:rsid w:val="00F81312"/>
    <w:rsid w:val="00F81B90"/>
    <w:rsid w:val="00F81E6F"/>
    <w:rsid w:val="00F82FF3"/>
    <w:rsid w:val="00F8453C"/>
    <w:rsid w:val="00F84D4C"/>
    <w:rsid w:val="00F85BF4"/>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3CD"/>
    <w:rsid w:val="00FA5535"/>
    <w:rsid w:val="00FA5983"/>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 w:val="00FF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8082161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C7A31AA5-F9D2-4D6D-AFDE-2FEF8F3CEBDE}">
  <ds:schemaRefs>
    <ds:schemaRef ds:uri="http://schemas.openxmlformats.org/officeDocument/2006/bibliography"/>
  </ds:schemaRefs>
</ds:datastoreItem>
</file>

<file path=customXml/itemProps6.xml><?xml version="1.0" encoding="utf-8"?>
<ds:datastoreItem xmlns:ds="http://schemas.openxmlformats.org/officeDocument/2006/customXml" ds:itemID="{E45CFC8D-89E9-41E8-B828-26968304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14057</Characters>
  <Application>Microsoft Office Word</Application>
  <DocSecurity>8</DocSecurity>
  <Lines>117</Lines>
  <Paragraphs>32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16491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Felix Bahmann</cp:lastModifiedBy>
  <cp:revision>2</cp:revision>
  <cp:lastPrinted>2017-11-29T08:16:00Z</cp:lastPrinted>
  <dcterms:created xsi:type="dcterms:W3CDTF">2017-11-30T07:49:00Z</dcterms:created>
  <dcterms:modified xsi:type="dcterms:W3CDTF">2017-11-30T07:49:00Z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