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73B77797" w14:textId="77777777" w:rsidTr="00315E96">
        <w:trPr>
          <w:trHeight w:val="284"/>
        </w:trPr>
        <w:tc>
          <w:tcPr>
            <w:tcW w:w="9412" w:type="dxa"/>
          </w:tcPr>
          <w:p w14:paraId="270E8956" w14:textId="403F6875" w:rsidR="00C2094B" w:rsidRPr="004E49B0" w:rsidRDefault="005C248A" w:rsidP="005552FC">
            <w:pPr>
              <w:pStyle w:val="00bDBInfo"/>
              <w:rPr>
                <w:rFonts w:cs="Arial"/>
              </w:rPr>
            </w:pPr>
            <w:r>
              <w:rPr>
                <w:rFonts w:cs="Arial"/>
              </w:rPr>
              <w:t>2</w:t>
            </w:r>
            <w:r w:rsidR="005552FC">
              <w:rPr>
                <w:rFonts w:cs="Arial"/>
              </w:rPr>
              <w:t>9</w:t>
            </w:r>
            <w:r>
              <w:rPr>
                <w:rFonts w:cs="Arial"/>
              </w:rPr>
              <w:t xml:space="preserve"> September 2017</w:t>
            </w:r>
          </w:p>
        </w:tc>
      </w:tr>
    </w:tbl>
    <w:p w14:paraId="6073C368" w14:textId="77777777" w:rsidR="00FD7A8D" w:rsidRPr="00616B9B" w:rsidRDefault="00FD7A8D" w:rsidP="00FD7A8D">
      <w:pPr>
        <w:rPr>
          <w:rFonts w:cs="Arial"/>
          <w:vanish/>
        </w:rPr>
      </w:pPr>
    </w:p>
    <w:tbl>
      <w:tblPr>
        <w:tblpPr w:leftFromText="8505" w:vertAnchor="page" w:horzAnchor="margin" w:tblpY="3801"/>
        <w:tblW w:w="9586" w:type="dxa"/>
        <w:tblLayout w:type="fixed"/>
        <w:tblCellMar>
          <w:left w:w="0" w:type="dxa"/>
          <w:right w:w="0" w:type="dxa"/>
        </w:tblCellMar>
        <w:tblLook w:val="01E0" w:firstRow="1" w:lastRow="1" w:firstColumn="1" w:lastColumn="1" w:noHBand="0" w:noVBand="0"/>
      </w:tblPr>
      <w:tblGrid>
        <w:gridCol w:w="9586"/>
      </w:tblGrid>
      <w:tr w:rsidR="006F4535" w:rsidRPr="00616B9B" w14:paraId="703300F6" w14:textId="77777777" w:rsidTr="006F4535">
        <w:trPr>
          <w:trHeight w:hRule="exact" w:val="1912"/>
        </w:trPr>
        <w:tc>
          <w:tcPr>
            <w:tcW w:w="9586" w:type="dxa"/>
            <w:vAlign w:val="bottom"/>
          </w:tcPr>
          <w:p w14:paraId="541C47D1" w14:textId="74B1FB0F" w:rsidR="006F4535" w:rsidRDefault="006F4535" w:rsidP="00105FE4">
            <w:pPr>
              <w:pStyle w:val="01aDBTitle"/>
              <w:jc w:val="left"/>
              <w:rPr>
                <w:rFonts w:cs="Arial"/>
                <w:sz w:val="32"/>
              </w:rPr>
            </w:pPr>
            <w:r w:rsidRPr="009A053D">
              <w:rPr>
                <w:rFonts w:cs="Arial"/>
                <w:sz w:val="32"/>
              </w:rPr>
              <w:t>Re</w:t>
            </w:r>
            <w:r w:rsidR="00A25816">
              <w:rPr>
                <w:rFonts w:cs="Arial"/>
                <w:sz w:val="32"/>
              </w:rPr>
              <w:t>sponse</w:t>
            </w:r>
            <w:r w:rsidRPr="009A053D">
              <w:rPr>
                <w:rFonts w:cs="Arial"/>
                <w:sz w:val="32"/>
              </w:rPr>
              <w:t xml:space="preserve"> form for the </w:t>
            </w:r>
            <w:r w:rsidRPr="00BF28DA">
              <w:rPr>
                <w:rFonts w:cs="Arial"/>
                <w:sz w:val="32"/>
              </w:rPr>
              <w:t xml:space="preserve">Consultation </w:t>
            </w:r>
            <w:r>
              <w:rPr>
                <w:rFonts w:cs="Arial"/>
                <w:sz w:val="32"/>
              </w:rPr>
              <w:t>Paper</w:t>
            </w:r>
            <w:r w:rsidRPr="00BF28DA">
              <w:rPr>
                <w:rFonts w:cs="Arial"/>
                <w:sz w:val="32"/>
              </w:rPr>
              <w:t xml:space="preserve"> on  </w:t>
            </w:r>
          </w:p>
          <w:p w14:paraId="427F2A9D" w14:textId="51FEB3C6" w:rsidR="00EB2A3F" w:rsidRPr="00550A1A" w:rsidRDefault="005C248A" w:rsidP="00105FE4">
            <w:pPr>
              <w:pStyle w:val="01aDBTitle"/>
              <w:jc w:val="left"/>
              <w:rPr>
                <w:rFonts w:cs="Arial"/>
                <w:sz w:val="32"/>
                <w:szCs w:val="32"/>
              </w:rPr>
            </w:pPr>
            <w:r w:rsidRPr="005C248A">
              <w:rPr>
                <w:rFonts w:cs="Arial"/>
                <w:sz w:val="32"/>
                <w:szCs w:val="32"/>
              </w:rPr>
              <w:t>draft guidelines on non-significant benchmarks</w:t>
            </w:r>
          </w:p>
          <w:p w14:paraId="5BFC115D" w14:textId="23AFEE05" w:rsidR="006F4535" w:rsidRPr="009A053D" w:rsidRDefault="006A24D5" w:rsidP="00F65811">
            <w:pPr>
              <w:pStyle w:val="01aDBTitle"/>
              <w:rPr>
                <w:rFonts w:cs="Arial"/>
                <w:sz w:val="32"/>
              </w:rPr>
            </w:pPr>
            <w:r w:rsidRPr="006F4535">
              <w:rPr>
                <w:rFonts w:cs="Arial"/>
                <w:sz w:val="32"/>
              </w:rPr>
              <w:t xml:space="preserve"> </w:t>
            </w:r>
            <w:r w:rsidR="006F4535" w:rsidRPr="006F4535">
              <w:rPr>
                <w:rFonts w:cs="Arial"/>
                <w:sz w:val="32"/>
              </w:rPr>
              <w:t xml:space="preserve"> </w:t>
            </w:r>
          </w:p>
        </w:tc>
      </w:tr>
      <w:tr w:rsidR="006F4535" w:rsidRPr="00616B9B" w14:paraId="2141656A" w14:textId="77777777" w:rsidTr="006F4535">
        <w:trPr>
          <w:trHeight w:hRule="exact" w:val="956"/>
        </w:trPr>
        <w:tc>
          <w:tcPr>
            <w:tcW w:w="9586" w:type="dxa"/>
            <w:tcMar>
              <w:top w:w="142" w:type="dxa"/>
            </w:tcMar>
          </w:tcPr>
          <w:p w14:paraId="6FB8D7F3"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4DC48C8" w14:textId="77777777" w:rsidR="00620D7C" w:rsidRPr="00616B9B" w:rsidRDefault="00620D7C" w:rsidP="00C00012">
      <w:pPr>
        <w:pStyle w:val="05HeadlinenoIndex"/>
        <w:rPr>
          <w:rFonts w:cs="Arial"/>
        </w:rPr>
        <w:sectPr w:rsidR="00620D7C" w:rsidRPr="00616B9B" w:rsidSect="006E3C72">
          <w:headerReference w:type="default" r:id="rId14"/>
          <w:footerReference w:type="default" r:id="rId15"/>
          <w:head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5FCE421C" w14:textId="77777777" w:rsidTr="00315E96">
        <w:trPr>
          <w:trHeight w:hRule="exact" w:val="964"/>
        </w:trPr>
        <w:tc>
          <w:tcPr>
            <w:tcW w:w="2325" w:type="dxa"/>
          </w:tcPr>
          <w:p w14:paraId="71E1001D" w14:textId="736D4628" w:rsidR="00620D7C" w:rsidRPr="004E49B0" w:rsidRDefault="00620D7C" w:rsidP="005552FC">
            <w:pPr>
              <w:pStyle w:val="02Date"/>
              <w:rPr>
                <w:rFonts w:cs="Arial"/>
              </w:rPr>
            </w:pPr>
            <w:r w:rsidRPr="004E49B0">
              <w:rPr>
                <w:rFonts w:cs="Arial"/>
              </w:rPr>
              <w:lastRenderedPageBreak/>
              <w:t xml:space="preserve">Date: </w:t>
            </w:r>
            <w:r w:rsidR="005C248A">
              <w:rPr>
                <w:rFonts w:cs="Arial"/>
              </w:rPr>
              <w:t>2</w:t>
            </w:r>
            <w:r w:rsidR="005552FC">
              <w:rPr>
                <w:rFonts w:cs="Arial"/>
              </w:rPr>
              <w:t>9</w:t>
            </w:r>
            <w:r w:rsidR="005C248A">
              <w:rPr>
                <w:rFonts w:cs="Arial"/>
              </w:rPr>
              <w:t xml:space="preserve"> September</w:t>
            </w:r>
            <w:r w:rsidR="00F65811">
              <w:rPr>
                <w:rFonts w:cs="Arial"/>
              </w:rPr>
              <w:t xml:space="preserve"> 2017</w:t>
            </w:r>
          </w:p>
        </w:tc>
      </w:tr>
    </w:tbl>
    <w:p w14:paraId="06CB0378"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0BF7B2B6" w14:textId="77777777" w:rsidR="0051277E" w:rsidRPr="00550A1A" w:rsidRDefault="0051277E" w:rsidP="0051277E">
      <w:pPr>
        <w:spacing w:after="240"/>
        <w:jc w:val="both"/>
        <w:rPr>
          <w:rStyle w:val="SubtleEmphasis"/>
          <w:b w:val="0"/>
          <w:sz w:val="22"/>
        </w:rPr>
      </w:pPr>
      <w:r w:rsidRPr="00550A1A">
        <w:rPr>
          <w:rStyle w:val="SubtleEmphasis"/>
          <w:b w:val="0"/>
          <w:sz w:val="22"/>
        </w:rPr>
        <w:t>ESMA invites responses to the questions set out throughout this Consultation Paper. Responses are most helpful if they:</w:t>
      </w:r>
    </w:p>
    <w:p w14:paraId="388FB86C" w14:textId="77777777" w:rsidR="0051277E" w:rsidRPr="00550A1A" w:rsidRDefault="0051277E" w:rsidP="0051277E">
      <w:pPr>
        <w:pStyle w:val="ListParagraph"/>
        <w:numPr>
          <w:ilvl w:val="0"/>
          <w:numId w:val="56"/>
        </w:numPr>
        <w:spacing w:after="240" w:line="276" w:lineRule="auto"/>
        <w:ind w:left="567" w:hanging="567"/>
        <w:contextualSpacing w:val="0"/>
        <w:jc w:val="both"/>
        <w:rPr>
          <w:rStyle w:val="SubtleEmphasis"/>
          <w:b w:val="0"/>
          <w:sz w:val="22"/>
        </w:rPr>
      </w:pPr>
      <w:r w:rsidRPr="00550A1A">
        <w:rPr>
          <w:rStyle w:val="SubtleEmphasis"/>
          <w:b w:val="0"/>
          <w:sz w:val="22"/>
        </w:rPr>
        <w:t>respond to the question stated;</w:t>
      </w:r>
    </w:p>
    <w:p w14:paraId="7CA2EBEF" w14:textId="77777777" w:rsidR="0051277E" w:rsidRPr="00550A1A" w:rsidRDefault="0051277E" w:rsidP="0051277E">
      <w:pPr>
        <w:pStyle w:val="ListParagraph"/>
        <w:numPr>
          <w:ilvl w:val="0"/>
          <w:numId w:val="56"/>
        </w:numPr>
        <w:spacing w:after="240" w:line="276" w:lineRule="auto"/>
        <w:ind w:left="567" w:hanging="567"/>
        <w:contextualSpacing w:val="0"/>
        <w:jc w:val="both"/>
        <w:rPr>
          <w:rStyle w:val="SubtleEmphasis"/>
          <w:b w:val="0"/>
          <w:sz w:val="22"/>
        </w:rPr>
      </w:pPr>
      <w:r w:rsidRPr="00550A1A">
        <w:rPr>
          <w:rStyle w:val="SubtleEmphasis"/>
          <w:b w:val="0"/>
          <w:sz w:val="22"/>
        </w:rPr>
        <w:t>contain a clear rationale; and</w:t>
      </w:r>
    </w:p>
    <w:p w14:paraId="114234D3" w14:textId="77777777" w:rsidR="0051277E" w:rsidRPr="00550A1A" w:rsidRDefault="0051277E" w:rsidP="0051277E">
      <w:pPr>
        <w:pStyle w:val="ListParagraph"/>
        <w:numPr>
          <w:ilvl w:val="0"/>
          <w:numId w:val="56"/>
        </w:numPr>
        <w:spacing w:after="240" w:line="276" w:lineRule="auto"/>
        <w:ind w:left="567" w:hanging="567"/>
        <w:contextualSpacing w:val="0"/>
        <w:jc w:val="both"/>
        <w:rPr>
          <w:rStyle w:val="SubtleEmphasis"/>
          <w:b w:val="0"/>
          <w:sz w:val="22"/>
        </w:rPr>
      </w:pPr>
      <w:r w:rsidRPr="00550A1A">
        <w:rPr>
          <w:rStyle w:val="SubtleEmphasis"/>
          <w:b w:val="0"/>
          <w:sz w:val="22"/>
        </w:rPr>
        <w:t>describe any alternatives ESMA should consider.</w:t>
      </w:r>
    </w:p>
    <w:p w14:paraId="33F14604" w14:textId="316D0C7C" w:rsidR="0051277E" w:rsidRPr="00550A1A" w:rsidRDefault="0051277E" w:rsidP="0051277E">
      <w:pPr>
        <w:spacing w:after="240"/>
        <w:jc w:val="both"/>
        <w:rPr>
          <w:rStyle w:val="SubtleEmphasis"/>
          <w:b w:val="0"/>
          <w:sz w:val="22"/>
        </w:rPr>
      </w:pPr>
      <w:r w:rsidRPr="00550A1A">
        <w:rPr>
          <w:rStyle w:val="SubtleEmphasis"/>
          <w:b w:val="0"/>
          <w:sz w:val="22"/>
        </w:rPr>
        <w:t xml:space="preserve">ESMA will consider all responses received by </w:t>
      </w:r>
      <w:r w:rsidR="005C248A">
        <w:rPr>
          <w:rStyle w:val="SubtleEmphasis"/>
          <w:b w:val="0"/>
          <w:sz w:val="22"/>
        </w:rPr>
        <w:t>30 November</w:t>
      </w:r>
      <w:r w:rsidRPr="00550A1A">
        <w:rPr>
          <w:rStyle w:val="SubtleEmphasis"/>
          <w:b w:val="0"/>
          <w:sz w:val="22"/>
        </w:rPr>
        <w:t xml:space="preserve"> 2017.</w:t>
      </w:r>
    </w:p>
    <w:p w14:paraId="4A17C63E" w14:textId="77777777" w:rsidR="0051277E" w:rsidRPr="00550A1A" w:rsidRDefault="0051277E" w:rsidP="0051277E">
      <w:pPr>
        <w:spacing w:after="120"/>
        <w:jc w:val="both"/>
        <w:rPr>
          <w:rStyle w:val="SubtleEmphasis"/>
          <w:sz w:val="22"/>
        </w:rPr>
      </w:pPr>
      <w:r w:rsidRPr="00550A1A">
        <w:rPr>
          <w:rStyle w:val="SubtleEmphasis"/>
          <w:sz w:val="22"/>
        </w:rPr>
        <w:t>Instructions</w:t>
      </w:r>
    </w:p>
    <w:p w14:paraId="0D1D1A9C" w14:textId="77777777" w:rsidR="0051277E" w:rsidRPr="00550A1A" w:rsidRDefault="0051277E" w:rsidP="0051277E">
      <w:pPr>
        <w:spacing w:after="240"/>
        <w:jc w:val="both"/>
        <w:rPr>
          <w:rStyle w:val="SubtleEmphasis"/>
          <w:b w:val="0"/>
          <w:sz w:val="22"/>
        </w:rPr>
      </w:pPr>
      <w:r w:rsidRPr="00550A1A">
        <w:rPr>
          <w:rStyle w:val="SubtleEmphasis"/>
          <w:b w:val="0"/>
          <w:sz w:val="22"/>
        </w:rPr>
        <w:t>In order to facilitate analysis of responses to the Consultation Paper, respondents are requested to follow the below steps when preparing and submitting their response:</w:t>
      </w:r>
    </w:p>
    <w:p w14:paraId="30927D3B" w14:textId="77777777" w:rsidR="0051277E" w:rsidRPr="00550A1A" w:rsidRDefault="0051277E" w:rsidP="0051277E">
      <w:pPr>
        <w:pStyle w:val="ListParagraph"/>
        <w:numPr>
          <w:ilvl w:val="0"/>
          <w:numId w:val="56"/>
        </w:numPr>
        <w:spacing w:after="240" w:line="276" w:lineRule="auto"/>
        <w:ind w:left="567" w:hanging="567"/>
        <w:contextualSpacing w:val="0"/>
        <w:jc w:val="both"/>
        <w:rPr>
          <w:rStyle w:val="SubtleEmphasis"/>
          <w:b w:val="0"/>
          <w:sz w:val="22"/>
        </w:rPr>
      </w:pPr>
      <w:r w:rsidRPr="00550A1A">
        <w:rPr>
          <w:rStyle w:val="SubtleEmphasis"/>
          <w:b w:val="0"/>
          <w:sz w:val="22"/>
        </w:rPr>
        <w:t>Insert your responses to the questions in the Consultation Paper in the form “Response form_Consultation Paper on scrutiny and approval”, available on ESMA’s website alon</w:t>
      </w:r>
      <w:r w:rsidRPr="00550A1A">
        <w:rPr>
          <w:rStyle w:val="SubtleEmphasis"/>
          <w:b w:val="0"/>
          <w:sz w:val="22"/>
        </w:rPr>
        <w:t>g</w:t>
      </w:r>
      <w:r w:rsidRPr="00550A1A">
        <w:rPr>
          <w:rStyle w:val="SubtleEmphasis"/>
          <w:b w:val="0"/>
          <w:sz w:val="22"/>
        </w:rPr>
        <w:t>side the present Consultation Paper (</w:t>
      </w:r>
      <w:hyperlink r:id="rId17" w:history="1">
        <w:r w:rsidRPr="00550A1A">
          <w:rPr>
            <w:rStyle w:val="Hyperlink"/>
            <w:rFonts w:cs="Arial"/>
            <w:sz w:val="22"/>
          </w:rPr>
          <w:t>www.esma.europa.eu</w:t>
        </w:r>
      </w:hyperlink>
      <w:r w:rsidRPr="00550A1A">
        <w:rPr>
          <w:rStyle w:val="SubtleEmphasis"/>
          <w:b w:val="0"/>
          <w:sz w:val="22"/>
        </w:rPr>
        <w:t xml:space="preserve"> </w:t>
      </w:r>
      <w:r w:rsidRPr="00550A1A">
        <w:rPr>
          <w:rStyle w:val="SubtleEmphasis"/>
          <w:b w:val="0"/>
          <w:sz w:val="22"/>
        </w:rPr>
        <w:sym w:font="Wingdings" w:char="F0E0"/>
      </w:r>
      <w:r w:rsidRPr="00550A1A">
        <w:rPr>
          <w:rStyle w:val="SubtleEmphasis"/>
          <w:b w:val="0"/>
          <w:sz w:val="22"/>
        </w:rPr>
        <w:t xml:space="preserve"> ‘Your input – Open consu</w:t>
      </w:r>
      <w:r w:rsidRPr="00550A1A">
        <w:rPr>
          <w:rStyle w:val="SubtleEmphasis"/>
          <w:b w:val="0"/>
          <w:sz w:val="22"/>
        </w:rPr>
        <w:t>l</w:t>
      </w:r>
      <w:r w:rsidRPr="00550A1A">
        <w:rPr>
          <w:rStyle w:val="SubtleEmphasis"/>
          <w:b w:val="0"/>
          <w:sz w:val="22"/>
        </w:rPr>
        <w:t xml:space="preserve">tations’ </w:t>
      </w:r>
      <w:r w:rsidRPr="00550A1A">
        <w:rPr>
          <w:rStyle w:val="SubtleEmphasis"/>
          <w:b w:val="0"/>
          <w:sz w:val="22"/>
        </w:rPr>
        <w:sym w:font="Wingdings" w:char="F0E0"/>
      </w:r>
      <w:r w:rsidRPr="00550A1A">
        <w:rPr>
          <w:rStyle w:val="SubtleEmphasis"/>
          <w:b w:val="0"/>
          <w:sz w:val="22"/>
        </w:rPr>
        <w:t xml:space="preserve"> ‘Consultation on technical advice under the new Prospectus Regulation’).</w:t>
      </w:r>
    </w:p>
    <w:p w14:paraId="7EDB20DD" w14:textId="4BDD18DA" w:rsidR="0051277E" w:rsidRPr="00550A1A" w:rsidRDefault="0051277E" w:rsidP="0051277E">
      <w:pPr>
        <w:pStyle w:val="ListParagraph"/>
        <w:numPr>
          <w:ilvl w:val="0"/>
          <w:numId w:val="56"/>
        </w:numPr>
        <w:spacing w:after="240" w:line="276" w:lineRule="auto"/>
        <w:ind w:left="567" w:hanging="567"/>
        <w:contextualSpacing w:val="0"/>
        <w:jc w:val="both"/>
        <w:rPr>
          <w:rStyle w:val="SubtleEmphasis"/>
          <w:b w:val="0"/>
          <w:sz w:val="22"/>
        </w:rPr>
      </w:pPr>
      <w:r w:rsidRPr="00550A1A">
        <w:rPr>
          <w:rStyle w:val="SubtleEmphasis"/>
          <w:b w:val="0"/>
          <w:sz w:val="22"/>
        </w:rPr>
        <w:t>Please do not remove tags of the type &lt;ESMA_QUESTION_</w:t>
      </w:r>
      <w:r w:rsidR="005C248A">
        <w:rPr>
          <w:rStyle w:val="SubtleEmphasis"/>
          <w:b w:val="0"/>
          <w:sz w:val="22"/>
        </w:rPr>
        <w:t>GBMR</w:t>
      </w:r>
      <w:r w:rsidRPr="00550A1A">
        <w:rPr>
          <w:rStyle w:val="SubtleEmphasis"/>
          <w:b w:val="0"/>
          <w:sz w:val="22"/>
        </w:rPr>
        <w:t>_1&gt;. Your response to each question has to be framed by the two tags corresponding to the question.</w:t>
      </w:r>
    </w:p>
    <w:p w14:paraId="3788B5B9" w14:textId="77777777" w:rsidR="0051277E" w:rsidRPr="00550A1A" w:rsidRDefault="0051277E" w:rsidP="0051277E">
      <w:pPr>
        <w:pStyle w:val="ListParagraph"/>
        <w:numPr>
          <w:ilvl w:val="0"/>
          <w:numId w:val="56"/>
        </w:numPr>
        <w:spacing w:after="240" w:line="276" w:lineRule="auto"/>
        <w:ind w:left="567" w:hanging="567"/>
        <w:contextualSpacing w:val="0"/>
        <w:jc w:val="both"/>
        <w:rPr>
          <w:rStyle w:val="SubtleEmphasis"/>
          <w:b w:val="0"/>
          <w:sz w:val="22"/>
        </w:rPr>
      </w:pPr>
      <w:r w:rsidRPr="00550A1A">
        <w:rPr>
          <w:rStyle w:val="SubtleEmphasis"/>
          <w:b w:val="0"/>
          <w:sz w:val="22"/>
        </w:rPr>
        <w:t>If you do not wish to respond to a given question, please do not delete it but simply leave the text “TYPE YOUR TEXT HERE” between the tags.</w:t>
      </w:r>
    </w:p>
    <w:p w14:paraId="12B0425E" w14:textId="3120402D" w:rsidR="0051277E" w:rsidRPr="00550A1A" w:rsidRDefault="0051277E" w:rsidP="0051277E">
      <w:pPr>
        <w:pStyle w:val="ListParagraph"/>
        <w:numPr>
          <w:ilvl w:val="0"/>
          <w:numId w:val="56"/>
        </w:numPr>
        <w:spacing w:after="240" w:line="276" w:lineRule="auto"/>
        <w:ind w:left="567" w:hanging="567"/>
        <w:contextualSpacing w:val="0"/>
        <w:jc w:val="both"/>
        <w:rPr>
          <w:rStyle w:val="SubtleEmphasis"/>
          <w:b w:val="0"/>
          <w:sz w:val="22"/>
        </w:rPr>
      </w:pPr>
      <w:r w:rsidRPr="00550A1A">
        <w:rPr>
          <w:rStyle w:val="SubtleEmphasis"/>
          <w:b w:val="0"/>
          <w:sz w:val="22"/>
        </w:rPr>
        <w:t>When you have drafted your response, name your response form according to the follo</w:t>
      </w:r>
      <w:r w:rsidRPr="00550A1A">
        <w:rPr>
          <w:rStyle w:val="SubtleEmphasis"/>
          <w:b w:val="0"/>
          <w:sz w:val="22"/>
        </w:rPr>
        <w:t>w</w:t>
      </w:r>
      <w:r w:rsidRPr="00550A1A">
        <w:rPr>
          <w:rStyle w:val="SubtleEmphasis"/>
          <w:b w:val="0"/>
          <w:sz w:val="22"/>
        </w:rPr>
        <w:t>ing convention: ESMA_</w:t>
      </w:r>
      <w:r w:rsidR="005C248A" w:rsidRPr="005C248A">
        <w:rPr>
          <w:rStyle w:val="SubtleEmphasis"/>
          <w:b w:val="0"/>
          <w:sz w:val="22"/>
        </w:rPr>
        <w:t xml:space="preserve"> </w:t>
      </w:r>
      <w:r w:rsidR="005C248A">
        <w:rPr>
          <w:rStyle w:val="SubtleEmphasis"/>
          <w:b w:val="0"/>
          <w:sz w:val="22"/>
        </w:rPr>
        <w:t>GBMR</w:t>
      </w:r>
      <w:r w:rsidR="005C248A" w:rsidRPr="00550A1A">
        <w:rPr>
          <w:rStyle w:val="SubtleEmphasis"/>
          <w:b w:val="0"/>
          <w:sz w:val="22"/>
        </w:rPr>
        <w:t xml:space="preserve"> </w:t>
      </w:r>
      <w:r w:rsidRPr="00550A1A">
        <w:rPr>
          <w:rStyle w:val="SubtleEmphasis"/>
          <w:b w:val="0"/>
          <w:sz w:val="22"/>
        </w:rPr>
        <w:t>_nameofrespondent_RESPONSEFORM. For example, for a respondent named ABCD, the response form would be entitled E</w:t>
      </w:r>
      <w:r w:rsidRPr="00550A1A">
        <w:rPr>
          <w:rStyle w:val="SubtleEmphasis"/>
          <w:b w:val="0"/>
          <w:sz w:val="22"/>
        </w:rPr>
        <w:t>S</w:t>
      </w:r>
      <w:r w:rsidRPr="00550A1A">
        <w:rPr>
          <w:rStyle w:val="SubtleEmphasis"/>
          <w:b w:val="0"/>
          <w:sz w:val="22"/>
        </w:rPr>
        <w:t>MA_</w:t>
      </w:r>
      <w:r w:rsidR="005C248A">
        <w:rPr>
          <w:rStyle w:val="SubtleEmphasis"/>
          <w:b w:val="0"/>
          <w:sz w:val="22"/>
        </w:rPr>
        <w:t>GBMR</w:t>
      </w:r>
      <w:r w:rsidRPr="00550A1A">
        <w:rPr>
          <w:rStyle w:val="SubtleEmphasis"/>
          <w:b w:val="0"/>
          <w:sz w:val="22"/>
        </w:rPr>
        <w:t>_ABCD_RESPONSEFORM.</w:t>
      </w:r>
    </w:p>
    <w:p w14:paraId="0EEEC08E" w14:textId="77777777" w:rsidR="0051277E" w:rsidRPr="00550A1A" w:rsidRDefault="0051277E" w:rsidP="0051277E">
      <w:pPr>
        <w:pStyle w:val="ListParagraph"/>
        <w:numPr>
          <w:ilvl w:val="0"/>
          <w:numId w:val="56"/>
        </w:numPr>
        <w:spacing w:after="240" w:line="276" w:lineRule="auto"/>
        <w:ind w:left="567" w:hanging="567"/>
        <w:contextualSpacing w:val="0"/>
        <w:jc w:val="both"/>
        <w:rPr>
          <w:rStyle w:val="SubtleEmphasis"/>
          <w:b w:val="0"/>
          <w:sz w:val="22"/>
        </w:rPr>
      </w:pPr>
      <w:r w:rsidRPr="00550A1A">
        <w:rPr>
          <w:rStyle w:val="SubtleEmphasis"/>
          <w:b w:val="0"/>
          <w:sz w:val="22"/>
        </w:rPr>
        <w:t xml:space="preserve">Upload the form containing your responses, </w:t>
      </w:r>
      <w:r w:rsidRPr="00550A1A">
        <w:rPr>
          <w:rStyle w:val="SubtleEmphasis"/>
          <w:b w:val="0"/>
          <w:sz w:val="22"/>
          <w:u w:val="single"/>
        </w:rPr>
        <w:t>in Word format</w:t>
      </w:r>
      <w:r w:rsidRPr="00550A1A">
        <w:rPr>
          <w:rStyle w:val="SubtleEmphasis"/>
          <w:b w:val="0"/>
          <w:sz w:val="22"/>
        </w:rPr>
        <w:t>, to ESMA’s website (</w:t>
      </w:r>
      <w:hyperlink r:id="rId18" w:history="1">
        <w:r w:rsidRPr="00550A1A">
          <w:rPr>
            <w:rStyle w:val="Hyperlink"/>
            <w:rFonts w:cs="Arial"/>
            <w:sz w:val="22"/>
          </w:rPr>
          <w:t>www.esma.europa.eu</w:t>
        </w:r>
      </w:hyperlink>
      <w:r w:rsidRPr="00550A1A">
        <w:rPr>
          <w:rStyle w:val="SubtleEmphasis"/>
          <w:b w:val="0"/>
          <w:sz w:val="22"/>
        </w:rPr>
        <w:t xml:space="preserve"> under the heading ‘Your input – Open consultations’ </w:t>
      </w:r>
      <w:r w:rsidRPr="00550A1A">
        <w:rPr>
          <w:rStyle w:val="SubtleEmphasis"/>
          <w:b w:val="0"/>
          <w:sz w:val="22"/>
        </w:rPr>
        <w:sym w:font="Wingdings" w:char="F0E0"/>
      </w:r>
      <w:r w:rsidRPr="00550A1A">
        <w:rPr>
          <w:rStyle w:val="SubtleEmphasis"/>
          <w:b w:val="0"/>
          <w:sz w:val="22"/>
        </w:rPr>
        <w:t xml:space="preserve"> ‘Consult</w:t>
      </w:r>
      <w:r w:rsidRPr="00550A1A">
        <w:rPr>
          <w:rStyle w:val="SubtleEmphasis"/>
          <w:b w:val="0"/>
          <w:sz w:val="22"/>
        </w:rPr>
        <w:t>a</w:t>
      </w:r>
      <w:r w:rsidRPr="00550A1A">
        <w:rPr>
          <w:rStyle w:val="SubtleEmphasis"/>
          <w:b w:val="0"/>
          <w:sz w:val="22"/>
        </w:rPr>
        <w:t>tion on technical advice under the new Prospectus Regulation’).</w:t>
      </w:r>
    </w:p>
    <w:p w14:paraId="785DC819" w14:textId="77777777" w:rsidR="0051277E" w:rsidRPr="00550A1A" w:rsidRDefault="0051277E" w:rsidP="0051277E">
      <w:pPr>
        <w:spacing w:after="120"/>
        <w:jc w:val="both"/>
        <w:rPr>
          <w:rStyle w:val="SubtleEmphasis"/>
          <w:sz w:val="22"/>
          <w:lang w:eastAsia="en-GB"/>
        </w:rPr>
      </w:pPr>
      <w:r w:rsidRPr="00550A1A">
        <w:rPr>
          <w:rStyle w:val="SubtleEmphasis"/>
          <w:sz w:val="22"/>
          <w:lang w:eastAsia="en-GB"/>
        </w:rPr>
        <w:t>Publication of responses</w:t>
      </w:r>
    </w:p>
    <w:p w14:paraId="40D24FFB" w14:textId="77777777" w:rsidR="0051277E" w:rsidRPr="00550A1A" w:rsidRDefault="0051277E" w:rsidP="0051277E">
      <w:pPr>
        <w:spacing w:after="240"/>
        <w:jc w:val="both"/>
        <w:rPr>
          <w:rStyle w:val="SubtleEmphasis"/>
          <w:b w:val="0"/>
          <w:sz w:val="22"/>
          <w:lang w:eastAsia="en-GB"/>
        </w:rPr>
      </w:pPr>
      <w:r w:rsidRPr="00550A1A">
        <w:rPr>
          <w:rStyle w:val="SubtleEmphasis"/>
          <w:b w:val="0"/>
          <w:sz w:val="22"/>
          <w:lang w:eastAsia="en-GB"/>
        </w:rPr>
        <w:t xml:space="preserve">All contributions received will be published following the close of the consultation, unless you request otherwise. </w:t>
      </w:r>
      <w:r w:rsidRPr="00550A1A">
        <w:rPr>
          <w:rStyle w:val="SubtleEmphasis"/>
          <w:b w:val="0"/>
          <w:sz w:val="22"/>
          <w:u w:val="single"/>
          <w:lang w:eastAsia="en-GB"/>
        </w:rPr>
        <w:t>Please clearly indicate by ticking the appropriate checkbox on the website submission page if you do not wish your contribution to be publicly disclosed.</w:t>
      </w:r>
      <w:r w:rsidRPr="00550A1A">
        <w:rPr>
          <w:rStyle w:val="SubtleEmphasis"/>
          <w:b w:val="0"/>
          <w:sz w:val="22"/>
          <w:lang w:eastAsia="en-GB"/>
        </w:rPr>
        <w:t xml:space="preserve"> A standard conf</w:t>
      </w:r>
      <w:r w:rsidRPr="00550A1A">
        <w:rPr>
          <w:rStyle w:val="SubtleEmphasis"/>
          <w:b w:val="0"/>
          <w:sz w:val="22"/>
          <w:lang w:eastAsia="en-GB"/>
        </w:rPr>
        <w:t>i</w:t>
      </w:r>
      <w:r w:rsidRPr="00550A1A">
        <w:rPr>
          <w:rStyle w:val="SubtleEmphasis"/>
          <w:b w:val="0"/>
          <w:sz w:val="22"/>
          <w:lang w:eastAsia="en-GB"/>
        </w:rPr>
        <w:t xml:space="preserve">dentiality statement in an email message will not be treated as a request for non-disclosure. A confidential response may be requested from us in accordance with ESMA’s rules on access to documents. We may consult you if we receive such a request. Any decision we make not to </w:t>
      </w:r>
      <w:r w:rsidRPr="00550A1A">
        <w:rPr>
          <w:rStyle w:val="SubtleEmphasis"/>
          <w:b w:val="0"/>
          <w:sz w:val="22"/>
          <w:lang w:eastAsia="en-GB"/>
        </w:rPr>
        <w:lastRenderedPageBreak/>
        <w:t>disclose the response is reviewable by ESMA’s Board of Appeal and the European Ombud</w:t>
      </w:r>
      <w:r w:rsidRPr="00550A1A">
        <w:rPr>
          <w:rStyle w:val="SubtleEmphasis"/>
          <w:b w:val="0"/>
          <w:sz w:val="22"/>
          <w:lang w:eastAsia="en-GB"/>
        </w:rPr>
        <w:t>s</w:t>
      </w:r>
      <w:r w:rsidRPr="00550A1A">
        <w:rPr>
          <w:rStyle w:val="SubtleEmphasis"/>
          <w:b w:val="0"/>
          <w:sz w:val="22"/>
          <w:lang w:eastAsia="en-GB"/>
        </w:rPr>
        <w:t>man.</w:t>
      </w:r>
    </w:p>
    <w:p w14:paraId="5F533569" w14:textId="77777777" w:rsidR="0051277E" w:rsidRPr="00550A1A" w:rsidRDefault="0051277E" w:rsidP="0051277E">
      <w:pPr>
        <w:spacing w:after="120"/>
        <w:jc w:val="both"/>
        <w:rPr>
          <w:rStyle w:val="SubtleEmphasis"/>
          <w:sz w:val="22"/>
          <w:lang w:eastAsia="en-GB"/>
        </w:rPr>
      </w:pPr>
      <w:r w:rsidRPr="00550A1A">
        <w:rPr>
          <w:rStyle w:val="SubtleEmphasis"/>
          <w:sz w:val="22"/>
          <w:lang w:eastAsia="en-GB"/>
        </w:rPr>
        <w:t>Data protection</w:t>
      </w:r>
    </w:p>
    <w:p w14:paraId="1634E632" w14:textId="77777777" w:rsidR="0051277E" w:rsidRPr="00550A1A" w:rsidRDefault="0051277E" w:rsidP="0051277E">
      <w:pPr>
        <w:spacing w:after="240"/>
        <w:jc w:val="both"/>
        <w:rPr>
          <w:rStyle w:val="SubtleEmphasis"/>
          <w:b w:val="0"/>
          <w:sz w:val="22"/>
          <w:lang w:eastAsia="en-GB"/>
        </w:rPr>
      </w:pPr>
      <w:r w:rsidRPr="00550A1A">
        <w:rPr>
          <w:rStyle w:val="SubtleEmphasis"/>
          <w:b w:val="0"/>
          <w:sz w:val="22"/>
          <w:lang w:eastAsia="en-GB"/>
        </w:rPr>
        <w:t xml:space="preserve">Information on data protection can be found at </w:t>
      </w:r>
      <w:hyperlink r:id="rId19" w:history="1">
        <w:r w:rsidRPr="00550A1A">
          <w:rPr>
            <w:rStyle w:val="Hyperlink"/>
            <w:rFonts w:cs="Arial"/>
            <w:sz w:val="22"/>
            <w:lang w:eastAsia="en-GB"/>
          </w:rPr>
          <w:t>www.esma.europa.eu</w:t>
        </w:r>
      </w:hyperlink>
      <w:r w:rsidRPr="00550A1A">
        <w:rPr>
          <w:rStyle w:val="SubtleEmphasis"/>
          <w:b w:val="0"/>
          <w:sz w:val="22"/>
          <w:lang w:eastAsia="en-GB"/>
        </w:rPr>
        <w:t xml:space="preserve"> under the heading ‘Data  protection’.</w:t>
      </w:r>
    </w:p>
    <w:p w14:paraId="066FD8F8" w14:textId="77777777" w:rsidR="0051277E" w:rsidRPr="00550A1A" w:rsidRDefault="0051277E" w:rsidP="0051277E">
      <w:pPr>
        <w:spacing w:after="120"/>
        <w:jc w:val="both"/>
        <w:rPr>
          <w:rStyle w:val="SubtleEmphasis"/>
          <w:sz w:val="22"/>
          <w:lang w:eastAsia="en-GB"/>
        </w:rPr>
      </w:pPr>
      <w:r w:rsidRPr="00550A1A">
        <w:rPr>
          <w:rStyle w:val="SubtleEmphasis"/>
          <w:sz w:val="22"/>
          <w:lang w:eastAsia="en-GB"/>
        </w:rPr>
        <w:t>Who should read this Consultation Paper</w:t>
      </w:r>
    </w:p>
    <w:p w14:paraId="3C46B179" w14:textId="02551095" w:rsidR="00F574D0" w:rsidRPr="00550A1A" w:rsidRDefault="0051277E" w:rsidP="00F574D0">
      <w:pPr>
        <w:autoSpaceDE w:val="0"/>
        <w:autoSpaceDN w:val="0"/>
        <w:adjustRightInd w:val="0"/>
        <w:spacing w:before="120" w:after="120" w:line="276" w:lineRule="auto"/>
        <w:jc w:val="both"/>
        <w:rPr>
          <w:rFonts w:cs="Arial"/>
          <w:sz w:val="22"/>
          <w:szCs w:val="20"/>
        </w:rPr>
      </w:pPr>
      <w:r w:rsidRPr="00550A1A">
        <w:rPr>
          <w:rStyle w:val="SubtleEmphasis"/>
          <w:b w:val="0"/>
          <w:sz w:val="22"/>
          <w:lang w:eastAsia="en-GB"/>
        </w:rPr>
        <w:t xml:space="preserve">This Consultation Paper may be of particular interest to </w:t>
      </w:r>
      <w:r w:rsidR="005552FC">
        <w:rPr>
          <w:rStyle w:val="SubtleEmphasis"/>
          <w:b w:val="0"/>
          <w:sz w:val="22"/>
          <w:lang w:eastAsia="en-GB"/>
        </w:rPr>
        <w:t>administrators of benchmarks, contrib</w:t>
      </w:r>
      <w:r w:rsidR="005552FC">
        <w:rPr>
          <w:rStyle w:val="SubtleEmphasis"/>
          <w:b w:val="0"/>
          <w:sz w:val="22"/>
          <w:lang w:eastAsia="en-GB"/>
        </w:rPr>
        <w:t>u</w:t>
      </w:r>
      <w:r w:rsidR="005552FC">
        <w:rPr>
          <w:rStyle w:val="SubtleEmphasis"/>
          <w:b w:val="0"/>
          <w:sz w:val="22"/>
          <w:lang w:eastAsia="en-GB"/>
        </w:rPr>
        <w:t>tors to benchmarks and users of benchmarks</w:t>
      </w:r>
      <w:r w:rsidRPr="00550A1A">
        <w:rPr>
          <w:rStyle w:val="SubtleEmphasis"/>
          <w:b w:val="0"/>
          <w:sz w:val="22"/>
          <w:lang w:eastAsia="en-GB"/>
        </w:rPr>
        <w:t xml:space="preserve"> as well as to any market partici</w:t>
      </w:r>
      <w:r w:rsidR="005552FC">
        <w:rPr>
          <w:rStyle w:val="SubtleEmphasis"/>
          <w:b w:val="0"/>
          <w:sz w:val="22"/>
          <w:lang w:eastAsia="en-GB"/>
        </w:rPr>
        <w:t>pant who is affec</w:t>
      </w:r>
      <w:r w:rsidR="005552FC">
        <w:rPr>
          <w:rStyle w:val="SubtleEmphasis"/>
          <w:b w:val="0"/>
          <w:sz w:val="22"/>
          <w:lang w:eastAsia="en-GB"/>
        </w:rPr>
        <w:t>t</w:t>
      </w:r>
      <w:r w:rsidR="005552FC">
        <w:rPr>
          <w:rStyle w:val="SubtleEmphasis"/>
          <w:b w:val="0"/>
          <w:sz w:val="22"/>
          <w:lang w:eastAsia="en-GB"/>
        </w:rPr>
        <w:t>ed by the Benchmarks</w:t>
      </w:r>
      <w:r w:rsidRPr="00550A1A">
        <w:rPr>
          <w:rStyle w:val="SubtleEmphasis"/>
          <w:b w:val="0"/>
          <w:sz w:val="22"/>
          <w:lang w:eastAsia="en-GB"/>
        </w:rPr>
        <w:t xml:space="preserve"> Regulation.</w:t>
      </w:r>
    </w:p>
    <w:p w14:paraId="7F134F16"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22CE00EC" w14:textId="77777777" w:rsidR="00332304" w:rsidRDefault="00332304">
      <w:pPr>
        <w:rPr>
          <w:rFonts w:cs="Arial"/>
          <w:b/>
          <w:bCs/>
          <w:kern w:val="32"/>
          <w:sz w:val="24"/>
          <w:szCs w:val="32"/>
        </w:rPr>
      </w:pPr>
      <w:r>
        <w:br w:type="page"/>
      </w:r>
    </w:p>
    <w:p w14:paraId="2C434C99" w14:textId="77777777" w:rsidR="00B327E9" w:rsidRPr="00AB6D88" w:rsidRDefault="00B327E9" w:rsidP="00B327E9">
      <w:pPr>
        <w:pStyle w:val="Heading1"/>
        <w:numPr>
          <w:ilvl w:val="0"/>
          <w:numId w:val="0"/>
        </w:numPr>
      </w:pPr>
      <w:r w:rsidRPr="00AB6D88">
        <w:lastRenderedPageBreak/>
        <w:t>General information about respondent</w:t>
      </w:r>
    </w:p>
    <w:p w14:paraId="2CDE612D"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134426A1" w14:textId="77777777" w:rsidTr="00F136AD">
        <w:tc>
          <w:tcPr>
            <w:tcW w:w="3929" w:type="dxa"/>
            <w:shd w:val="clear" w:color="auto" w:fill="auto"/>
          </w:tcPr>
          <w:p w14:paraId="6A42BBC9" w14:textId="77777777" w:rsidR="00B327E9" w:rsidRPr="00550A1A" w:rsidRDefault="00B327E9" w:rsidP="00F136AD">
            <w:pPr>
              <w:rPr>
                <w:rFonts w:cs="Arial"/>
                <w:sz w:val="22"/>
              </w:rPr>
            </w:pPr>
            <w:permStart w:id="584150857" w:edGrp="everyone" w:colFirst="1" w:colLast="1"/>
            <w:r w:rsidRPr="00550A1A">
              <w:rPr>
                <w:rFonts w:cs="Arial"/>
                <w:sz w:val="22"/>
              </w:rPr>
              <w:t>Name of the company / organisation</w:t>
            </w:r>
          </w:p>
        </w:tc>
        <w:sdt>
          <w:sdtPr>
            <w:rPr>
              <w:rStyle w:val="PlaceholderText"/>
              <w:rFonts w:cs="Arial"/>
              <w:color w:val="auto"/>
            </w:rPr>
            <w:id w:val="-1905066999"/>
            <w:text/>
          </w:sdtPr>
          <w:sdtEndPr>
            <w:rPr>
              <w:rStyle w:val="PlaceholderText"/>
            </w:rPr>
          </w:sdtEndPr>
          <w:sdtContent>
            <w:tc>
              <w:tcPr>
                <w:tcW w:w="5595" w:type="dxa"/>
                <w:shd w:val="clear" w:color="auto" w:fill="auto"/>
              </w:tcPr>
              <w:p w14:paraId="1D2AEFF4" w14:textId="590D8552" w:rsidR="00B327E9" w:rsidRPr="000D7901" w:rsidRDefault="00D77938" w:rsidP="00D77938">
                <w:pPr>
                  <w:rPr>
                    <w:rStyle w:val="PlaceholderText"/>
                    <w:rFonts w:cs="Arial"/>
                    <w:color w:val="auto"/>
                  </w:rPr>
                </w:pPr>
                <w:r w:rsidRPr="000D7901">
                  <w:rPr>
                    <w:rStyle w:val="PlaceholderText"/>
                    <w:rFonts w:cs="Arial"/>
                    <w:color w:val="auto"/>
                  </w:rPr>
                  <w:t>London Stock Exchange Group, FTSE Russell</w:t>
                </w:r>
              </w:p>
            </w:tc>
          </w:sdtContent>
        </w:sdt>
      </w:tr>
      <w:tr w:rsidR="00B327E9" w:rsidRPr="00AB6D88" w14:paraId="08FFF92A" w14:textId="77777777" w:rsidTr="00F136AD">
        <w:tc>
          <w:tcPr>
            <w:tcW w:w="3929" w:type="dxa"/>
            <w:shd w:val="clear" w:color="auto" w:fill="auto"/>
          </w:tcPr>
          <w:p w14:paraId="388AB0CD" w14:textId="77777777" w:rsidR="00B327E9" w:rsidRPr="00550A1A" w:rsidRDefault="00B327E9" w:rsidP="00F136AD">
            <w:pPr>
              <w:rPr>
                <w:rFonts w:cs="Arial"/>
                <w:sz w:val="22"/>
              </w:rPr>
            </w:pPr>
            <w:permStart w:id="192116617" w:edGrp="everyone" w:colFirst="1" w:colLast="1"/>
            <w:permEnd w:id="584150857"/>
            <w:r w:rsidRPr="00550A1A">
              <w:rPr>
                <w:rFonts w:cs="Arial"/>
                <w:sz w:val="22"/>
              </w:rPr>
              <w:t>Activity</w:t>
            </w:r>
          </w:p>
        </w:tc>
        <w:tc>
          <w:tcPr>
            <w:tcW w:w="5595" w:type="dxa"/>
            <w:shd w:val="clear" w:color="auto" w:fill="auto"/>
          </w:tcPr>
          <w:p w14:paraId="3BAD78CC" w14:textId="6498FD73" w:rsidR="00B327E9" w:rsidRPr="00AB6D88" w:rsidRDefault="00336AAF"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D77938">
                  <w:rPr>
                    <w:rFonts w:cs="Arial"/>
                  </w:rPr>
                  <w:t>Other Financial service providers</w:t>
                </w:r>
              </w:sdtContent>
            </w:sdt>
          </w:p>
        </w:tc>
      </w:tr>
      <w:tr w:rsidR="00B327E9" w:rsidRPr="00AB6D88" w14:paraId="509F0A26" w14:textId="77777777" w:rsidTr="00F136AD">
        <w:tc>
          <w:tcPr>
            <w:tcW w:w="3929" w:type="dxa"/>
            <w:shd w:val="clear" w:color="auto" w:fill="auto"/>
          </w:tcPr>
          <w:p w14:paraId="5F066592" w14:textId="77777777" w:rsidR="00B327E9" w:rsidRPr="00550A1A" w:rsidRDefault="00B327E9" w:rsidP="00F136AD">
            <w:pPr>
              <w:rPr>
                <w:rFonts w:cs="Arial"/>
                <w:sz w:val="22"/>
              </w:rPr>
            </w:pPr>
            <w:permStart w:id="250764791" w:edGrp="everyone" w:colFirst="1" w:colLast="1"/>
            <w:permEnd w:id="192116617"/>
            <w:r w:rsidRPr="00550A1A">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13737D6A" w14:textId="768152C9" w:rsidR="00B327E9" w:rsidRPr="00AB6D88" w:rsidRDefault="002D38E0" w:rsidP="00F136AD">
                <w:pPr>
                  <w:rPr>
                    <w:rFonts w:cs="Arial"/>
                  </w:rPr>
                </w:pPr>
                <w:r>
                  <w:rPr>
                    <w:rFonts w:ascii="MS Gothic" w:eastAsia="MS Gothic" w:hAnsi="MS Gothic" w:cs="Arial" w:hint="eastAsia"/>
                  </w:rPr>
                  <w:t>☐</w:t>
                </w:r>
              </w:p>
            </w:tc>
          </w:sdtContent>
        </w:sdt>
      </w:tr>
      <w:tr w:rsidR="00B327E9" w:rsidRPr="00AB6D88" w14:paraId="059BC4BD" w14:textId="77777777" w:rsidTr="00F136AD">
        <w:tc>
          <w:tcPr>
            <w:tcW w:w="3929" w:type="dxa"/>
            <w:shd w:val="clear" w:color="auto" w:fill="auto"/>
          </w:tcPr>
          <w:p w14:paraId="005527F4" w14:textId="77777777" w:rsidR="00B327E9" w:rsidRPr="00550A1A" w:rsidRDefault="00B327E9" w:rsidP="00F136AD">
            <w:pPr>
              <w:rPr>
                <w:rFonts w:cs="Arial"/>
                <w:sz w:val="22"/>
              </w:rPr>
            </w:pPr>
            <w:permStart w:id="74910740" w:edGrp="everyone" w:colFirst="1" w:colLast="1"/>
            <w:permEnd w:id="250764791"/>
            <w:r w:rsidRPr="00550A1A">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5DEA6E71" w14:textId="2B9D1A0C" w:rsidR="00B327E9" w:rsidRPr="00AB6D88" w:rsidRDefault="00D77938" w:rsidP="00F136AD">
                <w:pPr>
                  <w:rPr>
                    <w:rFonts w:cs="Arial"/>
                  </w:rPr>
                </w:pPr>
                <w:r>
                  <w:rPr>
                    <w:rFonts w:cs="Arial"/>
                  </w:rPr>
                  <w:t>Europe</w:t>
                </w:r>
              </w:p>
            </w:tc>
          </w:sdtContent>
        </w:sdt>
      </w:tr>
      <w:permEnd w:id="74910740"/>
    </w:tbl>
    <w:p w14:paraId="43D746CD" w14:textId="77777777" w:rsidR="00B327E9" w:rsidRDefault="00B327E9" w:rsidP="00B327E9">
      <w:pPr>
        <w:spacing w:after="120" w:line="264" w:lineRule="auto"/>
      </w:pPr>
    </w:p>
    <w:p w14:paraId="34C3EC88" w14:textId="77777777" w:rsidR="00B327E9" w:rsidRDefault="00B327E9" w:rsidP="00B327E9">
      <w:pPr>
        <w:pStyle w:val="Heading1"/>
        <w:numPr>
          <w:ilvl w:val="0"/>
          <w:numId w:val="0"/>
        </w:numPr>
        <w:ind w:left="431" w:hanging="431"/>
      </w:pPr>
      <w:r>
        <w:t>Introduction</w:t>
      </w:r>
    </w:p>
    <w:p w14:paraId="5B55F0E0" w14:textId="77777777" w:rsidR="00B327E9" w:rsidRPr="001D47A5" w:rsidRDefault="00B327E9" w:rsidP="00B327E9">
      <w:pPr>
        <w:rPr>
          <w:rStyle w:val="IntenseEmphasis"/>
        </w:rPr>
      </w:pPr>
      <w:r w:rsidRPr="00550A1A">
        <w:rPr>
          <w:rStyle w:val="IntenseEmphasis"/>
          <w:sz w:val="22"/>
        </w:rPr>
        <w:t>Please make your introductory comments below, if any:</w:t>
      </w:r>
    </w:p>
    <w:p w14:paraId="0B06A88E" w14:textId="77777777" w:rsidR="00B327E9" w:rsidRPr="00BF28DA" w:rsidRDefault="00B327E9" w:rsidP="00B327E9"/>
    <w:p w14:paraId="197D07A3" w14:textId="234DC79F" w:rsidR="00B327E9" w:rsidRPr="006F4535" w:rsidRDefault="00B327E9" w:rsidP="00B327E9">
      <w:r w:rsidRPr="006F4535">
        <w:t>&lt;ESMA_COMMENT_</w:t>
      </w:r>
      <w:r w:rsidR="00905361">
        <w:t>GBMR</w:t>
      </w:r>
      <w:r w:rsidRPr="006F4535">
        <w:t>_1&gt;</w:t>
      </w:r>
    </w:p>
    <w:p w14:paraId="35767ADC" w14:textId="77777777" w:rsidR="00E54440" w:rsidRPr="00FC3C73" w:rsidRDefault="00E54440" w:rsidP="00E54440">
      <w:pPr>
        <w:rPr>
          <w:rFonts w:cs="Arial"/>
        </w:rPr>
      </w:pPr>
      <w:permStart w:id="1937050393" w:edGrp="everyone"/>
      <w:r w:rsidRPr="00E54440">
        <w:rPr>
          <w:rFonts w:cs="Arial"/>
        </w:rPr>
        <w:t>EU Transparency Register: 550494915045-08</w:t>
      </w:r>
    </w:p>
    <w:p w14:paraId="26841DC3" w14:textId="77777777" w:rsidR="00E54440" w:rsidRPr="00E54440" w:rsidRDefault="00E54440" w:rsidP="00B327E9">
      <w:pPr>
        <w:rPr>
          <w:b/>
        </w:rPr>
      </w:pPr>
    </w:p>
    <w:p w14:paraId="796D9FE3" w14:textId="4379E3AC" w:rsidR="00D77938" w:rsidRDefault="00D77938" w:rsidP="00B327E9">
      <w:r>
        <w:t>London Stock Exchange Group (“LSEG”) is a diversified g</w:t>
      </w:r>
      <w:r w:rsidR="00C167AD">
        <w:t>lobal</w:t>
      </w:r>
      <w:r>
        <w:t xml:space="preserve"> market infrastructure and capital markets business sitting at the heart of the world's financial community. LSEG operates a broad range of intern</w:t>
      </w:r>
      <w:r>
        <w:t>a</w:t>
      </w:r>
      <w:r>
        <w:t xml:space="preserve">tional equity, bond and derivatives markets, offers post trade and risk management services, is a global leader in indexing and analytic solutions and a developer of high performance trading platforms and capital markets software. FTSE Russell is the brand name for the index businesses that are owned and operated by LSEG and its applicable group undertakings. </w:t>
      </w:r>
    </w:p>
    <w:p w14:paraId="5AA6EF8B" w14:textId="77777777" w:rsidR="00D77938" w:rsidRDefault="00D77938" w:rsidP="00B327E9"/>
    <w:p w14:paraId="5AD8BEFE" w14:textId="25663E38" w:rsidR="00EA2889" w:rsidRDefault="00EA2889" w:rsidP="00B327E9">
      <w:r>
        <w:t>We appreciate ESMA’s desire to solicit stakeholder views in order to facilitate the finalization of the d</w:t>
      </w:r>
      <w:r w:rsidRPr="00692CBC">
        <w:t xml:space="preserve">raft guidelines on non-significant benchmarks </w:t>
      </w:r>
      <w:r>
        <w:t>supporting the implementation of the Benchmarks Regulation (the “BMR”).</w:t>
      </w:r>
    </w:p>
    <w:p w14:paraId="56036223" w14:textId="77777777" w:rsidR="00EA2889" w:rsidRDefault="00EA2889" w:rsidP="00B327E9"/>
    <w:p w14:paraId="7FAAB807" w14:textId="0A4C4842" w:rsidR="009A6548" w:rsidRDefault="00D77938" w:rsidP="009A6548">
      <w:pPr>
        <w:rPr>
          <w:szCs w:val="20"/>
        </w:rPr>
      </w:pPr>
      <w:r>
        <w:t>LSEG</w:t>
      </w:r>
      <w:r w:rsidR="00C167AD">
        <w:t xml:space="preserve"> and FTSE Russell</w:t>
      </w:r>
      <w:r>
        <w:t xml:space="preserve"> </w:t>
      </w:r>
      <w:r w:rsidR="00EA2889">
        <w:t>support the objectives of the BMR to ensure that benchmarks are produced in a transparent and reliable manner and so contribute to well-functioning and stable markets, and investor protection.</w:t>
      </w:r>
      <w:r w:rsidR="009A6548">
        <w:t xml:space="preserve"> We also </w:t>
      </w:r>
      <w:r w:rsidR="009A6548" w:rsidRPr="001F1EC1">
        <w:t>support the broad goals of the BMR to provide a harmonised regulatory framework for non-significant benchmarks in the European Union (“EU”)</w:t>
      </w:r>
      <w:r w:rsidR="001F1EC1" w:rsidRPr="001F1EC1">
        <w:t>.</w:t>
      </w:r>
    </w:p>
    <w:p w14:paraId="45E95860" w14:textId="77777777" w:rsidR="00EA2889" w:rsidRDefault="00EA2889" w:rsidP="00EA2889"/>
    <w:p w14:paraId="3F8D0955" w14:textId="4D27AC37" w:rsidR="00CD1B77" w:rsidRDefault="00EA2889" w:rsidP="00B327E9">
      <w:pPr>
        <w:rPr>
          <w:szCs w:val="20"/>
        </w:rPr>
      </w:pPr>
      <w:r>
        <w:t xml:space="preserve">We </w:t>
      </w:r>
      <w:r w:rsidR="00D77938">
        <w:t xml:space="preserve">support ESMA’s work on the </w:t>
      </w:r>
      <w:r w:rsidR="00D77938" w:rsidRPr="00555EAD">
        <w:t>Level 2</w:t>
      </w:r>
      <w:r w:rsidR="00C167AD" w:rsidRPr="00555EAD">
        <w:t xml:space="preserve"> and </w:t>
      </w:r>
      <w:r w:rsidR="009520DA" w:rsidRPr="00555EAD">
        <w:t xml:space="preserve">Level </w:t>
      </w:r>
      <w:r w:rsidR="00C167AD" w:rsidRPr="00555EAD">
        <w:t>3</w:t>
      </w:r>
      <w:r w:rsidR="00D77938" w:rsidRPr="00555EAD">
        <w:t xml:space="preserve"> of the Benchmarks Regulation (“BMR”) and we appreciate that ESMA is following a tight schedule. In this response to the Consultation Paper (“CP”) published by ESMA on 29 Sep</w:t>
      </w:r>
      <w:r w:rsidR="00C167AD" w:rsidRPr="00555EAD">
        <w:t>tember 2017</w:t>
      </w:r>
      <w:r w:rsidR="00D77938" w:rsidRPr="00555EAD">
        <w:t>, we offer</w:t>
      </w:r>
      <w:r w:rsidR="00D77938">
        <w:t xml:space="preserve"> our views, informed by our experience as a global index provider, on how we believe the various provisions of the Level 2 draft text could be calibrated</w:t>
      </w:r>
      <w:r w:rsidR="00DF3836" w:rsidRPr="006C1D17">
        <w:rPr>
          <w:szCs w:val="20"/>
        </w:rPr>
        <w:t xml:space="preserve"> and proportionate for non-significant benchmarks</w:t>
      </w:r>
      <w:r w:rsidR="00D77938" w:rsidRPr="006C1D17">
        <w:rPr>
          <w:szCs w:val="20"/>
        </w:rPr>
        <w:t>. In many cases</w:t>
      </w:r>
      <w:r w:rsidR="00CA6F91">
        <w:rPr>
          <w:szCs w:val="20"/>
        </w:rPr>
        <w:t>,</w:t>
      </w:r>
      <w:r w:rsidR="00D77938" w:rsidRPr="006C1D17">
        <w:rPr>
          <w:szCs w:val="20"/>
        </w:rPr>
        <w:t xml:space="preserve"> we build on our response to the ESMA BMR </w:t>
      </w:r>
      <w:r w:rsidR="006C1D17" w:rsidRPr="006C1D17">
        <w:rPr>
          <w:szCs w:val="20"/>
        </w:rPr>
        <w:t>Consultation Pap</w:t>
      </w:r>
      <w:r w:rsidR="006C1D17" w:rsidRPr="00C031ED">
        <w:rPr>
          <w:szCs w:val="20"/>
        </w:rPr>
        <w:t>er</w:t>
      </w:r>
      <w:r w:rsidR="00D77938" w:rsidRPr="00C031ED">
        <w:rPr>
          <w:szCs w:val="20"/>
        </w:rPr>
        <w:t xml:space="preserve"> </w:t>
      </w:r>
      <w:hyperlink r:id="rId20" w:tgtFrame="_blank" w:history="1">
        <w:r w:rsidR="006C1D17" w:rsidRPr="00C031ED">
          <w:rPr>
            <w:rStyle w:val="Strong"/>
            <w:rFonts w:cs="Arial"/>
            <w:b w:val="0"/>
            <w:color w:val="1C2B39"/>
            <w:szCs w:val="20"/>
            <w:shd w:val="clear" w:color="auto" w:fill="FFFFFF"/>
          </w:rPr>
          <w:t>on RTS &amp; ITS under the Benchmarks Regulation</w:t>
        </w:r>
      </w:hyperlink>
      <w:r w:rsidR="00B327E9" w:rsidRPr="00C031ED">
        <w:t xml:space="preserve"> </w:t>
      </w:r>
      <w:r w:rsidR="00C031ED" w:rsidRPr="00C031ED">
        <w:rPr>
          <w:szCs w:val="20"/>
        </w:rPr>
        <w:t>which we submitted in December 2016</w:t>
      </w:r>
      <w:r w:rsidR="00C031ED">
        <w:rPr>
          <w:szCs w:val="20"/>
        </w:rPr>
        <w:t>.</w:t>
      </w:r>
    </w:p>
    <w:p w14:paraId="1A2AEE9A" w14:textId="77777777" w:rsidR="00EA2889" w:rsidRDefault="00EA2889" w:rsidP="00EA2889"/>
    <w:p w14:paraId="30798162" w14:textId="6B827470" w:rsidR="00F61B73" w:rsidRDefault="001F1EC1" w:rsidP="00EA2889">
      <w:pPr>
        <w:rPr>
          <w:u w:val="single"/>
        </w:rPr>
      </w:pPr>
      <w:r w:rsidRPr="00354B90">
        <w:rPr>
          <w:u w:val="single"/>
        </w:rPr>
        <w:t>Key theme</w:t>
      </w:r>
      <w:r w:rsidR="00555EAD" w:rsidRPr="00354B90">
        <w:rPr>
          <w:u w:val="single"/>
        </w:rPr>
        <w:t>s</w:t>
      </w:r>
      <w:r w:rsidR="00F61B73" w:rsidRPr="00354B90">
        <w:rPr>
          <w:u w:val="single"/>
        </w:rPr>
        <w:t xml:space="preserve"> </w:t>
      </w:r>
      <w:r w:rsidR="00555EAD" w:rsidRPr="00354B90">
        <w:rPr>
          <w:u w:val="single"/>
        </w:rPr>
        <w:t>in this</w:t>
      </w:r>
      <w:r w:rsidR="00354B90" w:rsidRPr="00354B90">
        <w:rPr>
          <w:u w:val="single"/>
        </w:rPr>
        <w:t xml:space="preserve"> response</w:t>
      </w:r>
    </w:p>
    <w:p w14:paraId="40656744" w14:textId="678F1AFA" w:rsidR="00F61B73" w:rsidRPr="00354B90" w:rsidRDefault="00F61B73" w:rsidP="00EA2889">
      <w:pPr>
        <w:rPr>
          <w:b/>
        </w:rPr>
      </w:pPr>
      <w:r w:rsidRPr="00354B90">
        <w:rPr>
          <w:b/>
        </w:rPr>
        <w:t>Input data definition</w:t>
      </w:r>
    </w:p>
    <w:p w14:paraId="7A614C96" w14:textId="144F3431" w:rsidR="00EA2889" w:rsidRPr="00354B90" w:rsidRDefault="00F61B73" w:rsidP="00B327E9">
      <w:r w:rsidRPr="00354B90">
        <w:t xml:space="preserve">Throughout the BMR, various requirements are </w:t>
      </w:r>
      <w:r w:rsidR="009520DA" w:rsidRPr="00354B90">
        <w:t>im</w:t>
      </w:r>
      <w:r w:rsidRPr="00354B90">
        <w:t>posed on administrators and contributors of input data. We believe that without further guidance on what exactly constitutes input data, achieving compliance will be difficult. We would very much support clarity from ESMA on the input data definition</w:t>
      </w:r>
      <w:r w:rsidR="001F1EC1" w:rsidRPr="00354B90">
        <w:t xml:space="preserve"> through Level 3 guidelines or Q&amp;A,</w:t>
      </w:r>
      <w:r w:rsidRPr="00354B90">
        <w:t xml:space="preserve"> in particular to confirm that quantity data does not fall within the ‘other values’ within the definition. </w:t>
      </w:r>
    </w:p>
    <w:p w14:paraId="20C3BFC4" w14:textId="77777777" w:rsidR="00E022AF" w:rsidRDefault="00E022AF" w:rsidP="00B327E9"/>
    <w:p w14:paraId="44849486" w14:textId="4AA28B19" w:rsidR="00E022AF" w:rsidRPr="00E022AF" w:rsidRDefault="00E022AF" w:rsidP="00B327E9">
      <w:pPr>
        <w:rPr>
          <w:b/>
        </w:rPr>
      </w:pPr>
      <w:r w:rsidRPr="00E022AF">
        <w:rPr>
          <w:b/>
        </w:rPr>
        <w:t>Contributor three lines of defence</w:t>
      </w:r>
    </w:p>
    <w:p w14:paraId="03F5FFC5" w14:textId="238A5168" w:rsidR="00B327E9" w:rsidRPr="00BF28DA" w:rsidRDefault="00E022AF" w:rsidP="00B327E9">
      <w:r>
        <w:t xml:space="preserve">It is important for a contributor </w:t>
      </w:r>
      <w:r>
        <w:rPr>
          <w:rFonts w:cs="Arial"/>
        </w:rPr>
        <w:t>to put in place robust three lines of control in particular where input data is contributed from a front office function (6.3.2).</w:t>
      </w:r>
      <w:r w:rsidRPr="00E022AF">
        <w:rPr>
          <w:rFonts w:cs="Arial"/>
        </w:rPr>
        <w:t xml:space="preserve"> </w:t>
      </w:r>
      <w:r>
        <w:rPr>
          <w:rFonts w:cs="Arial"/>
        </w:rPr>
        <w:t>However, it would not be proportionate or appropriate for the administrator to “ensure” or be responsible for the internal oversight and verification procedures of another, independent market participant.</w:t>
      </w:r>
      <w:permEnd w:id="1937050393"/>
      <w:r w:rsidR="00B327E9" w:rsidRPr="00BF28DA">
        <w:t>&lt;ESMA_COMMENT_</w:t>
      </w:r>
      <w:r w:rsidR="00C56932">
        <w:rPr>
          <w:rFonts w:cs="Arial"/>
        </w:rPr>
        <w:t>GBMR</w:t>
      </w:r>
      <w:r w:rsidR="00B327E9" w:rsidRPr="00BF28DA">
        <w:t>_1&gt;</w:t>
      </w:r>
    </w:p>
    <w:p w14:paraId="2AC9A34C" w14:textId="028F2E1A" w:rsidR="002E7113" w:rsidRDefault="002E7113" w:rsidP="002E7113">
      <w:pPr>
        <w:pStyle w:val="Heading1"/>
        <w:numPr>
          <w:ilvl w:val="0"/>
          <w:numId w:val="0"/>
        </w:numPr>
      </w:pPr>
    </w:p>
    <w:p w14:paraId="6E441FCE" w14:textId="77777777" w:rsidR="00F31E57" w:rsidRPr="00BF28DA" w:rsidRDefault="00F31E57" w:rsidP="00D34282"/>
    <w:p w14:paraId="6E8151EB" w14:textId="77777777" w:rsidR="00C56932" w:rsidRDefault="00F31E57" w:rsidP="00C56932">
      <w:pPr>
        <w:pStyle w:val="Questionstyle"/>
        <w:numPr>
          <w:ilvl w:val="0"/>
          <w:numId w:val="54"/>
        </w:numPr>
      </w:pPr>
      <w:r w:rsidRPr="0075015C">
        <w:br w:type="page"/>
      </w:r>
      <w:r w:rsidR="00C56932">
        <w:lastRenderedPageBreak/>
        <w:t>:</w:t>
      </w:r>
      <w:r w:rsidR="00C56932" w:rsidRPr="00F67F71">
        <w:t xml:space="preserve"> Do you have any views on the content of the draft guidelines on the oversight function for administrators of non-significant benchmarks? Would you suggest to include any additional e</w:t>
      </w:r>
      <w:r w:rsidR="00C56932" w:rsidRPr="00F67F71">
        <w:t>l</w:t>
      </w:r>
      <w:r w:rsidR="00C56932" w:rsidRPr="00F67F71">
        <w:t>ements or to delete one or more of the elements proposed? Please explain.</w:t>
      </w:r>
    </w:p>
    <w:p w14:paraId="72308567" w14:textId="77777777" w:rsidR="00C56932" w:rsidRDefault="00C56932" w:rsidP="00C56932">
      <w:pPr>
        <w:rPr>
          <w:rFonts w:cs="Arial"/>
        </w:rPr>
      </w:pPr>
      <w:r>
        <w:rPr>
          <w:rFonts w:cs="Arial"/>
        </w:rPr>
        <w:t>&lt;ESMA_QUESTION_GBMR_1&gt;</w:t>
      </w:r>
    </w:p>
    <w:p w14:paraId="42DD3E18" w14:textId="72223E17" w:rsidR="004E3F2F" w:rsidRDefault="004E3F2F" w:rsidP="00C56932">
      <w:permStart w:id="1074155683" w:edGrp="everyone"/>
      <w:r>
        <w:rPr>
          <w:rFonts w:cs="Arial"/>
        </w:rPr>
        <w:t>Regarding the oversight function, w</w:t>
      </w:r>
      <w:r>
        <w:t xml:space="preserve">e believe </w:t>
      </w:r>
      <w:r w:rsidR="00F07169">
        <w:t>BMR will help</w:t>
      </w:r>
      <w:r>
        <w:t xml:space="preserve"> to bring high standards of benchmarks go</w:t>
      </w:r>
      <w:r>
        <w:t>v</w:t>
      </w:r>
      <w:r>
        <w:t>ernance to the market. We find the level of flexibility given to the administrator appropriate.</w:t>
      </w:r>
    </w:p>
    <w:p w14:paraId="1704FB49" w14:textId="77777777" w:rsidR="006579B0" w:rsidRDefault="006579B0" w:rsidP="00C56932"/>
    <w:p w14:paraId="4DC0351D" w14:textId="77777777" w:rsidR="005739E8" w:rsidRDefault="006579B0" w:rsidP="005739E8">
      <w:pPr>
        <w:autoSpaceDE w:val="0"/>
        <w:autoSpaceDN w:val="0"/>
        <w:adjustRightInd w:val="0"/>
        <w:rPr>
          <w:rFonts w:cs="Arial"/>
          <w:szCs w:val="20"/>
          <w:lang w:eastAsia="en-GB"/>
        </w:rPr>
      </w:pPr>
      <w:r>
        <w:t>We are pleased that ESMA recognises the fact that permanent and effective oversight arrangements ensuring the integrity of benchmarks – the oversight function – may consist of several bodies.</w:t>
      </w:r>
      <w:r w:rsidR="005739E8" w:rsidRPr="005739E8">
        <w:rPr>
          <w:rFonts w:cs="Arial"/>
          <w:szCs w:val="20"/>
          <w:lang w:eastAsia="en-GB"/>
        </w:rPr>
        <w:t xml:space="preserve"> </w:t>
      </w:r>
    </w:p>
    <w:p w14:paraId="7CB41154" w14:textId="77777777" w:rsidR="005739E8" w:rsidRDefault="005739E8" w:rsidP="005739E8">
      <w:pPr>
        <w:autoSpaceDE w:val="0"/>
        <w:autoSpaceDN w:val="0"/>
        <w:adjustRightInd w:val="0"/>
        <w:rPr>
          <w:rFonts w:cs="Arial"/>
          <w:szCs w:val="20"/>
          <w:lang w:eastAsia="en-GB"/>
        </w:rPr>
      </w:pPr>
    </w:p>
    <w:p w14:paraId="2F00BD38" w14:textId="430A6801" w:rsidR="006579B0" w:rsidRPr="005739E8" w:rsidRDefault="005739E8" w:rsidP="005739E8">
      <w:pPr>
        <w:autoSpaceDE w:val="0"/>
        <w:autoSpaceDN w:val="0"/>
        <w:adjustRightInd w:val="0"/>
        <w:rPr>
          <w:rFonts w:cs="Arial"/>
          <w:szCs w:val="20"/>
          <w:lang w:eastAsia="en-GB"/>
        </w:rPr>
      </w:pPr>
      <w:r>
        <w:rPr>
          <w:rFonts w:cs="Arial"/>
          <w:szCs w:val="20"/>
          <w:lang w:eastAsia="en-GB"/>
        </w:rPr>
        <w:t xml:space="preserve">We </w:t>
      </w:r>
      <w:r>
        <w:rPr>
          <w:rFonts w:cs="Arial"/>
          <w:szCs w:val="20"/>
          <w:lang w:eastAsia="en-GB"/>
        </w:rPr>
        <w:t>emph</w:t>
      </w:r>
      <w:r>
        <w:rPr>
          <w:rFonts w:cs="Arial"/>
          <w:szCs w:val="20"/>
          <w:lang w:eastAsia="en-GB"/>
        </w:rPr>
        <w:t>a</w:t>
      </w:r>
      <w:r>
        <w:rPr>
          <w:rFonts w:cs="Arial"/>
          <w:szCs w:val="20"/>
          <w:lang w:eastAsia="en-GB"/>
        </w:rPr>
        <w:t>sise the importance of</w:t>
      </w:r>
      <w:r>
        <w:rPr>
          <w:rFonts w:cs="Arial"/>
          <w:szCs w:val="20"/>
          <w:lang w:eastAsia="en-GB"/>
        </w:rPr>
        <w:t xml:space="preserve"> flexibility given to the administrator with regards to the composition of the over</w:t>
      </w:r>
      <w:r>
        <w:rPr>
          <w:rFonts w:cs="Arial"/>
          <w:szCs w:val="20"/>
          <w:lang w:eastAsia="en-GB"/>
        </w:rPr>
        <w:t xml:space="preserve">sight </w:t>
      </w:r>
      <w:r w:rsidR="00706C9E">
        <w:rPr>
          <w:rFonts w:cs="Arial"/>
          <w:szCs w:val="20"/>
          <w:lang w:eastAsia="en-GB"/>
        </w:rPr>
        <w:t>function (i.e. inclusion of external members and</w:t>
      </w:r>
      <w:r w:rsidR="00DB2669">
        <w:rPr>
          <w:rFonts w:cs="Arial"/>
          <w:szCs w:val="20"/>
          <w:lang w:eastAsia="en-GB"/>
        </w:rPr>
        <w:t xml:space="preserve"> multiple</w:t>
      </w:r>
      <w:r w:rsidR="00706C9E">
        <w:rPr>
          <w:rFonts w:cs="Arial"/>
          <w:szCs w:val="20"/>
          <w:lang w:eastAsia="en-GB"/>
        </w:rPr>
        <w:t xml:space="preserve"> </w:t>
      </w:r>
      <w:r>
        <w:rPr>
          <w:rFonts w:cs="Arial"/>
          <w:szCs w:val="20"/>
          <w:lang w:eastAsia="en-GB"/>
        </w:rPr>
        <w:t>committees providin</w:t>
      </w:r>
      <w:r w:rsidR="00706C9E">
        <w:rPr>
          <w:rFonts w:cs="Arial"/>
          <w:szCs w:val="20"/>
          <w:lang w:eastAsia="en-GB"/>
        </w:rPr>
        <w:t>g expert a</w:t>
      </w:r>
      <w:r w:rsidR="00706C9E">
        <w:rPr>
          <w:rFonts w:cs="Arial"/>
          <w:szCs w:val="20"/>
          <w:lang w:eastAsia="en-GB"/>
        </w:rPr>
        <w:t>d</w:t>
      </w:r>
      <w:r w:rsidR="00706C9E">
        <w:rPr>
          <w:rFonts w:cs="Arial"/>
          <w:szCs w:val="20"/>
          <w:lang w:eastAsia="en-GB"/>
        </w:rPr>
        <w:t>vice).</w:t>
      </w:r>
    </w:p>
    <w:p w14:paraId="50F83847" w14:textId="77777777" w:rsidR="00075290" w:rsidRPr="00075290" w:rsidRDefault="00075290" w:rsidP="00C56932">
      <w:pPr>
        <w:rPr>
          <w:rFonts w:cs="Arial"/>
          <w:color w:val="FF0000"/>
        </w:rPr>
      </w:pPr>
    </w:p>
    <w:p w14:paraId="1BB86F86" w14:textId="77777777" w:rsidR="009520DA" w:rsidRDefault="00383D95" w:rsidP="00C56932">
      <w:r>
        <w:rPr>
          <w:rFonts w:cs="Arial"/>
        </w:rPr>
        <w:t xml:space="preserve">We agree with the </w:t>
      </w:r>
      <w:r>
        <w:t xml:space="preserve">draft RTS which allows administrator staff to become members </w:t>
      </w:r>
      <w:r w:rsidR="00B31A35">
        <w:t>of</w:t>
      </w:r>
      <w:r>
        <w:t xml:space="preserve"> the oversight function but without voting rights if they are directly involved in the provision of the respective benchmark. </w:t>
      </w:r>
    </w:p>
    <w:p w14:paraId="14EEA25E" w14:textId="77777777" w:rsidR="009520DA" w:rsidRDefault="009520DA" w:rsidP="00C56932"/>
    <w:p w14:paraId="16AD0A94" w14:textId="7C6738E9" w:rsidR="00383D95" w:rsidRDefault="009520DA" w:rsidP="00C56932">
      <w:r>
        <w:t xml:space="preserve">We agree that </w:t>
      </w:r>
      <w:r w:rsidR="00383D95">
        <w:t xml:space="preserve">staff from the legal or </w:t>
      </w:r>
      <w:r w:rsidR="00383D95" w:rsidRPr="00E00DDE">
        <w:t xml:space="preserve">compliance departments </w:t>
      </w:r>
      <w:r w:rsidRPr="00E00DDE">
        <w:t xml:space="preserve">should </w:t>
      </w:r>
      <w:r w:rsidR="00383D95" w:rsidRPr="00E00DDE">
        <w:t>sit on the oversight functions, and to do so in a voting capacity as the case may be</w:t>
      </w:r>
      <w:r w:rsidR="00383D95">
        <w:t>.</w:t>
      </w:r>
    </w:p>
    <w:p w14:paraId="75868735" w14:textId="77777777" w:rsidR="00C441DE" w:rsidRDefault="00C441DE" w:rsidP="00C56932"/>
    <w:p w14:paraId="6E11748E" w14:textId="4C5C279E" w:rsidR="00C441DE" w:rsidRDefault="00C441DE" w:rsidP="00C56932">
      <w:r>
        <w:t>Whilst we agree that the BMR should be implemented in a proportionate manner, we maintain – as stated in our Discussion Paper response in 2016– that all benchmarks should be administered to the same overall standard in terms of oversight. We do not envisage separate oversight functions for different types of benchmarks.</w:t>
      </w:r>
    </w:p>
    <w:permEnd w:id="1074155683"/>
    <w:p w14:paraId="5DCA18B8" w14:textId="15948D23" w:rsidR="00C56932" w:rsidRDefault="00C56932" w:rsidP="00C56932">
      <w:pPr>
        <w:rPr>
          <w:rFonts w:cs="Arial"/>
        </w:rPr>
      </w:pPr>
      <w:r>
        <w:rPr>
          <w:rFonts w:cs="Arial"/>
        </w:rPr>
        <w:t>&lt;ESMA_QUESTION_GBMR_1&gt;</w:t>
      </w:r>
    </w:p>
    <w:p w14:paraId="7EF7439D" w14:textId="46698C85" w:rsidR="00C56932" w:rsidRDefault="00C56932" w:rsidP="00C56932">
      <w:pPr>
        <w:rPr>
          <w:rFonts w:cs="Arial"/>
        </w:rPr>
      </w:pPr>
    </w:p>
    <w:p w14:paraId="5A409E4F" w14:textId="77777777" w:rsidR="00C56932" w:rsidRDefault="00C56932" w:rsidP="00C56932">
      <w:pPr>
        <w:rPr>
          <w:rFonts w:cs="Arial"/>
        </w:rPr>
      </w:pPr>
    </w:p>
    <w:p w14:paraId="2D233FE2" w14:textId="77777777" w:rsidR="00C56932" w:rsidRDefault="00C56932" w:rsidP="00C56932">
      <w:pPr>
        <w:rPr>
          <w:rFonts w:cs="Arial"/>
        </w:rPr>
      </w:pPr>
    </w:p>
    <w:p w14:paraId="3C56904D" w14:textId="77777777" w:rsidR="00C56932" w:rsidRDefault="00C56932" w:rsidP="00C56932">
      <w:pPr>
        <w:pStyle w:val="Questionstyle"/>
        <w:numPr>
          <w:ilvl w:val="0"/>
          <w:numId w:val="54"/>
        </w:numPr>
      </w:pPr>
      <w:r>
        <w:t xml:space="preserve">: </w:t>
      </w:r>
      <w:r w:rsidRPr="00F67F71">
        <w:t>Do you have any views on the content of the draft guidelines on input data for administrators of non-significant benchmarks? Would you suggest to include any additional elements or to delete one or more of the elements proposed? Please explain.</w:t>
      </w:r>
    </w:p>
    <w:p w14:paraId="5FEAB396" w14:textId="77777777" w:rsidR="00C56932" w:rsidRDefault="00C56932" w:rsidP="00C56932">
      <w:pPr>
        <w:rPr>
          <w:rFonts w:cs="Arial"/>
        </w:rPr>
      </w:pPr>
      <w:r>
        <w:rPr>
          <w:rFonts w:cs="Arial"/>
        </w:rPr>
        <w:t>&lt;ESMA_QUESTION_GBMR_2&gt;</w:t>
      </w:r>
    </w:p>
    <w:p w14:paraId="08650DF8" w14:textId="20790A14" w:rsidR="004E3F2F" w:rsidRPr="00406CF8" w:rsidRDefault="00E43673" w:rsidP="00B01BE0">
      <w:permStart w:id="1699572635" w:edGrp="everyone"/>
      <w:r>
        <w:t>F</w:t>
      </w:r>
      <w:r w:rsidR="004E3F2F">
        <w:t>urther guidance on what exactly constitutes input d</w:t>
      </w:r>
      <w:r w:rsidR="004E3F2F" w:rsidRPr="00406CF8">
        <w:t>ata</w:t>
      </w:r>
      <w:r w:rsidR="00B12E70" w:rsidRPr="00406CF8">
        <w:t xml:space="preserve"> is required.</w:t>
      </w:r>
    </w:p>
    <w:p w14:paraId="461586B2" w14:textId="77777777" w:rsidR="004E3F2F" w:rsidRPr="00406CF8" w:rsidRDefault="004E3F2F" w:rsidP="00B01BE0"/>
    <w:p w14:paraId="20D0B096" w14:textId="27D589D5" w:rsidR="00B01BE0" w:rsidRDefault="00B01BE0" w:rsidP="00B01BE0">
      <w:r w:rsidRPr="00406CF8">
        <w:t>Index determinations generally involve the summation of products of the form (constituent quantity x constituent price); this sum may be normalised by a divisor to set the index at a particular value at a certain date and thereafter to ensure historical consistency.  In simple cases, for example the calculation of an index of a borrowing rate from contributed estimates</w:t>
      </w:r>
      <w:r>
        <w:t>, the constituent quantities are set to one (and the divisor to the number of estimates).  In basic equity market capitalisation-weighted indices, the quant</w:t>
      </w:r>
      <w:r>
        <w:t>i</w:t>
      </w:r>
      <w:r>
        <w:t>ties are determined by the number of shares outstanding of the constituent.  For investability-weighted equity market indices, the quantity is determined by the number of shares outstanding that are available for purchase by non-restricted (public) investors (the so called free float).  In alternatively-weighted ind</w:t>
      </w:r>
      <w:r>
        <w:t>i</w:t>
      </w:r>
      <w:r>
        <w:t>ces, the quantity of shares might be determined by some measure of the constituent’s fundamental weight, or by the constituent’s exposure to some desirable characteristic.</w:t>
      </w:r>
    </w:p>
    <w:p w14:paraId="011327F0" w14:textId="77777777" w:rsidR="00B01BE0" w:rsidRDefault="00B01BE0" w:rsidP="00B01BE0"/>
    <w:p w14:paraId="56EFD390" w14:textId="581AF40A" w:rsidR="00B01BE0" w:rsidRDefault="00B01BE0" w:rsidP="00B01BE0">
      <w:r>
        <w:t>The pricing element clearly falls within input data definition</w:t>
      </w:r>
      <w:r w:rsidR="003E5497">
        <w:t xml:space="preserve"> (Article 3(1)(14) “</w:t>
      </w:r>
      <w:r w:rsidR="003E5497">
        <w:rPr>
          <w:i/>
          <w:iCs/>
        </w:rPr>
        <w:t>data in respect of the value of one or more underlying assets, or prices, including estimated prices, quotes, committed quotes or other values</w:t>
      </w:r>
      <w:r w:rsidR="003E5497">
        <w:t>”)</w:t>
      </w:r>
      <w:r>
        <w:t xml:space="preserve">. It is not clear whether quantity data, would qualify under </w:t>
      </w:r>
      <w:r>
        <w:rPr>
          <w:i/>
          <w:iCs/>
        </w:rPr>
        <w:t>‘other values’</w:t>
      </w:r>
      <w:r>
        <w:t xml:space="preserve">. </w:t>
      </w:r>
      <w:r w:rsidR="003E5497">
        <w:t>We rely on ESMA to help clarify this in Level 3 guidelines or Q&amp;A.</w:t>
      </w:r>
    </w:p>
    <w:p w14:paraId="125FAE74" w14:textId="77777777" w:rsidR="00B01BE0" w:rsidRDefault="00B01BE0" w:rsidP="00B01BE0"/>
    <w:p w14:paraId="1C48E391" w14:textId="09FCA1A4" w:rsidR="00B01BE0" w:rsidRPr="00406CF8" w:rsidRDefault="003E5497" w:rsidP="00B01BE0">
      <w:r>
        <w:t>As a market practitioner, we would suggest that</w:t>
      </w:r>
      <w:r w:rsidR="00B01BE0">
        <w:t xml:space="preserve"> “</w:t>
      </w:r>
      <w:r w:rsidR="00B01BE0">
        <w:rPr>
          <w:i/>
          <w:iCs/>
        </w:rPr>
        <w:t>other values</w:t>
      </w:r>
      <w:r w:rsidR="00B01BE0">
        <w:t>” should be understood in the context of the prior wording “</w:t>
      </w:r>
      <w:r w:rsidR="00B01BE0">
        <w:rPr>
          <w:i/>
          <w:iCs/>
        </w:rPr>
        <w:t>data in respect of the value of one or more underlying assets</w:t>
      </w:r>
      <w:r w:rsidR="00B01BE0">
        <w:t xml:space="preserve">”, and specifically not to data in </w:t>
      </w:r>
      <w:r w:rsidR="00B01BE0" w:rsidRPr="00E43673">
        <w:t xml:space="preserve">respect of the </w:t>
      </w:r>
      <w:r w:rsidR="00B01BE0" w:rsidRPr="00406CF8">
        <w:t xml:space="preserve">quantity of a constituent.  </w:t>
      </w:r>
    </w:p>
    <w:p w14:paraId="4994300D" w14:textId="77777777" w:rsidR="00B01BE0" w:rsidRPr="00406CF8" w:rsidRDefault="00B01BE0" w:rsidP="00B01BE0"/>
    <w:p w14:paraId="21BAA467" w14:textId="5516F821" w:rsidR="00B12E70" w:rsidRPr="00406CF8" w:rsidRDefault="00B12E70" w:rsidP="00B01BE0">
      <w:r w:rsidRPr="00406CF8">
        <w:t>Without this clarification, providers of quantity data might be construed as contributors.  The providers may not wish to agree a code of conduct with respect to this quantity data and that could jeopardise the conti</w:t>
      </w:r>
      <w:r w:rsidRPr="00406CF8">
        <w:t>n</w:t>
      </w:r>
      <w:r w:rsidRPr="00406CF8">
        <w:t>uation of many benchmarks to the detriment of benchmark users.  It would also nullify the regulated data benchmark provisions present in the regulation as no regulated data benchmarks could exist.</w:t>
      </w:r>
    </w:p>
    <w:p w14:paraId="43C1740C" w14:textId="77777777" w:rsidR="00D3004D" w:rsidRPr="00406CF8" w:rsidRDefault="00D3004D" w:rsidP="00B01BE0"/>
    <w:p w14:paraId="2DFA61EE" w14:textId="0C9856FA" w:rsidR="00D3004D" w:rsidRPr="00406CF8" w:rsidRDefault="00D3004D" w:rsidP="00D3004D">
      <w:pPr>
        <w:rPr>
          <w:rFonts w:cs="Arial"/>
        </w:rPr>
      </w:pPr>
      <w:r w:rsidRPr="00406CF8">
        <w:rPr>
          <w:rFonts w:cs="Arial"/>
        </w:rPr>
        <w:t xml:space="preserve">The proposed guidelines in [6.3.1] should only apply to </w:t>
      </w:r>
      <w:r w:rsidRPr="00406CF8">
        <w:rPr>
          <w:rFonts w:cs="Arial"/>
          <w:u w:val="single"/>
        </w:rPr>
        <w:t xml:space="preserve">contributed </w:t>
      </w:r>
      <w:r w:rsidRPr="00406CF8">
        <w:rPr>
          <w:rFonts w:cs="Arial"/>
        </w:rPr>
        <w:t xml:space="preserve">input data.  This should be clear throughout the guidelines but particularly in point (d).  This is important as input data will encompass transaction data sourced from many non-MiFID venues (and therefore not considered as regulated data) and the requirements set out in the guidelines would be excessive for such input data.  The problem would be further exacerbated without the requested clarification on the definition of input data requested.  </w:t>
      </w:r>
    </w:p>
    <w:p w14:paraId="55295B60" w14:textId="77777777" w:rsidR="00B12E70" w:rsidRPr="00406CF8" w:rsidRDefault="00B12E70" w:rsidP="00B01BE0"/>
    <w:p w14:paraId="550447E0" w14:textId="5F13B283" w:rsidR="00B01BE0" w:rsidRPr="00406CF8" w:rsidRDefault="003E5497" w:rsidP="00B01BE0">
      <w:r w:rsidRPr="00406CF8">
        <w:t xml:space="preserve">We support </w:t>
      </w:r>
      <w:r w:rsidR="00D61528" w:rsidRPr="00406CF8">
        <w:t>that ESMA differentiates</w:t>
      </w:r>
      <w:r w:rsidRPr="00406CF8">
        <w:t xml:space="preserve"> between input data and front office contributed input data. </w:t>
      </w:r>
      <w:r w:rsidR="00B01BE0" w:rsidRPr="00406CF8">
        <w:t xml:space="preserve">We would appreciate </w:t>
      </w:r>
      <w:r w:rsidR="00B12E70" w:rsidRPr="00406CF8">
        <w:t xml:space="preserve">confirmation </w:t>
      </w:r>
      <w:r w:rsidR="00B01BE0" w:rsidRPr="00406CF8">
        <w:t xml:space="preserve">from ESMA that the </w:t>
      </w:r>
      <w:r w:rsidR="006F2D19" w:rsidRPr="00406CF8">
        <w:t xml:space="preserve">responsibility for </w:t>
      </w:r>
      <w:r w:rsidR="00B01BE0" w:rsidRPr="00406CF8">
        <w:t>internal oversight and verification proc</w:t>
      </w:r>
      <w:r w:rsidR="00B01BE0" w:rsidRPr="00406CF8">
        <w:t>e</w:t>
      </w:r>
      <w:r w:rsidR="00B01BE0" w:rsidRPr="00406CF8">
        <w:t>dures where the input data is contributed from a front office function</w:t>
      </w:r>
      <w:r w:rsidR="00D61528" w:rsidRPr="00406CF8">
        <w:t>,</w:t>
      </w:r>
      <w:r w:rsidR="006F2D19" w:rsidRPr="00406CF8">
        <w:t xml:space="preserve"> rests with the contributor</w:t>
      </w:r>
      <w:r w:rsidR="00B01BE0" w:rsidRPr="00406CF8">
        <w:t>.</w:t>
      </w:r>
      <w:r w:rsidR="006F2D19" w:rsidRPr="00406CF8">
        <w:t xml:space="preserve"> The r</w:t>
      </w:r>
      <w:r w:rsidR="006F2D19" w:rsidRPr="00406CF8">
        <w:t>e</w:t>
      </w:r>
      <w:r w:rsidR="006F2D19" w:rsidRPr="00406CF8">
        <w:t xml:space="preserve">spective responsibilities between administrator and contributor would be outlined and agreed in a Code of Conduct. </w:t>
      </w:r>
    </w:p>
    <w:p w14:paraId="49F8649F" w14:textId="355A2486" w:rsidR="00C56932" w:rsidRPr="00406CF8" w:rsidRDefault="00C56932" w:rsidP="00C56932">
      <w:pPr>
        <w:rPr>
          <w:rFonts w:cs="Arial"/>
        </w:rPr>
      </w:pPr>
    </w:p>
    <w:p w14:paraId="673EFAD8" w14:textId="55ABADD5" w:rsidR="008664FC" w:rsidRDefault="008664FC" w:rsidP="00C56932">
      <w:pPr>
        <w:rPr>
          <w:rFonts w:cs="Arial"/>
        </w:rPr>
      </w:pPr>
      <w:r w:rsidRPr="00406CF8">
        <w:rPr>
          <w:rFonts w:cs="Arial"/>
        </w:rPr>
        <w:t xml:space="preserve">We support ESMA’s perspective </w:t>
      </w:r>
      <w:r>
        <w:rPr>
          <w:rFonts w:cs="Arial"/>
        </w:rPr>
        <w:t>that e</w:t>
      </w:r>
      <w:r>
        <w:t>ven for the less used benchmarks, i.e. non-significant benchmarks, the quality of input data cannot be underestimated.</w:t>
      </w:r>
    </w:p>
    <w:permEnd w:id="1699572635"/>
    <w:p w14:paraId="59390D83" w14:textId="4C9C1285" w:rsidR="00C56932" w:rsidRDefault="00C56932" w:rsidP="00C56932">
      <w:pPr>
        <w:rPr>
          <w:rFonts w:cs="Arial"/>
        </w:rPr>
      </w:pPr>
      <w:r>
        <w:rPr>
          <w:rFonts w:cs="Arial"/>
        </w:rPr>
        <w:t>&lt;ESMA_QUESTION_GBMR_2&gt;</w:t>
      </w:r>
    </w:p>
    <w:p w14:paraId="1A7F480B" w14:textId="6A866107" w:rsidR="00C56932" w:rsidRDefault="00C56932" w:rsidP="00C56932">
      <w:pPr>
        <w:rPr>
          <w:rFonts w:cs="Arial"/>
        </w:rPr>
      </w:pPr>
    </w:p>
    <w:p w14:paraId="404528DA" w14:textId="77777777" w:rsidR="00C56932" w:rsidRDefault="00C56932" w:rsidP="00C56932">
      <w:pPr>
        <w:rPr>
          <w:rFonts w:cs="Arial"/>
        </w:rPr>
      </w:pPr>
    </w:p>
    <w:p w14:paraId="7CC84E0D" w14:textId="77777777" w:rsidR="00C56932" w:rsidRDefault="00C56932" w:rsidP="00C56932">
      <w:pPr>
        <w:rPr>
          <w:rFonts w:cs="Arial"/>
        </w:rPr>
      </w:pPr>
    </w:p>
    <w:p w14:paraId="2B674568" w14:textId="2FE07CC6" w:rsidR="00C56932" w:rsidRDefault="00C56932" w:rsidP="00C56932">
      <w:pPr>
        <w:pStyle w:val="Questionstyle"/>
        <w:numPr>
          <w:ilvl w:val="0"/>
          <w:numId w:val="54"/>
        </w:numPr>
      </w:pPr>
      <w:r>
        <w:t xml:space="preserve">: </w:t>
      </w:r>
      <w:r w:rsidRPr="00F67F71">
        <w:t>Do you think the proposal to include in the guidelines a requirement for the three levels of control functions appropriate for administrator of non-sign</w:t>
      </w:r>
      <w:r>
        <w:t>i</w:t>
      </w:r>
      <w:r w:rsidRPr="00F67F71">
        <w:t>ficant benchmarks?</w:t>
      </w:r>
    </w:p>
    <w:p w14:paraId="33DE63D9" w14:textId="77777777" w:rsidR="00C56932" w:rsidRDefault="00C56932" w:rsidP="00C56932">
      <w:pPr>
        <w:rPr>
          <w:rFonts w:cs="Arial"/>
        </w:rPr>
      </w:pPr>
      <w:r>
        <w:rPr>
          <w:rFonts w:cs="Arial"/>
        </w:rPr>
        <w:t>&lt;ESMA_QUESTION_GBMR_3&gt;</w:t>
      </w:r>
    </w:p>
    <w:p w14:paraId="003AD1BD" w14:textId="42699CA7" w:rsidR="009B451C" w:rsidRPr="00D3004D" w:rsidRDefault="009B451C" w:rsidP="00C56932">
      <w:pPr>
        <w:rPr>
          <w:rFonts w:cs="Arial"/>
          <w:color w:val="FF0000"/>
        </w:rPr>
      </w:pPr>
      <w:permStart w:id="140182431" w:edGrp="everyone"/>
      <w:r>
        <w:rPr>
          <w:rFonts w:cs="Arial"/>
        </w:rPr>
        <w:t xml:space="preserve">We </w:t>
      </w:r>
      <w:r w:rsidRPr="00E43673">
        <w:rPr>
          <w:rFonts w:cs="Arial"/>
        </w:rPr>
        <w:t>understand that the requirements for the three lines of control refer to contributors where input data is contributed from a front office function (6.3.2).</w:t>
      </w:r>
      <w:r w:rsidR="00D3004D" w:rsidRPr="00E43673">
        <w:rPr>
          <w:rFonts w:cs="Arial"/>
        </w:rPr>
        <w:t>An administrator should request assurance that these ove</w:t>
      </w:r>
      <w:r w:rsidR="00D3004D" w:rsidRPr="00E43673">
        <w:rPr>
          <w:rFonts w:cs="Arial"/>
        </w:rPr>
        <w:t>r</w:t>
      </w:r>
      <w:r w:rsidR="00D3004D" w:rsidRPr="00E43673">
        <w:rPr>
          <w:rFonts w:cs="Arial"/>
        </w:rPr>
        <w:t xml:space="preserve">sight procedures are in place.  </w:t>
      </w:r>
    </w:p>
    <w:p w14:paraId="1B410168" w14:textId="77777777" w:rsidR="009B451C" w:rsidRDefault="009B451C" w:rsidP="00C56932">
      <w:pPr>
        <w:rPr>
          <w:rFonts w:cs="Arial"/>
        </w:rPr>
      </w:pPr>
    </w:p>
    <w:p w14:paraId="75A95717" w14:textId="588FD3F8" w:rsidR="00C56932" w:rsidRDefault="009B451C" w:rsidP="00C56932">
      <w:pPr>
        <w:rPr>
          <w:rFonts w:cs="Arial"/>
        </w:rPr>
      </w:pPr>
      <w:r>
        <w:rPr>
          <w:rFonts w:cs="Arial"/>
        </w:rPr>
        <w:t>However, it would not be proportionate or appropriate for the administrator to “</w:t>
      </w:r>
      <w:r w:rsidRPr="001C5C1D">
        <w:rPr>
          <w:rFonts w:cs="Arial"/>
          <w:i/>
        </w:rPr>
        <w:t>ensure</w:t>
      </w:r>
      <w:r>
        <w:rPr>
          <w:rFonts w:cs="Arial"/>
        </w:rPr>
        <w:t>” or be responsible for the internal oversight and verification procedures of another, independent market participant.</w:t>
      </w:r>
    </w:p>
    <w:permEnd w:id="140182431"/>
    <w:p w14:paraId="7C7F16B2" w14:textId="621805E0" w:rsidR="00C56932" w:rsidRDefault="00C56932" w:rsidP="00C56932">
      <w:pPr>
        <w:rPr>
          <w:rFonts w:cs="Arial"/>
        </w:rPr>
      </w:pPr>
      <w:r>
        <w:rPr>
          <w:rFonts w:cs="Arial"/>
        </w:rPr>
        <w:t>&lt;ESMA_QUESTION_GBMR_3&gt;</w:t>
      </w:r>
    </w:p>
    <w:p w14:paraId="4EA64E6C" w14:textId="7722643F" w:rsidR="00C56932" w:rsidRDefault="00C56932" w:rsidP="00C56932">
      <w:pPr>
        <w:rPr>
          <w:rFonts w:cs="Arial"/>
        </w:rPr>
      </w:pPr>
    </w:p>
    <w:p w14:paraId="7D6CCCCE" w14:textId="77777777" w:rsidR="00C56932" w:rsidRDefault="00C56932" w:rsidP="00C56932">
      <w:pPr>
        <w:rPr>
          <w:rFonts w:cs="Arial"/>
        </w:rPr>
      </w:pPr>
    </w:p>
    <w:p w14:paraId="3296A8EB" w14:textId="77777777" w:rsidR="00C56932" w:rsidRDefault="00C56932" w:rsidP="00C56932">
      <w:pPr>
        <w:rPr>
          <w:rFonts w:cs="Arial"/>
        </w:rPr>
      </w:pPr>
    </w:p>
    <w:p w14:paraId="58DB1BC2" w14:textId="1A63B321" w:rsidR="00C56932" w:rsidRDefault="00C56932" w:rsidP="00C56932">
      <w:pPr>
        <w:pStyle w:val="Questionstyle"/>
        <w:numPr>
          <w:ilvl w:val="0"/>
          <w:numId w:val="54"/>
        </w:numPr>
      </w:pPr>
      <w:r>
        <w:t xml:space="preserve">: </w:t>
      </w:r>
      <w:r w:rsidRPr="00F67F71">
        <w:t>Do you agree with the content of the draft guidelines on the transparency of the m</w:t>
      </w:r>
      <w:r w:rsidR="00EB0BB9">
        <w:t>ethodol</w:t>
      </w:r>
      <w:r w:rsidR="00EB0BB9">
        <w:t>o</w:t>
      </w:r>
      <w:r w:rsidR="00EB0BB9">
        <w:t xml:space="preserve">gy for administrators </w:t>
      </w:r>
      <w:r w:rsidR="00EB0BB9" w:rsidRPr="00EB0BB9">
        <w:t>of</w:t>
      </w:r>
      <w:r w:rsidRPr="00F67F71">
        <w:t xml:space="preserve"> non-significant benchmarks? Would you suggest to include any add</w:t>
      </w:r>
      <w:r w:rsidRPr="00F67F71">
        <w:t>i</w:t>
      </w:r>
      <w:r w:rsidRPr="00F67F71">
        <w:t>tional elements or to delete one or more of the elements proposed? Please explain.</w:t>
      </w:r>
    </w:p>
    <w:p w14:paraId="68C4B9E4" w14:textId="77777777" w:rsidR="00C56932" w:rsidRDefault="00C56932" w:rsidP="00C56932">
      <w:pPr>
        <w:rPr>
          <w:rFonts w:cs="Arial"/>
        </w:rPr>
      </w:pPr>
      <w:r>
        <w:rPr>
          <w:rFonts w:cs="Arial"/>
        </w:rPr>
        <w:t>&lt;ESMA_QUESTION_GBMR_4&gt;</w:t>
      </w:r>
    </w:p>
    <w:p w14:paraId="68AB86BC" w14:textId="77777777" w:rsidR="00E43673" w:rsidRDefault="00AA53A3" w:rsidP="00C56932">
      <w:pPr>
        <w:rPr>
          <w:rFonts w:cs="Arial"/>
        </w:rPr>
      </w:pPr>
      <w:permStart w:id="455625406" w:edGrp="everyone"/>
      <w:r>
        <w:rPr>
          <w:rFonts w:cs="Arial"/>
        </w:rPr>
        <w:t>We are supportive of the draft guidelines regarding the key elements of the metho</w:t>
      </w:r>
      <w:r w:rsidR="001F1EC1">
        <w:rPr>
          <w:rFonts w:cs="Arial"/>
        </w:rPr>
        <w:t>dolo</w:t>
      </w:r>
      <w:r>
        <w:rPr>
          <w:rFonts w:cs="Arial"/>
        </w:rPr>
        <w:t>gy to be published or made available by administrators of non significant benchmarks.</w:t>
      </w:r>
      <w:r w:rsidR="00D3004D">
        <w:rPr>
          <w:rFonts w:cs="Arial"/>
        </w:rPr>
        <w:t xml:space="preserve">  </w:t>
      </w:r>
    </w:p>
    <w:p w14:paraId="5F11FF5D" w14:textId="77777777" w:rsidR="00E43673" w:rsidRDefault="00E43673" w:rsidP="00C56932">
      <w:pPr>
        <w:rPr>
          <w:rFonts w:cs="Arial"/>
        </w:rPr>
      </w:pPr>
    </w:p>
    <w:p w14:paraId="5DCA07F1" w14:textId="7E3DFDC4" w:rsidR="00AA53A3" w:rsidRPr="00B003AC" w:rsidRDefault="00E43673" w:rsidP="00C56932">
      <w:pPr>
        <w:rPr>
          <w:rFonts w:cs="Arial"/>
        </w:rPr>
      </w:pPr>
      <w:r w:rsidRPr="00B003AC">
        <w:rPr>
          <w:rFonts w:cs="Arial"/>
        </w:rPr>
        <w:t>Regarding 7.3.1</w:t>
      </w:r>
      <w:r w:rsidR="006B4873" w:rsidRPr="00B003AC">
        <w:rPr>
          <w:rFonts w:cs="Arial"/>
        </w:rPr>
        <w:t xml:space="preserve"> “</w:t>
      </w:r>
      <w:r w:rsidR="006B4873" w:rsidRPr="00B003AC">
        <w:rPr>
          <w:rFonts w:cs="Arial"/>
          <w:i/>
        </w:rPr>
        <w:t>an administrator…should publish or make available at least the following information, as applicable to the relevant benchmark and input data used:</w:t>
      </w:r>
      <w:r w:rsidR="00C402DE">
        <w:rPr>
          <w:rFonts w:cs="Arial"/>
          <w:i/>
        </w:rPr>
        <w:t>..</w:t>
      </w:r>
      <w:r w:rsidR="006B4873" w:rsidRPr="00B003AC">
        <w:rPr>
          <w:rFonts w:cs="Arial"/>
          <w:i/>
        </w:rPr>
        <w:t xml:space="preserve"> b) the currency or other unit of measure of the benchmark”</w:t>
      </w:r>
      <w:r w:rsidR="00B003AC" w:rsidRPr="00B003AC">
        <w:rPr>
          <w:rFonts w:cs="Arial"/>
        </w:rPr>
        <w:t>- we</w:t>
      </w:r>
      <w:r w:rsidR="00D3004D" w:rsidRPr="00B003AC">
        <w:rPr>
          <w:rFonts w:cs="Arial"/>
        </w:rPr>
        <w:t xml:space="preserve"> would point out that many benchmarks are</w:t>
      </w:r>
      <w:r w:rsidR="001C0877">
        <w:rPr>
          <w:rFonts w:cs="Arial"/>
        </w:rPr>
        <w:t xml:space="preserve"> </w:t>
      </w:r>
      <w:r w:rsidR="00D3004D" w:rsidRPr="00B003AC">
        <w:rPr>
          <w:rFonts w:cs="Arial"/>
        </w:rPr>
        <w:t>dimensionless and without units</w:t>
      </w:r>
      <w:r w:rsidR="00C402DE">
        <w:rPr>
          <w:rFonts w:cs="Arial"/>
        </w:rPr>
        <w:t>. A</w:t>
      </w:r>
      <w:r w:rsidR="00D3004D" w:rsidRPr="00B003AC">
        <w:rPr>
          <w:rFonts w:cs="Arial"/>
        </w:rPr>
        <w:t>l</w:t>
      </w:r>
      <w:r w:rsidR="00D3004D" w:rsidRPr="00B003AC">
        <w:rPr>
          <w:rFonts w:cs="Arial"/>
        </w:rPr>
        <w:t>t</w:t>
      </w:r>
      <w:r w:rsidR="00D3004D" w:rsidRPr="00B003AC">
        <w:rPr>
          <w:rFonts w:cs="Arial"/>
        </w:rPr>
        <w:t xml:space="preserve">hough it is possible to calculate </w:t>
      </w:r>
      <w:r w:rsidR="00C402DE">
        <w:rPr>
          <w:rFonts w:cs="Arial"/>
        </w:rPr>
        <w:t>benchmarks</w:t>
      </w:r>
      <w:r w:rsidR="00D3004D" w:rsidRPr="00B003AC">
        <w:rPr>
          <w:rFonts w:cs="Arial"/>
        </w:rPr>
        <w:t xml:space="preserve"> in various base cur</w:t>
      </w:r>
      <w:r w:rsidR="00164864">
        <w:rPr>
          <w:rFonts w:cs="Arial"/>
        </w:rPr>
        <w:t xml:space="preserve">rencies, </w:t>
      </w:r>
      <w:r w:rsidR="00D3004D" w:rsidRPr="00B003AC">
        <w:rPr>
          <w:rFonts w:cs="Arial"/>
        </w:rPr>
        <w:t>it is general practice for equity benchmarks to calculate both a price only (without dividend reinvestment) and a total return (with div</w:t>
      </w:r>
      <w:r w:rsidR="00D3004D" w:rsidRPr="00B003AC">
        <w:rPr>
          <w:rFonts w:cs="Arial"/>
        </w:rPr>
        <w:t>i</w:t>
      </w:r>
      <w:r w:rsidR="00D3004D" w:rsidRPr="00B003AC">
        <w:rPr>
          <w:rFonts w:cs="Arial"/>
        </w:rPr>
        <w:t>dends reinvested) version.</w:t>
      </w:r>
      <w:r w:rsidR="00B003AC" w:rsidRPr="00B003AC">
        <w:rPr>
          <w:rFonts w:cs="Arial"/>
        </w:rPr>
        <w:t xml:space="preserve"> Accordingly, we highlight that it would not always be </w:t>
      </w:r>
      <w:r w:rsidR="00875924">
        <w:rPr>
          <w:rFonts w:cs="Arial"/>
        </w:rPr>
        <w:t xml:space="preserve">possible or </w:t>
      </w:r>
      <w:r w:rsidR="00B003AC" w:rsidRPr="00B003AC">
        <w:rPr>
          <w:rFonts w:cs="Arial"/>
        </w:rPr>
        <w:t>appropriate for “</w:t>
      </w:r>
      <w:r w:rsidR="00B003AC" w:rsidRPr="00B003AC">
        <w:rPr>
          <w:rFonts w:cs="Arial"/>
          <w:i/>
        </w:rPr>
        <w:t>the cu</w:t>
      </w:r>
      <w:r w:rsidR="00B003AC" w:rsidRPr="00B003AC">
        <w:rPr>
          <w:rFonts w:cs="Arial"/>
          <w:i/>
        </w:rPr>
        <w:t>r</w:t>
      </w:r>
      <w:r w:rsidR="00B003AC" w:rsidRPr="00B003AC">
        <w:rPr>
          <w:rFonts w:cs="Arial"/>
          <w:i/>
        </w:rPr>
        <w:t>rency or other unit of measure of the benchmark”</w:t>
      </w:r>
      <w:r w:rsidR="00B003AC" w:rsidRPr="00B003AC">
        <w:rPr>
          <w:rFonts w:cs="Arial"/>
        </w:rPr>
        <w:t xml:space="preserve"> to be published/made available.</w:t>
      </w:r>
    </w:p>
    <w:permEnd w:id="455625406"/>
    <w:p w14:paraId="7DCB908C" w14:textId="0CC45959" w:rsidR="00C56932" w:rsidRDefault="00C56932" w:rsidP="00C56932">
      <w:pPr>
        <w:rPr>
          <w:rFonts w:cs="Arial"/>
        </w:rPr>
      </w:pPr>
      <w:r>
        <w:rPr>
          <w:rFonts w:cs="Arial"/>
        </w:rPr>
        <w:t>&lt;ESMA_QUESTION_GBMR_4&gt;</w:t>
      </w:r>
    </w:p>
    <w:p w14:paraId="63A45211" w14:textId="77777777" w:rsidR="00C56932" w:rsidRDefault="00C56932" w:rsidP="00C56932">
      <w:pPr>
        <w:rPr>
          <w:rFonts w:cs="Arial"/>
        </w:rPr>
      </w:pPr>
    </w:p>
    <w:p w14:paraId="05753855" w14:textId="77777777" w:rsidR="00C56932" w:rsidRDefault="00C56932" w:rsidP="00C56932">
      <w:pPr>
        <w:rPr>
          <w:rFonts w:cs="Arial"/>
        </w:rPr>
      </w:pPr>
    </w:p>
    <w:p w14:paraId="23DC8C97" w14:textId="77777777" w:rsidR="00C56932" w:rsidRDefault="00C56932" w:rsidP="00C56932">
      <w:pPr>
        <w:pStyle w:val="Questionstyle"/>
        <w:ind w:left="720"/>
      </w:pPr>
    </w:p>
    <w:p w14:paraId="7CFED6E3" w14:textId="46AF6B6D" w:rsidR="00C56932" w:rsidRDefault="00C56932" w:rsidP="00C56932">
      <w:pPr>
        <w:pStyle w:val="Questionstyle"/>
        <w:numPr>
          <w:ilvl w:val="0"/>
          <w:numId w:val="54"/>
        </w:numPr>
      </w:pPr>
      <w:r>
        <w:t xml:space="preserve">: </w:t>
      </w:r>
      <w:r w:rsidRPr="00F67F71">
        <w:t>Do you think the proposal to include in the guidelines a requirement for publishing or mak</w:t>
      </w:r>
      <w:r w:rsidR="00EB0BB9" w:rsidRPr="00EB0BB9">
        <w:t>ing</w:t>
      </w:r>
      <w:r w:rsidRPr="00F67F71">
        <w:t xml:space="preserve"> available to the public “a description of specific events that may give rise to an internal review including any mechanism used by the administrator to determine whether the methodology is traceable and verifiable” is appropriate for administrator of non-sign</w:t>
      </w:r>
      <w:r w:rsidR="00EB0BB9" w:rsidRPr="00EB0BB9">
        <w:t>i</w:t>
      </w:r>
      <w:r w:rsidRPr="00F67F71">
        <w:t>ficant benchmarks?</w:t>
      </w:r>
    </w:p>
    <w:p w14:paraId="5786C3A4" w14:textId="77777777" w:rsidR="00C56932" w:rsidRDefault="00C56932" w:rsidP="00C56932">
      <w:pPr>
        <w:rPr>
          <w:rFonts w:cs="Arial"/>
        </w:rPr>
      </w:pPr>
      <w:r>
        <w:rPr>
          <w:rFonts w:cs="Arial"/>
        </w:rPr>
        <w:t>&lt;ESMA_QUESTION_GBMR_5&gt;</w:t>
      </w:r>
    </w:p>
    <w:p w14:paraId="7537D83F" w14:textId="6AFCC002" w:rsidR="00534E31" w:rsidRPr="00492201" w:rsidRDefault="00E856B2" w:rsidP="003A529D">
      <w:permStart w:id="279475324" w:edGrp="everyone"/>
      <w:r w:rsidRPr="00492201">
        <w:rPr>
          <w:rFonts w:cs="Arial"/>
        </w:rPr>
        <w:t xml:space="preserve">FTSE Russell </w:t>
      </w:r>
      <w:r w:rsidR="003A529D" w:rsidRPr="00492201">
        <w:rPr>
          <w:rFonts w:cs="Arial"/>
        </w:rPr>
        <w:t>already make</w:t>
      </w:r>
      <w:r w:rsidRPr="00492201">
        <w:rPr>
          <w:rFonts w:cs="Arial"/>
        </w:rPr>
        <w:t>s</w:t>
      </w:r>
      <w:r w:rsidR="003A529D" w:rsidRPr="00492201">
        <w:rPr>
          <w:rFonts w:cs="Arial"/>
        </w:rPr>
        <w:t xml:space="preserve"> clear how benchmark methodologies go through a rigorous and regular review process. </w:t>
      </w:r>
      <w:r w:rsidR="00CC639B" w:rsidRPr="00492201">
        <w:rPr>
          <w:rFonts w:cs="Arial"/>
        </w:rPr>
        <w:t>Such reviews may</w:t>
      </w:r>
      <w:r w:rsidRPr="00492201">
        <w:rPr>
          <w:rFonts w:cs="Arial"/>
        </w:rPr>
        <w:t xml:space="preserve"> take place due to the developments within the </w:t>
      </w:r>
      <w:r w:rsidR="00F5585D" w:rsidRPr="00492201">
        <w:rPr>
          <w:rFonts w:cs="Arial"/>
        </w:rPr>
        <w:t>market</w:t>
      </w:r>
      <w:r w:rsidRPr="00492201">
        <w:rPr>
          <w:rFonts w:cs="Arial"/>
        </w:rPr>
        <w:t>, ideas</w:t>
      </w:r>
      <w:r w:rsidR="00F5585D" w:rsidRPr="00492201">
        <w:rPr>
          <w:rFonts w:cs="Arial"/>
        </w:rPr>
        <w:t xml:space="preserve"> generated internally or suggested by external advisory committee members and other stakeholders,</w:t>
      </w:r>
      <w:r w:rsidRPr="00492201">
        <w:rPr>
          <w:rFonts w:cs="Arial"/>
        </w:rPr>
        <w:t xml:space="preserve"> and the annual review required by the BMR.  </w:t>
      </w:r>
      <w:r w:rsidR="00F5585D" w:rsidRPr="00492201">
        <w:rPr>
          <w:rFonts w:cs="Arial"/>
          <w:highlight w:val="yellow"/>
        </w:rPr>
        <w:t>For this reason, we do not think it would be helpful to</w:t>
      </w:r>
      <w:r w:rsidR="00F5585D" w:rsidRPr="00492201">
        <w:rPr>
          <w:rFonts w:cs="Arial"/>
        </w:rPr>
        <w:t xml:space="preserve"> try to describe “speci</w:t>
      </w:r>
      <w:r w:rsidR="00F5585D" w:rsidRPr="00492201">
        <w:rPr>
          <w:rFonts w:cs="Arial"/>
        </w:rPr>
        <w:t>f</w:t>
      </w:r>
      <w:r w:rsidR="00F5585D" w:rsidRPr="00492201">
        <w:rPr>
          <w:rFonts w:cs="Arial"/>
        </w:rPr>
        <w:t xml:space="preserve">ic” events that might give rise to an internal review.  </w:t>
      </w:r>
    </w:p>
    <w:p w14:paraId="2F8DA8B7" w14:textId="77777777" w:rsidR="00534E31" w:rsidRDefault="00534E31" w:rsidP="003A529D"/>
    <w:p w14:paraId="701E3E1A" w14:textId="1A4BF3E7" w:rsidR="003A529D" w:rsidRDefault="00534E31" w:rsidP="003A529D">
      <w:pPr>
        <w:rPr>
          <w:rFonts w:cs="Arial"/>
        </w:rPr>
      </w:pPr>
      <w:r>
        <w:t>We would also appreciate clarity as to what is meant by “</w:t>
      </w:r>
      <w:r w:rsidR="003A529D" w:rsidRPr="001C5C1D">
        <w:rPr>
          <w:i/>
        </w:rPr>
        <w:t>any mechanism used by the administrator to determine whether the methodology is traceable and verifiable</w:t>
      </w:r>
      <w:r w:rsidR="00500885" w:rsidRPr="008B688C">
        <w:t>.”</w:t>
      </w:r>
      <w:r w:rsidR="008B688C" w:rsidRPr="008B688C">
        <w:t xml:space="preserve"> It would</w:t>
      </w:r>
      <w:r w:rsidR="008B688C">
        <w:t xml:space="preserve"> be very helpful to understand examples of such a </w:t>
      </w:r>
      <w:r w:rsidR="008B688C" w:rsidRPr="0025399D">
        <w:rPr>
          <w:i/>
        </w:rPr>
        <w:t>“mechanism</w:t>
      </w:r>
      <w:r w:rsidR="008B688C">
        <w:t xml:space="preserve">”, as well as the definition of </w:t>
      </w:r>
      <w:r w:rsidR="008B688C" w:rsidRPr="0025399D">
        <w:rPr>
          <w:i/>
        </w:rPr>
        <w:t>“traceable and verifiable”.</w:t>
      </w:r>
      <w:r w:rsidR="008B688C">
        <w:t xml:space="preserve"> </w:t>
      </w:r>
    </w:p>
    <w:permEnd w:id="279475324"/>
    <w:p w14:paraId="3A8404B7" w14:textId="05937FC7" w:rsidR="00C56932" w:rsidRDefault="00C56932" w:rsidP="00C56932">
      <w:pPr>
        <w:rPr>
          <w:rFonts w:cs="Arial"/>
        </w:rPr>
      </w:pPr>
      <w:r>
        <w:rPr>
          <w:rFonts w:cs="Arial"/>
        </w:rPr>
        <w:t>&lt;ESMA_QUESTION_GBMR_5&gt;</w:t>
      </w:r>
    </w:p>
    <w:p w14:paraId="0699A40D" w14:textId="77777777" w:rsidR="00C56932" w:rsidRDefault="00C56932" w:rsidP="00C56932">
      <w:pPr>
        <w:rPr>
          <w:rFonts w:cs="Arial"/>
        </w:rPr>
      </w:pPr>
    </w:p>
    <w:p w14:paraId="75B5B393" w14:textId="33A339C2" w:rsidR="00C56932" w:rsidRDefault="00C56932" w:rsidP="00C56932">
      <w:pPr>
        <w:rPr>
          <w:rFonts w:cs="Arial"/>
        </w:rPr>
      </w:pPr>
    </w:p>
    <w:p w14:paraId="17EB9388" w14:textId="77777777" w:rsidR="00C56932" w:rsidRDefault="00C56932" w:rsidP="00C56932">
      <w:pPr>
        <w:rPr>
          <w:rFonts w:cs="Arial"/>
        </w:rPr>
      </w:pPr>
    </w:p>
    <w:p w14:paraId="56B6F919" w14:textId="77777777" w:rsidR="00C56932" w:rsidRDefault="00C56932" w:rsidP="00C56932">
      <w:pPr>
        <w:pStyle w:val="Questionstyle"/>
        <w:numPr>
          <w:ilvl w:val="0"/>
          <w:numId w:val="54"/>
        </w:numPr>
      </w:pPr>
      <w:r>
        <w:t xml:space="preserve">: </w:t>
      </w:r>
      <w:r w:rsidRPr="00F67F71">
        <w:t>Do you agree with the content of the draft guidelines on governance and control requir</w:t>
      </w:r>
      <w:r w:rsidRPr="00F67F71">
        <w:t>e</w:t>
      </w:r>
      <w:r w:rsidRPr="00F67F71">
        <w:t>ments for supervised contributors to non-significant benchmarks? Would you suggest to i</w:t>
      </w:r>
      <w:r w:rsidRPr="00F67F71">
        <w:t>n</w:t>
      </w:r>
      <w:r w:rsidRPr="00F67F71">
        <w:t>clude any additional elements or to delete one or more of the elements proposed? Please e</w:t>
      </w:r>
      <w:r w:rsidRPr="00F67F71">
        <w:t>x</w:t>
      </w:r>
      <w:r w:rsidRPr="00F67F71">
        <w:t>plain.</w:t>
      </w:r>
    </w:p>
    <w:p w14:paraId="447F2719" w14:textId="77777777" w:rsidR="00C56932" w:rsidRDefault="00C56932" w:rsidP="00C56932">
      <w:pPr>
        <w:rPr>
          <w:rFonts w:cs="Arial"/>
        </w:rPr>
      </w:pPr>
      <w:r>
        <w:rPr>
          <w:rFonts w:cs="Arial"/>
        </w:rPr>
        <w:t>&lt;ESMA_QUESTION_GBMR_6&gt;</w:t>
      </w:r>
    </w:p>
    <w:p w14:paraId="5D0BBCF4" w14:textId="2E2EA1F6" w:rsidR="00C56932" w:rsidRDefault="00332EDD" w:rsidP="00C56932">
      <w:pPr>
        <w:rPr>
          <w:rFonts w:cs="Arial"/>
        </w:rPr>
      </w:pPr>
      <w:permStart w:id="1496982231" w:edGrp="everyone"/>
      <w:r>
        <w:rPr>
          <w:rFonts w:cs="Arial"/>
        </w:rPr>
        <w:t xml:space="preserve">We have no comment, as </w:t>
      </w:r>
      <w:r w:rsidR="00E856B2" w:rsidRPr="00B23C80">
        <w:rPr>
          <w:rFonts w:cs="Arial"/>
        </w:rPr>
        <w:t xml:space="preserve">FTSE Russell </w:t>
      </w:r>
      <w:r w:rsidRPr="00B23C80">
        <w:rPr>
          <w:rFonts w:cs="Arial"/>
        </w:rPr>
        <w:t>is</w:t>
      </w:r>
      <w:r>
        <w:rPr>
          <w:rFonts w:cs="Arial"/>
        </w:rPr>
        <w:t xml:space="preserve"> a benchmark administrator</w:t>
      </w:r>
      <w:r w:rsidR="003A529D">
        <w:rPr>
          <w:rFonts w:cs="Arial"/>
        </w:rPr>
        <w:t>.</w:t>
      </w:r>
    </w:p>
    <w:permEnd w:id="1496982231"/>
    <w:p w14:paraId="265CB26F" w14:textId="7011581A" w:rsidR="00C56932" w:rsidRDefault="00C56932" w:rsidP="00C56932">
      <w:pPr>
        <w:rPr>
          <w:rFonts w:cs="Arial"/>
        </w:rPr>
      </w:pPr>
      <w:r>
        <w:rPr>
          <w:rFonts w:cs="Arial"/>
        </w:rPr>
        <w:t>&lt;ESMA_QUESTION_GBMR_6&gt;</w:t>
      </w:r>
    </w:p>
    <w:p w14:paraId="646DDAF3" w14:textId="77777777" w:rsidR="00C56932" w:rsidRDefault="00C56932" w:rsidP="00C56932">
      <w:pPr>
        <w:rPr>
          <w:rFonts w:cs="Arial"/>
        </w:rPr>
      </w:pPr>
    </w:p>
    <w:p w14:paraId="4D362557" w14:textId="77777777" w:rsidR="00C56932" w:rsidRDefault="00C56932" w:rsidP="00C56932">
      <w:pPr>
        <w:rPr>
          <w:rFonts w:cs="Arial"/>
        </w:rPr>
      </w:pPr>
    </w:p>
    <w:p w14:paraId="31434C5A" w14:textId="77777777" w:rsidR="00C56932" w:rsidRPr="007B52B2" w:rsidRDefault="00C56932" w:rsidP="00C56932">
      <w:pPr>
        <w:pStyle w:val="Questionstyle"/>
        <w:numPr>
          <w:ilvl w:val="0"/>
          <w:numId w:val="54"/>
        </w:numPr>
      </w:pPr>
      <w:r>
        <w:t xml:space="preserve">: </w:t>
      </w:r>
      <w:r w:rsidRPr="00F67F71">
        <w:t>Do you think that the proposal to include in the guidelines a requirement of establishing, where appropriate, a physical separation of submitters from other employees of the supe</w:t>
      </w:r>
      <w:r w:rsidRPr="00F67F71">
        <w:t>r</w:t>
      </w:r>
      <w:r w:rsidRPr="00F67F71">
        <w:t>vised contributor is suitable also for supervised contributors to non-significant benchmarks?</w:t>
      </w:r>
    </w:p>
    <w:p w14:paraId="7DD4F90D" w14:textId="77777777" w:rsidR="00C56932" w:rsidRDefault="00C56932" w:rsidP="00C56932">
      <w:pPr>
        <w:rPr>
          <w:rFonts w:cs="Arial"/>
        </w:rPr>
      </w:pPr>
      <w:r>
        <w:rPr>
          <w:rFonts w:cs="Arial"/>
        </w:rPr>
        <w:t>&lt;ESMA_QUESTION_GBMR_7&gt;</w:t>
      </w:r>
    </w:p>
    <w:p w14:paraId="6E635830" w14:textId="40B760F5" w:rsidR="00C56932" w:rsidRDefault="00E856B2" w:rsidP="00C56932">
      <w:pPr>
        <w:rPr>
          <w:rFonts w:cs="Arial"/>
        </w:rPr>
      </w:pPr>
      <w:permStart w:id="1964986532" w:edGrp="everyone"/>
      <w:r w:rsidRPr="00B86BD3">
        <w:rPr>
          <w:rFonts w:cs="Arial"/>
        </w:rPr>
        <w:t xml:space="preserve">FTSE Russell </w:t>
      </w:r>
      <w:r w:rsidR="00332EDD" w:rsidRPr="00B86BD3">
        <w:rPr>
          <w:rFonts w:cs="Arial"/>
        </w:rPr>
        <w:t>is a benchmark administrator</w:t>
      </w:r>
      <w:r w:rsidR="00F5585D" w:rsidRPr="00B86BD3">
        <w:rPr>
          <w:rFonts w:cs="Arial"/>
        </w:rPr>
        <w:t xml:space="preserve"> and not a contributor.  However, we would be concerned if the requirement for physical separation was viewed as disproportionate for non-significant benchmarks and served to discourage supervised entities from contributing </w:t>
      </w:r>
      <w:bookmarkStart w:id="1" w:name="_GoBack"/>
      <w:bookmarkEnd w:id="1"/>
      <w:r w:rsidR="00F5585D" w:rsidRPr="00B86BD3">
        <w:rPr>
          <w:rFonts w:cs="Arial"/>
        </w:rPr>
        <w:t>input data to a benchmark</w:t>
      </w:r>
      <w:r w:rsidR="00336AAF">
        <w:rPr>
          <w:rFonts w:cs="Arial"/>
        </w:rPr>
        <w:t>, which would be to the detriment of end users</w:t>
      </w:r>
      <w:r w:rsidR="00F5585D">
        <w:rPr>
          <w:rFonts w:cs="Arial"/>
          <w:color w:val="FF0000"/>
        </w:rPr>
        <w:t>.</w:t>
      </w:r>
    </w:p>
    <w:permEnd w:id="1964986532"/>
    <w:p w14:paraId="743B1C00" w14:textId="77777777" w:rsidR="00C56932" w:rsidRDefault="00C56932" w:rsidP="00C56932">
      <w:pPr>
        <w:rPr>
          <w:rFonts w:cs="Arial"/>
        </w:rPr>
      </w:pPr>
      <w:r>
        <w:rPr>
          <w:rFonts w:cs="Arial"/>
        </w:rPr>
        <w:t>&lt;ESMA_QUESTION_GBMR_7&gt;</w:t>
      </w:r>
    </w:p>
    <w:p w14:paraId="1AAE21DD" w14:textId="77777777" w:rsidR="00C56932" w:rsidRDefault="00C56932" w:rsidP="00C56932">
      <w:pPr>
        <w:rPr>
          <w:rFonts w:cs="Arial"/>
        </w:rPr>
      </w:pPr>
    </w:p>
    <w:p w14:paraId="2555EA7C" w14:textId="77777777" w:rsidR="00C56932" w:rsidRPr="007B52B2" w:rsidRDefault="00C56932" w:rsidP="00C56932">
      <w:pPr>
        <w:rPr>
          <w:rFonts w:cs="Arial"/>
        </w:rPr>
      </w:pPr>
    </w:p>
    <w:p w14:paraId="0603DE9D" w14:textId="731E524F" w:rsidR="008701E5" w:rsidRDefault="00EB2A3F" w:rsidP="00C56932">
      <w:pPr>
        <w:pStyle w:val="Questionstyle"/>
        <w:ind w:left="720"/>
        <w:rPr>
          <w:b w:val="0"/>
        </w:rPr>
      </w:pPr>
      <w:r>
        <w:rPr>
          <w:b w:val="0"/>
        </w:rPr>
        <w:t xml:space="preserve"> </w:t>
      </w:r>
    </w:p>
    <w:sectPr w:rsidR="008701E5"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21CBE" w14:textId="77777777" w:rsidR="00BC41A8" w:rsidRDefault="00BC41A8">
      <w:r>
        <w:separator/>
      </w:r>
    </w:p>
    <w:p w14:paraId="4C2582E8" w14:textId="77777777" w:rsidR="00BC41A8" w:rsidRDefault="00BC41A8"/>
  </w:endnote>
  <w:endnote w:type="continuationSeparator" w:id="0">
    <w:p w14:paraId="08ABA77E" w14:textId="77777777" w:rsidR="00BC41A8" w:rsidRDefault="00BC41A8">
      <w:r>
        <w:continuationSeparator/>
      </w:r>
    </w:p>
    <w:p w14:paraId="3C4548DE" w14:textId="77777777" w:rsidR="00BC41A8" w:rsidRDefault="00BC41A8"/>
  </w:endnote>
  <w:endnote w:type="continuationNotice" w:id="1">
    <w:p w14:paraId="0204D08E" w14:textId="77777777" w:rsidR="00BC41A8" w:rsidRDefault="00BC4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1A11FFC7" w14:textId="77777777" w:rsidTr="00315E96">
      <w:trPr>
        <w:trHeight w:val="284"/>
      </w:trPr>
      <w:tc>
        <w:tcPr>
          <w:tcW w:w="8460" w:type="dxa"/>
        </w:tcPr>
        <w:p w14:paraId="2CE11161" w14:textId="77777777" w:rsidR="00811EDA" w:rsidRPr="00315E96" w:rsidRDefault="00811EDA" w:rsidP="00315E96">
          <w:pPr>
            <w:pStyle w:val="00Footer"/>
            <w:rPr>
              <w:lang w:val="fr-FR"/>
            </w:rPr>
          </w:pPr>
        </w:p>
      </w:tc>
      <w:tc>
        <w:tcPr>
          <w:tcW w:w="952" w:type="dxa"/>
        </w:tcPr>
        <w:p w14:paraId="516490C0" w14:textId="398A6004"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336AAF">
            <w:rPr>
              <w:rFonts w:cs="Arial"/>
              <w:noProof/>
              <w:sz w:val="22"/>
              <w:szCs w:val="22"/>
            </w:rPr>
            <w:t>7</w:t>
          </w:r>
          <w:r w:rsidRPr="00616B9B">
            <w:rPr>
              <w:rFonts w:cs="Arial"/>
              <w:noProof/>
              <w:sz w:val="22"/>
              <w:szCs w:val="22"/>
            </w:rPr>
            <w:fldChar w:fldCharType="end"/>
          </w:r>
        </w:p>
      </w:tc>
    </w:tr>
  </w:tbl>
  <w:p w14:paraId="3F8E2998" w14:textId="77777777"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C8D16" w14:textId="77777777"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4C03C" w14:textId="77777777" w:rsidR="00BC41A8" w:rsidRDefault="00BC41A8">
      <w:r>
        <w:separator/>
      </w:r>
    </w:p>
    <w:p w14:paraId="0EAF8595" w14:textId="77777777" w:rsidR="00BC41A8" w:rsidRDefault="00BC41A8"/>
  </w:footnote>
  <w:footnote w:type="continuationSeparator" w:id="0">
    <w:p w14:paraId="01F94335" w14:textId="77777777" w:rsidR="00BC41A8" w:rsidRDefault="00BC41A8">
      <w:r>
        <w:continuationSeparator/>
      </w:r>
    </w:p>
    <w:p w14:paraId="529408EB" w14:textId="77777777" w:rsidR="00BC41A8" w:rsidRDefault="00BC41A8"/>
  </w:footnote>
  <w:footnote w:type="continuationNotice" w:id="1">
    <w:p w14:paraId="34CC2575" w14:textId="77777777" w:rsidR="00BC41A8" w:rsidRDefault="00BC41A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22CB8" w14:textId="77777777" w:rsidR="00811EDA" w:rsidRDefault="00DE66EB">
    <w:pPr>
      <w:pStyle w:val="Header"/>
    </w:pPr>
    <w:r>
      <w:rPr>
        <w:noProof/>
        <w:lang w:eastAsia="zh-CN"/>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11C933A"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D8D59" w14:textId="77777777" w:rsidR="00811EDA" w:rsidRDefault="00DE66EB" w:rsidP="00013CCE">
    <w:pPr>
      <w:pStyle w:val="Header"/>
      <w:jc w:val="right"/>
    </w:pPr>
    <w:r>
      <w:rPr>
        <w:noProof/>
        <w:lang w:eastAsia="zh-CN"/>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41B96" w14:textId="77777777"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A9CC9DB" w14:textId="77777777" w:rsidTr="000C06C9">
      <w:trPr>
        <w:trHeight w:val="284"/>
      </w:trPr>
      <w:tc>
        <w:tcPr>
          <w:tcW w:w="8460" w:type="dxa"/>
        </w:tcPr>
        <w:p w14:paraId="56125542" w14:textId="77777777" w:rsidR="00811EDA" w:rsidRPr="000C3B6D" w:rsidRDefault="00811EDA" w:rsidP="000C06C9">
          <w:pPr>
            <w:pStyle w:val="00Footer"/>
            <w:rPr>
              <w:lang w:val="fr-FR"/>
            </w:rPr>
          </w:pPr>
        </w:p>
      </w:tc>
      <w:tc>
        <w:tcPr>
          <w:tcW w:w="952" w:type="dxa"/>
        </w:tcPr>
        <w:p w14:paraId="185D9EAB" w14:textId="77777777" w:rsidR="00811EDA" w:rsidRPr="00146B34" w:rsidRDefault="00811EDA" w:rsidP="000C06C9">
          <w:pPr>
            <w:pStyle w:val="00aPagenumber"/>
            <w:rPr>
              <w:lang w:val="fr-FR"/>
            </w:rPr>
          </w:pPr>
        </w:p>
      </w:tc>
    </w:tr>
  </w:tbl>
  <w:p w14:paraId="4BF8B831" w14:textId="77777777" w:rsidR="00811EDA" w:rsidRPr="00DB46C3" w:rsidRDefault="00811EDA">
    <w:pPr>
      <w:rPr>
        <w:lang w:val="fr-FR"/>
      </w:rPr>
    </w:pPr>
  </w:p>
  <w:p w14:paraId="1FBEFD47" w14:textId="77777777" w:rsidR="00811EDA" w:rsidRPr="002F4496" w:rsidRDefault="00811EDA">
    <w:pPr>
      <w:pStyle w:val="Header"/>
      <w:rPr>
        <w:lang w:val="fr-FR"/>
      </w:rPr>
    </w:pPr>
  </w:p>
  <w:p w14:paraId="7D075F96" w14:textId="77777777" w:rsidR="00811EDA" w:rsidRPr="002F4496" w:rsidRDefault="00811EDA" w:rsidP="000C06C9">
    <w:pPr>
      <w:pStyle w:val="Header"/>
      <w:tabs>
        <w:tab w:val="clear" w:pos="4536"/>
        <w:tab w:val="clear" w:pos="9072"/>
        <w:tab w:val="left" w:pos="8227"/>
      </w:tabs>
      <w:rPr>
        <w:lang w:val="fr-FR"/>
      </w:rPr>
    </w:pPr>
  </w:p>
  <w:p w14:paraId="1EEAF2AF" w14:textId="77777777" w:rsidR="00811EDA" w:rsidRPr="002F4496" w:rsidRDefault="00811EDA" w:rsidP="000C06C9">
    <w:pPr>
      <w:pStyle w:val="Header"/>
      <w:tabs>
        <w:tab w:val="clear" w:pos="4536"/>
        <w:tab w:val="clear" w:pos="9072"/>
        <w:tab w:val="left" w:pos="8227"/>
      </w:tabs>
      <w:rPr>
        <w:lang w:val="fr-FR"/>
      </w:rPr>
    </w:pPr>
  </w:p>
  <w:p w14:paraId="366CDA59" w14:textId="77777777" w:rsidR="00811EDA" w:rsidRPr="002F4496" w:rsidRDefault="00811EDA">
    <w:pPr>
      <w:pStyle w:val="Header"/>
      <w:rPr>
        <w:lang w:val="fr-FR"/>
      </w:rPr>
    </w:pPr>
  </w:p>
  <w:p w14:paraId="090159B5" w14:textId="77777777" w:rsidR="00811EDA" w:rsidRPr="002F4496" w:rsidRDefault="00811EDA">
    <w:pPr>
      <w:pStyle w:val="Header"/>
      <w:rPr>
        <w:lang w:val="fr-FR"/>
      </w:rPr>
    </w:pPr>
  </w:p>
  <w:p w14:paraId="13DB3246" w14:textId="77777777" w:rsidR="00811EDA" w:rsidRPr="002F4496" w:rsidRDefault="00811EDA">
    <w:pPr>
      <w:pStyle w:val="Header"/>
      <w:rPr>
        <w:lang w:val="fr-FR"/>
      </w:rPr>
    </w:pPr>
  </w:p>
  <w:p w14:paraId="5B245FC6" w14:textId="77777777" w:rsidR="00811EDA" w:rsidRPr="002F4496" w:rsidRDefault="00811EDA">
    <w:pPr>
      <w:pStyle w:val="Header"/>
      <w:rPr>
        <w:lang w:val="fr-FR"/>
      </w:rPr>
    </w:pPr>
  </w:p>
  <w:p w14:paraId="1D7B1F8D" w14:textId="77777777" w:rsidR="00811EDA" w:rsidRPr="002F4496" w:rsidRDefault="00811EDA">
    <w:pPr>
      <w:pStyle w:val="Header"/>
      <w:rPr>
        <w:highlight w:val="yellow"/>
        <w:lang w:val="fr-FR"/>
      </w:rPr>
    </w:pPr>
  </w:p>
  <w:p w14:paraId="177617ED" w14:textId="77777777" w:rsidR="00811EDA" w:rsidRDefault="00DE66EB">
    <w:pPr>
      <w:pStyle w:val="Header"/>
    </w:pPr>
    <w:r>
      <w:rPr>
        <w:noProof/>
        <w:lang w:eastAsia="zh-CN"/>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3C0276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zh-CN"/>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nsid w:val="5A1D5DFE"/>
    <w:multiLevelType w:val="hybridMultilevel"/>
    <w:tmpl w:val="B1CC8FBA"/>
    <w:lvl w:ilvl="0" w:tplc="77661554">
      <w:start w:val="1"/>
      <w:numFmt w:val="decimal"/>
      <w:lvlText w:val="Q%1:"/>
      <w:lvlJc w:val="left"/>
      <w:pPr>
        <w:ind w:left="720" w:hanging="36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7">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1"/>
  </w:num>
  <w:num w:numId="3">
    <w:abstractNumId w:val="14"/>
  </w:num>
  <w:num w:numId="4">
    <w:abstractNumId w:val="26"/>
  </w:num>
  <w:num w:numId="5">
    <w:abstractNumId w:val="28"/>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5"/>
  </w:num>
  <w:num w:numId="14">
    <w:abstractNumId w:val="25"/>
  </w:num>
  <w:num w:numId="15">
    <w:abstractNumId w:val="11"/>
  </w:num>
  <w:num w:numId="16">
    <w:abstractNumId w:val="1"/>
  </w:num>
  <w:num w:numId="17">
    <w:abstractNumId w:val="17"/>
  </w:num>
  <w:num w:numId="18">
    <w:abstractNumId w:val="18"/>
  </w:num>
  <w:num w:numId="19">
    <w:abstractNumId w:val="20"/>
  </w:num>
  <w:num w:numId="20">
    <w:abstractNumId w:val="29"/>
  </w:num>
  <w:num w:numId="21">
    <w:abstractNumId w:val="40"/>
  </w:num>
  <w:num w:numId="22">
    <w:abstractNumId w:val="27"/>
  </w:num>
  <w:num w:numId="23">
    <w:abstractNumId w:val="10"/>
  </w:num>
  <w:num w:numId="24">
    <w:abstractNumId w:val="34"/>
  </w:num>
  <w:num w:numId="25">
    <w:abstractNumId w:val="33"/>
  </w:num>
  <w:num w:numId="26">
    <w:abstractNumId w:val="22"/>
  </w:num>
  <w:num w:numId="27">
    <w:abstractNumId w:val="37"/>
  </w:num>
  <w:num w:numId="28">
    <w:abstractNumId w:val="42"/>
  </w:num>
  <w:num w:numId="29">
    <w:abstractNumId w:val="8"/>
  </w:num>
  <w:num w:numId="30">
    <w:abstractNumId w:val="3"/>
  </w:num>
  <w:num w:numId="31">
    <w:abstractNumId w:val="24"/>
  </w:num>
  <w:num w:numId="32">
    <w:abstractNumId w:val="2"/>
  </w:num>
  <w:num w:numId="33">
    <w:abstractNumId w:val="7"/>
  </w:num>
  <w:num w:numId="34">
    <w:abstractNumId w:val="23"/>
  </w:num>
  <w:num w:numId="35">
    <w:abstractNumId w:val="39"/>
  </w:num>
  <w:num w:numId="36">
    <w:abstractNumId w:val="39"/>
    <w:lvlOverride w:ilvl="0">
      <w:startOverride w:val="1"/>
    </w:lvlOverride>
  </w:num>
  <w:num w:numId="37">
    <w:abstractNumId w:val="39"/>
    <w:lvlOverride w:ilvl="0">
      <w:startOverride w:val="1"/>
    </w:lvlOverride>
  </w:num>
  <w:num w:numId="38">
    <w:abstractNumId w:val="39"/>
    <w:lvlOverride w:ilvl="0">
      <w:startOverride w:val="1"/>
    </w:lvlOverride>
  </w:num>
  <w:num w:numId="39">
    <w:abstractNumId w:val="39"/>
    <w:lvlOverride w:ilvl="0">
      <w:startOverride w:val="1"/>
    </w:lvlOverride>
  </w:num>
  <w:num w:numId="40">
    <w:abstractNumId w:val="39"/>
    <w:lvlOverride w:ilvl="0">
      <w:startOverride w:val="1"/>
    </w:lvlOverride>
  </w:num>
  <w:num w:numId="41">
    <w:abstractNumId w:val="39"/>
  </w:num>
  <w:num w:numId="42">
    <w:abstractNumId w:val="39"/>
    <w:lvlOverride w:ilvl="0">
      <w:startOverride w:val="1"/>
    </w:lvlOverride>
  </w:num>
  <w:num w:numId="43">
    <w:abstractNumId w:val="39"/>
    <w:lvlOverride w:ilvl="0">
      <w:startOverride w:val="1"/>
    </w:lvlOverride>
  </w:num>
  <w:num w:numId="44">
    <w:abstractNumId w:val="39"/>
    <w:lvlOverride w:ilvl="0">
      <w:startOverride w:val="1"/>
    </w:lvlOverride>
  </w:num>
  <w:num w:numId="45">
    <w:abstractNumId w:val="39"/>
    <w:lvlOverride w:ilvl="0">
      <w:startOverride w:val="1"/>
    </w:lvlOverride>
  </w:num>
  <w:num w:numId="46">
    <w:abstractNumId w:val="39"/>
    <w:lvlOverride w:ilvl="0">
      <w:startOverride w:val="1"/>
    </w:lvlOverride>
  </w:num>
  <w:num w:numId="47">
    <w:abstractNumId w:val="38"/>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
  </w:num>
  <w:num w:numId="53">
    <w:abstractNumId w:val="32"/>
  </w:num>
  <w:num w:numId="54">
    <w:abstractNumId w:val="15"/>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revisionView w:inkAnnotations="0"/>
  <w:documentProtection w:edit="readOnly" w:enforcement="1" w:cryptProviderType="rsaAES" w:cryptAlgorithmClass="hash" w:cryptAlgorithmType="typeAny" w:cryptAlgorithmSid="14" w:cryptSpinCount="100000" w:hash="mj+uv4yhbskj2+FuZrkX82SDJpJmFaqDFpWuWejElEDiBM7BL29X+3hPb+dyHxzssoOnosSR3ftCfyymD4rQ1w==" w:salt="qya7AOXYyJo/eZ501sUDBw=="/>
  <w:defaultTabStop w:val="709"/>
  <w:autoHyphenation/>
  <w:hyphenationZone w:val="567"/>
  <w:characterSpacingControl w:val="doNotCompress"/>
  <w:hdrShapeDefaults>
    <o:shapedefaults v:ext="edit" spidmax="1843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5B7"/>
    <w:rsid w:val="00005760"/>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952"/>
    <w:rsid w:val="00025E71"/>
    <w:rsid w:val="00026269"/>
    <w:rsid w:val="00027154"/>
    <w:rsid w:val="00027ECF"/>
    <w:rsid w:val="000303BE"/>
    <w:rsid w:val="000321C9"/>
    <w:rsid w:val="000344D6"/>
    <w:rsid w:val="00034960"/>
    <w:rsid w:val="00036FAE"/>
    <w:rsid w:val="00041858"/>
    <w:rsid w:val="0004389E"/>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708"/>
    <w:rsid w:val="000749F0"/>
    <w:rsid w:val="0007529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901"/>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5FE4"/>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864"/>
    <w:rsid w:val="00164F15"/>
    <w:rsid w:val="001651A4"/>
    <w:rsid w:val="0016552B"/>
    <w:rsid w:val="00166B04"/>
    <w:rsid w:val="001670A6"/>
    <w:rsid w:val="001701FA"/>
    <w:rsid w:val="001707B9"/>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5FB"/>
    <w:rsid w:val="001B5E05"/>
    <w:rsid w:val="001B6D68"/>
    <w:rsid w:val="001B6F2E"/>
    <w:rsid w:val="001C0344"/>
    <w:rsid w:val="001C0877"/>
    <w:rsid w:val="001C0F2A"/>
    <w:rsid w:val="001C16BA"/>
    <w:rsid w:val="001C1A59"/>
    <w:rsid w:val="001C270F"/>
    <w:rsid w:val="001C4679"/>
    <w:rsid w:val="001C5770"/>
    <w:rsid w:val="001C5C1D"/>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1EC1"/>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71D"/>
    <w:rsid w:val="00251EA9"/>
    <w:rsid w:val="00252843"/>
    <w:rsid w:val="0025399D"/>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8E0"/>
    <w:rsid w:val="002D3FCB"/>
    <w:rsid w:val="002D4FEF"/>
    <w:rsid w:val="002D502D"/>
    <w:rsid w:val="002D63F5"/>
    <w:rsid w:val="002D6E1A"/>
    <w:rsid w:val="002E036D"/>
    <w:rsid w:val="002E1517"/>
    <w:rsid w:val="002E1B22"/>
    <w:rsid w:val="002E387F"/>
    <w:rsid w:val="002E7113"/>
    <w:rsid w:val="002E7F4B"/>
    <w:rsid w:val="002F0C91"/>
    <w:rsid w:val="002F0E3E"/>
    <w:rsid w:val="002F1B19"/>
    <w:rsid w:val="002F1FBF"/>
    <w:rsid w:val="002F4139"/>
    <w:rsid w:val="00300624"/>
    <w:rsid w:val="00300F56"/>
    <w:rsid w:val="00301006"/>
    <w:rsid w:val="00303565"/>
    <w:rsid w:val="00304A71"/>
    <w:rsid w:val="00305D64"/>
    <w:rsid w:val="003066C8"/>
    <w:rsid w:val="00306E3A"/>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2EDD"/>
    <w:rsid w:val="00336AAF"/>
    <w:rsid w:val="00336B56"/>
    <w:rsid w:val="00341B25"/>
    <w:rsid w:val="00341EC0"/>
    <w:rsid w:val="0034240C"/>
    <w:rsid w:val="00344496"/>
    <w:rsid w:val="0034543D"/>
    <w:rsid w:val="00345968"/>
    <w:rsid w:val="00347667"/>
    <w:rsid w:val="003507E2"/>
    <w:rsid w:val="003522B2"/>
    <w:rsid w:val="0035455E"/>
    <w:rsid w:val="00354A6F"/>
    <w:rsid w:val="00354B48"/>
    <w:rsid w:val="00354B90"/>
    <w:rsid w:val="00355789"/>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3D95"/>
    <w:rsid w:val="00384CCE"/>
    <w:rsid w:val="003865E5"/>
    <w:rsid w:val="00386BB8"/>
    <w:rsid w:val="003926C1"/>
    <w:rsid w:val="00392900"/>
    <w:rsid w:val="00393357"/>
    <w:rsid w:val="00395E7B"/>
    <w:rsid w:val="00395F4C"/>
    <w:rsid w:val="003A529D"/>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497"/>
    <w:rsid w:val="003E68C7"/>
    <w:rsid w:val="003E79B0"/>
    <w:rsid w:val="003F0403"/>
    <w:rsid w:val="003F1094"/>
    <w:rsid w:val="003F2E45"/>
    <w:rsid w:val="003F3EFE"/>
    <w:rsid w:val="003F40B8"/>
    <w:rsid w:val="003F5C06"/>
    <w:rsid w:val="00400195"/>
    <w:rsid w:val="0040075B"/>
    <w:rsid w:val="00401B0B"/>
    <w:rsid w:val="0040254B"/>
    <w:rsid w:val="00403086"/>
    <w:rsid w:val="00403460"/>
    <w:rsid w:val="004040FF"/>
    <w:rsid w:val="00404284"/>
    <w:rsid w:val="004042C4"/>
    <w:rsid w:val="00406CF8"/>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830"/>
    <w:rsid w:val="004634A7"/>
    <w:rsid w:val="00463787"/>
    <w:rsid w:val="00466926"/>
    <w:rsid w:val="00466FDA"/>
    <w:rsid w:val="004671D0"/>
    <w:rsid w:val="004674D1"/>
    <w:rsid w:val="00470773"/>
    <w:rsid w:val="004717C1"/>
    <w:rsid w:val="00471FF9"/>
    <w:rsid w:val="00473E74"/>
    <w:rsid w:val="00473FEF"/>
    <w:rsid w:val="0047509A"/>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201"/>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BC3"/>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3F2F"/>
    <w:rsid w:val="004E49B0"/>
    <w:rsid w:val="004E62DE"/>
    <w:rsid w:val="004E6B05"/>
    <w:rsid w:val="004E76A1"/>
    <w:rsid w:val="004E7DDA"/>
    <w:rsid w:val="004F05DE"/>
    <w:rsid w:val="004F6376"/>
    <w:rsid w:val="004F6A93"/>
    <w:rsid w:val="004F6F14"/>
    <w:rsid w:val="004F76D9"/>
    <w:rsid w:val="004F79A6"/>
    <w:rsid w:val="00500885"/>
    <w:rsid w:val="00501BF5"/>
    <w:rsid w:val="00501D8B"/>
    <w:rsid w:val="00503A3E"/>
    <w:rsid w:val="00503F59"/>
    <w:rsid w:val="005049A7"/>
    <w:rsid w:val="00504B77"/>
    <w:rsid w:val="005053B2"/>
    <w:rsid w:val="00506331"/>
    <w:rsid w:val="00507D11"/>
    <w:rsid w:val="00510662"/>
    <w:rsid w:val="005109B7"/>
    <w:rsid w:val="00510A19"/>
    <w:rsid w:val="00511AAB"/>
    <w:rsid w:val="0051277E"/>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4E31"/>
    <w:rsid w:val="00535477"/>
    <w:rsid w:val="00535DEA"/>
    <w:rsid w:val="0053723A"/>
    <w:rsid w:val="00537636"/>
    <w:rsid w:val="00537B1D"/>
    <w:rsid w:val="00540191"/>
    <w:rsid w:val="00540A2A"/>
    <w:rsid w:val="00541F27"/>
    <w:rsid w:val="00542297"/>
    <w:rsid w:val="005424BC"/>
    <w:rsid w:val="00542A28"/>
    <w:rsid w:val="005441D4"/>
    <w:rsid w:val="0054672D"/>
    <w:rsid w:val="00550A1A"/>
    <w:rsid w:val="00550F4E"/>
    <w:rsid w:val="005532B5"/>
    <w:rsid w:val="00554A05"/>
    <w:rsid w:val="005552FC"/>
    <w:rsid w:val="00555849"/>
    <w:rsid w:val="005559A8"/>
    <w:rsid w:val="00555EAD"/>
    <w:rsid w:val="00557048"/>
    <w:rsid w:val="00557FB5"/>
    <w:rsid w:val="00561AED"/>
    <w:rsid w:val="005648A8"/>
    <w:rsid w:val="00564DE3"/>
    <w:rsid w:val="00564E44"/>
    <w:rsid w:val="00566C6A"/>
    <w:rsid w:val="00566CE5"/>
    <w:rsid w:val="00566D36"/>
    <w:rsid w:val="00573569"/>
    <w:rsid w:val="00573871"/>
    <w:rsid w:val="0057389E"/>
    <w:rsid w:val="005739E8"/>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5CB"/>
    <w:rsid w:val="005B1803"/>
    <w:rsid w:val="005B4079"/>
    <w:rsid w:val="005B428E"/>
    <w:rsid w:val="005B5B3C"/>
    <w:rsid w:val="005B64CB"/>
    <w:rsid w:val="005B65C0"/>
    <w:rsid w:val="005B6AAA"/>
    <w:rsid w:val="005B7554"/>
    <w:rsid w:val="005B7C78"/>
    <w:rsid w:val="005C0FB2"/>
    <w:rsid w:val="005C1169"/>
    <w:rsid w:val="005C16E2"/>
    <w:rsid w:val="005C248A"/>
    <w:rsid w:val="005C24EF"/>
    <w:rsid w:val="005C2796"/>
    <w:rsid w:val="005C3C6C"/>
    <w:rsid w:val="005C3F4C"/>
    <w:rsid w:val="005C43AA"/>
    <w:rsid w:val="005C48C8"/>
    <w:rsid w:val="005C4E0E"/>
    <w:rsid w:val="005C663C"/>
    <w:rsid w:val="005D0594"/>
    <w:rsid w:val="005D1023"/>
    <w:rsid w:val="005D148F"/>
    <w:rsid w:val="005D2AB8"/>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579B0"/>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055"/>
    <w:rsid w:val="006966CD"/>
    <w:rsid w:val="00696735"/>
    <w:rsid w:val="0069780E"/>
    <w:rsid w:val="00697D13"/>
    <w:rsid w:val="006A24D5"/>
    <w:rsid w:val="006A2CA2"/>
    <w:rsid w:val="006B2D40"/>
    <w:rsid w:val="006B34DF"/>
    <w:rsid w:val="006B39B2"/>
    <w:rsid w:val="006B3AF9"/>
    <w:rsid w:val="006B45A0"/>
    <w:rsid w:val="006B4873"/>
    <w:rsid w:val="006B5668"/>
    <w:rsid w:val="006B5F71"/>
    <w:rsid w:val="006B6E44"/>
    <w:rsid w:val="006B7059"/>
    <w:rsid w:val="006B7287"/>
    <w:rsid w:val="006B7F2E"/>
    <w:rsid w:val="006C0BF8"/>
    <w:rsid w:val="006C1D17"/>
    <w:rsid w:val="006C2253"/>
    <w:rsid w:val="006C2CCB"/>
    <w:rsid w:val="006C4334"/>
    <w:rsid w:val="006C4B0F"/>
    <w:rsid w:val="006C5E96"/>
    <w:rsid w:val="006D399F"/>
    <w:rsid w:val="006D4F0C"/>
    <w:rsid w:val="006D5645"/>
    <w:rsid w:val="006D5670"/>
    <w:rsid w:val="006E0C8A"/>
    <w:rsid w:val="006E2A23"/>
    <w:rsid w:val="006E35E5"/>
    <w:rsid w:val="006E3C72"/>
    <w:rsid w:val="006E4F20"/>
    <w:rsid w:val="006E649A"/>
    <w:rsid w:val="006F08DC"/>
    <w:rsid w:val="006F1ADF"/>
    <w:rsid w:val="006F2D19"/>
    <w:rsid w:val="006F3948"/>
    <w:rsid w:val="006F4403"/>
    <w:rsid w:val="006F4535"/>
    <w:rsid w:val="006F45EC"/>
    <w:rsid w:val="006F47B8"/>
    <w:rsid w:val="006F47D2"/>
    <w:rsid w:val="006F4B04"/>
    <w:rsid w:val="006F5456"/>
    <w:rsid w:val="006F57F2"/>
    <w:rsid w:val="006F6468"/>
    <w:rsid w:val="00700247"/>
    <w:rsid w:val="00701051"/>
    <w:rsid w:val="007018EE"/>
    <w:rsid w:val="007021C2"/>
    <w:rsid w:val="00702502"/>
    <w:rsid w:val="007033A8"/>
    <w:rsid w:val="0070421B"/>
    <w:rsid w:val="007043F0"/>
    <w:rsid w:val="0070482E"/>
    <w:rsid w:val="00704D25"/>
    <w:rsid w:val="00706C9E"/>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0CD3"/>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26F9"/>
    <w:rsid w:val="007F365C"/>
    <w:rsid w:val="007F4A2A"/>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411B"/>
    <w:rsid w:val="0085590C"/>
    <w:rsid w:val="008567CA"/>
    <w:rsid w:val="008575EB"/>
    <w:rsid w:val="00862DDD"/>
    <w:rsid w:val="0086326D"/>
    <w:rsid w:val="00863CC1"/>
    <w:rsid w:val="00865B01"/>
    <w:rsid w:val="008664FC"/>
    <w:rsid w:val="00866D7A"/>
    <w:rsid w:val="00866EE3"/>
    <w:rsid w:val="008701E5"/>
    <w:rsid w:val="008706C5"/>
    <w:rsid w:val="00871F04"/>
    <w:rsid w:val="008746C1"/>
    <w:rsid w:val="00875924"/>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B688C"/>
    <w:rsid w:val="008C0320"/>
    <w:rsid w:val="008C2596"/>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6A85"/>
    <w:rsid w:val="008F7BC4"/>
    <w:rsid w:val="00900E7A"/>
    <w:rsid w:val="00903E11"/>
    <w:rsid w:val="00903EBE"/>
    <w:rsid w:val="009041DE"/>
    <w:rsid w:val="00905361"/>
    <w:rsid w:val="00905D59"/>
    <w:rsid w:val="009062CA"/>
    <w:rsid w:val="00907631"/>
    <w:rsid w:val="00907776"/>
    <w:rsid w:val="0090793A"/>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47C2F"/>
    <w:rsid w:val="009503E5"/>
    <w:rsid w:val="00950F71"/>
    <w:rsid w:val="009520DA"/>
    <w:rsid w:val="00952F2C"/>
    <w:rsid w:val="009532E3"/>
    <w:rsid w:val="00953615"/>
    <w:rsid w:val="00954BAF"/>
    <w:rsid w:val="00955F48"/>
    <w:rsid w:val="00955FEF"/>
    <w:rsid w:val="009560B3"/>
    <w:rsid w:val="0095745E"/>
    <w:rsid w:val="00957CE0"/>
    <w:rsid w:val="0096002E"/>
    <w:rsid w:val="0096039E"/>
    <w:rsid w:val="00962CEF"/>
    <w:rsid w:val="00963766"/>
    <w:rsid w:val="00963FDF"/>
    <w:rsid w:val="00964780"/>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6548"/>
    <w:rsid w:val="009A7B72"/>
    <w:rsid w:val="009A7F49"/>
    <w:rsid w:val="009B03C4"/>
    <w:rsid w:val="009B0AA2"/>
    <w:rsid w:val="009B1D02"/>
    <w:rsid w:val="009B451C"/>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3E7C"/>
    <w:rsid w:val="009D48D4"/>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4AF6"/>
    <w:rsid w:val="00A25816"/>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48F2"/>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4DB8"/>
    <w:rsid w:val="00A958CA"/>
    <w:rsid w:val="00A966B6"/>
    <w:rsid w:val="00A96B46"/>
    <w:rsid w:val="00AA003B"/>
    <w:rsid w:val="00AA016B"/>
    <w:rsid w:val="00AA15DD"/>
    <w:rsid w:val="00AA1C09"/>
    <w:rsid w:val="00AA2F67"/>
    <w:rsid w:val="00AA3569"/>
    <w:rsid w:val="00AA53A3"/>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C29"/>
    <w:rsid w:val="00AF4401"/>
    <w:rsid w:val="00AF4463"/>
    <w:rsid w:val="00AF53CB"/>
    <w:rsid w:val="00AF65C5"/>
    <w:rsid w:val="00B003AC"/>
    <w:rsid w:val="00B01BE0"/>
    <w:rsid w:val="00B03CE2"/>
    <w:rsid w:val="00B059A9"/>
    <w:rsid w:val="00B06544"/>
    <w:rsid w:val="00B105F2"/>
    <w:rsid w:val="00B10991"/>
    <w:rsid w:val="00B12128"/>
    <w:rsid w:val="00B12945"/>
    <w:rsid w:val="00B12C1E"/>
    <w:rsid w:val="00B12E70"/>
    <w:rsid w:val="00B155DF"/>
    <w:rsid w:val="00B156CF"/>
    <w:rsid w:val="00B1570E"/>
    <w:rsid w:val="00B176B9"/>
    <w:rsid w:val="00B17AD5"/>
    <w:rsid w:val="00B17DC8"/>
    <w:rsid w:val="00B17E1E"/>
    <w:rsid w:val="00B207F1"/>
    <w:rsid w:val="00B20A42"/>
    <w:rsid w:val="00B20BDE"/>
    <w:rsid w:val="00B20C41"/>
    <w:rsid w:val="00B2138D"/>
    <w:rsid w:val="00B21768"/>
    <w:rsid w:val="00B23C80"/>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1A35"/>
    <w:rsid w:val="00B327E9"/>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0ED6"/>
    <w:rsid w:val="00B82DC1"/>
    <w:rsid w:val="00B835D5"/>
    <w:rsid w:val="00B84028"/>
    <w:rsid w:val="00B84307"/>
    <w:rsid w:val="00B8430D"/>
    <w:rsid w:val="00B85407"/>
    <w:rsid w:val="00B85661"/>
    <w:rsid w:val="00B85C8A"/>
    <w:rsid w:val="00B8619E"/>
    <w:rsid w:val="00B86BD3"/>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04"/>
    <w:rsid w:val="00BA45D8"/>
    <w:rsid w:val="00BA5828"/>
    <w:rsid w:val="00BA64B3"/>
    <w:rsid w:val="00BA754A"/>
    <w:rsid w:val="00BA7820"/>
    <w:rsid w:val="00BA794C"/>
    <w:rsid w:val="00BB09FB"/>
    <w:rsid w:val="00BB238D"/>
    <w:rsid w:val="00BB37CC"/>
    <w:rsid w:val="00BB48C4"/>
    <w:rsid w:val="00BB5C6F"/>
    <w:rsid w:val="00BB6907"/>
    <w:rsid w:val="00BB7A20"/>
    <w:rsid w:val="00BC15B1"/>
    <w:rsid w:val="00BC16E9"/>
    <w:rsid w:val="00BC3C06"/>
    <w:rsid w:val="00BC41A8"/>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1ED"/>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67AD"/>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53A0"/>
    <w:rsid w:val="00C368D7"/>
    <w:rsid w:val="00C36FD1"/>
    <w:rsid w:val="00C371A5"/>
    <w:rsid w:val="00C400B0"/>
    <w:rsid w:val="00C402DE"/>
    <w:rsid w:val="00C40F4E"/>
    <w:rsid w:val="00C413FC"/>
    <w:rsid w:val="00C43D33"/>
    <w:rsid w:val="00C441DE"/>
    <w:rsid w:val="00C44407"/>
    <w:rsid w:val="00C456E8"/>
    <w:rsid w:val="00C46630"/>
    <w:rsid w:val="00C47A2F"/>
    <w:rsid w:val="00C50D18"/>
    <w:rsid w:val="00C51179"/>
    <w:rsid w:val="00C5282C"/>
    <w:rsid w:val="00C52FBE"/>
    <w:rsid w:val="00C5355E"/>
    <w:rsid w:val="00C535E2"/>
    <w:rsid w:val="00C539FF"/>
    <w:rsid w:val="00C53FC1"/>
    <w:rsid w:val="00C56438"/>
    <w:rsid w:val="00C56932"/>
    <w:rsid w:val="00C570B3"/>
    <w:rsid w:val="00C6009F"/>
    <w:rsid w:val="00C60417"/>
    <w:rsid w:val="00C6046F"/>
    <w:rsid w:val="00C638C2"/>
    <w:rsid w:val="00C651D4"/>
    <w:rsid w:val="00C6669E"/>
    <w:rsid w:val="00C672B0"/>
    <w:rsid w:val="00C729C7"/>
    <w:rsid w:val="00C777AD"/>
    <w:rsid w:val="00C77E7C"/>
    <w:rsid w:val="00C80C53"/>
    <w:rsid w:val="00C81195"/>
    <w:rsid w:val="00C85387"/>
    <w:rsid w:val="00C85E52"/>
    <w:rsid w:val="00C86471"/>
    <w:rsid w:val="00C8677B"/>
    <w:rsid w:val="00C86F96"/>
    <w:rsid w:val="00C909C6"/>
    <w:rsid w:val="00C923B7"/>
    <w:rsid w:val="00C94D4C"/>
    <w:rsid w:val="00CA012C"/>
    <w:rsid w:val="00CA0AA6"/>
    <w:rsid w:val="00CA1EE3"/>
    <w:rsid w:val="00CA2897"/>
    <w:rsid w:val="00CA44F3"/>
    <w:rsid w:val="00CA51BA"/>
    <w:rsid w:val="00CA582C"/>
    <w:rsid w:val="00CA6077"/>
    <w:rsid w:val="00CA6F91"/>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639B"/>
    <w:rsid w:val="00CC76AA"/>
    <w:rsid w:val="00CC7CD2"/>
    <w:rsid w:val="00CD05CF"/>
    <w:rsid w:val="00CD06AB"/>
    <w:rsid w:val="00CD1B77"/>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39C5"/>
    <w:rsid w:val="00CE6FC6"/>
    <w:rsid w:val="00CF0CEE"/>
    <w:rsid w:val="00CF2056"/>
    <w:rsid w:val="00CF4471"/>
    <w:rsid w:val="00CF51C0"/>
    <w:rsid w:val="00CF5B2A"/>
    <w:rsid w:val="00CF5B99"/>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2653B"/>
    <w:rsid w:val="00D3004D"/>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821"/>
    <w:rsid w:val="00D44C18"/>
    <w:rsid w:val="00D4556D"/>
    <w:rsid w:val="00D511C6"/>
    <w:rsid w:val="00D5121D"/>
    <w:rsid w:val="00D516AC"/>
    <w:rsid w:val="00D521BB"/>
    <w:rsid w:val="00D52875"/>
    <w:rsid w:val="00D54050"/>
    <w:rsid w:val="00D56AC0"/>
    <w:rsid w:val="00D601AB"/>
    <w:rsid w:val="00D6081B"/>
    <w:rsid w:val="00D61528"/>
    <w:rsid w:val="00D61A37"/>
    <w:rsid w:val="00D6240A"/>
    <w:rsid w:val="00D63093"/>
    <w:rsid w:val="00D63599"/>
    <w:rsid w:val="00D63EBD"/>
    <w:rsid w:val="00D67101"/>
    <w:rsid w:val="00D7106D"/>
    <w:rsid w:val="00D71B45"/>
    <w:rsid w:val="00D71F8A"/>
    <w:rsid w:val="00D75603"/>
    <w:rsid w:val="00D75FEE"/>
    <w:rsid w:val="00D76933"/>
    <w:rsid w:val="00D76D88"/>
    <w:rsid w:val="00D77938"/>
    <w:rsid w:val="00D77CC9"/>
    <w:rsid w:val="00D83D4B"/>
    <w:rsid w:val="00D871C6"/>
    <w:rsid w:val="00D91010"/>
    <w:rsid w:val="00DA0FA7"/>
    <w:rsid w:val="00DA12B0"/>
    <w:rsid w:val="00DA2BA0"/>
    <w:rsid w:val="00DA39AD"/>
    <w:rsid w:val="00DA5B13"/>
    <w:rsid w:val="00DA6917"/>
    <w:rsid w:val="00DA6926"/>
    <w:rsid w:val="00DB0965"/>
    <w:rsid w:val="00DB0E47"/>
    <w:rsid w:val="00DB2669"/>
    <w:rsid w:val="00DB2BDD"/>
    <w:rsid w:val="00DB406B"/>
    <w:rsid w:val="00DB4121"/>
    <w:rsid w:val="00DB46C3"/>
    <w:rsid w:val="00DB4FB7"/>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836"/>
    <w:rsid w:val="00DF3F1D"/>
    <w:rsid w:val="00DF595C"/>
    <w:rsid w:val="00DF79EC"/>
    <w:rsid w:val="00DF7EA7"/>
    <w:rsid w:val="00E00DDE"/>
    <w:rsid w:val="00E01E50"/>
    <w:rsid w:val="00E022AF"/>
    <w:rsid w:val="00E02B48"/>
    <w:rsid w:val="00E04548"/>
    <w:rsid w:val="00E0484E"/>
    <w:rsid w:val="00E063F8"/>
    <w:rsid w:val="00E1146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AB"/>
    <w:rsid w:val="00E41205"/>
    <w:rsid w:val="00E41F32"/>
    <w:rsid w:val="00E42608"/>
    <w:rsid w:val="00E43536"/>
    <w:rsid w:val="00E43673"/>
    <w:rsid w:val="00E43DA3"/>
    <w:rsid w:val="00E44B80"/>
    <w:rsid w:val="00E47430"/>
    <w:rsid w:val="00E50FB7"/>
    <w:rsid w:val="00E5199F"/>
    <w:rsid w:val="00E526DF"/>
    <w:rsid w:val="00E53C15"/>
    <w:rsid w:val="00E54440"/>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56B2"/>
    <w:rsid w:val="00E8713B"/>
    <w:rsid w:val="00E90C61"/>
    <w:rsid w:val="00E92A82"/>
    <w:rsid w:val="00E92AA8"/>
    <w:rsid w:val="00E9344E"/>
    <w:rsid w:val="00E93E39"/>
    <w:rsid w:val="00E94391"/>
    <w:rsid w:val="00E97E2B"/>
    <w:rsid w:val="00EA08CA"/>
    <w:rsid w:val="00EA0C0C"/>
    <w:rsid w:val="00EA2889"/>
    <w:rsid w:val="00EA2AEA"/>
    <w:rsid w:val="00EA332B"/>
    <w:rsid w:val="00EA3D36"/>
    <w:rsid w:val="00EA40AA"/>
    <w:rsid w:val="00EA57E2"/>
    <w:rsid w:val="00EA7186"/>
    <w:rsid w:val="00EB018B"/>
    <w:rsid w:val="00EB0BB9"/>
    <w:rsid w:val="00EB1003"/>
    <w:rsid w:val="00EB167E"/>
    <w:rsid w:val="00EB24ED"/>
    <w:rsid w:val="00EB2A00"/>
    <w:rsid w:val="00EB2A3F"/>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32D"/>
    <w:rsid w:val="00F02C04"/>
    <w:rsid w:val="00F03AF1"/>
    <w:rsid w:val="00F04BCD"/>
    <w:rsid w:val="00F05A8C"/>
    <w:rsid w:val="00F06211"/>
    <w:rsid w:val="00F07169"/>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585D"/>
    <w:rsid w:val="00F574D0"/>
    <w:rsid w:val="00F6031F"/>
    <w:rsid w:val="00F61664"/>
    <w:rsid w:val="00F61B73"/>
    <w:rsid w:val="00F61B99"/>
    <w:rsid w:val="00F61BA8"/>
    <w:rsid w:val="00F64C45"/>
    <w:rsid w:val="00F6502B"/>
    <w:rsid w:val="00F65811"/>
    <w:rsid w:val="00F6612A"/>
    <w:rsid w:val="00F66724"/>
    <w:rsid w:val="00F67F04"/>
    <w:rsid w:val="00F70207"/>
    <w:rsid w:val="00F702CB"/>
    <w:rsid w:val="00F71AC2"/>
    <w:rsid w:val="00F739D4"/>
    <w:rsid w:val="00F77D43"/>
    <w:rsid w:val="00F80953"/>
    <w:rsid w:val="00F81092"/>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3C73"/>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2d4491,#283583"/>
    </o:shapedefaults>
    <o:shapelayout v:ext="edit">
      <o:idmap v:ext="edit" data="1"/>
    </o:shapelayout>
  </w:shapeDefaults>
  <w:decimalSymbol w:val="."/>
  <w:listSeparator w:val=","/>
  <w14:docId w14:val="50A4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uiPriority w:val="22"/>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Emphase pâle,Diskret betoning"/>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uiPriority w:val="22"/>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Emphase pâle,Diskret betoning"/>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438674431">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45486508">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es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lseg.com/sites/default/files/content/documents/Regulatory/LSEG%20response%20to%20ESMA%20Consultation%20Paper%20on%20RTS%20and%20ITS%20under%20the%20Benchmarks%20Regulation.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1" ma:contentTypeDescription="" ma:contentTypeScope="" ma:versionID="a93c8341409cc763e25f342c7b65ff32">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94769792aff1f0c052dcc42e351302fa"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eed0a0b2ea6941718a34434e243f3d8f" minOccurs="0"/>
                <xsd:element ref="ns2:TaxCatchAll" minOccurs="0"/>
                <xsd:element ref="ns2:TaxCatchAllLabel" minOccurs="0"/>
                <xsd:element ref="ns2:j69a081f486747f6ac8a5aeed63facfd" minOccurs="0"/>
                <xsd:element ref="ns2:a9b3b1dad23b4ba58c3f3e36a96e1d9c"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fault="2017"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ed0a0b2ea6941718a34434e243f3d8f" ma:index="10"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j69a081f486747f6ac8a5aeed63facfd" ma:index="14"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21" ma:taxonomy="true" ma:internalName="caa5aeb1a6644849b60fbe2335e12657" ma:taxonomyFieldName="Topic" ma:displayName="Topic" ma:readOnly="false"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0fbe147-bbda-4e53-b6b1-7e8bbff3fe19">
      <Value>4</Value>
      <Value>24</Value>
      <Value>2</Value>
      <Value>91</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TRs</TermName>
          <TermId xmlns="http://schemas.microsoft.com/office/infopath/2007/PartnerControls">fa921b24-005b-470e-8d84-860d1c02e2c4</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MeetingDate xmlns="20fbe147-bbda-4e53-b6b1-7e8bbff3fe19" xsi:nil="true"/>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2017</Year>
    <_dlc_DocId xmlns="20fbe147-bbda-4e53-b6b1-7e8bbff3fe19">ESMA70-708036281-84</_dlc_DocId>
    <_dlc_DocIdUrl xmlns="20fbe147-bbda-4e53-b6b1-7e8bbff3fe19">
      <Url>http://sherpa.esma.europa.eu/sites/MKT/PTR/_layouts/15/DocIdRedir.aspx?ID=ESMA70-708036281-84</Url>
      <Description>ESMA70-708036281-84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46244-54A6-4E6B-A5FE-D5E73C1FE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823ED9-4C25-4A0F-AA35-0F2F3F3B90A3}">
  <ds:schemaRefs>
    <ds:schemaRef ds:uri="http://purl.org/dc/terms/"/>
    <ds:schemaRef ds:uri="http://purl.org/dc/dcmitype/"/>
    <ds:schemaRef ds:uri="http://purl.org/dc/elements/1.1/"/>
    <ds:schemaRef ds:uri="http://schemas.microsoft.com/sharepoint/v4"/>
    <ds:schemaRef ds:uri="http://schemas.microsoft.com/office/infopath/2007/PartnerControls"/>
    <ds:schemaRef ds:uri="http://schemas.microsoft.com/office/2006/documentManagement/types"/>
    <ds:schemaRef ds:uri="http://schemas.openxmlformats.org/package/2006/metadata/core-properties"/>
    <ds:schemaRef ds:uri="20fbe147-bbda-4e53-b6b1-7e8bbff3fe1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5.xml><?xml version="1.0" encoding="utf-8"?>
<ds:datastoreItem xmlns:ds="http://schemas.openxmlformats.org/officeDocument/2006/customXml" ds:itemID="{E4D5F9BB-D355-4019-A79F-8E7ADB40DEA9}">
  <ds:schemaRefs>
    <ds:schemaRef ds:uri="http://schemas.openxmlformats.org/officeDocument/2006/bibliography"/>
  </ds:schemaRefs>
</ds:datastoreItem>
</file>

<file path=customXml/itemProps6.xml><?xml version="1.0" encoding="utf-8"?>
<ds:datastoreItem xmlns:ds="http://schemas.openxmlformats.org/officeDocument/2006/customXml" ds:itemID="{0C116389-D9C3-497D-AE40-93B6F070D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2249</Words>
  <Characters>13215</Characters>
  <Application>Microsoft Office Word</Application>
  <DocSecurity>8</DocSecurity>
  <Lines>110</Lines>
  <Paragraphs>30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15434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Anoushka Babbar</cp:lastModifiedBy>
  <cp:revision>22</cp:revision>
  <cp:lastPrinted>2017-11-30T09:30:00Z</cp:lastPrinted>
  <dcterms:created xsi:type="dcterms:W3CDTF">2017-11-30T19:09:00Z</dcterms:created>
  <dcterms:modified xsi:type="dcterms:W3CDTF">2017-11-30T19:31:00Z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0x01010001BD15C3986B91498E0AE644B715B9EE01080087D15FE546E30B45B9BBC45FA14F869C</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24;#TRs|fa921b24-005b-470e-8d84-860d1c02e2c4</vt:lpwstr>
  </property>
  <property fmtid="{D5CDD505-2E9C-101B-9397-08002B2CF9AE}" pid="6" name="SubTopic">
    <vt:lpwstr/>
  </property>
  <property fmtid="{D5CDD505-2E9C-101B-9397-08002B2CF9AE}" pid="7" name="DocumentType">
    <vt:lpwstr>91;#Consultation Paper|c6238baf-c3d7-4bb8-8cf2-f28a89601f52</vt:lpwstr>
  </property>
  <property fmtid="{D5CDD505-2E9C-101B-9397-08002B2CF9AE}" pid="8" name="ConfidentialityLevel">
    <vt:lpwstr>2;#Restricted|187aa7e6-627f-4951-b138-6ff841dc883d</vt:lpwstr>
  </property>
  <property fmtid="{D5CDD505-2E9C-101B-9397-08002B2CF9AE}" pid="9" name="_dlc_DocIdItemGuid">
    <vt:lpwstr>61ebcf37-2171-4df7-905c-351337a43f57</vt:lpwstr>
  </property>
</Properties>
</file>