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4649"/>
      </w:tblGrid>
      <w:tr w:rsidR="00642235" w:rsidRPr="007E1AC2" w:rsidTr="00D364F4">
        <w:trPr>
          <w:trHeight w:hRule="exact" w:val="3600"/>
        </w:trPr>
        <w:tc>
          <w:tcPr>
            <w:tcW w:w="5102" w:type="dxa"/>
          </w:tcPr>
          <w:p w:rsidR="00B51CB0" w:rsidRPr="00805DBB" w:rsidRDefault="00650AE5" w:rsidP="00CE5D6F">
            <w:r>
              <w:rPr>
                <w:lang w:val="fi-FI"/>
              </w:rPr>
              <w:br/>
            </w:r>
          </w:p>
          <w:p w:rsidR="00B51CB0" w:rsidRDefault="00B51CB0" w:rsidP="00CE5D6F">
            <w:pPr>
              <w:rPr>
                <w:lang w:val="fi-FI"/>
              </w:rPr>
            </w:pPr>
          </w:p>
          <w:p w:rsidR="00CB2954" w:rsidRPr="00B22761" w:rsidRDefault="00CB2954" w:rsidP="00CE5D6F">
            <w:pPr>
              <w:rPr>
                <w:sz w:val="52"/>
                <w:szCs w:val="52"/>
                <w:lang w:val="fi-FI"/>
              </w:rPr>
            </w:pPr>
          </w:p>
        </w:tc>
        <w:tc>
          <w:tcPr>
            <w:tcW w:w="4649" w:type="dxa"/>
          </w:tcPr>
          <w:p w:rsidR="00642235" w:rsidRPr="00D364F4" w:rsidRDefault="00642235" w:rsidP="00CE5D6F">
            <w:pPr>
              <w:spacing w:line="220" w:lineRule="atLeast"/>
              <w:jc w:val="right"/>
              <w:rPr>
                <w:b/>
                <w:bCs/>
                <w:color w:val="000000"/>
                <w:sz w:val="6"/>
                <w:szCs w:val="6"/>
                <w:lang w:val="fi-FI"/>
              </w:rPr>
            </w:pPr>
          </w:p>
          <w:p w:rsidR="00642235" w:rsidRPr="00D364F4" w:rsidRDefault="00642235" w:rsidP="00CE5D6F">
            <w:pPr>
              <w:spacing w:line="220" w:lineRule="atLeast"/>
              <w:jc w:val="right"/>
              <w:rPr>
                <w:b/>
                <w:bCs/>
                <w:color w:val="000000"/>
                <w:sz w:val="6"/>
                <w:szCs w:val="6"/>
                <w:lang w:val="fi-FI"/>
              </w:rPr>
            </w:pPr>
          </w:p>
          <w:p w:rsidR="00642235" w:rsidRPr="00D364F4" w:rsidRDefault="00642235" w:rsidP="00CE5D6F">
            <w:pPr>
              <w:spacing w:line="220" w:lineRule="atLeast"/>
              <w:jc w:val="right"/>
              <w:rPr>
                <w:b/>
                <w:bCs/>
                <w:color w:val="000000"/>
                <w:sz w:val="6"/>
                <w:szCs w:val="6"/>
                <w:lang w:val="fi-FI"/>
              </w:rPr>
            </w:pPr>
          </w:p>
          <w:p w:rsidR="00642235" w:rsidRPr="00D364F4" w:rsidRDefault="00642235" w:rsidP="00CE5D6F">
            <w:pPr>
              <w:spacing w:line="260" w:lineRule="atLeast"/>
              <w:jc w:val="right"/>
              <w:rPr>
                <w:b/>
                <w:bCs/>
                <w:noProof/>
                <w:color w:val="000000"/>
                <w:sz w:val="18"/>
                <w:szCs w:val="18"/>
                <w:lang w:val="en-GB"/>
              </w:rPr>
            </w:pPr>
            <w:r w:rsidRPr="00B55633">
              <w:rPr>
                <w:b/>
                <w:bCs/>
                <w:noProof/>
                <w:color w:val="000000"/>
                <w:sz w:val="18"/>
                <w:szCs w:val="18"/>
                <w:lang w:val="fi-FI"/>
              </w:rPr>
              <w:t xml:space="preserve"> </w:t>
            </w:r>
            <w:r w:rsidRPr="00D364F4">
              <w:rPr>
                <w:b/>
                <w:bCs/>
                <w:noProof/>
                <w:color w:val="000000"/>
                <w:sz w:val="18"/>
                <w:szCs w:val="18"/>
                <w:lang w:val="en-GB"/>
              </w:rPr>
              <w:t>Division Bank and Insurance</w:t>
            </w:r>
          </w:p>
          <w:p w:rsidR="00C47B46" w:rsidRPr="00D364F4" w:rsidRDefault="00C47B46" w:rsidP="00CE5D6F">
            <w:pPr>
              <w:spacing w:line="260" w:lineRule="atLeast"/>
              <w:jc w:val="right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364F4">
              <w:rPr>
                <w:bCs/>
                <w:noProof/>
                <w:color w:val="000000"/>
                <w:sz w:val="18"/>
                <w:szCs w:val="18"/>
                <w:lang w:val="en-GB"/>
              </w:rPr>
              <w:t>Austrian Federal Economic Chamber</w:t>
            </w:r>
          </w:p>
          <w:p w:rsidR="00642235" w:rsidRPr="00CE5D6F" w:rsidRDefault="00642235" w:rsidP="00CE5D6F">
            <w:pPr>
              <w:spacing w:line="260" w:lineRule="atLeast"/>
              <w:jc w:val="right"/>
              <w:rPr>
                <w:color w:val="000000"/>
                <w:sz w:val="18"/>
                <w:szCs w:val="18"/>
                <w:lang w:val="de-AT"/>
              </w:rPr>
            </w:pPr>
            <w:r w:rsidRPr="00CE5D6F">
              <w:rPr>
                <w:noProof/>
                <w:color w:val="000000"/>
                <w:sz w:val="18"/>
                <w:szCs w:val="18"/>
                <w:lang w:val="de-AT"/>
              </w:rPr>
              <w:t>Wiedner Hauptstraße 63 | P.O. Box 320</w:t>
            </w:r>
          </w:p>
          <w:p w:rsidR="00642235" w:rsidRPr="00CE5D6F" w:rsidRDefault="00642235" w:rsidP="00CE5D6F">
            <w:pPr>
              <w:spacing w:line="260" w:lineRule="atLeast"/>
              <w:jc w:val="right"/>
              <w:rPr>
                <w:color w:val="000000"/>
                <w:sz w:val="18"/>
                <w:szCs w:val="18"/>
                <w:lang w:val="de-AT"/>
              </w:rPr>
            </w:pPr>
            <w:r w:rsidRPr="00CE5D6F">
              <w:rPr>
                <w:noProof/>
                <w:color w:val="000000"/>
                <w:sz w:val="18"/>
                <w:szCs w:val="18"/>
                <w:lang w:val="de-AT"/>
              </w:rPr>
              <w:t>1045 Vienna</w:t>
            </w:r>
          </w:p>
          <w:p w:rsidR="00642235" w:rsidRPr="00D364F4" w:rsidRDefault="00642235" w:rsidP="00CE5D6F">
            <w:pPr>
              <w:spacing w:line="260" w:lineRule="atLeast"/>
              <w:jc w:val="right"/>
              <w:rPr>
                <w:color w:val="000000"/>
                <w:sz w:val="18"/>
                <w:szCs w:val="18"/>
              </w:rPr>
            </w:pPr>
            <w:r w:rsidRPr="00B51CB0">
              <w:rPr>
                <w:noProof/>
                <w:color w:val="000000"/>
                <w:sz w:val="18"/>
                <w:szCs w:val="18"/>
                <w:lang w:val="de-AT"/>
              </w:rPr>
              <w:t>T +43 (0)5 90 900-DW | F +43 (0)5 90 900-27</w:t>
            </w:r>
            <w:r w:rsidRPr="00D364F4">
              <w:rPr>
                <w:noProof/>
                <w:color w:val="000000"/>
                <w:sz w:val="18"/>
                <w:szCs w:val="18"/>
              </w:rPr>
              <w:t>2</w:t>
            </w:r>
          </w:p>
          <w:p w:rsidR="00642235" w:rsidRPr="00D364F4" w:rsidRDefault="00642235" w:rsidP="00CE5D6F">
            <w:pPr>
              <w:spacing w:line="260" w:lineRule="atLeast"/>
              <w:jc w:val="right"/>
              <w:rPr>
                <w:color w:val="000000"/>
                <w:sz w:val="18"/>
                <w:szCs w:val="18"/>
              </w:rPr>
            </w:pPr>
            <w:r w:rsidRPr="00D364F4">
              <w:rPr>
                <w:noProof/>
                <w:color w:val="000000"/>
                <w:sz w:val="18"/>
                <w:szCs w:val="18"/>
              </w:rPr>
              <w:t>E  bsbv@wko.at</w:t>
            </w:r>
          </w:p>
          <w:p w:rsidR="00642235" w:rsidRPr="00D364F4" w:rsidRDefault="00642235" w:rsidP="00CE5D6F">
            <w:pPr>
              <w:spacing w:line="260" w:lineRule="atLeast"/>
              <w:jc w:val="right"/>
              <w:rPr>
                <w:lang w:val="en-GB"/>
              </w:rPr>
            </w:pPr>
            <w:r w:rsidRPr="00D364F4">
              <w:rPr>
                <w:noProof/>
                <w:color w:val="000000"/>
                <w:sz w:val="18"/>
                <w:szCs w:val="18"/>
                <w:lang w:val="en-GB"/>
              </w:rPr>
              <w:t>W  http://wko.at/bsbv</w:t>
            </w:r>
          </w:p>
        </w:tc>
      </w:tr>
    </w:tbl>
    <w:p w:rsidR="00642235" w:rsidRPr="00C21BF0" w:rsidRDefault="00642235" w:rsidP="00CE5D6F">
      <w:pPr>
        <w:tabs>
          <w:tab w:val="left" w:pos="2892"/>
          <w:tab w:val="left" w:pos="5783"/>
          <w:tab w:val="left" w:pos="7655"/>
        </w:tabs>
        <w:rPr>
          <w:color w:val="000000"/>
          <w:sz w:val="16"/>
          <w:szCs w:val="16"/>
          <w:lang w:val="en-GB"/>
        </w:rPr>
      </w:pPr>
      <w:r w:rsidRPr="00C21BF0">
        <w:rPr>
          <w:noProof/>
          <w:color w:val="000000"/>
          <w:sz w:val="16"/>
          <w:szCs w:val="16"/>
          <w:lang w:val="en-GB"/>
        </w:rPr>
        <w:t>Your ref., Your message of</w:t>
      </w:r>
      <w:r w:rsidRPr="00C21BF0">
        <w:rPr>
          <w:color w:val="000000"/>
          <w:sz w:val="16"/>
          <w:szCs w:val="16"/>
          <w:lang w:val="en-GB"/>
        </w:rPr>
        <w:tab/>
      </w:r>
      <w:r w:rsidRPr="00C21BF0">
        <w:rPr>
          <w:noProof/>
          <w:color w:val="000000"/>
          <w:sz w:val="16"/>
          <w:szCs w:val="16"/>
          <w:lang w:val="en-GB"/>
        </w:rPr>
        <w:t>Our ref., person in charge</w:t>
      </w:r>
      <w:r w:rsidRPr="00C21BF0">
        <w:rPr>
          <w:color w:val="000000"/>
          <w:sz w:val="16"/>
          <w:szCs w:val="16"/>
          <w:lang w:val="en-GB"/>
        </w:rPr>
        <w:tab/>
      </w:r>
      <w:r w:rsidRPr="00C21BF0">
        <w:rPr>
          <w:noProof/>
          <w:color w:val="000000"/>
          <w:sz w:val="16"/>
          <w:szCs w:val="16"/>
          <w:lang w:val="en-GB"/>
        </w:rPr>
        <w:t>Extension</w:t>
      </w:r>
      <w:r w:rsidRPr="00C21BF0">
        <w:rPr>
          <w:color w:val="000000"/>
          <w:sz w:val="16"/>
          <w:szCs w:val="16"/>
          <w:lang w:val="en-GB"/>
        </w:rPr>
        <w:tab/>
      </w:r>
      <w:r w:rsidRPr="00C21BF0">
        <w:rPr>
          <w:noProof/>
          <w:color w:val="000000"/>
          <w:sz w:val="16"/>
          <w:szCs w:val="16"/>
          <w:lang w:val="en-GB"/>
        </w:rPr>
        <w:t>Date</w:t>
      </w:r>
    </w:p>
    <w:p w:rsidR="00642235" w:rsidRPr="00DC0A36" w:rsidRDefault="00642235" w:rsidP="00CE5D6F">
      <w:pPr>
        <w:tabs>
          <w:tab w:val="left" w:pos="2892"/>
          <w:tab w:val="left" w:pos="5783"/>
          <w:tab w:val="left" w:pos="7655"/>
        </w:tabs>
        <w:rPr>
          <w:color w:val="000000"/>
          <w:lang w:val="en-GB"/>
        </w:rPr>
      </w:pPr>
      <w:r w:rsidRPr="00C21BF0">
        <w:rPr>
          <w:color w:val="000000"/>
          <w:lang w:val="en-GB"/>
        </w:rPr>
        <w:tab/>
      </w:r>
      <w:r w:rsidRPr="00DC0A36">
        <w:rPr>
          <w:noProof/>
          <w:color w:val="000000"/>
          <w:lang w:val="en-GB"/>
        </w:rPr>
        <w:t>BSBV</w:t>
      </w:r>
      <w:r w:rsidR="00CE5D6F">
        <w:rPr>
          <w:noProof/>
          <w:color w:val="000000"/>
          <w:lang w:val="en-GB"/>
        </w:rPr>
        <w:t xml:space="preserve"> </w:t>
      </w:r>
      <w:r w:rsidR="005B2844">
        <w:rPr>
          <w:noProof/>
          <w:color w:val="000000"/>
          <w:lang w:val="en-GB"/>
        </w:rPr>
        <w:t>64</w:t>
      </w:r>
      <w:r w:rsidR="00641DC4" w:rsidRPr="00DC0A36">
        <w:rPr>
          <w:noProof/>
          <w:color w:val="000000"/>
          <w:lang w:val="en-GB"/>
        </w:rPr>
        <w:t>/</w:t>
      </w:r>
      <w:r w:rsidR="00CE5D6F">
        <w:rPr>
          <w:noProof/>
          <w:color w:val="000000"/>
          <w:lang w:val="en-GB"/>
        </w:rPr>
        <w:t>Horvath</w:t>
      </w:r>
      <w:r w:rsidR="00641DC4" w:rsidRPr="00DC0A36">
        <w:rPr>
          <w:noProof/>
          <w:color w:val="000000"/>
          <w:lang w:val="en-GB"/>
        </w:rPr>
        <w:tab/>
        <w:t>31</w:t>
      </w:r>
      <w:r w:rsidR="00CE5D6F">
        <w:rPr>
          <w:noProof/>
          <w:color w:val="000000"/>
          <w:lang w:val="en-GB"/>
        </w:rPr>
        <w:t>41</w:t>
      </w:r>
      <w:r w:rsidRPr="00DC0A36">
        <w:rPr>
          <w:color w:val="000000"/>
          <w:lang w:val="en-GB"/>
        </w:rPr>
        <w:tab/>
      </w:r>
      <w:r w:rsidR="005B2844">
        <w:rPr>
          <w:color w:val="000000"/>
          <w:lang w:val="en-GB"/>
        </w:rPr>
        <w:t>5</w:t>
      </w:r>
      <w:r w:rsidR="005B2844" w:rsidRPr="005B2844">
        <w:rPr>
          <w:color w:val="000000"/>
          <w:vertAlign w:val="superscript"/>
          <w:lang w:val="en-GB"/>
        </w:rPr>
        <w:t>th</w:t>
      </w:r>
      <w:r w:rsidR="005B2844">
        <w:rPr>
          <w:color w:val="000000"/>
          <w:vertAlign w:val="superscript"/>
          <w:lang w:val="en-GB"/>
        </w:rPr>
        <w:t xml:space="preserve"> </w:t>
      </w:r>
      <w:r w:rsidR="005B2844">
        <w:rPr>
          <w:color w:val="000000"/>
          <w:lang w:val="en-GB"/>
        </w:rPr>
        <w:t xml:space="preserve">Oct </w:t>
      </w:r>
      <w:r w:rsidR="00D82226" w:rsidRPr="00DC0A36">
        <w:rPr>
          <w:color w:val="000000"/>
          <w:lang w:val="en-GB"/>
        </w:rPr>
        <w:t>201</w:t>
      </w:r>
      <w:r w:rsidR="001D2667">
        <w:rPr>
          <w:color w:val="000000"/>
          <w:lang w:val="en-GB"/>
        </w:rPr>
        <w:t>7</w:t>
      </w:r>
    </w:p>
    <w:p w:rsidR="00E754C8" w:rsidRDefault="00E754C8" w:rsidP="00CE5D6F">
      <w:pPr>
        <w:rPr>
          <w:color w:val="000000"/>
          <w:sz w:val="24"/>
          <w:szCs w:val="24"/>
          <w:lang w:val="en-GB"/>
        </w:rPr>
      </w:pPr>
    </w:p>
    <w:p w:rsidR="00A82C13" w:rsidRPr="00DC0A36" w:rsidRDefault="00A82C13" w:rsidP="00CE5D6F">
      <w:pPr>
        <w:rPr>
          <w:color w:val="000000"/>
          <w:sz w:val="24"/>
          <w:szCs w:val="24"/>
          <w:lang w:val="en-GB"/>
        </w:rPr>
      </w:pPr>
    </w:p>
    <w:p w:rsidR="00711C4D" w:rsidRDefault="005B2844" w:rsidP="00CE5D6F">
      <w:pPr>
        <w:rPr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US"/>
        </w:rPr>
        <w:t xml:space="preserve">ESMA - </w:t>
      </w:r>
      <w:r w:rsidR="00711C4D">
        <w:rPr>
          <w:rFonts w:cs="Arial"/>
          <w:b/>
          <w:sz w:val="24"/>
          <w:szCs w:val="24"/>
          <w:lang w:val="en-US"/>
        </w:rPr>
        <w:t>Consultation</w:t>
      </w:r>
      <w:r w:rsidR="007E1AC2">
        <w:rPr>
          <w:rFonts w:cs="Arial"/>
          <w:b/>
          <w:sz w:val="24"/>
          <w:szCs w:val="24"/>
          <w:lang w:val="en-US"/>
        </w:rPr>
        <w:t xml:space="preserve"> </w:t>
      </w:r>
      <w:r w:rsidR="00711C4D">
        <w:rPr>
          <w:rFonts w:cs="Arial"/>
          <w:b/>
          <w:sz w:val="24"/>
          <w:szCs w:val="24"/>
          <w:lang w:val="en-US"/>
        </w:rPr>
        <w:t xml:space="preserve">on </w:t>
      </w:r>
      <w:r>
        <w:rPr>
          <w:rFonts w:cs="Arial"/>
          <w:b/>
          <w:sz w:val="24"/>
          <w:szCs w:val="24"/>
          <w:lang w:val="en-US"/>
        </w:rPr>
        <w:t>certain aspects of the MiFID II suitability requirements</w:t>
      </w:r>
    </w:p>
    <w:p w:rsidR="00B22761" w:rsidRDefault="00B22761" w:rsidP="00CE5D6F">
      <w:pPr>
        <w:rPr>
          <w:lang w:val="en-GB"/>
        </w:rPr>
      </w:pPr>
    </w:p>
    <w:p w:rsidR="00711C4D" w:rsidRDefault="00DC0A36" w:rsidP="007E1AC2">
      <w:pPr>
        <w:spacing w:line="240" w:lineRule="auto"/>
        <w:rPr>
          <w:rFonts w:cs="Arial"/>
          <w:color w:val="000000"/>
          <w:lang w:val="en-GB" w:eastAsia="en-US"/>
        </w:rPr>
      </w:pPr>
      <w:r w:rsidRPr="00DC0A36">
        <w:rPr>
          <w:lang w:val="en-GB"/>
        </w:rPr>
        <w:t xml:space="preserve">The Division Bank and Insurance of the Austrian Federal Economic Chamber, as </w:t>
      </w:r>
      <w:r w:rsidR="00041C1E">
        <w:rPr>
          <w:lang w:val="en-GB"/>
        </w:rPr>
        <w:t xml:space="preserve">legal </w:t>
      </w:r>
      <w:r w:rsidRPr="00DC0A36">
        <w:rPr>
          <w:lang w:val="en-GB"/>
        </w:rPr>
        <w:t>representative of the entire Austrian banking industry, appreciates the possibility to</w:t>
      </w:r>
      <w:r w:rsidR="00B467F0" w:rsidRPr="00487A00">
        <w:rPr>
          <w:rFonts w:cs="Arial"/>
          <w:color w:val="000000"/>
          <w:lang w:val="en-GB" w:eastAsia="en-US"/>
        </w:rPr>
        <w:t xml:space="preserve"> comment on </w:t>
      </w:r>
      <w:r w:rsidR="00B467F0">
        <w:rPr>
          <w:rFonts w:cs="Arial"/>
          <w:color w:val="000000"/>
          <w:lang w:val="en-GB" w:eastAsia="en-US"/>
        </w:rPr>
        <w:t xml:space="preserve">the above cited </w:t>
      </w:r>
      <w:r w:rsidR="00CE5D6F">
        <w:rPr>
          <w:rFonts w:cs="Arial"/>
          <w:color w:val="000000"/>
          <w:lang w:val="en-GB" w:eastAsia="en-US"/>
        </w:rPr>
        <w:t xml:space="preserve">consultation </w:t>
      </w:r>
      <w:r w:rsidR="005B2525">
        <w:rPr>
          <w:rFonts w:cs="Arial"/>
          <w:color w:val="000000"/>
          <w:lang w:val="en-GB" w:eastAsia="en-US"/>
        </w:rPr>
        <w:t>document</w:t>
      </w:r>
      <w:r w:rsidR="00B467F0">
        <w:rPr>
          <w:rFonts w:cs="Arial"/>
          <w:color w:val="000000"/>
          <w:lang w:val="en-GB" w:eastAsia="en-US"/>
        </w:rPr>
        <w:t xml:space="preserve"> </w:t>
      </w:r>
      <w:r w:rsidR="00B467F0" w:rsidRPr="00487A00">
        <w:rPr>
          <w:rFonts w:cs="Arial"/>
          <w:color w:val="000000"/>
          <w:lang w:val="en-GB" w:eastAsia="en-US"/>
        </w:rPr>
        <w:t>and would like to submit the following position:</w:t>
      </w:r>
      <w:bookmarkStart w:id="0" w:name="_Toc455495118"/>
      <w:bookmarkStart w:id="1" w:name="_Toc461114362"/>
    </w:p>
    <w:bookmarkEnd w:id="0"/>
    <w:bookmarkEnd w:id="1"/>
    <w:p w:rsidR="00090592" w:rsidRPr="00D90EF8" w:rsidRDefault="00090592" w:rsidP="00C619D3">
      <w:pPr>
        <w:spacing w:line="240" w:lineRule="auto"/>
        <w:rPr>
          <w:rFonts w:cs="Arial"/>
          <w:color w:val="222222"/>
          <w:lang w:val="en"/>
        </w:rPr>
      </w:pPr>
    </w:p>
    <w:p w:rsidR="00090592" w:rsidRPr="00D90EF8" w:rsidRDefault="00090592" w:rsidP="00C619D3">
      <w:pPr>
        <w:spacing w:line="240" w:lineRule="auto"/>
        <w:rPr>
          <w:rFonts w:cs="Arial"/>
          <w:color w:val="222222"/>
          <w:lang w:val="en"/>
        </w:rPr>
      </w:pPr>
      <w:r w:rsidRPr="00D90EF8">
        <w:rPr>
          <w:rFonts w:cs="Arial"/>
          <w:color w:val="222222"/>
          <w:lang w:val="en"/>
        </w:rPr>
        <w:t xml:space="preserve">We want to </w:t>
      </w:r>
      <w:r w:rsidRPr="00D90EF8">
        <w:rPr>
          <w:rFonts w:cs="Arial"/>
          <w:color w:val="222222"/>
          <w:lang w:val="en"/>
        </w:rPr>
        <w:t xml:space="preserve">emphasise </w:t>
      </w:r>
      <w:r w:rsidRPr="00D90EF8">
        <w:rPr>
          <w:rFonts w:cs="Arial"/>
          <w:color w:val="222222"/>
          <w:lang w:val="en"/>
        </w:rPr>
        <w:t>that</w:t>
      </w:r>
      <w:r w:rsidRPr="00D90EF8">
        <w:rPr>
          <w:rFonts w:cs="Arial"/>
          <w:color w:val="222222"/>
          <w:lang w:val="en"/>
        </w:rPr>
        <w:t xml:space="preserve"> </w:t>
      </w:r>
      <w:r w:rsidRPr="00D90EF8">
        <w:rPr>
          <w:rFonts w:cs="Arial"/>
          <w:color w:val="222222"/>
          <w:lang w:val="en"/>
        </w:rPr>
        <w:t xml:space="preserve">those parts which do not find a </w:t>
      </w:r>
      <w:r w:rsidR="00D90EF8" w:rsidRPr="00D90EF8">
        <w:rPr>
          <w:rFonts w:cs="Arial"/>
          <w:color w:val="222222"/>
          <w:lang w:val="en"/>
        </w:rPr>
        <w:t xml:space="preserve">legal </w:t>
      </w:r>
      <w:r w:rsidRPr="00D90EF8">
        <w:rPr>
          <w:rFonts w:cs="Arial"/>
          <w:color w:val="222222"/>
          <w:lang w:val="en"/>
        </w:rPr>
        <w:t xml:space="preserve">basis in the MiFID II as well as the </w:t>
      </w:r>
      <w:r w:rsidR="00D90EF8" w:rsidRPr="00D90EF8">
        <w:rPr>
          <w:rFonts w:cs="Arial"/>
          <w:color w:val="222222"/>
          <w:lang w:val="en"/>
        </w:rPr>
        <w:t xml:space="preserve">corresponding </w:t>
      </w:r>
      <w:r w:rsidRPr="00D90EF8">
        <w:rPr>
          <w:rFonts w:cs="Arial"/>
          <w:color w:val="222222"/>
          <w:lang w:val="en"/>
        </w:rPr>
        <w:t>D</w:t>
      </w:r>
      <w:r w:rsidRPr="00D90EF8">
        <w:rPr>
          <w:rFonts w:cs="Arial"/>
          <w:color w:val="222222"/>
          <w:lang w:val="en"/>
        </w:rPr>
        <w:t xml:space="preserve">elegated </w:t>
      </w:r>
      <w:r w:rsidRPr="00D90EF8">
        <w:rPr>
          <w:rFonts w:cs="Arial"/>
          <w:color w:val="222222"/>
          <w:lang w:val="en"/>
        </w:rPr>
        <w:t>R</w:t>
      </w:r>
      <w:r w:rsidRPr="00D90EF8">
        <w:rPr>
          <w:rFonts w:cs="Arial"/>
          <w:color w:val="222222"/>
          <w:lang w:val="en"/>
        </w:rPr>
        <w:t xml:space="preserve">egulation </w:t>
      </w:r>
      <w:r w:rsidRPr="00D90EF8">
        <w:rPr>
          <w:rFonts w:cs="Arial"/>
          <w:color w:val="222222"/>
          <w:lang w:val="en"/>
        </w:rPr>
        <w:t>seem excessive</w:t>
      </w:r>
      <w:r w:rsidRPr="00D90EF8">
        <w:rPr>
          <w:rFonts w:cs="Arial"/>
          <w:color w:val="222222"/>
          <w:lang w:val="en"/>
        </w:rPr>
        <w:t xml:space="preserve"> and should not be included in the final version of the Guidelines.</w:t>
      </w:r>
      <w:r w:rsidRPr="00D90EF8">
        <w:rPr>
          <w:rFonts w:cs="Arial"/>
          <w:color w:val="222222"/>
          <w:lang w:val="en"/>
        </w:rPr>
        <w:br/>
      </w:r>
    </w:p>
    <w:p w:rsidR="00090592" w:rsidRPr="00D90EF8" w:rsidRDefault="00090592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b/>
          <w:color w:val="222222"/>
          <w:lang w:val="en"/>
        </w:rPr>
        <w:t>Recital 56</w:t>
      </w:r>
    </w:p>
    <w:p w:rsidR="00090592" w:rsidRPr="00D90EF8" w:rsidRDefault="00090592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color w:val="222222"/>
          <w:lang w:val="en"/>
        </w:rPr>
        <w:t xml:space="preserve">The above mentioned concerns in praticular </w:t>
      </w:r>
      <w:r w:rsidRPr="00D90EF8">
        <w:rPr>
          <w:rFonts w:cs="Arial"/>
          <w:color w:val="222222"/>
          <w:lang w:val="en"/>
        </w:rPr>
        <w:t>R</w:t>
      </w:r>
      <w:r w:rsidRPr="00D90EF8">
        <w:rPr>
          <w:rFonts w:cs="Arial"/>
          <w:color w:val="222222"/>
          <w:lang w:val="en"/>
        </w:rPr>
        <w:t>ecital</w:t>
      </w:r>
      <w:r w:rsidRPr="00D90EF8">
        <w:rPr>
          <w:rFonts w:cs="Arial"/>
          <w:color w:val="222222"/>
          <w:lang w:val="en"/>
        </w:rPr>
        <w:t xml:space="preserve"> 56: It is required that a written policy </w:t>
      </w:r>
      <w:r w:rsidRPr="00D90EF8">
        <w:rPr>
          <w:rFonts w:cs="Arial"/>
          <w:color w:val="222222"/>
          <w:lang w:val="en"/>
        </w:rPr>
        <w:t>regarding the suitability assessment has to</w:t>
      </w:r>
      <w:r w:rsidRPr="00D90EF8">
        <w:rPr>
          <w:rFonts w:cs="Arial"/>
          <w:color w:val="222222"/>
          <w:lang w:val="en"/>
        </w:rPr>
        <w:t xml:space="preserve"> </w:t>
      </w:r>
      <w:r w:rsidRPr="00D90EF8">
        <w:rPr>
          <w:rFonts w:cs="Arial"/>
          <w:color w:val="222222"/>
          <w:lang w:val="en"/>
        </w:rPr>
        <w:t>be handed over to the customer</w:t>
      </w:r>
      <w:r w:rsidRPr="00D90EF8">
        <w:rPr>
          <w:rFonts w:cs="Arial"/>
          <w:color w:val="222222"/>
          <w:lang w:val="en"/>
        </w:rPr>
        <w:t>. A</w:t>
      </w:r>
      <w:r w:rsidR="00EF39D4" w:rsidRPr="00D90EF8">
        <w:rPr>
          <w:rFonts w:cs="Arial"/>
          <w:color w:val="222222"/>
          <w:lang w:val="en"/>
        </w:rPr>
        <w:t>ccording to</w:t>
      </w:r>
      <w:r w:rsidRPr="00D90EF8">
        <w:rPr>
          <w:rFonts w:cs="Arial"/>
          <w:color w:val="222222"/>
          <w:lang w:val="en"/>
        </w:rPr>
        <w:t xml:space="preserve"> 54 (6) </w:t>
      </w:r>
      <w:r w:rsidRPr="00D90EF8">
        <w:rPr>
          <w:rFonts w:cs="Arial"/>
          <w:color w:val="222222"/>
          <w:lang w:val="en"/>
        </w:rPr>
        <w:t>delReg (EU) 2017/565</w:t>
      </w:r>
      <w:r w:rsidRPr="00D90EF8">
        <w:rPr>
          <w:rFonts w:cs="Arial"/>
          <w:color w:val="222222"/>
          <w:lang w:val="en"/>
        </w:rPr>
        <w:t xml:space="preserve"> i</w:t>
      </w:r>
      <w:r w:rsidR="00EF39D4" w:rsidRPr="00D90EF8">
        <w:rPr>
          <w:rFonts w:cs="Arial"/>
          <w:color w:val="222222"/>
          <w:lang w:val="en"/>
        </w:rPr>
        <w:t xml:space="preserve">nvestment firms have to establish and implement a policy, </w:t>
      </w:r>
      <w:r w:rsidRPr="00D90EF8">
        <w:rPr>
          <w:rFonts w:cs="Arial"/>
          <w:color w:val="222222"/>
          <w:lang w:val="en"/>
        </w:rPr>
        <w:t xml:space="preserve">but </w:t>
      </w:r>
      <w:r w:rsidR="00EF39D4" w:rsidRPr="00D90EF8">
        <w:rPr>
          <w:rFonts w:cs="Arial"/>
          <w:color w:val="222222"/>
          <w:lang w:val="en"/>
        </w:rPr>
        <w:t xml:space="preserve">there is no obligation to </w:t>
      </w:r>
      <w:r w:rsidRPr="00D90EF8">
        <w:rPr>
          <w:rFonts w:cs="Arial"/>
          <w:color w:val="222222"/>
          <w:lang w:val="en"/>
        </w:rPr>
        <w:t xml:space="preserve">ex ante hand over </w:t>
      </w:r>
      <w:r w:rsidR="00EF39D4" w:rsidRPr="00D90EF8">
        <w:rPr>
          <w:rFonts w:cs="Arial"/>
          <w:color w:val="222222"/>
          <w:lang w:val="en"/>
        </w:rPr>
        <w:t xml:space="preserve">this policy </w:t>
      </w:r>
      <w:r w:rsidRPr="00D90EF8">
        <w:rPr>
          <w:rFonts w:cs="Arial"/>
          <w:color w:val="222222"/>
          <w:lang w:val="en"/>
        </w:rPr>
        <w:t xml:space="preserve">to the customer or that the customer </w:t>
      </w:r>
      <w:r w:rsidR="00EF39D4" w:rsidRPr="00D90EF8">
        <w:rPr>
          <w:rFonts w:cs="Arial"/>
          <w:color w:val="222222"/>
          <w:lang w:val="en"/>
        </w:rPr>
        <w:t>has to</w:t>
      </w:r>
      <w:r w:rsidRPr="00D90EF8">
        <w:rPr>
          <w:rFonts w:cs="Arial"/>
          <w:color w:val="222222"/>
          <w:lang w:val="en"/>
        </w:rPr>
        <w:t xml:space="preserve"> be informed.</w:t>
      </w:r>
      <w:r w:rsidRPr="00D90EF8">
        <w:rPr>
          <w:rFonts w:cs="Arial"/>
          <w:color w:val="222222"/>
          <w:lang w:val="en"/>
        </w:rPr>
        <w:br/>
        <w:t> </w:t>
      </w:r>
      <w:r w:rsidRPr="00D90EF8">
        <w:rPr>
          <w:rFonts w:cs="Arial"/>
          <w:color w:val="222222"/>
          <w:lang w:val="en"/>
        </w:rPr>
        <w:br/>
      </w:r>
      <w:r w:rsidRPr="00D90EF8">
        <w:rPr>
          <w:rFonts w:cs="Arial"/>
          <w:b/>
          <w:color w:val="222222"/>
          <w:lang w:val="en"/>
        </w:rPr>
        <w:t>R</w:t>
      </w:r>
      <w:r w:rsidRPr="00D90EF8">
        <w:rPr>
          <w:rFonts w:cs="Arial"/>
          <w:b/>
          <w:color w:val="222222"/>
          <w:lang w:val="en"/>
        </w:rPr>
        <w:t>ecital 26</w:t>
      </w:r>
    </w:p>
    <w:p w:rsidR="00317CA7" w:rsidRPr="00D90EF8" w:rsidRDefault="00EF39D4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color w:val="222222"/>
          <w:lang w:val="en"/>
        </w:rPr>
        <w:t>The</w:t>
      </w:r>
      <w:r w:rsidR="00090592" w:rsidRPr="00D90EF8">
        <w:rPr>
          <w:rFonts w:cs="Arial"/>
          <w:color w:val="222222"/>
          <w:lang w:val="en"/>
        </w:rPr>
        <w:t xml:space="preserve"> required data to obtain the necessary information for the </w:t>
      </w:r>
      <w:r w:rsidRPr="00D90EF8">
        <w:rPr>
          <w:rFonts w:cs="Arial"/>
          <w:color w:val="222222"/>
          <w:lang w:val="en"/>
        </w:rPr>
        <w:t>suitability assessment</w:t>
      </w:r>
      <w:r w:rsidR="00090592" w:rsidRPr="00D90EF8">
        <w:rPr>
          <w:rFonts w:cs="Arial"/>
          <w:color w:val="222222"/>
          <w:lang w:val="en"/>
        </w:rPr>
        <w:t xml:space="preserve"> </w:t>
      </w:r>
      <w:r w:rsidRPr="00D90EF8">
        <w:rPr>
          <w:rFonts w:cs="Arial"/>
          <w:color w:val="222222"/>
          <w:lang w:val="en"/>
        </w:rPr>
        <w:t>is</w:t>
      </w:r>
      <w:r w:rsidR="00090592" w:rsidRPr="00D90EF8">
        <w:rPr>
          <w:rFonts w:cs="Arial"/>
          <w:color w:val="222222"/>
          <w:lang w:val="en"/>
        </w:rPr>
        <w:t xml:space="preserve"> partly </w:t>
      </w:r>
      <w:r w:rsidRPr="00D90EF8">
        <w:rPr>
          <w:rFonts w:cs="Arial"/>
          <w:color w:val="222222"/>
          <w:lang w:val="en"/>
        </w:rPr>
        <w:t>exaggerated</w:t>
      </w:r>
      <w:r w:rsidR="00090592" w:rsidRPr="00D90EF8">
        <w:rPr>
          <w:rFonts w:cs="Arial"/>
          <w:color w:val="222222"/>
          <w:lang w:val="en"/>
        </w:rPr>
        <w:t>, for example in the section "marital status" and "employment situations</w:t>
      </w:r>
      <w:r w:rsidR="00D90EF8" w:rsidRPr="00D90EF8">
        <w:rPr>
          <w:rFonts w:cs="Arial"/>
          <w:color w:val="222222"/>
          <w:lang w:val="en"/>
        </w:rPr>
        <w:t>”</w:t>
      </w:r>
      <w:r w:rsidR="00090592" w:rsidRPr="00D90EF8">
        <w:rPr>
          <w:rFonts w:cs="Arial"/>
          <w:color w:val="222222"/>
          <w:lang w:val="en"/>
        </w:rPr>
        <w:t xml:space="preserve"> (e</w:t>
      </w:r>
      <w:r w:rsidR="00D90EF8" w:rsidRPr="00D90EF8">
        <w:rPr>
          <w:rFonts w:cs="Arial"/>
          <w:color w:val="222222"/>
          <w:lang w:val="en"/>
        </w:rPr>
        <w:t>.</w:t>
      </w:r>
      <w:r w:rsidR="00090592" w:rsidRPr="00D90EF8">
        <w:rPr>
          <w:rFonts w:cs="Arial"/>
          <w:color w:val="222222"/>
          <w:lang w:val="en"/>
        </w:rPr>
        <w:t>g</w:t>
      </w:r>
      <w:r w:rsidR="00D90EF8" w:rsidRPr="00D90EF8">
        <w:rPr>
          <w:rFonts w:cs="Arial"/>
          <w:color w:val="222222"/>
          <w:lang w:val="en"/>
        </w:rPr>
        <w:t>.</w:t>
      </w:r>
      <w:r w:rsidR="00090592" w:rsidRPr="00D90EF8">
        <w:rPr>
          <w:rFonts w:cs="Arial"/>
          <w:color w:val="222222"/>
          <w:lang w:val="en"/>
        </w:rPr>
        <w:t xml:space="preserve"> future loss of job is likely). The </w:t>
      </w:r>
      <w:r w:rsidRPr="00D90EF8">
        <w:rPr>
          <w:rFonts w:cs="Arial"/>
          <w:color w:val="222222"/>
          <w:lang w:val="en"/>
        </w:rPr>
        <w:t>significance</w:t>
      </w:r>
      <w:r w:rsidR="00090592" w:rsidRPr="00D90EF8">
        <w:rPr>
          <w:rFonts w:cs="Arial"/>
          <w:color w:val="222222"/>
          <w:lang w:val="en"/>
        </w:rPr>
        <w:t xml:space="preserve"> is</w:t>
      </w:r>
      <w:r w:rsidRPr="00D90EF8">
        <w:rPr>
          <w:rFonts w:cs="Arial"/>
          <w:color w:val="222222"/>
          <w:lang w:val="en"/>
        </w:rPr>
        <w:t xml:space="preserve"> questionable </w:t>
      </w:r>
      <w:r w:rsidR="00090592" w:rsidRPr="00D90EF8">
        <w:rPr>
          <w:rFonts w:cs="Arial"/>
          <w:color w:val="222222"/>
          <w:lang w:val="en"/>
        </w:rPr>
        <w:t>or the description is undefined, so these points should be deleted.</w:t>
      </w:r>
      <w:r w:rsidR="00090592" w:rsidRPr="00D90EF8">
        <w:rPr>
          <w:rFonts w:cs="Arial"/>
          <w:color w:val="222222"/>
          <w:lang w:val="en"/>
        </w:rPr>
        <w:br/>
        <w:t> </w:t>
      </w:r>
      <w:r w:rsidR="00090592" w:rsidRPr="00D90EF8">
        <w:rPr>
          <w:rFonts w:cs="Arial"/>
          <w:color w:val="222222"/>
          <w:lang w:val="en"/>
        </w:rPr>
        <w:br/>
      </w:r>
      <w:r w:rsidR="00317CA7" w:rsidRPr="00D90EF8">
        <w:rPr>
          <w:rFonts w:cs="Arial"/>
          <w:b/>
          <w:color w:val="222222"/>
          <w:lang w:val="en"/>
        </w:rPr>
        <w:t>R</w:t>
      </w:r>
      <w:r w:rsidR="00317CA7" w:rsidRPr="00D90EF8">
        <w:rPr>
          <w:rFonts w:cs="Arial"/>
          <w:b/>
          <w:color w:val="222222"/>
          <w:lang w:val="en"/>
        </w:rPr>
        <w:t>ecital</w:t>
      </w:r>
      <w:r w:rsidR="00317CA7" w:rsidRPr="00D90EF8">
        <w:rPr>
          <w:rFonts w:cs="Arial"/>
          <w:b/>
          <w:color w:val="222222"/>
          <w:lang w:val="en"/>
        </w:rPr>
        <w:t xml:space="preserve"> 38</w:t>
      </w:r>
    </w:p>
    <w:p w:rsidR="006D109C" w:rsidRPr="00D90EF8" w:rsidRDefault="00317CA7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color w:val="222222"/>
          <w:lang w:val="en"/>
        </w:rPr>
        <w:t>"For example, more in</w:t>
      </w:r>
      <w:r w:rsidRPr="00D90EF8">
        <w:rPr>
          <w:rFonts w:cs="Arial"/>
          <w:color w:val="222222"/>
          <w:lang w:val="en"/>
        </w:rPr>
        <w:t>-depth information would usually need to be collected for potentially vulnerable clients</w:t>
      </w:r>
      <w:r w:rsidR="00D90EF8" w:rsidRPr="00D90EF8">
        <w:rPr>
          <w:rFonts w:cs="Arial"/>
          <w:color w:val="222222"/>
          <w:lang w:val="en"/>
        </w:rPr>
        <w:t>.</w:t>
      </w:r>
      <w:r w:rsidRPr="00D90EF8">
        <w:rPr>
          <w:rFonts w:cs="Arial"/>
          <w:color w:val="222222"/>
          <w:lang w:val="en"/>
        </w:rPr>
        <w:t xml:space="preserve">" We believe this requirement is </w:t>
      </w:r>
      <w:r w:rsidRPr="00D90EF8">
        <w:rPr>
          <w:rFonts w:cs="Arial"/>
          <w:color w:val="222222"/>
          <w:lang w:val="en"/>
        </w:rPr>
        <w:t>excessive</w:t>
      </w:r>
      <w:r w:rsidRPr="00D90EF8">
        <w:rPr>
          <w:rFonts w:cs="Arial"/>
          <w:color w:val="222222"/>
          <w:lang w:val="en"/>
        </w:rPr>
        <w:t xml:space="preserve">. </w:t>
      </w:r>
      <w:r w:rsidRPr="00D90EF8">
        <w:rPr>
          <w:rFonts w:cs="Arial"/>
          <w:color w:val="222222"/>
          <w:lang w:val="en"/>
        </w:rPr>
        <w:t>It should be sufficient if the</w:t>
      </w:r>
      <w:r w:rsidRPr="00D90EF8">
        <w:rPr>
          <w:rFonts w:cs="Arial"/>
          <w:color w:val="222222"/>
          <w:lang w:val="en"/>
        </w:rPr>
        <w:t xml:space="preserve"> information necessary to assess the </w:t>
      </w:r>
      <w:r w:rsidRPr="00D90EF8">
        <w:rPr>
          <w:rFonts w:cs="Arial"/>
          <w:color w:val="222222"/>
          <w:lang w:val="en"/>
        </w:rPr>
        <w:t>appropriateness</w:t>
      </w:r>
      <w:r w:rsidRPr="00D90EF8">
        <w:rPr>
          <w:rFonts w:cs="Arial"/>
          <w:color w:val="222222"/>
          <w:lang w:val="en"/>
        </w:rPr>
        <w:t xml:space="preserve"> and suitability is obtained, </w:t>
      </w:r>
      <w:r w:rsidRPr="00D90EF8">
        <w:rPr>
          <w:rFonts w:cs="Arial"/>
          <w:color w:val="222222"/>
          <w:lang w:val="en"/>
        </w:rPr>
        <w:t>no additional and</w:t>
      </w:r>
      <w:r w:rsidRPr="00D90EF8">
        <w:rPr>
          <w:rFonts w:cs="Arial"/>
          <w:color w:val="222222"/>
          <w:lang w:val="en"/>
        </w:rPr>
        <w:t xml:space="preserve"> more stringent criterion should be introduced.</w:t>
      </w:r>
      <w:r w:rsidRPr="00D90EF8">
        <w:rPr>
          <w:rFonts w:cs="Arial"/>
          <w:color w:val="222222"/>
          <w:lang w:val="en"/>
        </w:rPr>
        <w:br/>
      </w:r>
    </w:p>
    <w:p w:rsidR="00317CA7" w:rsidRPr="00D90EF8" w:rsidRDefault="00317CA7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b/>
          <w:color w:val="222222"/>
          <w:lang w:val="en"/>
        </w:rPr>
        <w:t>R</w:t>
      </w:r>
      <w:r w:rsidRPr="00D90EF8">
        <w:rPr>
          <w:rFonts w:cs="Arial"/>
          <w:b/>
          <w:color w:val="222222"/>
          <w:lang w:val="en"/>
        </w:rPr>
        <w:t>ecital</w:t>
      </w:r>
      <w:r w:rsidRPr="00D90EF8">
        <w:rPr>
          <w:rFonts w:cs="Arial"/>
          <w:b/>
          <w:color w:val="222222"/>
          <w:lang w:val="en"/>
        </w:rPr>
        <w:t xml:space="preserve"> 41</w:t>
      </w:r>
    </w:p>
    <w:p w:rsidR="00317CA7" w:rsidRPr="00D90EF8" w:rsidRDefault="00317CA7" w:rsidP="00C619D3">
      <w:pPr>
        <w:spacing w:line="240" w:lineRule="auto"/>
        <w:rPr>
          <w:rFonts w:cs="Arial"/>
          <w:color w:val="222222"/>
          <w:lang w:val="en"/>
        </w:rPr>
      </w:pPr>
      <w:r w:rsidRPr="00D90EF8">
        <w:rPr>
          <w:rFonts w:cs="Arial"/>
          <w:color w:val="222222"/>
          <w:lang w:val="en"/>
        </w:rPr>
        <w:t>"Information about a client's financial situation includes information about his investments."</w:t>
      </w:r>
      <w:r w:rsidRPr="00D90EF8">
        <w:rPr>
          <w:rFonts w:cs="Arial"/>
          <w:color w:val="222222"/>
          <w:lang w:val="en"/>
        </w:rPr>
        <w:br/>
        <w:t xml:space="preserve">Here "when necessary" should be added. </w:t>
      </w:r>
      <w:r w:rsidR="00D90EF8" w:rsidRPr="00D90EF8">
        <w:rPr>
          <w:rFonts w:cs="Arial"/>
          <w:color w:val="222222"/>
          <w:lang w:val="en"/>
        </w:rPr>
        <w:t>B</w:t>
      </w:r>
      <w:r w:rsidRPr="00D90EF8">
        <w:rPr>
          <w:rFonts w:cs="Arial"/>
          <w:color w:val="222222"/>
          <w:lang w:val="en"/>
        </w:rPr>
        <w:t>ank</w:t>
      </w:r>
      <w:r w:rsidR="00D90EF8" w:rsidRPr="00D90EF8">
        <w:rPr>
          <w:rFonts w:cs="Arial"/>
          <w:color w:val="222222"/>
          <w:lang w:val="en"/>
        </w:rPr>
        <w:t>s do</w:t>
      </w:r>
      <w:r w:rsidRPr="00D90EF8">
        <w:rPr>
          <w:rFonts w:cs="Arial"/>
          <w:color w:val="222222"/>
          <w:lang w:val="en"/>
        </w:rPr>
        <w:t xml:space="preserve"> not always need this information in detail (list of foreign deposits, for example).</w:t>
      </w:r>
    </w:p>
    <w:p w:rsidR="00317CA7" w:rsidRPr="00D90EF8" w:rsidRDefault="00317CA7" w:rsidP="00C619D3">
      <w:pPr>
        <w:spacing w:line="240" w:lineRule="auto"/>
        <w:rPr>
          <w:rFonts w:cs="Arial"/>
          <w:color w:val="222222"/>
          <w:lang w:val="en"/>
        </w:rPr>
      </w:pPr>
    </w:p>
    <w:p w:rsidR="00317CA7" w:rsidRPr="00D90EF8" w:rsidRDefault="00317CA7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b/>
          <w:color w:val="222222"/>
          <w:lang w:val="en"/>
        </w:rPr>
        <w:t>R</w:t>
      </w:r>
      <w:r w:rsidRPr="00D90EF8">
        <w:rPr>
          <w:rFonts w:cs="Arial"/>
          <w:b/>
          <w:color w:val="222222"/>
          <w:lang w:val="en"/>
        </w:rPr>
        <w:t>ecital</w:t>
      </w:r>
      <w:r w:rsidRPr="00D90EF8">
        <w:rPr>
          <w:rFonts w:cs="Arial"/>
          <w:b/>
          <w:color w:val="222222"/>
          <w:lang w:val="en"/>
        </w:rPr>
        <w:t xml:space="preserve"> 68</w:t>
      </w:r>
    </w:p>
    <w:p w:rsidR="006D109C" w:rsidRPr="00D90EF8" w:rsidRDefault="00317CA7" w:rsidP="00C619D3">
      <w:pPr>
        <w:spacing w:line="240" w:lineRule="auto"/>
        <w:rPr>
          <w:rFonts w:cs="Arial"/>
          <w:color w:val="222222"/>
          <w:lang w:val="en"/>
        </w:rPr>
      </w:pPr>
      <w:r w:rsidRPr="00D90EF8">
        <w:rPr>
          <w:rFonts w:cs="Arial"/>
          <w:color w:val="222222"/>
          <w:lang w:val="en"/>
        </w:rPr>
        <w:lastRenderedPageBreak/>
        <w:t>These r</w:t>
      </w:r>
      <w:r w:rsidR="006D109C" w:rsidRPr="00D90EF8">
        <w:rPr>
          <w:rFonts w:cs="Arial"/>
          <w:color w:val="222222"/>
          <w:lang w:val="en"/>
        </w:rPr>
        <w:t>equirements</w:t>
      </w:r>
      <w:r w:rsidRPr="00D90EF8">
        <w:rPr>
          <w:rFonts w:cs="Arial"/>
          <w:color w:val="222222"/>
          <w:lang w:val="en"/>
        </w:rPr>
        <w:t xml:space="preserve"> partially </w:t>
      </w:r>
      <w:r w:rsidRPr="00D90EF8">
        <w:rPr>
          <w:rFonts w:cs="Arial"/>
          <w:color w:val="222222"/>
          <w:lang w:val="en"/>
        </w:rPr>
        <w:t>correspond to</w:t>
      </w:r>
      <w:r w:rsidRPr="00D90EF8">
        <w:rPr>
          <w:rFonts w:cs="Arial"/>
          <w:color w:val="222222"/>
          <w:lang w:val="en"/>
        </w:rPr>
        <w:t xml:space="preserve"> the requirements of </w:t>
      </w:r>
      <w:r w:rsidR="00D90EF8" w:rsidRPr="00D90EF8">
        <w:rPr>
          <w:rFonts w:cs="Arial"/>
          <w:color w:val="222222"/>
          <w:lang w:val="en"/>
        </w:rPr>
        <w:t xml:space="preserve">the </w:t>
      </w:r>
      <w:r w:rsidRPr="00D90EF8">
        <w:rPr>
          <w:rFonts w:cs="Arial"/>
          <w:color w:val="222222"/>
          <w:lang w:val="en"/>
        </w:rPr>
        <w:t xml:space="preserve">ESMA </w:t>
      </w:r>
      <w:r w:rsidR="00D90EF8" w:rsidRPr="00D90EF8">
        <w:rPr>
          <w:rFonts w:cs="Arial"/>
          <w:color w:val="222222"/>
          <w:lang w:val="en"/>
        </w:rPr>
        <w:t>P</w:t>
      </w:r>
      <w:r w:rsidRPr="00D90EF8">
        <w:rPr>
          <w:rFonts w:cs="Arial"/>
          <w:color w:val="222222"/>
          <w:lang w:val="en"/>
        </w:rPr>
        <w:t xml:space="preserve">roduct </w:t>
      </w:r>
      <w:r w:rsidRPr="00D90EF8">
        <w:rPr>
          <w:rFonts w:cs="Arial"/>
          <w:color w:val="222222"/>
          <w:lang w:val="en"/>
        </w:rPr>
        <w:t xml:space="preserve">Governance Guidelines, e.g. RZ 71 ("Firms should </w:t>
      </w:r>
      <w:r w:rsidR="006D109C" w:rsidRPr="00D90EF8">
        <w:rPr>
          <w:rFonts w:cs="Arial"/>
          <w:color w:val="222222"/>
          <w:lang w:val="en"/>
        </w:rPr>
        <w:t xml:space="preserve">also assess </w:t>
      </w:r>
      <w:r w:rsidRPr="00D90EF8">
        <w:rPr>
          <w:rFonts w:cs="Arial"/>
          <w:color w:val="222222"/>
          <w:lang w:val="en"/>
        </w:rPr>
        <w:t>appropriately ... the level of complexity of products ...."). To avoid redundancies overlap</w:t>
      </w:r>
      <w:r w:rsidR="006D109C" w:rsidRPr="00D90EF8">
        <w:rPr>
          <w:rFonts w:cs="Arial"/>
          <w:color w:val="222222"/>
          <w:lang w:val="en"/>
        </w:rPr>
        <w:t>s</w:t>
      </w:r>
      <w:r w:rsidRPr="00D90EF8">
        <w:rPr>
          <w:rFonts w:cs="Arial"/>
          <w:color w:val="222222"/>
          <w:lang w:val="en"/>
        </w:rPr>
        <w:t xml:space="preserve"> should be taken into account.</w:t>
      </w:r>
    </w:p>
    <w:p w:rsidR="006D109C" w:rsidRPr="00D90EF8" w:rsidRDefault="006D109C" w:rsidP="00C619D3">
      <w:pPr>
        <w:spacing w:line="240" w:lineRule="auto"/>
        <w:rPr>
          <w:rFonts w:cs="Arial"/>
          <w:b/>
          <w:color w:val="222222"/>
          <w:lang w:val="en"/>
        </w:rPr>
      </w:pPr>
    </w:p>
    <w:p w:rsidR="006D109C" w:rsidRPr="00D90EF8" w:rsidRDefault="006D109C" w:rsidP="006D109C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b/>
          <w:color w:val="222222"/>
          <w:lang w:val="en"/>
        </w:rPr>
        <w:t>Recital 83 - cluster risk</w:t>
      </w:r>
    </w:p>
    <w:p w:rsidR="006D109C" w:rsidRPr="00D90EF8" w:rsidRDefault="006D109C" w:rsidP="006D109C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color w:val="222222"/>
          <w:lang w:val="en"/>
        </w:rPr>
        <w:t xml:space="preserve">A separate information is required that customers invest in a </w:t>
      </w:r>
      <w:r w:rsidR="00D90EF8">
        <w:rPr>
          <w:rFonts w:cs="Arial"/>
          <w:color w:val="222222"/>
          <w:lang w:val="en"/>
        </w:rPr>
        <w:t>p</w:t>
      </w:r>
      <w:r w:rsidR="002830FB">
        <w:rPr>
          <w:rFonts w:cs="Arial"/>
          <w:color w:val="222222"/>
          <w:lang w:val="en"/>
        </w:rPr>
        <w:t>roducs offered through self-placment models</w:t>
      </w:r>
      <w:r w:rsidRPr="00D90EF8">
        <w:rPr>
          <w:rFonts w:cs="Arial"/>
          <w:color w:val="222222"/>
          <w:lang w:val="en"/>
        </w:rPr>
        <w:t>.</w:t>
      </w:r>
      <w:r w:rsidR="009572BB" w:rsidRPr="00D90EF8">
        <w:rPr>
          <w:rFonts w:cs="Arial"/>
          <w:color w:val="222222"/>
          <w:lang w:val="en"/>
        </w:rPr>
        <w:t xml:space="preserve"> T</w:t>
      </w:r>
      <w:r w:rsidRPr="00D90EF8">
        <w:rPr>
          <w:rFonts w:cs="Arial"/>
          <w:color w:val="222222"/>
          <w:lang w:val="en"/>
        </w:rPr>
        <w:t>he customer already receives sufficient information in this context, namely on the one hand that he is offered a dependent investment advice, and hence there is a restricted product universe. On the other hand, the customer receives information on bail in.</w:t>
      </w:r>
      <w:r w:rsidR="009572BB" w:rsidRPr="00D90EF8">
        <w:rPr>
          <w:rFonts w:cs="Arial"/>
          <w:color w:val="222222"/>
          <w:lang w:val="en"/>
        </w:rPr>
        <w:t xml:space="preserve"> So the customer is in a position to anticipate that</w:t>
      </w:r>
      <w:r w:rsidRPr="00D90EF8">
        <w:rPr>
          <w:rFonts w:cs="Arial"/>
          <w:color w:val="222222"/>
          <w:lang w:val="en"/>
        </w:rPr>
        <w:t xml:space="preserve"> own products</w:t>
      </w:r>
      <w:r w:rsidR="009572BB" w:rsidRPr="00D90EF8">
        <w:rPr>
          <w:rFonts w:cs="Arial"/>
          <w:color w:val="222222"/>
          <w:lang w:val="en"/>
        </w:rPr>
        <w:t xml:space="preserve"> will be offered to him</w:t>
      </w:r>
      <w:r w:rsidRPr="00D90EF8">
        <w:rPr>
          <w:rFonts w:cs="Arial"/>
          <w:color w:val="222222"/>
          <w:lang w:val="en"/>
        </w:rPr>
        <w:t xml:space="preserve">. Such an additional obligation </w:t>
      </w:r>
      <w:r w:rsidR="009572BB" w:rsidRPr="00D90EF8">
        <w:rPr>
          <w:rFonts w:cs="Arial"/>
          <w:color w:val="222222"/>
          <w:lang w:val="en"/>
        </w:rPr>
        <w:t>would lead</w:t>
      </w:r>
      <w:r w:rsidRPr="00D90EF8">
        <w:rPr>
          <w:rFonts w:cs="Arial"/>
          <w:color w:val="222222"/>
          <w:lang w:val="en"/>
        </w:rPr>
        <w:t xml:space="preserve"> to a deterioration of dependent advice in relation to independent advice. This separate information obligation should therefore be deleted.</w:t>
      </w:r>
    </w:p>
    <w:p w:rsidR="006D109C" w:rsidRPr="00D90EF8" w:rsidRDefault="006D109C" w:rsidP="00C619D3">
      <w:pPr>
        <w:spacing w:line="240" w:lineRule="auto"/>
        <w:rPr>
          <w:rFonts w:cs="Arial"/>
          <w:b/>
          <w:color w:val="222222"/>
          <w:lang w:val="en"/>
        </w:rPr>
      </w:pPr>
    </w:p>
    <w:p w:rsidR="009572BB" w:rsidRPr="00D90EF8" w:rsidRDefault="009572BB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b/>
          <w:color w:val="222222"/>
          <w:lang w:val="en"/>
        </w:rPr>
        <w:t>R</w:t>
      </w:r>
      <w:r w:rsidRPr="00D90EF8">
        <w:rPr>
          <w:rFonts w:cs="Arial"/>
          <w:b/>
          <w:color w:val="222222"/>
          <w:lang w:val="en"/>
        </w:rPr>
        <w:t>ecital</w:t>
      </w:r>
      <w:r w:rsidRPr="00D90EF8">
        <w:rPr>
          <w:rFonts w:cs="Arial"/>
          <w:b/>
          <w:color w:val="222222"/>
          <w:lang w:val="en"/>
        </w:rPr>
        <w:t xml:space="preserve"> 87</w:t>
      </w:r>
    </w:p>
    <w:p w:rsidR="009572BB" w:rsidRPr="00D90EF8" w:rsidRDefault="009572BB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color w:val="222222"/>
          <w:lang w:val="en"/>
        </w:rPr>
        <w:t xml:space="preserve">Usually there </w:t>
      </w:r>
      <w:r w:rsidRPr="00D90EF8">
        <w:rPr>
          <w:rFonts w:cs="Arial"/>
          <w:color w:val="222222"/>
          <w:lang w:val="en"/>
        </w:rPr>
        <w:t>is</w:t>
      </w:r>
      <w:r w:rsidRPr="00D90EF8">
        <w:rPr>
          <w:rFonts w:cs="Arial"/>
          <w:color w:val="222222"/>
          <w:lang w:val="en"/>
        </w:rPr>
        <w:t xml:space="preserve"> a </w:t>
      </w:r>
      <w:r w:rsidRPr="00D90EF8">
        <w:rPr>
          <w:rFonts w:cs="Arial"/>
          <w:color w:val="222222"/>
          <w:lang w:val="en"/>
        </w:rPr>
        <w:t>myriad</w:t>
      </w:r>
      <w:r w:rsidRPr="00D90EF8">
        <w:rPr>
          <w:rFonts w:cs="Arial"/>
          <w:color w:val="222222"/>
          <w:lang w:val="en"/>
        </w:rPr>
        <w:t xml:space="preserve"> of alternatives to each individual possible investment. </w:t>
      </w:r>
      <w:r w:rsidR="00D90EF8" w:rsidRPr="00D90EF8">
        <w:rPr>
          <w:rFonts w:cs="Arial"/>
          <w:color w:val="222222"/>
          <w:lang w:val="en"/>
        </w:rPr>
        <w:t>Regarding dependent advice with a consequently restricted product universe</w:t>
      </w:r>
      <w:r w:rsidRPr="00D90EF8">
        <w:rPr>
          <w:rFonts w:cs="Arial"/>
          <w:color w:val="222222"/>
          <w:lang w:val="en"/>
        </w:rPr>
        <w:t xml:space="preserve"> we do not see a</w:t>
      </w:r>
      <w:r w:rsidR="00D90EF8" w:rsidRPr="00D90EF8">
        <w:rPr>
          <w:rFonts w:cs="Arial"/>
          <w:color w:val="222222"/>
          <w:lang w:val="en"/>
        </w:rPr>
        <w:t xml:space="preserve">n obligation to assess alternatives </w:t>
      </w:r>
      <w:r w:rsidR="00D90EF8" w:rsidRPr="00D90EF8">
        <w:rPr>
          <w:rFonts w:cs="Arial"/>
          <w:color w:val="222222"/>
          <w:lang w:val="en"/>
        </w:rPr>
        <w:t xml:space="preserve">for products offered to retail customers </w:t>
      </w:r>
      <w:r w:rsidR="00D90EF8" w:rsidRPr="00D90EF8">
        <w:rPr>
          <w:rFonts w:cs="Arial"/>
          <w:color w:val="222222"/>
          <w:lang w:val="en"/>
        </w:rPr>
        <w:t xml:space="preserve">before giving an investment advice and to systematically use this assessment as a basis for </w:t>
      </w:r>
      <w:r w:rsidRPr="00D90EF8">
        <w:rPr>
          <w:rFonts w:cs="Arial"/>
          <w:color w:val="222222"/>
          <w:lang w:val="en"/>
        </w:rPr>
        <w:t xml:space="preserve">recommendations. </w:t>
      </w:r>
      <w:r w:rsidR="00D90EF8" w:rsidRPr="00D90EF8">
        <w:rPr>
          <w:rFonts w:cs="Arial"/>
          <w:color w:val="222222"/>
          <w:lang w:val="en"/>
        </w:rPr>
        <w:t>T</w:t>
      </w:r>
      <w:r w:rsidRPr="00D90EF8">
        <w:rPr>
          <w:rFonts w:cs="Arial"/>
          <w:color w:val="222222"/>
          <w:lang w:val="en"/>
        </w:rPr>
        <w:t>his</w:t>
      </w:r>
      <w:r w:rsidR="00D90EF8" w:rsidRPr="00D90EF8">
        <w:rPr>
          <w:rFonts w:cs="Arial"/>
          <w:color w:val="222222"/>
          <w:lang w:val="en"/>
        </w:rPr>
        <w:t xml:space="preserve"> would</w:t>
      </w:r>
      <w:r w:rsidRPr="00D90EF8">
        <w:rPr>
          <w:rFonts w:cs="Arial"/>
          <w:color w:val="222222"/>
          <w:lang w:val="en"/>
        </w:rPr>
        <w:t xml:space="preserve"> lead to a disproportionate </w:t>
      </w:r>
      <w:r w:rsidR="00D90EF8" w:rsidRPr="00D90EF8">
        <w:rPr>
          <w:rFonts w:cs="Arial"/>
          <w:color w:val="222222"/>
          <w:lang w:val="en"/>
        </w:rPr>
        <w:t xml:space="preserve">administartive </w:t>
      </w:r>
      <w:r w:rsidRPr="00D90EF8">
        <w:rPr>
          <w:rFonts w:cs="Arial"/>
          <w:color w:val="222222"/>
          <w:lang w:val="en"/>
        </w:rPr>
        <w:t>burden</w:t>
      </w:r>
      <w:r w:rsidR="00D90EF8" w:rsidRPr="00D90EF8">
        <w:rPr>
          <w:rFonts w:cs="Arial"/>
          <w:color w:val="222222"/>
          <w:lang w:val="en"/>
        </w:rPr>
        <w:t xml:space="preserve"> in the advice process</w:t>
      </w:r>
      <w:r w:rsidRPr="00D90EF8">
        <w:rPr>
          <w:rFonts w:cs="Arial"/>
          <w:color w:val="222222"/>
          <w:lang w:val="en"/>
        </w:rPr>
        <w:t>.</w:t>
      </w:r>
    </w:p>
    <w:p w:rsidR="009572BB" w:rsidRPr="00D90EF8" w:rsidRDefault="009572BB" w:rsidP="00C619D3">
      <w:pPr>
        <w:spacing w:line="240" w:lineRule="auto"/>
        <w:rPr>
          <w:rFonts w:cs="Arial"/>
          <w:b/>
          <w:color w:val="222222"/>
          <w:lang w:val="en"/>
        </w:rPr>
      </w:pPr>
    </w:p>
    <w:p w:rsidR="006D109C" w:rsidRPr="00D90EF8" w:rsidRDefault="00317CA7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b/>
          <w:color w:val="222222"/>
          <w:lang w:val="en"/>
        </w:rPr>
        <w:t>R</w:t>
      </w:r>
      <w:r w:rsidR="006D109C" w:rsidRPr="00D90EF8">
        <w:rPr>
          <w:rFonts w:cs="Arial"/>
          <w:b/>
          <w:color w:val="222222"/>
          <w:lang w:val="en"/>
        </w:rPr>
        <w:t>ecital</w:t>
      </w:r>
      <w:r w:rsidRPr="00D90EF8">
        <w:rPr>
          <w:rFonts w:cs="Arial"/>
          <w:b/>
          <w:color w:val="222222"/>
          <w:lang w:val="en"/>
        </w:rPr>
        <w:t xml:space="preserve"> 91</w:t>
      </w:r>
    </w:p>
    <w:p w:rsidR="006D109C" w:rsidRPr="00D90EF8" w:rsidRDefault="00317CA7" w:rsidP="00C619D3">
      <w:pPr>
        <w:spacing w:line="240" w:lineRule="auto"/>
        <w:rPr>
          <w:rFonts w:cs="Arial"/>
          <w:color w:val="222222"/>
          <w:lang w:val="en"/>
        </w:rPr>
      </w:pPr>
      <w:r w:rsidRPr="00D90EF8">
        <w:rPr>
          <w:rFonts w:cs="Arial"/>
          <w:color w:val="222222"/>
          <w:lang w:val="en"/>
        </w:rPr>
        <w:t>"Firms should be able to justify those situations</w:t>
      </w:r>
      <w:r w:rsidR="006D109C" w:rsidRPr="00D90EF8">
        <w:rPr>
          <w:rFonts w:cs="Arial"/>
          <w:color w:val="222222"/>
          <w:lang w:val="en"/>
        </w:rPr>
        <w:t>, where…</w:t>
      </w:r>
      <w:r w:rsidRPr="00D90EF8">
        <w:rPr>
          <w:rFonts w:cs="Arial"/>
          <w:color w:val="222222"/>
          <w:lang w:val="en"/>
        </w:rPr>
        <w:t xml:space="preserve">" </w:t>
      </w:r>
      <w:r w:rsidR="006D109C" w:rsidRPr="00D90EF8">
        <w:rPr>
          <w:rFonts w:cs="Arial"/>
          <w:color w:val="222222"/>
          <w:lang w:val="en"/>
        </w:rPr>
        <w:t xml:space="preserve">Here </w:t>
      </w:r>
      <w:r w:rsidRPr="00D90EF8">
        <w:rPr>
          <w:rFonts w:cs="Arial"/>
          <w:color w:val="222222"/>
          <w:lang w:val="en"/>
        </w:rPr>
        <w:t>a clarification that this requirement relates only to its own product range (if a</w:t>
      </w:r>
      <w:r w:rsidR="002830FB">
        <w:rPr>
          <w:rFonts w:cs="Arial"/>
          <w:color w:val="222222"/>
          <w:lang w:val="en"/>
        </w:rPr>
        <w:t>n</w:t>
      </w:r>
      <w:r w:rsidRPr="00D90EF8">
        <w:rPr>
          <w:rFonts w:cs="Arial"/>
          <w:color w:val="222222"/>
          <w:lang w:val="en"/>
        </w:rPr>
        <w:t xml:space="preserve"> </w:t>
      </w:r>
      <w:r w:rsidR="002830FB">
        <w:rPr>
          <w:rFonts w:cs="Arial"/>
          <w:color w:val="222222"/>
          <w:lang w:val="en"/>
        </w:rPr>
        <w:t xml:space="preserve">own </w:t>
      </w:r>
      <w:r w:rsidRPr="00D90EF8">
        <w:rPr>
          <w:rFonts w:cs="Arial"/>
          <w:color w:val="222222"/>
          <w:lang w:val="en"/>
        </w:rPr>
        <w:t xml:space="preserve">product is more expensive than a foreign product, </w:t>
      </w:r>
      <w:r w:rsidR="002830FB">
        <w:rPr>
          <w:rFonts w:cs="Arial"/>
          <w:color w:val="222222"/>
          <w:lang w:val="en"/>
        </w:rPr>
        <w:t>it should not be justified</w:t>
      </w:r>
      <w:bookmarkStart w:id="2" w:name="_GoBack"/>
      <w:bookmarkEnd w:id="2"/>
      <w:r w:rsidRPr="00D90EF8">
        <w:rPr>
          <w:rFonts w:cs="Arial"/>
          <w:color w:val="222222"/>
          <w:lang w:val="en"/>
        </w:rPr>
        <w:t>)</w:t>
      </w:r>
      <w:r w:rsidR="002830FB">
        <w:rPr>
          <w:rFonts w:cs="Arial"/>
          <w:color w:val="222222"/>
          <w:lang w:val="en"/>
        </w:rPr>
        <w:t xml:space="preserve"> would seem appropriate</w:t>
      </w:r>
      <w:r w:rsidRPr="00D90EF8">
        <w:rPr>
          <w:rFonts w:cs="Arial"/>
          <w:color w:val="222222"/>
          <w:lang w:val="en"/>
        </w:rPr>
        <w:t>.</w:t>
      </w:r>
      <w:r w:rsidRPr="00D90EF8">
        <w:rPr>
          <w:rFonts w:cs="Arial"/>
          <w:color w:val="222222"/>
          <w:lang w:val="en"/>
        </w:rPr>
        <w:br/>
      </w:r>
    </w:p>
    <w:p w:rsidR="006D109C" w:rsidRPr="00D90EF8" w:rsidRDefault="00317CA7" w:rsidP="00C619D3">
      <w:pPr>
        <w:spacing w:line="240" w:lineRule="auto"/>
        <w:rPr>
          <w:rFonts w:cs="Arial"/>
          <w:b/>
          <w:color w:val="222222"/>
          <w:lang w:val="en"/>
        </w:rPr>
      </w:pPr>
      <w:r w:rsidRPr="00D90EF8">
        <w:rPr>
          <w:rFonts w:cs="Arial"/>
          <w:b/>
          <w:color w:val="222222"/>
          <w:lang w:val="en"/>
        </w:rPr>
        <w:t>R</w:t>
      </w:r>
      <w:r w:rsidR="006D109C" w:rsidRPr="00D90EF8">
        <w:rPr>
          <w:rFonts w:cs="Arial"/>
          <w:b/>
          <w:color w:val="222222"/>
          <w:lang w:val="en"/>
        </w:rPr>
        <w:t xml:space="preserve">ecital </w:t>
      </w:r>
      <w:r w:rsidRPr="00D90EF8">
        <w:rPr>
          <w:rFonts w:cs="Arial"/>
          <w:b/>
          <w:color w:val="222222"/>
          <w:lang w:val="en"/>
        </w:rPr>
        <w:t>99</w:t>
      </w:r>
      <w:r w:rsidR="006D109C" w:rsidRPr="00D90EF8">
        <w:rPr>
          <w:rFonts w:cs="Arial"/>
          <w:b/>
          <w:color w:val="222222"/>
          <w:lang w:val="en"/>
        </w:rPr>
        <w:t xml:space="preserve"> (and subsequent recitals)</w:t>
      </w:r>
    </w:p>
    <w:p w:rsidR="00317CA7" w:rsidRPr="00D90EF8" w:rsidRDefault="00317CA7" w:rsidP="00C619D3">
      <w:pPr>
        <w:spacing w:line="240" w:lineRule="auto"/>
        <w:rPr>
          <w:rFonts w:cs="Arial"/>
          <w:color w:val="000000"/>
          <w:lang w:val="en-GB" w:eastAsia="en-US"/>
        </w:rPr>
      </w:pPr>
      <w:r w:rsidRPr="00D90EF8">
        <w:rPr>
          <w:rFonts w:cs="Arial"/>
          <w:color w:val="222222"/>
          <w:lang w:val="en"/>
        </w:rPr>
        <w:t>The</w:t>
      </w:r>
      <w:r w:rsidR="006D109C" w:rsidRPr="00D90EF8">
        <w:rPr>
          <w:rFonts w:cs="Arial"/>
          <w:color w:val="222222"/>
          <w:lang w:val="en"/>
        </w:rPr>
        <w:t xml:space="preserve"> MiFID II</w:t>
      </w:r>
      <w:r w:rsidRPr="00D90EF8">
        <w:rPr>
          <w:rFonts w:cs="Arial"/>
          <w:color w:val="222222"/>
          <w:lang w:val="en"/>
        </w:rPr>
        <w:t xml:space="preserve"> ESMA Guidelines </w:t>
      </w:r>
      <w:r w:rsidR="006D109C" w:rsidRPr="00D90EF8">
        <w:rPr>
          <w:rFonts w:cs="Arial"/>
          <w:color w:val="222222"/>
          <w:lang w:val="en"/>
        </w:rPr>
        <w:t xml:space="preserve">for the assessment of knowledge and competence provide (together with NCA-regulation) sufficient provisions. </w:t>
      </w:r>
      <w:r w:rsidRPr="00D90EF8">
        <w:rPr>
          <w:rFonts w:cs="Arial"/>
          <w:color w:val="222222"/>
          <w:lang w:val="en"/>
        </w:rPr>
        <w:t xml:space="preserve">In the sense of </w:t>
      </w:r>
      <w:r w:rsidR="006D109C" w:rsidRPr="00D90EF8">
        <w:rPr>
          <w:rFonts w:cs="Arial"/>
          <w:color w:val="222222"/>
          <w:lang w:val="en"/>
        </w:rPr>
        <w:t xml:space="preserve">simplification and avoiding redundancies </w:t>
      </w:r>
      <w:r w:rsidRPr="00D90EF8">
        <w:rPr>
          <w:rFonts w:cs="Arial"/>
          <w:color w:val="222222"/>
          <w:lang w:val="en"/>
        </w:rPr>
        <w:t>this guideline should therefore be removed.</w:t>
      </w:r>
    </w:p>
    <w:p w:rsidR="00317CA7" w:rsidRDefault="00317CA7" w:rsidP="00C619D3">
      <w:pPr>
        <w:spacing w:line="240" w:lineRule="auto"/>
        <w:rPr>
          <w:rFonts w:cs="Arial"/>
          <w:color w:val="000000"/>
          <w:lang w:val="en-GB" w:eastAsia="en-US"/>
        </w:rPr>
      </w:pPr>
    </w:p>
    <w:p w:rsidR="00C84D8A" w:rsidRPr="00767DA3" w:rsidRDefault="00C66013" w:rsidP="00C619D3">
      <w:pPr>
        <w:spacing w:line="240" w:lineRule="auto"/>
        <w:rPr>
          <w:rFonts w:cs="Arial"/>
          <w:color w:val="000000"/>
          <w:lang w:val="en-GB" w:eastAsia="en-US"/>
        </w:rPr>
      </w:pPr>
      <w:r w:rsidRPr="00767DA3">
        <w:rPr>
          <w:rFonts w:cs="Arial"/>
          <w:color w:val="000000"/>
          <w:lang w:val="en-GB" w:eastAsia="en-US"/>
        </w:rPr>
        <w:t>We ask you to give our remarks du</w:t>
      </w:r>
      <w:r w:rsidR="00B960F5" w:rsidRPr="00767DA3">
        <w:rPr>
          <w:rFonts w:cs="Arial"/>
          <w:color w:val="000000"/>
          <w:lang w:val="en-GB" w:eastAsia="en-US"/>
        </w:rPr>
        <w:t>e consideration.</w:t>
      </w:r>
    </w:p>
    <w:p w:rsidR="00686189" w:rsidRPr="00767DA3" w:rsidRDefault="00686189" w:rsidP="00CE5D6F">
      <w:pPr>
        <w:spacing w:line="240" w:lineRule="auto"/>
        <w:rPr>
          <w:rFonts w:cs="Arial"/>
          <w:color w:val="000000"/>
          <w:lang w:val="en-GB" w:eastAsia="en-US"/>
        </w:rPr>
      </w:pPr>
    </w:p>
    <w:p w:rsidR="00C84D8A" w:rsidRPr="00767DA3" w:rsidRDefault="00686189" w:rsidP="00CE5D6F">
      <w:pPr>
        <w:spacing w:line="240" w:lineRule="auto"/>
        <w:rPr>
          <w:rFonts w:cs="Arial"/>
          <w:color w:val="000000"/>
          <w:lang w:val="en-GB" w:eastAsia="en-US"/>
        </w:rPr>
      </w:pPr>
      <w:r w:rsidRPr="00767DA3">
        <w:rPr>
          <w:rFonts w:cs="Arial"/>
          <w:color w:val="000000"/>
          <w:lang w:val="en-GB" w:eastAsia="en-US"/>
        </w:rPr>
        <w:t>Y</w:t>
      </w:r>
      <w:r w:rsidR="00C84D8A" w:rsidRPr="00767DA3">
        <w:rPr>
          <w:rFonts w:cs="Arial"/>
          <w:color w:val="000000"/>
          <w:lang w:val="en-GB" w:eastAsia="en-US"/>
        </w:rPr>
        <w:t xml:space="preserve">ours </w:t>
      </w:r>
      <w:r w:rsidR="004A01A9" w:rsidRPr="00767DA3">
        <w:rPr>
          <w:rFonts w:cs="Arial"/>
          <w:color w:val="000000"/>
          <w:lang w:val="en-GB" w:eastAsia="en-US"/>
        </w:rPr>
        <w:t>sincerely</w:t>
      </w:r>
      <w:r w:rsidR="00C84D8A" w:rsidRPr="00767DA3">
        <w:rPr>
          <w:rFonts w:cs="Arial"/>
          <w:color w:val="000000"/>
          <w:lang w:val="en-GB" w:eastAsia="en-US"/>
        </w:rPr>
        <w:t>,</w:t>
      </w:r>
    </w:p>
    <w:p w:rsidR="00F31CB0" w:rsidRPr="00767DA3" w:rsidRDefault="00F31CB0" w:rsidP="00CE5D6F">
      <w:pPr>
        <w:spacing w:line="240" w:lineRule="auto"/>
        <w:rPr>
          <w:rFonts w:cs="Arial"/>
          <w:color w:val="000000"/>
          <w:lang w:val="en-GB" w:eastAsia="en-US"/>
        </w:rPr>
      </w:pPr>
    </w:p>
    <w:p w:rsidR="00C84D8A" w:rsidRPr="00767DA3" w:rsidRDefault="00C84D8A" w:rsidP="00CE5D6F">
      <w:pPr>
        <w:spacing w:line="240" w:lineRule="auto"/>
        <w:rPr>
          <w:rFonts w:cs="Arial"/>
          <w:color w:val="000000"/>
          <w:lang w:val="en-GB" w:eastAsia="en-US"/>
        </w:rPr>
      </w:pPr>
      <w:r w:rsidRPr="00767DA3">
        <w:rPr>
          <w:rFonts w:cs="Arial"/>
          <w:color w:val="000000"/>
          <w:lang w:val="en-GB" w:eastAsia="en-US"/>
        </w:rPr>
        <w:t>Dr. Franz Rudorfer</w:t>
      </w:r>
    </w:p>
    <w:p w:rsidR="00C84D8A" w:rsidRPr="00767DA3" w:rsidRDefault="00C84D8A" w:rsidP="00CE5D6F">
      <w:pPr>
        <w:spacing w:line="240" w:lineRule="auto"/>
        <w:rPr>
          <w:rFonts w:cs="Arial"/>
          <w:color w:val="000000"/>
          <w:lang w:val="en-GB" w:eastAsia="en-US"/>
        </w:rPr>
      </w:pPr>
      <w:r w:rsidRPr="00767DA3">
        <w:rPr>
          <w:rFonts w:cs="Arial"/>
          <w:color w:val="000000"/>
          <w:lang w:val="en-GB" w:eastAsia="en-US"/>
        </w:rPr>
        <w:t>Managing Director</w:t>
      </w:r>
    </w:p>
    <w:p w:rsidR="005E1BA5" w:rsidRPr="00767DA3" w:rsidRDefault="00C84D8A" w:rsidP="00CE5D6F">
      <w:pPr>
        <w:spacing w:line="240" w:lineRule="auto"/>
        <w:rPr>
          <w:noProof/>
          <w:lang w:val="en-GB"/>
        </w:rPr>
      </w:pPr>
      <w:r w:rsidRPr="00767DA3">
        <w:rPr>
          <w:rFonts w:cs="Arial"/>
          <w:color w:val="000000"/>
          <w:lang w:val="en-GB" w:eastAsia="en-US"/>
        </w:rPr>
        <w:t>Division Bank and Insurance</w:t>
      </w:r>
    </w:p>
    <w:p w:rsidR="00346DF4" w:rsidRPr="007C2846" w:rsidRDefault="00346DF4" w:rsidP="00CE5D6F">
      <w:pPr>
        <w:spacing w:line="240" w:lineRule="auto"/>
        <w:rPr>
          <w:noProof/>
          <w:lang w:val="en-GB"/>
        </w:rPr>
      </w:pPr>
    </w:p>
    <w:sectPr w:rsidR="00346DF4" w:rsidRPr="007C2846" w:rsidSect="00F700E4">
      <w:headerReference w:type="default" r:id="rId8"/>
      <w:headerReference w:type="first" r:id="rId9"/>
      <w:pgSz w:w="11906" w:h="16838"/>
      <w:pgMar w:top="1701" w:right="851" w:bottom="1134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79" w:rsidRDefault="00A23779">
      <w:r>
        <w:separator/>
      </w:r>
    </w:p>
  </w:endnote>
  <w:endnote w:type="continuationSeparator" w:id="0">
    <w:p w:rsidR="00A23779" w:rsidRDefault="00A2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79" w:rsidRDefault="00A23779">
      <w:r>
        <w:separator/>
      </w:r>
    </w:p>
  </w:footnote>
  <w:footnote w:type="continuationSeparator" w:id="0">
    <w:p w:rsidR="00A23779" w:rsidRDefault="00A2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8E" w:rsidRDefault="0014018E">
    <w:pPr>
      <w:pStyle w:val="Kopfzeile"/>
      <w:jc w:val="center"/>
    </w:pPr>
    <w:r>
      <w:t xml:space="preserve">- </w:t>
    </w:r>
    <w:r w:rsidR="008D5D3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8D5D3B">
      <w:rPr>
        <w:rStyle w:val="Seitenzahl"/>
      </w:rPr>
      <w:fldChar w:fldCharType="separate"/>
    </w:r>
    <w:r w:rsidR="00901E48">
      <w:rPr>
        <w:rStyle w:val="Seitenzahl"/>
        <w:noProof/>
      </w:rPr>
      <w:t>2</w:t>
    </w:r>
    <w:r w:rsidR="008D5D3B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8E" w:rsidRDefault="0014018E">
    <w:pPr>
      <w:pStyle w:val="Kopfzeile"/>
      <w:jc w:val="right"/>
    </w:pPr>
    <w:r>
      <w:rPr>
        <w:noProof/>
        <w:snapToGrid/>
        <w:lang w:val="de-AT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4859655</wp:posOffset>
          </wp:positionH>
          <wp:positionV relativeFrom="page">
            <wp:posOffset>197485</wp:posOffset>
          </wp:positionV>
          <wp:extent cx="2210435" cy="861695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379"/>
    <w:multiLevelType w:val="hybridMultilevel"/>
    <w:tmpl w:val="21AAB9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63C5"/>
    <w:multiLevelType w:val="hybridMultilevel"/>
    <w:tmpl w:val="758CF3B8"/>
    <w:lvl w:ilvl="0" w:tplc="42760B6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578A7"/>
    <w:multiLevelType w:val="hybridMultilevel"/>
    <w:tmpl w:val="A74EFC70"/>
    <w:lvl w:ilvl="0" w:tplc="719E4B7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D70F6"/>
    <w:multiLevelType w:val="hybridMultilevel"/>
    <w:tmpl w:val="94E20B0E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0E9B"/>
    <w:multiLevelType w:val="hybridMultilevel"/>
    <w:tmpl w:val="19B0B4CA"/>
    <w:lvl w:ilvl="0" w:tplc="1CD2FC34">
      <w:start w:val="1"/>
      <w:numFmt w:val="upperLetter"/>
      <w:lvlText w:val="%1."/>
      <w:lvlJc w:val="left"/>
      <w:pPr>
        <w:ind w:left="720" w:hanging="360"/>
      </w:pPr>
      <w:rPr>
        <w:rFonts w:ascii="Trebuchet MS" w:eastAsiaTheme="minorHAnsi" w:hAnsi="Trebuchet MS" w:cs="Arial" w:hint="default"/>
        <w:u w:val="single"/>
        <w:lang w:val="en-GB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437B"/>
    <w:multiLevelType w:val="hybridMultilevel"/>
    <w:tmpl w:val="034003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3BED"/>
    <w:multiLevelType w:val="hybridMultilevel"/>
    <w:tmpl w:val="6A6293A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0C88"/>
    <w:multiLevelType w:val="hybridMultilevel"/>
    <w:tmpl w:val="BAFAAA72"/>
    <w:lvl w:ilvl="0" w:tplc="2A10F854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B435A"/>
    <w:multiLevelType w:val="hybridMultilevel"/>
    <w:tmpl w:val="430A2FC0"/>
    <w:lvl w:ilvl="0" w:tplc="C5586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20B5A"/>
    <w:multiLevelType w:val="hybridMultilevel"/>
    <w:tmpl w:val="458C926E"/>
    <w:lvl w:ilvl="0" w:tplc="15FEF840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E7B5DE9"/>
    <w:multiLevelType w:val="hybridMultilevel"/>
    <w:tmpl w:val="12188C80"/>
    <w:lvl w:ilvl="0" w:tplc="2A10F854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E33E9"/>
    <w:multiLevelType w:val="hybridMultilevel"/>
    <w:tmpl w:val="AE08DD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D75D37"/>
    <w:multiLevelType w:val="hybridMultilevel"/>
    <w:tmpl w:val="A6160BC2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97C8C"/>
    <w:multiLevelType w:val="hybridMultilevel"/>
    <w:tmpl w:val="A09AD7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71814"/>
    <w:multiLevelType w:val="hybridMultilevel"/>
    <w:tmpl w:val="FD02C0A0"/>
    <w:lvl w:ilvl="0" w:tplc="2B72F9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35A3"/>
    <w:multiLevelType w:val="hybridMultilevel"/>
    <w:tmpl w:val="FACE7CFC"/>
    <w:lvl w:ilvl="0" w:tplc="E57E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A0C21"/>
    <w:multiLevelType w:val="hybridMultilevel"/>
    <w:tmpl w:val="EA7EAC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1603"/>
    <w:multiLevelType w:val="hybridMultilevel"/>
    <w:tmpl w:val="526A3F40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A10D2"/>
    <w:multiLevelType w:val="hybridMultilevel"/>
    <w:tmpl w:val="1D8E3446"/>
    <w:lvl w:ilvl="0" w:tplc="61902CC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53930"/>
    <w:multiLevelType w:val="hybridMultilevel"/>
    <w:tmpl w:val="4E128B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61DB9"/>
    <w:multiLevelType w:val="hybridMultilevel"/>
    <w:tmpl w:val="3A0650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210E1"/>
    <w:multiLevelType w:val="hybridMultilevel"/>
    <w:tmpl w:val="D2EC6886"/>
    <w:lvl w:ilvl="0" w:tplc="516AC5AA">
      <w:start w:val="1"/>
      <w:numFmt w:val="lowerRoman"/>
      <w:lvlText w:val="(%1)"/>
      <w:lvlJc w:val="left"/>
      <w:pPr>
        <w:ind w:left="1440" w:hanging="720"/>
      </w:pPr>
      <w:rPr>
        <w:rFonts w:ascii="Trebuchet MS" w:eastAsia="Calibri" w:hAnsi="Trebuchet MS" w:cs="Times New Roman"/>
      </w:r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FA673E"/>
    <w:multiLevelType w:val="hybridMultilevel"/>
    <w:tmpl w:val="E04C4170"/>
    <w:lvl w:ilvl="0" w:tplc="C5586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7E1336"/>
    <w:multiLevelType w:val="hybridMultilevel"/>
    <w:tmpl w:val="CF7A09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428C"/>
    <w:multiLevelType w:val="hybridMultilevel"/>
    <w:tmpl w:val="9514CBB0"/>
    <w:lvl w:ilvl="0" w:tplc="567C697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462943"/>
    <w:multiLevelType w:val="hybridMultilevel"/>
    <w:tmpl w:val="384ADF18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04F2D"/>
    <w:multiLevelType w:val="hybridMultilevel"/>
    <w:tmpl w:val="6E82D81A"/>
    <w:lvl w:ilvl="0" w:tplc="C5586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2"/>
  </w:num>
  <w:num w:numId="5">
    <w:abstractNumId w:val="2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5"/>
  </w:num>
  <w:num w:numId="10">
    <w:abstractNumId w:val="23"/>
  </w:num>
  <w:num w:numId="11">
    <w:abstractNumId w:val="19"/>
  </w:num>
  <w:num w:numId="12">
    <w:abstractNumId w:val="25"/>
  </w:num>
  <w:num w:numId="13">
    <w:abstractNumId w:val="4"/>
  </w:num>
  <w:num w:numId="14">
    <w:abstractNumId w:val="0"/>
  </w:num>
  <w:num w:numId="15">
    <w:abstractNumId w:val="20"/>
  </w:num>
  <w:num w:numId="16">
    <w:abstractNumId w:val="24"/>
  </w:num>
  <w:num w:numId="17">
    <w:abstractNumId w:val="2"/>
  </w:num>
  <w:num w:numId="18">
    <w:abstractNumId w:val="1"/>
  </w:num>
  <w:num w:numId="19">
    <w:abstractNumId w:val="9"/>
  </w:num>
  <w:num w:numId="20">
    <w:abstractNumId w:val="14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7"/>
  </w:num>
  <w:num w:numId="25">
    <w:abstractNumId w:val="15"/>
  </w:num>
  <w:num w:numId="26">
    <w:abstractNumId w:val="16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CC"/>
    <w:rsid w:val="00001730"/>
    <w:rsid w:val="00013086"/>
    <w:rsid w:val="000135FB"/>
    <w:rsid w:val="000163E0"/>
    <w:rsid w:val="00021DBA"/>
    <w:rsid w:val="00024D8C"/>
    <w:rsid w:val="00026657"/>
    <w:rsid w:val="00035D58"/>
    <w:rsid w:val="00041C1E"/>
    <w:rsid w:val="00044A71"/>
    <w:rsid w:val="00053316"/>
    <w:rsid w:val="00057439"/>
    <w:rsid w:val="00061814"/>
    <w:rsid w:val="000619FB"/>
    <w:rsid w:val="0006215B"/>
    <w:rsid w:val="00071436"/>
    <w:rsid w:val="00071BF7"/>
    <w:rsid w:val="00080E83"/>
    <w:rsid w:val="0008171B"/>
    <w:rsid w:val="0008527D"/>
    <w:rsid w:val="0008698A"/>
    <w:rsid w:val="00086BFB"/>
    <w:rsid w:val="00090592"/>
    <w:rsid w:val="000919C4"/>
    <w:rsid w:val="00094EB8"/>
    <w:rsid w:val="0009753B"/>
    <w:rsid w:val="000A0183"/>
    <w:rsid w:val="000A205C"/>
    <w:rsid w:val="000A4FC6"/>
    <w:rsid w:val="000A55AE"/>
    <w:rsid w:val="000A771B"/>
    <w:rsid w:val="000A7D13"/>
    <w:rsid w:val="000B2CE7"/>
    <w:rsid w:val="000B449E"/>
    <w:rsid w:val="000B4D96"/>
    <w:rsid w:val="000B572C"/>
    <w:rsid w:val="000D7538"/>
    <w:rsid w:val="000E511B"/>
    <w:rsid w:val="000F1070"/>
    <w:rsid w:val="000F2220"/>
    <w:rsid w:val="000F28BB"/>
    <w:rsid w:val="000F3572"/>
    <w:rsid w:val="000F74C7"/>
    <w:rsid w:val="00101144"/>
    <w:rsid w:val="00101383"/>
    <w:rsid w:val="001042B8"/>
    <w:rsid w:val="00105F0E"/>
    <w:rsid w:val="0011743A"/>
    <w:rsid w:val="00121770"/>
    <w:rsid w:val="00121CBD"/>
    <w:rsid w:val="001276A5"/>
    <w:rsid w:val="00127F3B"/>
    <w:rsid w:val="00131416"/>
    <w:rsid w:val="00131A98"/>
    <w:rsid w:val="00135A40"/>
    <w:rsid w:val="00137EF5"/>
    <w:rsid w:val="0014018E"/>
    <w:rsid w:val="0014746B"/>
    <w:rsid w:val="00151673"/>
    <w:rsid w:val="00151A78"/>
    <w:rsid w:val="00155AEE"/>
    <w:rsid w:val="00161914"/>
    <w:rsid w:val="00163CC0"/>
    <w:rsid w:val="00163DDA"/>
    <w:rsid w:val="00174D0C"/>
    <w:rsid w:val="00183969"/>
    <w:rsid w:val="00196D5C"/>
    <w:rsid w:val="00196EB4"/>
    <w:rsid w:val="001974F7"/>
    <w:rsid w:val="001B0788"/>
    <w:rsid w:val="001B4AB0"/>
    <w:rsid w:val="001C4931"/>
    <w:rsid w:val="001C49F8"/>
    <w:rsid w:val="001D2667"/>
    <w:rsid w:val="001D40CC"/>
    <w:rsid w:val="001E0374"/>
    <w:rsid w:val="001F3545"/>
    <w:rsid w:val="002045CC"/>
    <w:rsid w:val="00205DE9"/>
    <w:rsid w:val="002061DD"/>
    <w:rsid w:val="00207AC9"/>
    <w:rsid w:val="00210FDF"/>
    <w:rsid w:val="00224981"/>
    <w:rsid w:val="00236C5A"/>
    <w:rsid w:val="00240D9B"/>
    <w:rsid w:val="00250CBA"/>
    <w:rsid w:val="0026358F"/>
    <w:rsid w:val="00264C67"/>
    <w:rsid w:val="00265C18"/>
    <w:rsid w:val="002711FC"/>
    <w:rsid w:val="00272C43"/>
    <w:rsid w:val="00280548"/>
    <w:rsid w:val="00282636"/>
    <w:rsid w:val="002830FB"/>
    <w:rsid w:val="0028446E"/>
    <w:rsid w:val="00287819"/>
    <w:rsid w:val="00293410"/>
    <w:rsid w:val="00296269"/>
    <w:rsid w:val="002A00E4"/>
    <w:rsid w:val="002A15C7"/>
    <w:rsid w:val="002A3540"/>
    <w:rsid w:val="002B08BD"/>
    <w:rsid w:val="002B3BF4"/>
    <w:rsid w:val="002B4B41"/>
    <w:rsid w:val="002D14BF"/>
    <w:rsid w:val="002D4A90"/>
    <w:rsid w:val="002D69C4"/>
    <w:rsid w:val="002E4BD0"/>
    <w:rsid w:val="002F1DC4"/>
    <w:rsid w:val="003104AE"/>
    <w:rsid w:val="00312578"/>
    <w:rsid w:val="00316718"/>
    <w:rsid w:val="0031680D"/>
    <w:rsid w:val="00317CA7"/>
    <w:rsid w:val="00320A42"/>
    <w:rsid w:val="00325FCF"/>
    <w:rsid w:val="00327DD3"/>
    <w:rsid w:val="003303C4"/>
    <w:rsid w:val="00344DB8"/>
    <w:rsid w:val="00346DF4"/>
    <w:rsid w:val="00356254"/>
    <w:rsid w:val="003568E9"/>
    <w:rsid w:val="00361B24"/>
    <w:rsid w:val="003814C3"/>
    <w:rsid w:val="00384948"/>
    <w:rsid w:val="00390AC7"/>
    <w:rsid w:val="003933A5"/>
    <w:rsid w:val="0039371D"/>
    <w:rsid w:val="003A5633"/>
    <w:rsid w:val="003B3D28"/>
    <w:rsid w:val="003B6B36"/>
    <w:rsid w:val="003C35DC"/>
    <w:rsid w:val="003C5804"/>
    <w:rsid w:val="003C622F"/>
    <w:rsid w:val="003C7778"/>
    <w:rsid w:val="003D07A4"/>
    <w:rsid w:val="003E09A5"/>
    <w:rsid w:val="003E6845"/>
    <w:rsid w:val="003F44A2"/>
    <w:rsid w:val="003F5EEF"/>
    <w:rsid w:val="003F6706"/>
    <w:rsid w:val="00404863"/>
    <w:rsid w:val="004235FB"/>
    <w:rsid w:val="00425684"/>
    <w:rsid w:val="00430245"/>
    <w:rsid w:val="004302FD"/>
    <w:rsid w:val="004339AE"/>
    <w:rsid w:val="004400CB"/>
    <w:rsid w:val="00445FAF"/>
    <w:rsid w:val="0044708F"/>
    <w:rsid w:val="00450B6F"/>
    <w:rsid w:val="00461F65"/>
    <w:rsid w:val="004632A4"/>
    <w:rsid w:val="00470480"/>
    <w:rsid w:val="004745CD"/>
    <w:rsid w:val="00480120"/>
    <w:rsid w:val="00482639"/>
    <w:rsid w:val="00485220"/>
    <w:rsid w:val="0048523B"/>
    <w:rsid w:val="00487A00"/>
    <w:rsid w:val="004926F1"/>
    <w:rsid w:val="004A01A9"/>
    <w:rsid w:val="004A115F"/>
    <w:rsid w:val="004B2194"/>
    <w:rsid w:val="004C0E9B"/>
    <w:rsid w:val="004C5E94"/>
    <w:rsid w:val="004C6FA4"/>
    <w:rsid w:val="004D1102"/>
    <w:rsid w:val="004D1A1E"/>
    <w:rsid w:val="004E2249"/>
    <w:rsid w:val="004E2A45"/>
    <w:rsid w:val="004E51E5"/>
    <w:rsid w:val="004F1B60"/>
    <w:rsid w:val="004F53C0"/>
    <w:rsid w:val="004F6198"/>
    <w:rsid w:val="00505343"/>
    <w:rsid w:val="0051495A"/>
    <w:rsid w:val="00517690"/>
    <w:rsid w:val="00521B7F"/>
    <w:rsid w:val="00535CF4"/>
    <w:rsid w:val="00550380"/>
    <w:rsid w:val="005548F9"/>
    <w:rsid w:val="00556359"/>
    <w:rsid w:val="00560A66"/>
    <w:rsid w:val="00562C44"/>
    <w:rsid w:val="00576F32"/>
    <w:rsid w:val="00590AAE"/>
    <w:rsid w:val="00596B5B"/>
    <w:rsid w:val="005A2D33"/>
    <w:rsid w:val="005B1218"/>
    <w:rsid w:val="005B2525"/>
    <w:rsid w:val="005B2844"/>
    <w:rsid w:val="005B3FB7"/>
    <w:rsid w:val="005C04FF"/>
    <w:rsid w:val="005C218C"/>
    <w:rsid w:val="005C7948"/>
    <w:rsid w:val="005D0470"/>
    <w:rsid w:val="005D08DC"/>
    <w:rsid w:val="005D0B33"/>
    <w:rsid w:val="005D1620"/>
    <w:rsid w:val="005D4F47"/>
    <w:rsid w:val="005E1BA5"/>
    <w:rsid w:val="005E7180"/>
    <w:rsid w:val="005F5B48"/>
    <w:rsid w:val="005F632A"/>
    <w:rsid w:val="006065F4"/>
    <w:rsid w:val="00606AFA"/>
    <w:rsid w:val="00622B51"/>
    <w:rsid w:val="00623752"/>
    <w:rsid w:val="00623872"/>
    <w:rsid w:val="006261AF"/>
    <w:rsid w:val="00641DC4"/>
    <w:rsid w:val="00642235"/>
    <w:rsid w:val="00642A57"/>
    <w:rsid w:val="006471E3"/>
    <w:rsid w:val="00650AE5"/>
    <w:rsid w:val="006518A3"/>
    <w:rsid w:val="0065464B"/>
    <w:rsid w:val="00677F47"/>
    <w:rsid w:val="00683614"/>
    <w:rsid w:val="0068403B"/>
    <w:rsid w:val="00686189"/>
    <w:rsid w:val="0069309F"/>
    <w:rsid w:val="00694B28"/>
    <w:rsid w:val="006A55B4"/>
    <w:rsid w:val="006B05A1"/>
    <w:rsid w:val="006C33D2"/>
    <w:rsid w:val="006D109C"/>
    <w:rsid w:val="006D6427"/>
    <w:rsid w:val="006E0163"/>
    <w:rsid w:val="006E5185"/>
    <w:rsid w:val="0070253E"/>
    <w:rsid w:val="007053E7"/>
    <w:rsid w:val="007114EC"/>
    <w:rsid w:val="00711C4D"/>
    <w:rsid w:val="007203E6"/>
    <w:rsid w:val="007230AC"/>
    <w:rsid w:val="00724C39"/>
    <w:rsid w:val="0072798F"/>
    <w:rsid w:val="00732AFB"/>
    <w:rsid w:val="0073402F"/>
    <w:rsid w:val="0073440E"/>
    <w:rsid w:val="00743A63"/>
    <w:rsid w:val="00754BAF"/>
    <w:rsid w:val="00766B69"/>
    <w:rsid w:val="00767DA3"/>
    <w:rsid w:val="007755BF"/>
    <w:rsid w:val="007757A9"/>
    <w:rsid w:val="007762A4"/>
    <w:rsid w:val="00776348"/>
    <w:rsid w:val="007816E4"/>
    <w:rsid w:val="00782541"/>
    <w:rsid w:val="00783F4D"/>
    <w:rsid w:val="007846C2"/>
    <w:rsid w:val="00795782"/>
    <w:rsid w:val="007A01B8"/>
    <w:rsid w:val="007A1751"/>
    <w:rsid w:val="007B32D2"/>
    <w:rsid w:val="007B3A82"/>
    <w:rsid w:val="007B3EA1"/>
    <w:rsid w:val="007B641D"/>
    <w:rsid w:val="007C2846"/>
    <w:rsid w:val="007C2F92"/>
    <w:rsid w:val="007D0A79"/>
    <w:rsid w:val="007D3573"/>
    <w:rsid w:val="007D4FE3"/>
    <w:rsid w:val="007E1AC2"/>
    <w:rsid w:val="007E6B3B"/>
    <w:rsid w:val="007F5F54"/>
    <w:rsid w:val="00801234"/>
    <w:rsid w:val="0080414A"/>
    <w:rsid w:val="0081169B"/>
    <w:rsid w:val="00811CE5"/>
    <w:rsid w:val="00812F74"/>
    <w:rsid w:val="00815C5E"/>
    <w:rsid w:val="00816598"/>
    <w:rsid w:val="008255E7"/>
    <w:rsid w:val="008351DF"/>
    <w:rsid w:val="008406BB"/>
    <w:rsid w:val="0084684D"/>
    <w:rsid w:val="0086077B"/>
    <w:rsid w:val="00864AF6"/>
    <w:rsid w:val="008720A6"/>
    <w:rsid w:val="008745CD"/>
    <w:rsid w:val="00881BC0"/>
    <w:rsid w:val="00884544"/>
    <w:rsid w:val="0088500E"/>
    <w:rsid w:val="0089476E"/>
    <w:rsid w:val="008953FC"/>
    <w:rsid w:val="008B1362"/>
    <w:rsid w:val="008B1D1A"/>
    <w:rsid w:val="008C0AE8"/>
    <w:rsid w:val="008C0C66"/>
    <w:rsid w:val="008C679C"/>
    <w:rsid w:val="008D1E25"/>
    <w:rsid w:val="008D469D"/>
    <w:rsid w:val="008D5D3B"/>
    <w:rsid w:val="008D70E6"/>
    <w:rsid w:val="008D77D7"/>
    <w:rsid w:val="008E02AC"/>
    <w:rsid w:val="008F1DD3"/>
    <w:rsid w:val="008F3076"/>
    <w:rsid w:val="008F3EA3"/>
    <w:rsid w:val="00901E48"/>
    <w:rsid w:val="0091585E"/>
    <w:rsid w:val="009303DC"/>
    <w:rsid w:val="00935B03"/>
    <w:rsid w:val="00935BB6"/>
    <w:rsid w:val="0093708A"/>
    <w:rsid w:val="00942F6C"/>
    <w:rsid w:val="0094333B"/>
    <w:rsid w:val="0094518B"/>
    <w:rsid w:val="009458C0"/>
    <w:rsid w:val="009572BB"/>
    <w:rsid w:val="009632CC"/>
    <w:rsid w:val="00965380"/>
    <w:rsid w:val="009853E1"/>
    <w:rsid w:val="009922DC"/>
    <w:rsid w:val="009A6947"/>
    <w:rsid w:val="009B6C3A"/>
    <w:rsid w:val="009C1E08"/>
    <w:rsid w:val="009C6136"/>
    <w:rsid w:val="009D188F"/>
    <w:rsid w:val="009D58FA"/>
    <w:rsid w:val="009E1189"/>
    <w:rsid w:val="009E5929"/>
    <w:rsid w:val="009E5A12"/>
    <w:rsid w:val="009E66CA"/>
    <w:rsid w:val="009F4450"/>
    <w:rsid w:val="009F57DA"/>
    <w:rsid w:val="009F6A00"/>
    <w:rsid w:val="00A01B18"/>
    <w:rsid w:val="00A0265B"/>
    <w:rsid w:val="00A04A94"/>
    <w:rsid w:val="00A06DE5"/>
    <w:rsid w:val="00A07FE0"/>
    <w:rsid w:val="00A147F7"/>
    <w:rsid w:val="00A21AEC"/>
    <w:rsid w:val="00A23371"/>
    <w:rsid w:val="00A23661"/>
    <w:rsid w:val="00A23779"/>
    <w:rsid w:val="00A36834"/>
    <w:rsid w:val="00A42F7B"/>
    <w:rsid w:val="00A437DE"/>
    <w:rsid w:val="00A44D5F"/>
    <w:rsid w:val="00A500F1"/>
    <w:rsid w:val="00A5381E"/>
    <w:rsid w:val="00A54C2F"/>
    <w:rsid w:val="00A55757"/>
    <w:rsid w:val="00A64C34"/>
    <w:rsid w:val="00A705F5"/>
    <w:rsid w:val="00A707A7"/>
    <w:rsid w:val="00A70C7D"/>
    <w:rsid w:val="00A81341"/>
    <w:rsid w:val="00A82C13"/>
    <w:rsid w:val="00A8532A"/>
    <w:rsid w:val="00A912E3"/>
    <w:rsid w:val="00A955F6"/>
    <w:rsid w:val="00A97AE7"/>
    <w:rsid w:val="00AA0432"/>
    <w:rsid w:val="00AB5857"/>
    <w:rsid w:val="00AB59B3"/>
    <w:rsid w:val="00AD053F"/>
    <w:rsid w:val="00AE02B3"/>
    <w:rsid w:val="00AE1B6A"/>
    <w:rsid w:val="00AE457B"/>
    <w:rsid w:val="00AE6511"/>
    <w:rsid w:val="00B020A3"/>
    <w:rsid w:val="00B10218"/>
    <w:rsid w:val="00B17B80"/>
    <w:rsid w:val="00B22761"/>
    <w:rsid w:val="00B32456"/>
    <w:rsid w:val="00B36C46"/>
    <w:rsid w:val="00B447AA"/>
    <w:rsid w:val="00B467F0"/>
    <w:rsid w:val="00B46C57"/>
    <w:rsid w:val="00B51CB0"/>
    <w:rsid w:val="00B532F2"/>
    <w:rsid w:val="00B55633"/>
    <w:rsid w:val="00B57C55"/>
    <w:rsid w:val="00B6209E"/>
    <w:rsid w:val="00B63C71"/>
    <w:rsid w:val="00B64838"/>
    <w:rsid w:val="00B6488D"/>
    <w:rsid w:val="00B6710C"/>
    <w:rsid w:val="00B67CEF"/>
    <w:rsid w:val="00B85379"/>
    <w:rsid w:val="00B8623F"/>
    <w:rsid w:val="00B93882"/>
    <w:rsid w:val="00B960F5"/>
    <w:rsid w:val="00BA5BEC"/>
    <w:rsid w:val="00BA5E95"/>
    <w:rsid w:val="00BA6878"/>
    <w:rsid w:val="00BA7A5E"/>
    <w:rsid w:val="00BB344D"/>
    <w:rsid w:val="00BC6569"/>
    <w:rsid w:val="00BD2D5E"/>
    <w:rsid w:val="00BD3A1D"/>
    <w:rsid w:val="00BD7362"/>
    <w:rsid w:val="00BE7A33"/>
    <w:rsid w:val="00BF1820"/>
    <w:rsid w:val="00BF2A57"/>
    <w:rsid w:val="00BF3BB7"/>
    <w:rsid w:val="00C02F42"/>
    <w:rsid w:val="00C044AE"/>
    <w:rsid w:val="00C11030"/>
    <w:rsid w:val="00C21BF0"/>
    <w:rsid w:val="00C23AED"/>
    <w:rsid w:val="00C3459A"/>
    <w:rsid w:val="00C34E41"/>
    <w:rsid w:val="00C358D5"/>
    <w:rsid w:val="00C376E8"/>
    <w:rsid w:val="00C406D2"/>
    <w:rsid w:val="00C47B46"/>
    <w:rsid w:val="00C519C2"/>
    <w:rsid w:val="00C543F8"/>
    <w:rsid w:val="00C619D3"/>
    <w:rsid w:val="00C64B6E"/>
    <w:rsid w:val="00C66013"/>
    <w:rsid w:val="00C728A8"/>
    <w:rsid w:val="00C84D8A"/>
    <w:rsid w:val="00C97D15"/>
    <w:rsid w:val="00CA1356"/>
    <w:rsid w:val="00CA6A50"/>
    <w:rsid w:val="00CB2954"/>
    <w:rsid w:val="00CB797F"/>
    <w:rsid w:val="00CC1072"/>
    <w:rsid w:val="00CD2A67"/>
    <w:rsid w:val="00CD4E8C"/>
    <w:rsid w:val="00CD4ED3"/>
    <w:rsid w:val="00CE1526"/>
    <w:rsid w:val="00CE1A19"/>
    <w:rsid w:val="00CE3F94"/>
    <w:rsid w:val="00CE4DD7"/>
    <w:rsid w:val="00CE5D6F"/>
    <w:rsid w:val="00CF63BD"/>
    <w:rsid w:val="00D10757"/>
    <w:rsid w:val="00D1088D"/>
    <w:rsid w:val="00D164AD"/>
    <w:rsid w:val="00D35759"/>
    <w:rsid w:val="00D364F4"/>
    <w:rsid w:val="00D371BE"/>
    <w:rsid w:val="00D37B81"/>
    <w:rsid w:val="00D42F9C"/>
    <w:rsid w:val="00D44582"/>
    <w:rsid w:val="00D51EC2"/>
    <w:rsid w:val="00D55968"/>
    <w:rsid w:val="00D57833"/>
    <w:rsid w:val="00D614D3"/>
    <w:rsid w:val="00D61E2F"/>
    <w:rsid w:val="00D63F9C"/>
    <w:rsid w:val="00D6614C"/>
    <w:rsid w:val="00D679C5"/>
    <w:rsid w:val="00D708D7"/>
    <w:rsid w:val="00D76BDD"/>
    <w:rsid w:val="00D77C55"/>
    <w:rsid w:val="00D82226"/>
    <w:rsid w:val="00D84A26"/>
    <w:rsid w:val="00D90D34"/>
    <w:rsid w:val="00D90EF8"/>
    <w:rsid w:val="00D9226A"/>
    <w:rsid w:val="00DA13B9"/>
    <w:rsid w:val="00DA5251"/>
    <w:rsid w:val="00DB117B"/>
    <w:rsid w:val="00DB4FF8"/>
    <w:rsid w:val="00DC0A36"/>
    <w:rsid w:val="00DC2F9C"/>
    <w:rsid w:val="00DD4E27"/>
    <w:rsid w:val="00DE0704"/>
    <w:rsid w:val="00E0664D"/>
    <w:rsid w:val="00E2444D"/>
    <w:rsid w:val="00E25162"/>
    <w:rsid w:val="00E260A8"/>
    <w:rsid w:val="00E376EA"/>
    <w:rsid w:val="00E40277"/>
    <w:rsid w:val="00E41DFD"/>
    <w:rsid w:val="00E4233B"/>
    <w:rsid w:val="00E45332"/>
    <w:rsid w:val="00E505CF"/>
    <w:rsid w:val="00E51B60"/>
    <w:rsid w:val="00E72490"/>
    <w:rsid w:val="00E754C8"/>
    <w:rsid w:val="00E8006A"/>
    <w:rsid w:val="00E81371"/>
    <w:rsid w:val="00E82191"/>
    <w:rsid w:val="00E87DCD"/>
    <w:rsid w:val="00E95C5D"/>
    <w:rsid w:val="00EA1FF4"/>
    <w:rsid w:val="00EB13E2"/>
    <w:rsid w:val="00EB2182"/>
    <w:rsid w:val="00EB3B01"/>
    <w:rsid w:val="00EC6597"/>
    <w:rsid w:val="00ED0561"/>
    <w:rsid w:val="00ED171E"/>
    <w:rsid w:val="00ED2466"/>
    <w:rsid w:val="00EE33EF"/>
    <w:rsid w:val="00EF39D4"/>
    <w:rsid w:val="00F039F2"/>
    <w:rsid w:val="00F06018"/>
    <w:rsid w:val="00F17F3D"/>
    <w:rsid w:val="00F21921"/>
    <w:rsid w:val="00F253EA"/>
    <w:rsid w:val="00F26986"/>
    <w:rsid w:val="00F31CB0"/>
    <w:rsid w:val="00F37341"/>
    <w:rsid w:val="00F42876"/>
    <w:rsid w:val="00F472AC"/>
    <w:rsid w:val="00F57342"/>
    <w:rsid w:val="00F700E4"/>
    <w:rsid w:val="00F71922"/>
    <w:rsid w:val="00F744E0"/>
    <w:rsid w:val="00F77CC4"/>
    <w:rsid w:val="00F77E12"/>
    <w:rsid w:val="00F8025E"/>
    <w:rsid w:val="00F83CF8"/>
    <w:rsid w:val="00F878D2"/>
    <w:rsid w:val="00F90148"/>
    <w:rsid w:val="00F9470D"/>
    <w:rsid w:val="00F9528C"/>
    <w:rsid w:val="00FB464A"/>
    <w:rsid w:val="00FB6113"/>
    <w:rsid w:val="00FC5F01"/>
    <w:rsid w:val="00FD1999"/>
    <w:rsid w:val="00FD1D18"/>
    <w:rsid w:val="00FD48B2"/>
    <w:rsid w:val="00FD4B23"/>
    <w:rsid w:val="00FE48D6"/>
    <w:rsid w:val="00FF18C9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C12CF36"/>
  <w15:docId w15:val="{0D2A17A6-5C88-4FA6-9DDD-948BB5E3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00E4"/>
    <w:pPr>
      <w:spacing w:line="280" w:lineRule="atLeast"/>
    </w:pPr>
    <w:rPr>
      <w:rFonts w:ascii="Trebuchet MS" w:hAnsi="Trebuchet MS" w:cs="Trebuchet MS"/>
      <w:snapToGrid w:val="0"/>
      <w:sz w:val="22"/>
      <w:szCs w:val="22"/>
      <w:lang w:val="de-DE"/>
    </w:rPr>
  </w:style>
  <w:style w:type="paragraph" w:styleId="berschrift1">
    <w:name w:val="heading 1"/>
    <w:basedOn w:val="Standard"/>
    <w:next w:val="Standard"/>
    <w:qFormat/>
    <w:rsid w:val="00F700E4"/>
    <w:pPr>
      <w:keepNext/>
      <w:pageBreakBefore/>
      <w:spacing w:after="360"/>
      <w:outlineLvl w:val="0"/>
    </w:pPr>
    <w:rPr>
      <w:rFonts w:ascii="Times New Roman" w:hAnsi="Times New Roman" w:cs="Times New Roman"/>
      <w:b/>
      <w:bCs/>
      <w:caps/>
      <w:kern w:val="28"/>
      <w:sz w:val="48"/>
      <w:szCs w:val="48"/>
    </w:rPr>
  </w:style>
  <w:style w:type="paragraph" w:styleId="berschrift2">
    <w:name w:val="heading 2"/>
    <w:basedOn w:val="Standard"/>
    <w:next w:val="Standard"/>
    <w:qFormat/>
    <w:rsid w:val="00F700E4"/>
    <w:pPr>
      <w:keepNext/>
      <w:spacing w:before="240" w:after="240"/>
      <w:outlineLvl w:val="1"/>
    </w:pPr>
    <w:rPr>
      <w:rFonts w:ascii="Times New Roman" w:hAnsi="Times New Roman" w:cs="Times New Roman"/>
      <w:b/>
      <w:bCs/>
      <w:caps/>
      <w:sz w:val="32"/>
      <w:szCs w:val="32"/>
    </w:rPr>
  </w:style>
  <w:style w:type="paragraph" w:styleId="berschrift3">
    <w:name w:val="heading 3"/>
    <w:basedOn w:val="Standard"/>
    <w:next w:val="Standard"/>
    <w:qFormat/>
    <w:rsid w:val="00F700E4"/>
    <w:pPr>
      <w:keepNext/>
      <w:spacing w:before="240" w:after="24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F700E4"/>
    <w:rPr>
      <w:sz w:val="18"/>
      <w:szCs w:val="18"/>
    </w:rPr>
  </w:style>
  <w:style w:type="paragraph" w:styleId="Kopfzeile">
    <w:name w:val="header"/>
    <w:basedOn w:val="Standard"/>
    <w:rsid w:val="00F700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700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700E4"/>
  </w:style>
  <w:style w:type="paragraph" w:styleId="Sprechblasentext">
    <w:name w:val="Balloon Text"/>
    <w:basedOn w:val="Standard"/>
    <w:semiHidden/>
    <w:rsid w:val="00F700E4"/>
    <w:rPr>
      <w:rFonts w:ascii="Times New Roman" w:hAnsi="Times New Roman" w:cs="Times New Roman"/>
      <w:sz w:val="16"/>
      <w:szCs w:val="16"/>
    </w:rPr>
  </w:style>
  <w:style w:type="paragraph" w:styleId="Titel">
    <w:name w:val="Title"/>
    <w:basedOn w:val="Standard"/>
    <w:qFormat/>
    <w:rsid w:val="00F700E4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w4winMark">
    <w:name w:val="tw4winMark"/>
    <w:rsid w:val="00F700E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F700E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F700E4"/>
    <w:rPr>
      <w:color w:val="0000FF"/>
    </w:rPr>
  </w:style>
  <w:style w:type="character" w:customStyle="1" w:styleId="tw4winPopup">
    <w:name w:val="tw4winPopup"/>
    <w:rsid w:val="00F700E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F700E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F700E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F700E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F700E4"/>
    <w:rPr>
      <w:rFonts w:ascii="Courier New" w:hAnsi="Courier New" w:cs="Courier New"/>
      <w:noProof/>
      <w:color w:val="800000"/>
    </w:rPr>
  </w:style>
  <w:style w:type="paragraph" w:styleId="NurText">
    <w:name w:val="Plain Text"/>
    <w:basedOn w:val="Standard"/>
    <w:link w:val="NurTextZchn"/>
    <w:uiPriority w:val="99"/>
    <w:unhideWhenUsed/>
    <w:rsid w:val="00B55633"/>
    <w:pPr>
      <w:spacing w:line="240" w:lineRule="auto"/>
    </w:pPr>
    <w:rPr>
      <w:rFonts w:ascii="Consolas" w:eastAsia="Calibri" w:hAnsi="Consolas" w:cs="Times New Roman"/>
      <w:snapToGrid/>
      <w:sz w:val="21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55633"/>
    <w:rPr>
      <w:rFonts w:ascii="Consolas" w:eastAsia="Calibri" w:hAnsi="Consolas" w:cs="Times New Roman"/>
      <w:sz w:val="21"/>
      <w:szCs w:val="21"/>
      <w:lang w:eastAsia="en-US"/>
    </w:rPr>
  </w:style>
  <w:style w:type="character" w:styleId="Hervorhebung">
    <w:name w:val="Emphasis"/>
    <w:basedOn w:val="Absatz-Standardschriftart"/>
    <w:uiPriority w:val="20"/>
    <w:qFormat/>
    <w:rsid w:val="008B1362"/>
    <w:rPr>
      <w:i/>
      <w:iCs/>
    </w:rPr>
  </w:style>
  <w:style w:type="paragraph" w:styleId="Listenabsatz">
    <w:name w:val="List Paragraph"/>
    <w:aliases w:val="Paragraphe EI,Paragraphe de liste1,EC"/>
    <w:basedOn w:val="Standard"/>
    <w:link w:val="ListenabsatzZchn"/>
    <w:uiPriority w:val="34"/>
    <w:qFormat/>
    <w:rsid w:val="00CD2A6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63C7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napToGrid/>
      <w:sz w:val="24"/>
      <w:szCs w:val="24"/>
      <w:lang w:val="de-AT"/>
    </w:rPr>
  </w:style>
  <w:style w:type="character" w:styleId="Fett">
    <w:name w:val="Strong"/>
    <w:basedOn w:val="Absatz-Standardschriftart"/>
    <w:uiPriority w:val="22"/>
    <w:qFormat/>
    <w:rsid w:val="00B63C71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ED2466"/>
    <w:rPr>
      <w:rFonts w:ascii="Trebuchet MS" w:hAnsi="Trebuchet MS" w:cs="Trebuchet MS"/>
      <w:snapToGrid w:val="0"/>
      <w:sz w:val="22"/>
      <w:szCs w:val="22"/>
      <w:lang w:val="de-DE"/>
    </w:rPr>
  </w:style>
  <w:style w:type="character" w:styleId="Hyperlink">
    <w:name w:val="Hyperlink"/>
    <w:basedOn w:val="Absatz-Standardschriftart"/>
    <w:rsid w:val="005B3FB7"/>
    <w:rPr>
      <w:color w:val="0000FF" w:themeColor="hyperlink"/>
      <w:u w:val="single"/>
    </w:rPr>
  </w:style>
  <w:style w:type="paragraph" w:customStyle="1" w:styleId="Default">
    <w:name w:val="Default"/>
    <w:rsid w:val="007755BF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character" w:customStyle="1" w:styleId="ListenabsatzZchn">
    <w:name w:val="Listenabsatz Zchn"/>
    <w:aliases w:val="Paragraphe EI Zchn,Paragraphe de liste1 Zchn,EC Zchn"/>
    <w:link w:val="Listenabsatz"/>
    <w:rsid w:val="005C7948"/>
    <w:rPr>
      <w:rFonts w:ascii="Trebuchet MS" w:hAnsi="Trebuchet MS" w:cs="Trebuchet MS"/>
      <w:snapToGrid w:val="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ADAF-A60E-4E91-AD9B-B396F11F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Translation: www.brainstorm.at</vt:lpstr>
    </vt:vector>
  </TitlesOfParts>
  <Company>Translation: www.brainstorm.at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Translation: www.brainstorm.at</dc:title>
  <dc:creator>Manuela Bruck</dc:creator>
  <dc:description>Translation: www.brainstorm.at</dc:description>
  <cp:lastModifiedBy>Horvath Philipp, LL.M., WKÖ BSBV</cp:lastModifiedBy>
  <cp:revision>2</cp:revision>
  <cp:lastPrinted>2015-09-30T08:11:00Z</cp:lastPrinted>
  <dcterms:created xsi:type="dcterms:W3CDTF">2017-10-04T14:50:00Z</dcterms:created>
  <dcterms:modified xsi:type="dcterms:W3CDTF">2017-10-04T14:50:00Z</dcterms:modified>
  <cp:category>Translation: www.brainstorm.at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ion">
    <vt:lpwstr>Translation: www.brainstorm.at</vt:lpwstr>
  </property>
</Properties>
</file>