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385800" w:rsidTr="00D06B93">
        <w:trPr>
          <w:trHeight w:val="1780"/>
        </w:trPr>
        <w:tc>
          <w:tcPr>
            <w:tcW w:w="4536" w:type="dxa"/>
            <w:tcMar>
              <w:left w:w="0" w:type="dxa"/>
              <w:right w:w="0" w:type="dxa"/>
            </w:tcMar>
          </w:tcPr>
          <w:p w:rsidR="00D67FB0" w:rsidRDefault="00D67FB0" w:rsidP="00E54F15"/>
          <w:p w:rsidR="00E54F15" w:rsidRDefault="00E54F15" w:rsidP="00E54F15">
            <w:r w:rsidRPr="00E54F15">
              <w:t xml:space="preserve">ESMA </w:t>
            </w:r>
          </w:p>
          <w:p w:rsidR="00E54F15" w:rsidRDefault="00E54F15" w:rsidP="00E54F15">
            <w:r w:rsidRPr="00E54F15">
              <w:t xml:space="preserve">103 rue de Grenelle </w:t>
            </w:r>
          </w:p>
          <w:p w:rsidR="00E54F15" w:rsidRDefault="00E54F15" w:rsidP="00E54F15">
            <w:r w:rsidRPr="00E54F15">
              <w:t xml:space="preserve">75345 </w:t>
            </w:r>
          </w:p>
          <w:p w:rsidR="00385800" w:rsidRDefault="00E54F15" w:rsidP="00E54F15">
            <w:r w:rsidRPr="00E54F15">
              <w:t xml:space="preserve">Paris </w:t>
            </w:r>
            <w:bookmarkStart w:id="0" w:name="_GoBack"/>
            <w:bookmarkEnd w:id="0"/>
          </w:p>
          <w:p w:rsidR="00E54F15" w:rsidRDefault="00E54F15" w:rsidP="00E54F15"/>
        </w:tc>
      </w:tr>
      <w:tr w:rsidR="00385800" w:rsidTr="00D06B93">
        <w:tc>
          <w:tcPr>
            <w:tcW w:w="4536" w:type="dxa"/>
            <w:tcMar>
              <w:left w:w="0" w:type="dxa"/>
              <w:right w:w="0" w:type="dxa"/>
            </w:tcMar>
          </w:tcPr>
          <w:p w:rsidR="00385800" w:rsidRDefault="00385800" w:rsidP="00D06B93"/>
        </w:tc>
      </w:tr>
      <w:tr w:rsidR="00385800" w:rsidTr="00D06B93">
        <w:tc>
          <w:tcPr>
            <w:tcW w:w="4536" w:type="dxa"/>
            <w:tcMar>
              <w:left w:w="0" w:type="dxa"/>
              <w:right w:w="0" w:type="dxa"/>
            </w:tcMar>
          </w:tcPr>
          <w:p w:rsidR="00385800" w:rsidRDefault="00385800" w:rsidP="00054B0A">
            <w:pPr>
              <w:pStyle w:val="DateText"/>
            </w:pPr>
            <w:r>
              <w:t xml:space="preserve">Date: </w:t>
            </w:r>
            <w:r w:rsidR="00054B0A">
              <w:t xml:space="preserve">16 </w:t>
            </w:r>
            <w:r w:rsidR="00E54F15">
              <w:t>October 2017</w:t>
            </w:r>
          </w:p>
        </w:tc>
      </w:tr>
      <w:tr w:rsidR="001014D6" w:rsidTr="00D06B93">
        <w:tc>
          <w:tcPr>
            <w:tcW w:w="4536" w:type="dxa"/>
            <w:tcMar>
              <w:left w:w="0" w:type="dxa"/>
              <w:right w:w="0" w:type="dxa"/>
            </w:tcMar>
          </w:tcPr>
          <w:p w:rsidR="001014D6" w:rsidRDefault="001014D6" w:rsidP="00D06B93"/>
        </w:tc>
      </w:tr>
    </w:tbl>
    <w:p w:rsidR="003D02BD" w:rsidRDefault="00D06B93" w:rsidP="00385800">
      <w:pPr>
        <w:pStyle w:val="BodyText"/>
      </w:pPr>
      <w:r>
        <w:br w:type="textWrapping" w:clear="all"/>
      </w:r>
    </w:p>
    <w:p w:rsidR="00385800" w:rsidRDefault="00385800" w:rsidP="00385800">
      <w:pPr>
        <w:pStyle w:val="BodyText"/>
      </w:pPr>
      <w:r>
        <w:t xml:space="preserve">Dear </w:t>
      </w:r>
      <w:r w:rsidR="00D67FB0" w:rsidRPr="00D67FB0">
        <w:t xml:space="preserve">Salvatore </w:t>
      </w:r>
    </w:p>
    <w:p w:rsidR="00385800" w:rsidRDefault="00385800" w:rsidP="00385800">
      <w:pPr>
        <w:pStyle w:val="SubjectLine"/>
      </w:pPr>
      <w:r>
        <w:t xml:space="preserve">RE: </w:t>
      </w:r>
      <w:r w:rsidR="003D02BD" w:rsidRPr="003D02BD">
        <w:t>Guidelines on certain aspects of the MiFID II suitability requirements</w:t>
      </w:r>
    </w:p>
    <w:p w:rsidR="00DC59B8" w:rsidRPr="00DC59B8" w:rsidRDefault="00DC59B8" w:rsidP="00385800">
      <w:pPr>
        <w:pStyle w:val="SubjectLine"/>
        <w:rPr>
          <w:b w:val="0"/>
        </w:rPr>
      </w:pPr>
      <w:r w:rsidRPr="00DC59B8">
        <w:rPr>
          <w:b w:val="0"/>
        </w:rPr>
        <w:t xml:space="preserve">The Investment Association is delighted to </w:t>
      </w:r>
      <w:r>
        <w:rPr>
          <w:b w:val="0"/>
        </w:rPr>
        <w:t xml:space="preserve">provide input to your consultation. </w:t>
      </w:r>
      <w:r w:rsidR="00B03862" w:rsidRPr="00B03862">
        <w:rPr>
          <w:b w:val="0"/>
        </w:rPr>
        <w:t>It is essential to ensure an implementation of the MiFID II suitability requirements that provides appropriate protections in the retail market, while not creating difficulties for portfolio managers in effectively delivering services to other client groups. This letter</w:t>
      </w:r>
      <w:r w:rsidR="00DC389D">
        <w:rPr>
          <w:b w:val="0"/>
        </w:rPr>
        <w:t>,</w:t>
      </w:r>
      <w:r w:rsidR="00B03862" w:rsidRPr="00B03862">
        <w:rPr>
          <w:b w:val="0"/>
        </w:rPr>
        <w:t xml:space="preserve"> and our wider response</w:t>
      </w:r>
      <w:r w:rsidR="00DC389D">
        <w:rPr>
          <w:b w:val="0"/>
        </w:rPr>
        <w:t>,</w:t>
      </w:r>
      <w:r w:rsidR="00B03862" w:rsidRPr="00B03862">
        <w:rPr>
          <w:b w:val="0"/>
        </w:rPr>
        <w:t xml:space="preserve"> outlines a serious concern in this regard that</w:t>
      </w:r>
      <w:r w:rsidR="00DC389D">
        <w:rPr>
          <w:b w:val="0"/>
        </w:rPr>
        <w:t>,</w:t>
      </w:r>
      <w:r w:rsidR="00B03862" w:rsidRPr="00B03862">
        <w:rPr>
          <w:b w:val="0"/>
        </w:rPr>
        <w:t xml:space="preserve"> left unaddressed</w:t>
      </w:r>
      <w:r w:rsidR="00DC389D">
        <w:rPr>
          <w:b w:val="0"/>
        </w:rPr>
        <w:t>,</w:t>
      </w:r>
      <w:r w:rsidR="00B03862" w:rsidRPr="00B03862">
        <w:rPr>
          <w:b w:val="0"/>
        </w:rPr>
        <w:t xml:space="preserve"> will have significant consequences for the institutional market.</w:t>
      </w:r>
    </w:p>
    <w:p w:rsidR="00C136CA" w:rsidRDefault="00B03862" w:rsidP="00B03862">
      <w:pPr>
        <w:pStyle w:val="BodyText"/>
      </w:pPr>
      <w:r>
        <w:t xml:space="preserve">At a general level, we </w:t>
      </w:r>
      <w:r w:rsidR="00C136CA">
        <w:t xml:space="preserve">note that the Guidelines are principally addressed to the provision of services to retail clients, only applying to the provision of services to professional clients ‘as applicable’ and ‘to the extent they are relevant’. We would </w:t>
      </w:r>
      <w:r w:rsidR="00C136CA" w:rsidRPr="005052A9">
        <w:t xml:space="preserve">encourage ESMA to </w:t>
      </w:r>
      <w:r w:rsidR="00C136CA">
        <w:t>be</w:t>
      </w:r>
      <w:r w:rsidR="00C136CA" w:rsidRPr="005052A9">
        <w:t xml:space="preserve"> much clearer throughout </w:t>
      </w:r>
      <w:r w:rsidR="00C136CA">
        <w:t xml:space="preserve">the Guidelines </w:t>
      </w:r>
      <w:r w:rsidR="00C136CA" w:rsidRPr="005052A9">
        <w:t>as to what applies only to retail</w:t>
      </w:r>
      <w:r w:rsidR="00C136CA">
        <w:t>, and what will apply to all clients.</w:t>
      </w:r>
    </w:p>
    <w:p w:rsidR="00B03862" w:rsidRDefault="00B03862" w:rsidP="00B03862">
      <w:pPr>
        <w:pStyle w:val="BodyText"/>
      </w:pPr>
      <w:r>
        <w:t>This leads to the substance of our concern:</w:t>
      </w:r>
    </w:p>
    <w:p w:rsidR="00C136CA" w:rsidRDefault="00C136CA" w:rsidP="00EB296D">
      <w:pPr>
        <w:pStyle w:val="BodyText"/>
        <w:numPr>
          <w:ilvl w:val="0"/>
          <w:numId w:val="22"/>
        </w:numPr>
      </w:pPr>
      <w:r>
        <w:t>The propos</w:t>
      </w:r>
      <w:r w:rsidR="00FB6304">
        <w:t>ed</w:t>
      </w:r>
      <w:r>
        <w:t xml:space="preserve"> Guidelines fail to distinguish between legitimate concerns about suitability in the context of the retail </w:t>
      </w:r>
      <w:r w:rsidR="00C2045B">
        <w:t xml:space="preserve">advisory </w:t>
      </w:r>
      <w:r>
        <w:t xml:space="preserve">market and the realities of the </w:t>
      </w:r>
      <w:r w:rsidR="00C2045B">
        <w:t xml:space="preserve">discretionary </w:t>
      </w:r>
      <w:r>
        <w:t>institutional market.</w:t>
      </w:r>
      <w:r w:rsidR="00EB296D" w:rsidRPr="00EB296D">
        <w:t xml:space="preserve"> Portfolio managers with </w:t>
      </w:r>
      <w:r w:rsidR="00C2045B">
        <w:t xml:space="preserve">discretionary </w:t>
      </w:r>
      <w:r w:rsidR="00EB296D" w:rsidRPr="00EB296D">
        <w:t xml:space="preserve">professional clients will rarely know what the client’s other assets are. Portfolio managers will generally receive a mandate from </w:t>
      </w:r>
      <w:r w:rsidR="00C2045B">
        <w:t xml:space="preserve">discretionary </w:t>
      </w:r>
      <w:r w:rsidR="00EB296D" w:rsidRPr="00EB296D">
        <w:t xml:space="preserve">professional clients for </w:t>
      </w:r>
      <w:r w:rsidR="00DC389D">
        <w:t>one</w:t>
      </w:r>
      <w:r w:rsidR="00EB296D" w:rsidRPr="00EB296D">
        <w:t xml:space="preserve"> portion</w:t>
      </w:r>
      <w:r w:rsidR="00DC389D">
        <w:t xml:space="preserve"> only,</w:t>
      </w:r>
      <w:r w:rsidR="00EB296D" w:rsidRPr="00EB296D">
        <w:t xml:space="preserve"> of their assets. The firm is unlikely to receive any information from the client about their other assets.</w:t>
      </w:r>
    </w:p>
    <w:p w:rsidR="00C136CA" w:rsidRDefault="00C136CA" w:rsidP="00C136CA">
      <w:pPr>
        <w:pStyle w:val="BodyText"/>
        <w:numPr>
          <w:ilvl w:val="0"/>
          <w:numId w:val="22"/>
        </w:numPr>
      </w:pPr>
      <w:r>
        <w:t xml:space="preserve">The nature of </w:t>
      </w:r>
      <w:r w:rsidR="00C2045B">
        <w:t xml:space="preserve">discretionary </w:t>
      </w:r>
      <w:r>
        <w:t xml:space="preserve">asset management agreements, in the institutional space, with documented investment and risk parameters, obviates </w:t>
      </w:r>
      <w:r w:rsidR="00FB6304">
        <w:t>the</w:t>
      </w:r>
      <w:r>
        <w:t xml:space="preserve"> need for additional</w:t>
      </w:r>
      <w:r w:rsidR="00DC389D">
        <w:t>,</w:t>
      </w:r>
      <w:r>
        <w:t xml:space="preserve"> rigidly defined</w:t>
      </w:r>
      <w:r w:rsidR="00DC389D">
        <w:t>,</w:t>
      </w:r>
      <w:r>
        <w:t xml:space="preserve"> cost-benefit processes.</w:t>
      </w:r>
    </w:p>
    <w:p w:rsidR="00C136CA" w:rsidRDefault="00C2045B" w:rsidP="00C136CA">
      <w:pPr>
        <w:pStyle w:val="BodyText"/>
        <w:numPr>
          <w:ilvl w:val="0"/>
          <w:numId w:val="22"/>
        </w:numPr>
      </w:pPr>
      <w:r>
        <w:t xml:space="preserve">Discretionary portfolio </w:t>
      </w:r>
      <w:r w:rsidR="00C136CA">
        <w:t xml:space="preserve">management at this level is a continuous process of adjustment and the whole idea of ‘switching’, which may be relevant to </w:t>
      </w:r>
      <w:r w:rsidR="000076AC">
        <w:t xml:space="preserve">advisory </w:t>
      </w:r>
      <w:r w:rsidR="00C136CA">
        <w:t>portfolios, does not make sense</w:t>
      </w:r>
      <w:r w:rsidR="000076AC">
        <w:t xml:space="preserve"> for discretionary portfolio management</w:t>
      </w:r>
      <w:r w:rsidR="00C136CA">
        <w:t xml:space="preserve">. For example, bond fund managers continuously adjust their portfolios to match the desired yield curve and duration; to select any pair of trades and define them as a </w:t>
      </w:r>
      <w:r w:rsidR="00FB6304">
        <w:t>‘</w:t>
      </w:r>
      <w:r w:rsidR="00C136CA">
        <w:t>switch</w:t>
      </w:r>
      <w:r w:rsidR="00FB6304">
        <w:t>’</w:t>
      </w:r>
      <w:r w:rsidR="00C136CA">
        <w:t xml:space="preserve"> would be meaningless.</w:t>
      </w:r>
    </w:p>
    <w:p w:rsidR="00C136CA" w:rsidRDefault="00C136CA" w:rsidP="00C136CA">
      <w:pPr>
        <w:pStyle w:val="BodyText"/>
        <w:numPr>
          <w:ilvl w:val="0"/>
          <w:numId w:val="22"/>
        </w:numPr>
      </w:pPr>
      <w:r>
        <w:lastRenderedPageBreak/>
        <w:t xml:space="preserve">The cost-benefit analysis as described in the draft guidelines does not take account of the impact of Guideline 10, which would </w:t>
      </w:r>
      <w:r w:rsidR="00C2045B">
        <w:t xml:space="preserve">delay discretionary </w:t>
      </w:r>
      <w:r>
        <w:t>trading and add frictional cost to the large trades undertaken for institutional mandates.</w:t>
      </w:r>
    </w:p>
    <w:p w:rsidR="00385800" w:rsidRDefault="00EB296D" w:rsidP="00EB296D">
      <w:pPr>
        <w:pStyle w:val="BodyText"/>
      </w:pPr>
      <w:r w:rsidRPr="00EB296D">
        <w:t xml:space="preserve">The consequence of these delays and costs would be, in our view, to make </w:t>
      </w:r>
      <w:r w:rsidR="00C2045B">
        <w:t>discretionary</w:t>
      </w:r>
      <w:r w:rsidR="00C2045B" w:rsidRPr="00EB296D">
        <w:t xml:space="preserve"> </w:t>
      </w:r>
      <w:r w:rsidRPr="00EB296D">
        <w:t>portfolio management services inoperable, leading to potentially significant client detriment.</w:t>
      </w:r>
    </w:p>
    <w:p w:rsidR="00567CEC" w:rsidRDefault="00567CEC" w:rsidP="00567CEC">
      <w:pPr>
        <w:pStyle w:val="BodyText"/>
      </w:pPr>
      <w:r>
        <w:t>To address these concerns, we believe that a number of specific changes need to be made to the draft guidelines</w:t>
      </w:r>
      <w:r w:rsidR="00D67FB0">
        <w:t>, particularly to Guideline 10:</w:t>
      </w:r>
    </w:p>
    <w:p w:rsidR="00054B0A" w:rsidRDefault="00F31350" w:rsidP="00F31350">
      <w:pPr>
        <w:pStyle w:val="BodyText"/>
        <w:numPr>
          <w:ilvl w:val="0"/>
          <w:numId w:val="24"/>
        </w:numPr>
      </w:pPr>
      <w:r w:rsidRPr="00F31350">
        <w:t xml:space="preserve">Given that the managers of portfolio mandates for </w:t>
      </w:r>
      <w:r w:rsidR="00C2045B">
        <w:t xml:space="preserve">discretionary </w:t>
      </w:r>
      <w:r w:rsidRPr="00F31350">
        <w:t xml:space="preserve">professional clients will rarely know what the client’s other assets are, as they will generally only receive a mandate from the client for a portion of their assets, </w:t>
      </w:r>
      <w:r w:rsidRPr="00EB296D">
        <w:rPr>
          <w:b/>
        </w:rPr>
        <w:t xml:space="preserve">a proportional approach to suitability should recognise that the </w:t>
      </w:r>
      <w:r w:rsidR="00C2045B">
        <w:rPr>
          <w:b/>
        </w:rPr>
        <w:t xml:space="preserve">discretionary </w:t>
      </w:r>
      <w:r w:rsidRPr="00EB296D">
        <w:rPr>
          <w:b/>
        </w:rPr>
        <w:t>mandate-driven approach already provides the required level of investor protection</w:t>
      </w:r>
      <w:r w:rsidRPr="00F31350">
        <w:t>, i.e. mandate level suitability, best execution, periodic reporting with details of each transaction. No further controls are necessary.</w:t>
      </w:r>
      <w:r>
        <w:t xml:space="preserve"> </w:t>
      </w:r>
    </w:p>
    <w:p w:rsidR="00FB6304" w:rsidRDefault="00E9683D" w:rsidP="00E9683D">
      <w:pPr>
        <w:pStyle w:val="BodyText"/>
        <w:numPr>
          <w:ilvl w:val="0"/>
          <w:numId w:val="24"/>
        </w:numPr>
      </w:pPr>
      <w:r>
        <w:t>The level two text</w:t>
      </w:r>
      <w:r w:rsidR="00C2045B">
        <w:t xml:space="preserve"> (Delegated Regulation (EU) 2017/565)</w:t>
      </w:r>
      <w:r>
        <w:t xml:space="preserve"> requires that firms, when </w:t>
      </w:r>
      <w:r w:rsidRPr="00E9683D">
        <w:t xml:space="preserve">providing portfolio management services that involve switching investments, shall collect the necessary information on the </w:t>
      </w:r>
      <w:r w:rsidRPr="00826BEF">
        <w:rPr>
          <w:b/>
          <w:i/>
        </w:rPr>
        <w:t>recommended</w:t>
      </w:r>
      <w:r w:rsidRPr="00E9683D">
        <w:t xml:space="preserve"> new investments.</w:t>
      </w:r>
      <w:r>
        <w:t xml:space="preserve"> </w:t>
      </w:r>
      <w:r w:rsidR="00C2045B">
        <w:t xml:space="preserve">Recommendation </w:t>
      </w:r>
      <w:r>
        <w:t xml:space="preserve">clearly </w:t>
      </w:r>
      <w:r w:rsidR="00C2045B">
        <w:t>refers to</w:t>
      </w:r>
      <w:r>
        <w:t xml:space="preserve"> advisory portfolio manage</w:t>
      </w:r>
      <w:r w:rsidR="00C2045B">
        <w:t>ment</w:t>
      </w:r>
      <w:r>
        <w:t xml:space="preserve">, and </w:t>
      </w:r>
      <w:r w:rsidR="00C2045B">
        <w:t xml:space="preserve">the obligation </w:t>
      </w:r>
      <w:r>
        <w:t xml:space="preserve">should not </w:t>
      </w:r>
      <w:r w:rsidR="00C2045B">
        <w:t xml:space="preserve">also </w:t>
      </w:r>
      <w:r>
        <w:t>be applied to discretionary portfolio manage</w:t>
      </w:r>
      <w:r w:rsidR="00C2045B">
        <w:t>ment</w:t>
      </w:r>
      <w:r>
        <w:t xml:space="preserve">. </w:t>
      </w:r>
      <w:r w:rsidR="00F31350">
        <w:t xml:space="preserve">It should be </w:t>
      </w:r>
      <w:r>
        <w:t xml:space="preserve">clearly </w:t>
      </w:r>
      <w:r w:rsidR="00F31350">
        <w:t xml:space="preserve">recognised </w:t>
      </w:r>
      <w:r>
        <w:t xml:space="preserve">in the final guidelines </w:t>
      </w:r>
      <w:r w:rsidR="00F31350">
        <w:t xml:space="preserve">that </w:t>
      </w:r>
      <w:r w:rsidR="00C2045B">
        <w:t xml:space="preserve">this obligation applies where a switch is recommended and that this would not normally apply to </w:t>
      </w:r>
      <w:r>
        <w:t>discretionary portfolio management</w:t>
      </w:r>
      <w:r w:rsidR="00F31350">
        <w:t>.</w:t>
      </w:r>
    </w:p>
    <w:p w:rsidR="00567CEC" w:rsidRDefault="00C2045B" w:rsidP="00D67FB0">
      <w:pPr>
        <w:pStyle w:val="BodyText"/>
        <w:numPr>
          <w:ilvl w:val="0"/>
          <w:numId w:val="24"/>
        </w:numPr>
      </w:pPr>
      <w:r w:rsidRPr="00826BEF">
        <w:rPr>
          <w:b/>
        </w:rPr>
        <w:t>T</w:t>
      </w:r>
      <w:r w:rsidR="00EB296D" w:rsidRPr="00EB296D">
        <w:rPr>
          <w:b/>
        </w:rPr>
        <w:t xml:space="preserve">he obligation under Guideline 10 </w:t>
      </w:r>
      <w:r w:rsidR="00567CEC" w:rsidRPr="00EB296D">
        <w:rPr>
          <w:b/>
        </w:rPr>
        <w:t xml:space="preserve">should be dis-applied to regulated firms when providing </w:t>
      </w:r>
      <w:r>
        <w:rPr>
          <w:b/>
        </w:rPr>
        <w:t xml:space="preserve">discretionary </w:t>
      </w:r>
      <w:r w:rsidR="00567CEC" w:rsidRPr="00EB296D">
        <w:rPr>
          <w:b/>
        </w:rPr>
        <w:t>portfolio management services under an I</w:t>
      </w:r>
      <w:r w:rsidR="00FB6304" w:rsidRPr="00EB296D">
        <w:rPr>
          <w:b/>
        </w:rPr>
        <w:t xml:space="preserve">nvestment </w:t>
      </w:r>
      <w:r w:rsidR="00567CEC" w:rsidRPr="00EB296D">
        <w:rPr>
          <w:b/>
        </w:rPr>
        <w:t>M</w:t>
      </w:r>
      <w:r w:rsidR="00FB6304" w:rsidRPr="00EB296D">
        <w:rPr>
          <w:b/>
        </w:rPr>
        <w:t xml:space="preserve">anagement </w:t>
      </w:r>
      <w:r w:rsidR="00567CEC" w:rsidRPr="00EB296D">
        <w:rPr>
          <w:b/>
        </w:rPr>
        <w:t>A</w:t>
      </w:r>
      <w:r w:rsidR="00FB6304" w:rsidRPr="00EB296D">
        <w:rPr>
          <w:b/>
        </w:rPr>
        <w:t>greement</w:t>
      </w:r>
      <w:r w:rsidR="00567CEC">
        <w:t xml:space="preserve">. This already seems to be </w:t>
      </w:r>
      <w:r w:rsidR="00F31350">
        <w:t>allowed for</w:t>
      </w:r>
      <w:r w:rsidR="00567CEC">
        <w:t xml:space="preserve"> in paragraph 3 of the Guidelines, on page 36 of the CP. </w:t>
      </w:r>
    </w:p>
    <w:p w:rsidR="00567CEC" w:rsidRPr="00EB296D" w:rsidRDefault="00567CEC" w:rsidP="00D67FB0">
      <w:pPr>
        <w:pStyle w:val="BodyText"/>
        <w:numPr>
          <w:ilvl w:val="0"/>
          <w:numId w:val="24"/>
        </w:numPr>
        <w:rPr>
          <w:b/>
        </w:rPr>
      </w:pPr>
      <w:r w:rsidRPr="00EB296D">
        <w:rPr>
          <w:b/>
        </w:rPr>
        <w:t>The disapplication of the need for cost-benefit analysis in the case of indexing (paragraph 84) should be reflected in the final Guideline</w:t>
      </w:r>
      <w:r w:rsidR="00FB6304" w:rsidRPr="00EB296D">
        <w:rPr>
          <w:b/>
        </w:rPr>
        <w:t xml:space="preserve"> 10</w:t>
      </w:r>
      <w:r w:rsidRPr="00EB296D">
        <w:rPr>
          <w:b/>
        </w:rPr>
        <w:t>.</w:t>
      </w:r>
    </w:p>
    <w:p w:rsidR="00567CEC" w:rsidRDefault="00EB296D" w:rsidP="00567CEC">
      <w:pPr>
        <w:pStyle w:val="BodyText"/>
      </w:pPr>
      <w:r w:rsidRPr="00EB296D">
        <w:t xml:space="preserve">Finally, we would note that we </w:t>
      </w:r>
      <w:r w:rsidR="00DC389D">
        <w:t xml:space="preserve">are </w:t>
      </w:r>
      <w:r w:rsidRPr="00EB296D">
        <w:t>disappointed with the timeline for the development of these Guidelines. The fact that they will not be published in final form until Q1/Q2 2018 is unhelpful for firms trying to implement changes to ensure that they are ready and compliant with MiFID II by 3 January 2018.</w:t>
      </w:r>
    </w:p>
    <w:p w:rsidR="00385800" w:rsidRDefault="00385800" w:rsidP="00385800">
      <w:pPr>
        <w:pStyle w:val="Sign-offText"/>
      </w:pPr>
      <w:r>
        <w:t xml:space="preserve">Yours </w:t>
      </w:r>
      <w:r w:rsidR="00C2045B">
        <w:t xml:space="preserve">sincerely </w:t>
      </w:r>
    </w:p>
    <w:p w:rsidR="00385800" w:rsidRDefault="003D02BD" w:rsidP="00385800">
      <w:pPr>
        <w:pStyle w:val="BoldText"/>
      </w:pPr>
      <w:r>
        <w:t>Adrian Hood</w:t>
      </w:r>
    </w:p>
    <w:p w:rsidR="00385800" w:rsidRDefault="003D02BD" w:rsidP="00385800">
      <w:pPr>
        <w:pStyle w:val="BoldText"/>
      </w:pPr>
      <w:r>
        <w:t>Regulatory and Financial Crime Expert</w:t>
      </w:r>
    </w:p>
    <w:p w:rsidR="0030794F" w:rsidRDefault="0030794F" w:rsidP="0030794F"/>
    <w:p w:rsidR="0030794F" w:rsidRDefault="0030794F" w:rsidP="0030794F"/>
    <w:p w:rsidR="00C136CA" w:rsidRDefault="00C136CA">
      <w:pPr>
        <w:spacing w:line="259" w:lineRule="auto"/>
      </w:pPr>
      <w:r>
        <w:br w:type="page"/>
      </w:r>
    </w:p>
    <w:p w:rsidR="0030794F" w:rsidRDefault="0030794F" w:rsidP="0030794F">
      <w:pPr>
        <w:pStyle w:val="Title"/>
      </w:pPr>
      <w:r>
        <w:lastRenderedPageBreak/>
        <w:t>Annex I</w:t>
      </w:r>
    </w:p>
    <w:p w:rsidR="00CE0E7E" w:rsidRDefault="0030794F" w:rsidP="0030794F">
      <w:pPr>
        <w:pStyle w:val="Subtitle"/>
      </w:pPr>
      <w:r>
        <w:t>response</w:t>
      </w:r>
      <w:r w:rsidR="006A0BE3">
        <w:t>s to questions</w:t>
      </w:r>
    </w:p>
    <w:p w:rsidR="00951318" w:rsidRPr="00951318" w:rsidRDefault="00951318" w:rsidP="00951318"/>
    <w:p w:rsidR="00951318" w:rsidRDefault="00951318" w:rsidP="00951318">
      <w:pPr>
        <w:pStyle w:val="Heading1"/>
      </w:pPr>
      <w:r>
        <w:t>about the investment association</w:t>
      </w:r>
    </w:p>
    <w:p w:rsidR="00951318" w:rsidRDefault="00951318" w:rsidP="00951318">
      <w:pPr>
        <w:rPr>
          <w:lang w:eastAsia="en-GB"/>
        </w:rPr>
      </w:pPr>
      <w:r>
        <w:rPr>
          <w:lang w:eastAsia="en-GB"/>
        </w:rPr>
        <w:t>The Investment Association is the trade body that represents UK investment managers, whose 200 members collectively manage over £5.5 trillion on behalf of clients.</w:t>
      </w:r>
    </w:p>
    <w:p w:rsidR="00951318" w:rsidRDefault="00951318" w:rsidP="00951318">
      <w:r>
        <w:t>Our purpose is to ensure investment managers are in the best possible position to:</w:t>
      </w:r>
    </w:p>
    <w:p w:rsidR="00951318" w:rsidRDefault="00951318" w:rsidP="00951318">
      <w:pPr>
        <w:pStyle w:val="ListParagraph"/>
        <w:numPr>
          <w:ilvl w:val="0"/>
          <w:numId w:val="10"/>
        </w:numPr>
      </w:pPr>
      <w:r>
        <w:t>Build people’s resilience to financial adversity</w:t>
      </w:r>
    </w:p>
    <w:p w:rsidR="00951318" w:rsidRDefault="00951318" w:rsidP="00951318">
      <w:pPr>
        <w:pStyle w:val="ListParagraph"/>
        <w:numPr>
          <w:ilvl w:val="0"/>
          <w:numId w:val="10"/>
        </w:numPr>
      </w:pPr>
      <w:r>
        <w:t>Help people achieve their financial aspirations</w:t>
      </w:r>
    </w:p>
    <w:p w:rsidR="00951318" w:rsidRDefault="00951318" w:rsidP="00951318">
      <w:pPr>
        <w:pStyle w:val="ListParagraph"/>
        <w:numPr>
          <w:ilvl w:val="0"/>
          <w:numId w:val="10"/>
        </w:numPr>
      </w:pPr>
      <w:r>
        <w:t>Enable people to maintain a decent standard of living as they grow older</w:t>
      </w:r>
    </w:p>
    <w:p w:rsidR="00951318" w:rsidRDefault="00951318" w:rsidP="00951318">
      <w:pPr>
        <w:pStyle w:val="ListParagraph"/>
        <w:numPr>
          <w:ilvl w:val="0"/>
          <w:numId w:val="10"/>
        </w:numPr>
      </w:pPr>
      <w:r>
        <w:t>Contribute to economic growth through the efficient allocation of capital</w:t>
      </w:r>
    </w:p>
    <w:p w:rsidR="00951318" w:rsidRDefault="00951318" w:rsidP="00951318">
      <w:r>
        <w:t xml:space="preserve">The money our members manage is in a wide variety of investment vehicles including authorised investment funds, pension funds and </w:t>
      </w:r>
      <w:r w:rsidR="00FB6304">
        <w:t>other segregated mandates for professional clients</w:t>
      </w:r>
      <w:r>
        <w:t>.</w:t>
      </w:r>
    </w:p>
    <w:p w:rsidR="00951318" w:rsidRDefault="00951318" w:rsidP="00951318">
      <w:r>
        <w:t>The UK is the second largest investment management centre in the world and manages 37% of European assets.</w:t>
      </w:r>
    </w:p>
    <w:p w:rsidR="00951318" w:rsidRDefault="00951318" w:rsidP="00951318">
      <w:pPr>
        <w:rPr>
          <w:lang w:eastAsia="en-GB"/>
        </w:rPr>
      </w:pPr>
      <w:r>
        <w:rPr>
          <w:lang w:eastAsia="en-GB"/>
        </w:rPr>
        <w:t xml:space="preserve">More information can be viewed on our </w:t>
      </w:r>
      <w:hyperlink r:id="rId8" w:history="1">
        <w:r>
          <w:rPr>
            <w:rStyle w:val="Hyperlink"/>
            <w:lang w:eastAsia="en-GB"/>
          </w:rPr>
          <w:t>website</w:t>
        </w:r>
      </w:hyperlink>
      <w:r>
        <w:rPr>
          <w:lang w:eastAsia="en-GB"/>
        </w:rPr>
        <w:t>.</w:t>
      </w:r>
    </w:p>
    <w:p w:rsidR="00D3584C" w:rsidRPr="00D3584C" w:rsidRDefault="00D3584C" w:rsidP="00D3584C"/>
    <w:p w:rsidR="0030794F" w:rsidRDefault="003D02BD" w:rsidP="003D02BD">
      <w:pPr>
        <w:pStyle w:val="Heading2"/>
      </w:pPr>
      <w:r w:rsidRPr="003D02BD">
        <w:t>Guideline 1 - Information to clients about the purpose of suitability assessment</w:t>
      </w:r>
      <w:r w:rsidR="0030794F">
        <w:t xml:space="preserve"> </w:t>
      </w:r>
    </w:p>
    <w:p w:rsidR="0030794F" w:rsidRDefault="003D02BD" w:rsidP="0030794F">
      <w:pPr>
        <w:pStyle w:val="ListParagraph"/>
        <w:numPr>
          <w:ilvl w:val="0"/>
          <w:numId w:val="5"/>
        </w:numPr>
        <w:rPr>
          <w:b/>
        </w:rPr>
      </w:pPr>
      <w:r w:rsidRPr="003D02BD">
        <w:rPr>
          <w:b/>
          <w:bCs/>
        </w:rPr>
        <w:t>Do you agree with the suggested approach on the information to be provided on the suitability assessment and specifically with the new supporting guidelines on robo-advice? Please also state the reasons for your answer.</w:t>
      </w:r>
    </w:p>
    <w:p w:rsidR="0030794F" w:rsidRDefault="0050541F" w:rsidP="0030794F">
      <w:r>
        <w:t>We note that many of the developments of the Guidance from that provided by ESMA under MiFID I (ESMA/2012/387)</w:t>
      </w:r>
      <w:r w:rsidR="00FB6304">
        <w:t>,</w:t>
      </w:r>
      <w:r>
        <w:t xml:space="preserve"> are to take account of the development of robo-advice, including </w:t>
      </w:r>
      <w:r w:rsidRPr="0050541F">
        <w:t xml:space="preserve">portfolio management services </w:t>
      </w:r>
      <w:r>
        <w:t>whereby</w:t>
      </w:r>
      <w:r w:rsidRPr="0050541F">
        <w:t xml:space="preserve"> individual client accounts might be invested and rebalanced by </w:t>
      </w:r>
      <w:r>
        <w:t>an</w:t>
      </w:r>
      <w:r w:rsidRPr="0050541F">
        <w:t xml:space="preserve"> algorithm</w:t>
      </w:r>
      <w:r>
        <w:t>.</w:t>
      </w:r>
    </w:p>
    <w:p w:rsidR="0050541F" w:rsidRDefault="0050541F" w:rsidP="0030794F">
      <w:r>
        <w:t>Th</w:t>
      </w:r>
      <w:r w:rsidR="00B371D4">
        <w:t>e</w:t>
      </w:r>
      <w:r>
        <w:t xml:space="preserve"> </w:t>
      </w:r>
      <w:r w:rsidR="00B371D4">
        <w:t>robo-advice form of portfolio management service would be distinct from</w:t>
      </w:r>
      <w:r>
        <w:t xml:space="preserve"> traditional discretionary investment management where all decisions are made by humans. The Guidelines should be clear where they are intended to apply only where such decisions are made by algorithms. </w:t>
      </w:r>
    </w:p>
    <w:p w:rsidR="0030794F" w:rsidRDefault="0030794F" w:rsidP="00CF5F2B"/>
    <w:p w:rsidR="003D02BD" w:rsidRDefault="003D02BD" w:rsidP="003D02BD">
      <w:pPr>
        <w:pStyle w:val="Heading2"/>
      </w:pPr>
      <w:r w:rsidRPr="003D02BD">
        <w:t>Guideline 2 - Arrangements necessary to understand clients</w:t>
      </w:r>
    </w:p>
    <w:p w:rsidR="00CF5F2B" w:rsidRPr="00880BF6" w:rsidRDefault="003D02BD" w:rsidP="00CF5F2B">
      <w:pPr>
        <w:pStyle w:val="ListParagraph"/>
        <w:numPr>
          <w:ilvl w:val="0"/>
          <w:numId w:val="5"/>
        </w:numPr>
        <w:rPr>
          <w:b/>
        </w:rPr>
      </w:pPr>
      <w:r w:rsidRPr="003D02BD">
        <w:rPr>
          <w:b/>
          <w:bCs/>
        </w:rPr>
        <w:t xml:space="preserve">Do you agree with the suggested approach on the arrangements necessary to understand clients and specifically with how the guideline has been updated to take into account behavioural finance and the </w:t>
      </w:r>
      <w:r w:rsidRPr="003D02BD">
        <w:rPr>
          <w:b/>
          <w:bCs/>
        </w:rPr>
        <w:lastRenderedPageBreak/>
        <w:t xml:space="preserve">development of robo-advice models? Please also state the reasons for your answer. </w:t>
      </w:r>
    </w:p>
    <w:p w:rsidR="00CF5F2B" w:rsidRDefault="00BA6FDA" w:rsidP="00CF5F2B">
      <w:r>
        <w:t>We consider that t</w:t>
      </w:r>
      <w:r w:rsidRPr="00BA6FDA">
        <w:t>he guidelines should</w:t>
      </w:r>
      <w:r>
        <w:t>, throughout,</w:t>
      </w:r>
      <w:r w:rsidRPr="00BA6FDA">
        <w:t xml:space="preserve"> distinguish more clearly between retail and professional clients. </w:t>
      </w:r>
      <w:r>
        <w:t>While s</w:t>
      </w:r>
      <w:r w:rsidRPr="00BA6FDA">
        <w:t xml:space="preserve">uitability represents a key risk for retail clients, </w:t>
      </w:r>
      <w:r>
        <w:t>the</w:t>
      </w:r>
      <w:r w:rsidRPr="00BA6FDA">
        <w:t xml:space="preserve"> risk for professional clients is lower</w:t>
      </w:r>
      <w:r>
        <w:t>,</w:t>
      </w:r>
      <w:r w:rsidRPr="00BA6FDA">
        <w:t xml:space="preserve"> as </w:t>
      </w:r>
      <w:r>
        <w:t>they</w:t>
      </w:r>
      <w:r w:rsidRPr="00BA6FDA">
        <w:t xml:space="preserve"> are likely to have</w:t>
      </w:r>
      <w:r>
        <w:t>, both</w:t>
      </w:r>
      <w:r w:rsidRPr="00BA6FDA">
        <w:t xml:space="preserve"> the necessary level of experience and knowledge and </w:t>
      </w:r>
      <w:r>
        <w:t xml:space="preserve">a </w:t>
      </w:r>
      <w:r w:rsidRPr="00BA6FDA">
        <w:t xml:space="preserve">greater ability to bear losses. Furthermore, the use of bespoke mandates is </w:t>
      </w:r>
      <w:r>
        <w:t>standard,</w:t>
      </w:r>
      <w:r w:rsidRPr="00BA6FDA">
        <w:t xml:space="preserve"> and needs to be properly and appropriately reflected in the guidelines. In particular, we note that the guidelines currently do not </w:t>
      </w:r>
      <w:r>
        <w:t xml:space="preserve">fully </w:t>
      </w:r>
      <w:r w:rsidRPr="00BA6FDA">
        <w:t>reflect the caveat for certain professional clients and certain investment services under Article 54(3) of the MiFID II Delegated Regulation.</w:t>
      </w:r>
    </w:p>
    <w:p w:rsidR="00BA6FDA" w:rsidRDefault="00BA6FDA" w:rsidP="00CF5F2B"/>
    <w:p w:rsidR="00CF5F2B" w:rsidRPr="00880BF6" w:rsidRDefault="003D02BD" w:rsidP="00CF5F2B">
      <w:pPr>
        <w:pStyle w:val="ListParagraph"/>
        <w:numPr>
          <w:ilvl w:val="0"/>
          <w:numId w:val="5"/>
        </w:numPr>
        <w:rPr>
          <w:b/>
        </w:rPr>
      </w:pPr>
      <w:r w:rsidRPr="003D02BD">
        <w:rPr>
          <w:b/>
          <w:bCs/>
        </w:rPr>
        <w:t>Do you believe that further guidance is needed to clarify how firms should assess clients’ ability to bear losses?</w:t>
      </w:r>
    </w:p>
    <w:p w:rsidR="002667AB" w:rsidRDefault="00490B5D" w:rsidP="00CF5F2B">
      <w:r w:rsidRPr="00490B5D">
        <w:t>The current guidance is too focused on retail clients</w:t>
      </w:r>
      <w:r w:rsidR="00FA2CEC">
        <w:t>, with little specification of where the Guidelines would not apply to services provided to professional clients</w:t>
      </w:r>
      <w:r w:rsidRPr="00490B5D">
        <w:t xml:space="preserve">. </w:t>
      </w:r>
    </w:p>
    <w:p w:rsidR="002667AB" w:rsidRDefault="00490B5D" w:rsidP="00CF5F2B">
      <w:r w:rsidRPr="00490B5D">
        <w:t xml:space="preserve">It does not take into consideration that in the professional market (including large institutional client such as pension schemes, insurance companies, other corporates, sovereign wealth funds etc.), investment firms may not be able to assess a client’s overall ability to bear losses, as a firm may be managing only a part of the client’s portfolio. It can assess the ability to bear losses only at the mandate level rather than at the client level. </w:t>
      </w:r>
    </w:p>
    <w:p w:rsidR="00CF5F2B" w:rsidRDefault="002667AB" w:rsidP="00CF5F2B">
      <w:r>
        <w:t>A</w:t>
      </w:r>
      <w:r w:rsidR="00490B5D" w:rsidRPr="00490B5D">
        <w:t xml:space="preserve"> transaction can actually bear potential loss while at the same time reducing the overall risk profile of the client</w:t>
      </w:r>
      <w:r>
        <w:t>, and remain beneficial overall</w:t>
      </w:r>
      <w:r w:rsidR="00490B5D" w:rsidRPr="00490B5D">
        <w:t>. We ask that this be specifically acknowledged in the final guidelines. Additional guidance/examples on how this should be applied in the institutional market would be welcomed.</w:t>
      </w:r>
    </w:p>
    <w:p w:rsidR="00490B5D" w:rsidRDefault="00490B5D" w:rsidP="00CF5F2B"/>
    <w:p w:rsidR="0030794F" w:rsidRDefault="003D02BD" w:rsidP="003D02BD">
      <w:pPr>
        <w:pStyle w:val="Heading2"/>
      </w:pPr>
      <w:r w:rsidRPr="003D02BD">
        <w:t>Guideline 4 - Reliability of client information</w:t>
      </w:r>
    </w:p>
    <w:p w:rsidR="005C0F16" w:rsidRDefault="003D02BD" w:rsidP="005A113B">
      <w:pPr>
        <w:pStyle w:val="ListParagraph"/>
        <w:numPr>
          <w:ilvl w:val="0"/>
          <w:numId w:val="5"/>
        </w:numPr>
        <w:rPr>
          <w:b/>
        </w:rPr>
      </w:pPr>
      <w:r w:rsidRPr="003D02BD">
        <w:rPr>
          <w:b/>
          <w:bCs/>
        </w:rPr>
        <w:t>Do you agree with how the guideline on the topic of ‘reliability of client information’ has been updated to take into account behavioural finance and the development of robo-advice models? Please also state the reasons for your answer.</w:t>
      </w:r>
    </w:p>
    <w:p w:rsidR="005C0F16" w:rsidRDefault="003C2DE2" w:rsidP="005C0F16">
      <w:r>
        <w:t xml:space="preserve">We note the new paragraphs designed to address the behavioural shortcomings of investors. These seem </w:t>
      </w:r>
      <w:r w:rsidR="00DC6B22">
        <w:t xml:space="preserve">generally </w:t>
      </w:r>
      <w:r>
        <w:t>reasonable.</w:t>
      </w:r>
    </w:p>
    <w:p w:rsidR="005C0F16" w:rsidRDefault="00FA2CEC" w:rsidP="005C0F16">
      <w:r w:rsidRPr="00FA2CEC">
        <w:t>Again, the guidelines are focused on retail clients and this is reinforced by the updates made to take into account behavioural finance and the requirements to individualise questions for the client. In the case of professional clients, it is expected that clients would be more experienced</w:t>
      </w:r>
      <w:r w:rsidR="00DC6B22">
        <w:t xml:space="preserve"> (as allowed for in Article 54(3))</w:t>
      </w:r>
      <w:r w:rsidRPr="00FA2CEC">
        <w:t xml:space="preserve"> and </w:t>
      </w:r>
      <w:r w:rsidR="00DC6B22">
        <w:t xml:space="preserve">so </w:t>
      </w:r>
      <w:r w:rsidRPr="00FA2CEC">
        <w:t>investment firms could place more reliance on the accuracy and consistency of the information provided.</w:t>
      </w:r>
    </w:p>
    <w:p w:rsidR="002667AB" w:rsidRDefault="002667AB" w:rsidP="005C0F16"/>
    <w:p w:rsidR="003D02BD" w:rsidRDefault="003D02BD" w:rsidP="003D02BD">
      <w:pPr>
        <w:pStyle w:val="Heading2"/>
      </w:pPr>
      <w:r w:rsidRPr="003D02BD">
        <w:t>Guideline 5 - Updating client information</w:t>
      </w:r>
    </w:p>
    <w:p w:rsidR="005C0F16" w:rsidRPr="00CF5F2B" w:rsidRDefault="003D02BD" w:rsidP="005A113B">
      <w:pPr>
        <w:pStyle w:val="ListParagraph"/>
        <w:numPr>
          <w:ilvl w:val="0"/>
          <w:numId w:val="5"/>
        </w:numPr>
        <w:rPr>
          <w:b/>
        </w:rPr>
      </w:pPr>
      <w:r w:rsidRPr="003D02BD">
        <w:rPr>
          <w:b/>
          <w:bCs/>
        </w:rPr>
        <w:t xml:space="preserve">Do you agree with the suggested approach on the topic of ‘updating client information’? Please also state the reasons for your answer. </w:t>
      </w:r>
    </w:p>
    <w:p w:rsidR="005C0F16" w:rsidRDefault="009169AA" w:rsidP="005C0F16">
      <w:r>
        <w:t xml:space="preserve">The changes to this Guideline generally seem reasonable. </w:t>
      </w:r>
    </w:p>
    <w:p w:rsidR="005C0F16" w:rsidRDefault="005C0F16" w:rsidP="005C0F16"/>
    <w:p w:rsidR="003A089C" w:rsidRDefault="003A089C" w:rsidP="003A089C">
      <w:pPr>
        <w:pStyle w:val="Heading2"/>
      </w:pPr>
      <w:r w:rsidRPr="003A089C">
        <w:lastRenderedPageBreak/>
        <w:t>Guideline 6 - Client information for legal entities or groups</w:t>
      </w:r>
    </w:p>
    <w:p w:rsidR="005C0F16" w:rsidRPr="00CF5F2B" w:rsidRDefault="003D02BD" w:rsidP="005A113B">
      <w:pPr>
        <w:pStyle w:val="ListParagraph"/>
        <w:numPr>
          <w:ilvl w:val="0"/>
          <w:numId w:val="5"/>
        </w:numPr>
        <w:rPr>
          <w:b/>
        </w:rPr>
      </w:pPr>
      <w:r w:rsidRPr="003D02BD">
        <w:rPr>
          <w:b/>
          <w:bCs/>
        </w:rPr>
        <w:t>Do you agree with the suggested approach to conduct the suitability assessment for a group of clients, especially where no legal representative is foreseen under applicable national laws? Please also state the reasons for your answer.</w:t>
      </w:r>
    </w:p>
    <w:p w:rsidR="005C0F16" w:rsidRDefault="001849C0" w:rsidP="005C0F16">
      <w:r>
        <w:t>The proposed new Guideline is considerably more detailed and specific t</w:t>
      </w:r>
      <w:r w:rsidR="00D74B33">
        <w:t>han was the previous Guideline.</w:t>
      </w:r>
    </w:p>
    <w:p w:rsidR="003D02BD" w:rsidRDefault="003D02BD" w:rsidP="005C0F16"/>
    <w:p w:rsidR="003A089C" w:rsidRDefault="003A089C" w:rsidP="003A089C">
      <w:pPr>
        <w:pStyle w:val="Heading2"/>
      </w:pPr>
      <w:r w:rsidRPr="003A089C">
        <w:t>Guideline 7 - Arrangements necessary to understand investment products</w:t>
      </w:r>
    </w:p>
    <w:p w:rsidR="003D02BD" w:rsidRDefault="003D02BD" w:rsidP="003D02BD">
      <w:pPr>
        <w:pStyle w:val="ListParagraph"/>
        <w:numPr>
          <w:ilvl w:val="0"/>
          <w:numId w:val="5"/>
        </w:numPr>
        <w:rPr>
          <w:b/>
        </w:rPr>
      </w:pPr>
      <w:r w:rsidRPr="003D02BD">
        <w:rPr>
          <w:b/>
          <w:bCs/>
        </w:rPr>
        <w:t>Do you agree with the suggested approach on to the arrangements necessary to understand investment products for the purposes of suitability assessment? Please also state the reasons for your answer.</w:t>
      </w:r>
    </w:p>
    <w:p w:rsidR="00671942" w:rsidRDefault="00671942" w:rsidP="003D02BD">
      <w:r>
        <w:t xml:space="preserve">While the proposed Guideline seems generally reasonable, the last sentence of paragraph 71 seems </w:t>
      </w:r>
      <w:r w:rsidR="002667AB">
        <w:t xml:space="preserve">to be </w:t>
      </w:r>
      <w:r>
        <w:t xml:space="preserve">out of place, referring, as it does, to the knowledge and experience of the </w:t>
      </w:r>
      <w:r w:rsidRPr="005850AC">
        <w:rPr>
          <w:i/>
        </w:rPr>
        <w:t>client</w:t>
      </w:r>
      <w:r>
        <w:t xml:space="preserve">. This </w:t>
      </w:r>
      <w:r w:rsidR="00EE69C3">
        <w:t xml:space="preserve">specific </w:t>
      </w:r>
      <w:r>
        <w:t xml:space="preserve">Guideline is about the knowledge and understanding of the </w:t>
      </w:r>
      <w:r w:rsidRPr="005850AC">
        <w:rPr>
          <w:i/>
        </w:rPr>
        <w:t>investment firm</w:t>
      </w:r>
      <w:r>
        <w:t xml:space="preserve"> about the features of investment products.</w:t>
      </w:r>
      <w:r w:rsidR="005850AC">
        <w:t xml:space="preserve"> </w:t>
      </w:r>
      <w:r>
        <w:t xml:space="preserve">This last sentence should be removed from this Guideline, as it is </w:t>
      </w:r>
      <w:r w:rsidR="005850AC">
        <w:t xml:space="preserve">already </w:t>
      </w:r>
      <w:r>
        <w:t>fully covered in Guideline 3.</w:t>
      </w:r>
    </w:p>
    <w:p w:rsidR="003D02BD" w:rsidRDefault="003D02BD" w:rsidP="003D02BD"/>
    <w:p w:rsidR="003A089C" w:rsidRDefault="003A089C" w:rsidP="003A089C">
      <w:pPr>
        <w:pStyle w:val="Heading2"/>
      </w:pPr>
      <w:r w:rsidRPr="003A089C">
        <w:t>Guideline 8 - Arrangements necessary to ensure the suitability of an investment</w:t>
      </w:r>
    </w:p>
    <w:p w:rsidR="003D02BD" w:rsidRPr="00CF5F2B" w:rsidRDefault="003D02BD" w:rsidP="003D02BD">
      <w:pPr>
        <w:pStyle w:val="ListParagraph"/>
        <w:numPr>
          <w:ilvl w:val="0"/>
          <w:numId w:val="5"/>
        </w:numPr>
        <w:rPr>
          <w:b/>
        </w:rPr>
      </w:pPr>
      <w:r w:rsidRPr="003D02BD">
        <w:rPr>
          <w:b/>
          <w:bCs/>
        </w:rPr>
        <w:t>Do you agree with the additional guidance provided with regard to the arrangements necessary to ensure the suitability of an investment? Please also state the reasons for your answer.</w:t>
      </w:r>
    </w:p>
    <w:p w:rsidR="00AA646B" w:rsidRDefault="00AA646B" w:rsidP="00AA646B">
      <w:r>
        <w:t xml:space="preserve">The draft guidelines </w:t>
      </w:r>
      <w:r w:rsidR="00B81766">
        <w:t>appear to</w:t>
      </w:r>
      <w:r>
        <w:t xml:space="preserve"> contradict other parts of </w:t>
      </w:r>
      <w:r w:rsidR="00B81766">
        <w:t>the</w:t>
      </w:r>
      <w:r>
        <w:t xml:space="preserve"> </w:t>
      </w:r>
      <w:r w:rsidR="00B81766">
        <w:t xml:space="preserve">Guidelines </w:t>
      </w:r>
      <w:r>
        <w:t>with respect to the treatment of portfolio management. In particular, para</w:t>
      </w:r>
      <w:r w:rsidR="00B81766">
        <w:t>graph</w:t>
      </w:r>
      <w:r>
        <w:t xml:space="preserve"> 81 undermines the portfolio management approach, as the current draft states that</w:t>
      </w:r>
      <w:r w:rsidR="0044042F">
        <w:t xml:space="preserve"> the</w:t>
      </w:r>
      <w:r>
        <w:t xml:space="preserve"> “knowledge and experience of the client should be assessed regarding </w:t>
      </w:r>
      <w:r w:rsidRPr="00B81766">
        <w:rPr>
          <w:i/>
        </w:rPr>
        <w:t>each investment product</w:t>
      </w:r>
      <w:r>
        <w:t xml:space="preserve"> and </w:t>
      </w:r>
      <w:r w:rsidRPr="002667AB">
        <w:rPr>
          <w:i/>
        </w:rPr>
        <w:t>risks involved in the related transaction</w:t>
      </w:r>
      <w:r>
        <w:t>”. In relation to portfolio management an investment firm does not have to assess each investment product and risks involved against the knowledge and experience of the client</w:t>
      </w:r>
      <w:r w:rsidR="002667AB">
        <w:t xml:space="preserve"> (Article 54(3) of the Delegated Regulation)</w:t>
      </w:r>
      <w:r>
        <w:t>.</w:t>
      </w:r>
    </w:p>
    <w:p w:rsidR="00AA646B" w:rsidRDefault="00AA646B" w:rsidP="00AA646B">
      <w:r>
        <w:t xml:space="preserve">This approach does not </w:t>
      </w:r>
      <w:r w:rsidR="00B81766">
        <w:t xml:space="preserve">properly </w:t>
      </w:r>
      <w:r>
        <w:t>differentiate between investment advice and portfolio management, where the investment decisions are taken by the investme</w:t>
      </w:r>
      <w:r w:rsidR="00B81766">
        <w:t>nt firm</w:t>
      </w:r>
      <w:r w:rsidR="0044042F">
        <w:t>,</w:t>
      </w:r>
      <w:r w:rsidR="00B81766">
        <w:t xml:space="preserve"> not the client. It </w:t>
      </w:r>
      <w:r>
        <w:t>also contradict</w:t>
      </w:r>
      <w:r w:rsidR="00B81766">
        <w:t>s</w:t>
      </w:r>
      <w:r>
        <w:t xml:space="preserve"> para</w:t>
      </w:r>
      <w:r w:rsidR="00B81766">
        <w:t>graph</w:t>
      </w:r>
      <w:r>
        <w:t xml:space="preserve"> 36(b) of </w:t>
      </w:r>
      <w:r w:rsidR="00B81766">
        <w:t>the</w:t>
      </w:r>
      <w:r>
        <w:t xml:space="preserve"> </w:t>
      </w:r>
      <w:r w:rsidR="00B81766">
        <w:t xml:space="preserve">Guidelines </w:t>
      </w:r>
      <w:r>
        <w:t>which state</w:t>
      </w:r>
      <w:r w:rsidR="00B81766">
        <w:t>s</w:t>
      </w:r>
      <w:r>
        <w:t xml:space="preserve"> that “when portfolio management is to be provided, as investment decisions are to be made by the firm on behalf of the client, the level of knowledge and experience needed by the client with regard to all the financial instruments that can potentially make up the portfolio may be less detailed than the level that the client should have when an investment advice service is to be provided. Nevertheless, even in such situations, the client should at least understand the </w:t>
      </w:r>
      <w:r w:rsidRPr="002667AB">
        <w:rPr>
          <w:i/>
        </w:rPr>
        <w:t>overall risks of the portfolio</w:t>
      </w:r>
      <w:r>
        <w:t xml:space="preserve"> and possess a general understanding of the risks linked to each type of financial instrument that can be included in the portfolio. Firms should gain a very clear understanding and knowledge of the investment profile of the client”.</w:t>
      </w:r>
    </w:p>
    <w:p w:rsidR="00AA646B" w:rsidRDefault="00AA646B" w:rsidP="00AA646B">
      <w:r>
        <w:t xml:space="preserve">Having to assess each transaction at the level of the transaction instead of at the level of the portfolio as a whole undermines and contradicts the specificities and benefits of </w:t>
      </w:r>
      <w:r>
        <w:lastRenderedPageBreak/>
        <w:t xml:space="preserve">discretionary portfolio management while depriving investors of the benefits of diversification. </w:t>
      </w:r>
      <w:r w:rsidR="00B81766">
        <w:t xml:space="preserve">The </w:t>
      </w:r>
      <w:r>
        <w:t xml:space="preserve">approach suggested by ESMA would not reflect the best interests of investors seeking a diversified portfolio of investments. </w:t>
      </w:r>
    </w:p>
    <w:p w:rsidR="00AA646B" w:rsidRDefault="00AA646B" w:rsidP="00AA646B">
      <w:r>
        <w:t xml:space="preserve">Furthermore, such an approach </w:t>
      </w:r>
      <w:r w:rsidR="00680A12">
        <w:t>would</w:t>
      </w:r>
      <w:r>
        <w:t xml:space="preserve"> contradict ESMA’s Guidelines on “</w:t>
      </w:r>
      <w:hyperlink r:id="rId9" w:history="1">
        <w:r w:rsidRPr="00680A12">
          <w:rPr>
            <w:rStyle w:val="Hyperlink"/>
          </w:rPr>
          <w:t>MiFID II product governance requirements</w:t>
        </w:r>
      </w:hyperlink>
      <w:r>
        <w:t>”, in particular para</w:t>
      </w:r>
      <w:r w:rsidR="00B81766">
        <w:t>graph</w:t>
      </w:r>
      <w:r w:rsidR="00680A12">
        <w:t>s</w:t>
      </w:r>
      <w:r>
        <w:t xml:space="preserve"> 52</w:t>
      </w:r>
      <w:r w:rsidR="00680A12">
        <w:t>-55</w:t>
      </w:r>
      <w:r>
        <w:t xml:space="preserve"> on “portfolio management, portfolio approach, hedging and diversification”. The guidelines only require reporting on the product level </w:t>
      </w:r>
      <w:r w:rsidR="00B81766">
        <w:t>if</w:t>
      </w:r>
      <w:r>
        <w:t xml:space="preserve"> the client falls within the negative target market of a product (para</w:t>
      </w:r>
      <w:r w:rsidR="00B81766">
        <w:t>graph</w:t>
      </w:r>
      <w:r>
        <w:t xml:space="preserve"> 55). For all other cases, no reporting is required even in case the product does not match the knowledge and experience requirements of the client. The portfolio approach for the suitability test should be the same and reflect the understanding that the knowledge and experience and the risks involved should not be assessed on a product level but at the level of the portfolio against which the portfolio manager will assess each transaction. </w:t>
      </w:r>
    </w:p>
    <w:p w:rsidR="00AA646B" w:rsidRDefault="00AA646B" w:rsidP="00AA646B">
      <w:r>
        <w:t xml:space="preserve">We </w:t>
      </w:r>
      <w:r w:rsidR="00680A12">
        <w:t xml:space="preserve">would </w:t>
      </w:r>
      <w:r>
        <w:t xml:space="preserve">ask </w:t>
      </w:r>
      <w:r w:rsidR="00680A12">
        <w:t xml:space="preserve">that </w:t>
      </w:r>
      <w:r>
        <w:t xml:space="preserve">ESMA </w:t>
      </w:r>
      <w:r w:rsidR="00680A12">
        <w:t>amend</w:t>
      </w:r>
      <w:r w:rsidR="0044042F">
        <w:t>s</w:t>
      </w:r>
      <w:r>
        <w:t xml:space="preserve"> the guidelines to </w:t>
      </w:r>
      <w:r w:rsidR="00680A12">
        <w:t>make it clear</w:t>
      </w:r>
      <w:r>
        <w:t xml:space="preserve"> that transactions that are </w:t>
      </w:r>
      <w:r w:rsidR="00680A12" w:rsidRPr="00680A12">
        <w:t>suitable given the client’s total portfolio</w:t>
      </w:r>
      <w:r w:rsidR="00680A12">
        <w:t xml:space="preserve"> </w:t>
      </w:r>
      <w:r>
        <w:t>do not require additional suitability assessments.</w:t>
      </w:r>
    </w:p>
    <w:p w:rsidR="00AA646B" w:rsidRDefault="00AA646B" w:rsidP="003D02BD"/>
    <w:p w:rsidR="00040983" w:rsidRDefault="00040983" w:rsidP="003D02BD">
      <w:r>
        <w:t xml:space="preserve">We would, </w:t>
      </w:r>
      <w:r w:rsidR="00680A12">
        <w:t>finally</w:t>
      </w:r>
      <w:r>
        <w:t>, note that when considering credit risk, the scope of the BRRD will not apply to many portfolio management firms, which are not part of banks or banking groups. They, and the products produced in their group, would not be ‘subject to the resolution regime’. Notwithstanding that, the principle of avoiding excessive concentration in products of one group, remains sound.</w:t>
      </w:r>
    </w:p>
    <w:p w:rsidR="003D02BD" w:rsidRDefault="003D02BD" w:rsidP="003D02BD"/>
    <w:p w:rsidR="003A089C" w:rsidRDefault="003A089C" w:rsidP="003A089C">
      <w:pPr>
        <w:pStyle w:val="Heading2"/>
      </w:pPr>
      <w:r w:rsidRPr="003A089C">
        <w:t>Guideline 9 - Costs and complexity of equivalent products</w:t>
      </w:r>
    </w:p>
    <w:p w:rsidR="003D02BD" w:rsidRPr="00CF5F2B" w:rsidRDefault="003D02BD" w:rsidP="003D02BD">
      <w:pPr>
        <w:pStyle w:val="ListParagraph"/>
        <w:numPr>
          <w:ilvl w:val="0"/>
          <w:numId w:val="5"/>
        </w:numPr>
        <w:rPr>
          <w:b/>
        </w:rPr>
      </w:pPr>
      <w:r w:rsidRPr="003D02BD">
        <w:rPr>
          <w:b/>
          <w:bCs/>
        </w:rPr>
        <w:t>Do you agree with the suggested approach for ensuring that firms assess, while taking into account costs and complexity, whether equivalent products can meet their clients’ profile? Please also state the reasons for your answers.</w:t>
      </w:r>
    </w:p>
    <w:p w:rsidR="003D02BD" w:rsidRDefault="00526E06" w:rsidP="003D02BD">
      <w:r>
        <w:t xml:space="preserve">We note that this Guideline applies to decisions on investment products, a term which is defined at paragraph 6 of the Guidelines as </w:t>
      </w:r>
      <w:r w:rsidRPr="00526E06">
        <w:t>a financial instrument or a structured deposit</w:t>
      </w:r>
      <w:r>
        <w:t xml:space="preserve">. However, </w:t>
      </w:r>
      <w:r w:rsidR="00127452">
        <w:t>much</w:t>
      </w:r>
      <w:r>
        <w:t xml:space="preserve"> of the proposed Guideline then considers aspects which would </w:t>
      </w:r>
      <w:r w:rsidR="00127452">
        <w:t xml:space="preserve">not </w:t>
      </w:r>
      <w:r>
        <w:t>apply to many types of financial instrument (e.g. equities or fixed income stock), such as: target markets or charges.</w:t>
      </w:r>
    </w:p>
    <w:p w:rsidR="00086A3A" w:rsidRDefault="00D10349" w:rsidP="003D02BD">
      <w:r w:rsidRPr="00D10349">
        <w:t>W</w:t>
      </w:r>
      <w:r>
        <w:t>hile w</w:t>
      </w:r>
      <w:r w:rsidRPr="00D10349">
        <w:t>e understand the intent of the Guideline</w:t>
      </w:r>
      <w:r>
        <w:t xml:space="preserve">, </w:t>
      </w:r>
      <w:r w:rsidRPr="00D10349">
        <w:t>there are instances where th</w:t>
      </w:r>
      <w:r>
        <w:t>e</w:t>
      </w:r>
      <w:r w:rsidRPr="00D10349">
        <w:t xml:space="preserve"> requirement</w:t>
      </w:r>
      <w:r>
        <w:t>s do</w:t>
      </w:r>
      <w:r w:rsidRPr="00D10349">
        <w:t xml:space="preserve"> not seem relevant</w:t>
      </w:r>
      <w:r>
        <w:t>, being either</w:t>
      </w:r>
      <w:r w:rsidRPr="00D10349">
        <w:t xml:space="preserve"> not beneficial</w:t>
      </w:r>
      <w:r>
        <w:t>, or actively disadvantageous</w:t>
      </w:r>
      <w:r w:rsidRPr="00D10349">
        <w:t xml:space="preserve"> to the client. </w:t>
      </w:r>
      <w:r>
        <w:t>For instance, i</w:t>
      </w:r>
      <w:r w:rsidRPr="00086A3A">
        <w:t>t is unclear what benefit such an exercise would have for the client</w:t>
      </w:r>
      <w:r>
        <w:t xml:space="preserve"> where </w:t>
      </w:r>
      <w:r w:rsidR="00086A3A" w:rsidRPr="00086A3A">
        <w:t>the investment firm</w:t>
      </w:r>
      <w:r>
        <w:t>, providing</w:t>
      </w:r>
      <w:r w:rsidR="00086A3A" w:rsidRPr="00086A3A">
        <w:t xml:space="preserve"> </w:t>
      </w:r>
      <w:r>
        <w:t>d</w:t>
      </w:r>
      <w:r w:rsidRPr="00086A3A">
        <w:t>iscretionary portfolio management activities</w:t>
      </w:r>
      <w:r>
        <w:t>,</w:t>
      </w:r>
      <w:r w:rsidRPr="00086A3A">
        <w:t xml:space="preserve"> </w:t>
      </w:r>
      <w:r w:rsidR="00086A3A" w:rsidRPr="00086A3A">
        <w:t>exercises its discretion within the limits of the client’s agreed guidelines.</w:t>
      </w:r>
    </w:p>
    <w:p w:rsidR="0044042F" w:rsidRDefault="0044042F" w:rsidP="003D02BD">
      <w:r>
        <w:t xml:space="preserve">We ask that ESMA amends the proposed guideline to make clear its scope, excluding discretionary portfolio management. </w:t>
      </w:r>
    </w:p>
    <w:p w:rsidR="003D02BD" w:rsidRDefault="003D02BD" w:rsidP="003D02BD"/>
    <w:p w:rsidR="003A089C" w:rsidRPr="005C0F16" w:rsidRDefault="003A089C" w:rsidP="003A089C">
      <w:pPr>
        <w:pStyle w:val="Heading2"/>
      </w:pPr>
      <w:r w:rsidRPr="003A089C">
        <w:t>Guideline 10 - Costs and benefits of switching investments</w:t>
      </w:r>
    </w:p>
    <w:p w:rsidR="003D02BD" w:rsidRDefault="003D02BD" w:rsidP="003D02BD">
      <w:pPr>
        <w:pStyle w:val="ListParagraph"/>
        <w:numPr>
          <w:ilvl w:val="0"/>
          <w:numId w:val="5"/>
        </w:numPr>
        <w:rPr>
          <w:b/>
        </w:rPr>
      </w:pPr>
      <w:r w:rsidRPr="003D02BD">
        <w:rPr>
          <w:b/>
          <w:bCs/>
        </w:rPr>
        <w:t>Do you agree with the suggested approach for conducting a cost-benefit analysis of switching investments in the context of portfolio management or investment advice? Please also state the reasons for your answer.</w:t>
      </w:r>
    </w:p>
    <w:p w:rsidR="003D02BD" w:rsidRDefault="007B21B7" w:rsidP="003D02BD">
      <w:r>
        <w:t xml:space="preserve">We </w:t>
      </w:r>
      <w:r w:rsidR="00D74B33">
        <w:t>are seriously concerned that there are</w:t>
      </w:r>
      <w:r>
        <w:t xml:space="preserve"> significant </w:t>
      </w:r>
      <w:r w:rsidR="00D74B33">
        <w:t xml:space="preserve">potential </w:t>
      </w:r>
      <w:r>
        <w:t>issues with the application of this requirement, and the wording of the proposed Guideline</w:t>
      </w:r>
      <w:r w:rsidR="00D74B33">
        <w:t>, particularly for discretionary portfolio management</w:t>
      </w:r>
      <w:r>
        <w:t>.</w:t>
      </w:r>
    </w:p>
    <w:p w:rsidR="007B21B7" w:rsidRDefault="007B21B7" w:rsidP="008E1C02">
      <w:pPr>
        <w:spacing w:after="0"/>
      </w:pPr>
      <w:r>
        <w:lastRenderedPageBreak/>
        <w:t xml:space="preserve">While we agree that </w:t>
      </w:r>
      <w:r w:rsidR="008E1C02">
        <w:t xml:space="preserve">firms providing portfolio management services should be responsible for undertaking suitability assessments, it is increasingly true that there are numerous ways in which </w:t>
      </w:r>
      <w:r w:rsidR="00D74B33">
        <w:t>this</w:t>
      </w:r>
      <w:r w:rsidR="008E1C02">
        <w:t xml:space="preserve"> service </w:t>
      </w:r>
      <w:r w:rsidR="00D74B33">
        <w:t>is being</w:t>
      </w:r>
      <w:r w:rsidR="008E1C02">
        <w:t xml:space="preserve"> provided:</w:t>
      </w:r>
    </w:p>
    <w:p w:rsidR="008E1C02" w:rsidRDefault="008E1C02" w:rsidP="003F1C5D">
      <w:pPr>
        <w:pStyle w:val="ListParagraph"/>
        <w:numPr>
          <w:ilvl w:val="0"/>
          <w:numId w:val="18"/>
        </w:numPr>
      </w:pPr>
      <w:r>
        <w:t>Automated</w:t>
      </w:r>
      <w:r w:rsidR="003F1C5D">
        <w:t xml:space="preserve"> or </w:t>
      </w:r>
      <w:r w:rsidR="00E91437">
        <w:t>semi</w:t>
      </w:r>
      <w:r>
        <w:t>-automated</w:t>
      </w:r>
    </w:p>
    <w:p w:rsidR="008E1C02" w:rsidRDefault="008E1C02" w:rsidP="003F1C5D">
      <w:pPr>
        <w:pStyle w:val="ListParagraph"/>
        <w:numPr>
          <w:ilvl w:val="0"/>
          <w:numId w:val="18"/>
        </w:numPr>
      </w:pPr>
      <w:r>
        <w:t>By using model portfolios</w:t>
      </w:r>
      <w:r w:rsidR="003F1C5D">
        <w:t xml:space="preserve"> or </w:t>
      </w:r>
      <w:r w:rsidR="00E91437">
        <w:t xml:space="preserve">client </w:t>
      </w:r>
      <w:r>
        <w:t>specific</w:t>
      </w:r>
    </w:p>
    <w:p w:rsidR="008E1C02" w:rsidRDefault="008E1C02" w:rsidP="003F1C5D">
      <w:pPr>
        <w:pStyle w:val="ListParagraph"/>
        <w:numPr>
          <w:ilvl w:val="0"/>
          <w:numId w:val="18"/>
        </w:numPr>
      </w:pPr>
      <w:r>
        <w:t>For retail clients</w:t>
      </w:r>
      <w:r w:rsidR="003F1C5D">
        <w:t xml:space="preserve"> or f</w:t>
      </w:r>
      <w:r>
        <w:t>or professional clients</w:t>
      </w:r>
    </w:p>
    <w:p w:rsidR="00FA2A37" w:rsidRDefault="008E1C02" w:rsidP="003F1C5D">
      <w:pPr>
        <w:pStyle w:val="ListParagraph"/>
        <w:numPr>
          <w:ilvl w:val="0"/>
          <w:numId w:val="18"/>
        </w:numPr>
      </w:pPr>
      <w:r>
        <w:t xml:space="preserve">Portfolios consisting of </w:t>
      </w:r>
      <w:r w:rsidRPr="008E1C02">
        <w:t>packaged retail investment products</w:t>
      </w:r>
      <w:r w:rsidR="00FA2A37">
        <w:t xml:space="preserve"> (e.g. UCITS, AIFs,</w:t>
      </w:r>
      <w:r>
        <w:t xml:space="preserve"> </w:t>
      </w:r>
      <w:r w:rsidR="00E91437">
        <w:t xml:space="preserve">investment </w:t>
      </w:r>
      <w:r>
        <w:t>trusts, structured products, insurance-based investment products etc.)</w:t>
      </w:r>
      <w:r w:rsidR="003F1C5D">
        <w:t xml:space="preserve"> or p</w:t>
      </w:r>
      <w:r w:rsidR="00FA2A37">
        <w:t>ortfolios consisting of financial instruments, as defined in Annex I, Section C of MiFID II</w:t>
      </w:r>
    </w:p>
    <w:p w:rsidR="008E1C02" w:rsidRDefault="00FA2A37" w:rsidP="003F1C5D">
      <w:pPr>
        <w:pStyle w:val="ListParagraph"/>
        <w:numPr>
          <w:ilvl w:val="0"/>
          <w:numId w:val="18"/>
        </w:numPr>
      </w:pPr>
      <w:r>
        <w:t>Discretionary portfolio management</w:t>
      </w:r>
      <w:r w:rsidR="003F1C5D">
        <w:t xml:space="preserve"> or a</w:t>
      </w:r>
      <w:r>
        <w:t>dvisory portfolio management</w:t>
      </w:r>
    </w:p>
    <w:p w:rsidR="002D3E53" w:rsidRDefault="002D3E53" w:rsidP="003F1C5D">
      <w:pPr>
        <w:pStyle w:val="ListParagraph"/>
        <w:numPr>
          <w:ilvl w:val="0"/>
          <w:numId w:val="18"/>
        </w:numPr>
      </w:pPr>
      <w:r w:rsidRPr="001266ED">
        <w:t xml:space="preserve">Portfolio </w:t>
      </w:r>
      <w:r w:rsidR="001266ED" w:rsidRPr="001266ED">
        <w:t>management services tha</w:t>
      </w:r>
      <w:r>
        <w:t>t involve switching investments</w:t>
      </w:r>
      <w:r w:rsidR="003F1C5D">
        <w:t xml:space="preserve"> or p</w:t>
      </w:r>
      <w:r w:rsidRPr="002D3E53">
        <w:t>ortfolio management services that</w:t>
      </w:r>
      <w:r>
        <w:t xml:space="preserve"> do not involve switching investments</w:t>
      </w:r>
    </w:p>
    <w:p w:rsidR="008E1C02" w:rsidRDefault="008E1C02" w:rsidP="003D02BD">
      <w:r>
        <w:t>It is appropriate to apply the high level obligation of providing suitability</w:t>
      </w:r>
      <w:r w:rsidR="00CD431B">
        <w:t>, at a mandate level,</w:t>
      </w:r>
      <w:r>
        <w:t xml:space="preserve"> in different ways, to these different modes</w:t>
      </w:r>
      <w:r w:rsidR="002667AB">
        <w:t xml:space="preserve"> of providing the service of portfolio management</w:t>
      </w:r>
      <w:r>
        <w:t xml:space="preserve">. </w:t>
      </w:r>
      <w:r w:rsidR="003F1C5D">
        <w:t xml:space="preserve">We particularly note that not all portfolio management will involve switching investments, and so </w:t>
      </w:r>
      <w:r w:rsidR="00905A49">
        <w:t xml:space="preserve">Guideline 10 </w:t>
      </w:r>
      <w:r w:rsidR="003F1C5D">
        <w:t xml:space="preserve">should not apply to </w:t>
      </w:r>
      <w:r w:rsidR="003F1C5D" w:rsidRPr="00826BEF">
        <w:rPr>
          <w:b/>
          <w:i/>
        </w:rPr>
        <w:t xml:space="preserve">all </w:t>
      </w:r>
      <w:r w:rsidR="00432D43" w:rsidRPr="00826BEF">
        <w:rPr>
          <w:b/>
          <w:i/>
        </w:rPr>
        <w:t>types</w:t>
      </w:r>
      <w:r w:rsidR="00432D43">
        <w:t xml:space="preserve"> of </w:t>
      </w:r>
      <w:r w:rsidR="003F1C5D">
        <w:t>portfolio management services.</w:t>
      </w:r>
    </w:p>
    <w:p w:rsidR="001266ED" w:rsidRDefault="001266ED" w:rsidP="003D02BD">
      <w:r>
        <w:t>We also note the very clear requirement that the suitability assessments be proportionate:</w:t>
      </w:r>
    </w:p>
    <w:p w:rsidR="001266ED" w:rsidRDefault="001266ED" w:rsidP="001266ED">
      <w:pPr>
        <w:pStyle w:val="ListParagraph"/>
        <w:numPr>
          <w:ilvl w:val="0"/>
          <w:numId w:val="19"/>
        </w:numPr>
      </w:pPr>
      <w:r w:rsidRPr="001266ED">
        <w:t xml:space="preserve">It is necessary to introduce </w:t>
      </w:r>
      <w:r w:rsidRPr="001266ED">
        <w:rPr>
          <w:i/>
        </w:rPr>
        <w:t>different requirements</w:t>
      </w:r>
      <w:r w:rsidRPr="001266ED">
        <w:t xml:space="preserve"> for the application of the suitability assessment set out in Article 25(2) of Directi</w:t>
      </w:r>
      <w:r>
        <w:t>ve 2014/65/EU..</w:t>
      </w:r>
      <w:r w:rsidRPr="001266ED">
        <w:t xml:space="preserve">. These tests are different in scope </w:t>
      </w:r>
      <w:r w:rsidRPr="001266ED">
        <w:rPr>
          <w:i/>
        </w:rPr>
        <w:t>with regards to the investment services to which they relate</w:t>
      </w:r>
      <w:r w:rsidRPr="001266ED">
        <w:t>, and have different functions and characteristics</w:t>
      </w:r>
      <w:r>
        <w:t xml:space="preserve"> (Recital 84 of Delegated Regulation  565)</w:t>
      </w:r>
    </w:p>
    <w:p w:rsidR="001266ED" w:rsidRDefault="001266ED" w:rsidP="001266ED">
      <w:pPr>
        <w:pStyle w:val="ListParagraph"/>
        <w:numPr>
          <w:ilvl w:val="0"/>
          <w:numId w:val="19"/>
        </w:numPr>
      </w:pPr>
      <w:r w:rsidRPr="001266ED">
        <w:t xml:space="preserve">Investment firms shall determine the extent of the information to be collected from clients in light of all the features of </w:t>
      </w:r>
      <w:r>
        <w:t>…</w:t>
      </w:r>
      <w:r w:rsidRPr="001266ED">
        <w:t xml:space="preserve">portfolio management services to be provided to those clients. Investment firms shall obtain from clients or potential clients such information </w:t>
      </w:r>
      <w:r w:rsidRPr="001266ED">
        <w:rPr>
          <w:i/>
        </w:rPr>
        <w:t>as is necessary</w:t>
      </w:r>
      <w:r w:rsidRPr="001266ED">
        <w:t xml:space="preserve"> for the firm to understand the essential facts about the client </w:t>
      </w:r>
      <w:r>
        <w:t>… (Article 54(2) of the Delegated Regulation)</w:t>
      </w:r>
    </w:p>
    <w:p w:rsidR="002D3E53" w:rsidRDefault="002D3E53" w:rsidP="002D3E53">
      <w:pPr>
        <w:pStyle w:val="ListParagraph"/>
        <w:numPr>
          <w:ilvl w:val="0"/>
          <w:numId w:val="19"/>
        </w:numPr>
      </w:pPr>
      <w:r w:rsidRPr="002D3E53">
        <w:t xml:space="preserve">Although these guidelines principally address situations where services are provided to retail clients, they should also be considered </w:t>
      </w:r>
      <w:r w:rsidRPr="00DA7231">
        <w:rPr>
          <w:i/>
        </w:rPr>
        <w:t>as applicable</w:t>
      </w:r>
      <w:r w:rsidRPr="002D3E53">
        <w:t xml:space="preserve">, </w:t>
      </w:r>
      <w:r w:rsidRPr="00DA7231">
        <w:rPr>
          <w:i/>
        </w:rPr>
        <w:t>to the extent they are relevant</w:t>
      </w:r>
      <w:r w:rsidRPr="002D3E53">
        <w:t>, when services are provided to professional clients</w:t>
      </w:r>
      <w:r>
        <w:t xml:space="preserve"> (paragraph 3 of the proposed Guidelines)</w:t>
      </w:r>
    </w:p>
    <w:p w:rsidR="007E4ECF" w:rsidRDefault="00A13BEC" w:rsidP="007E4ECF">
      <w:pPr>
        <w:pStyle w:val="ListParagraph"/>
        <w:numPr>
          <w:ilvl w:val="0"/>
          <w:numId w:val="19"/>
        </w:numPr>
      </w:pPr>
      <w:r w:rsidRPr="007E4ECF">
        <w:t xml:space="preserve">The </w:t>
      </w:r>
      <w:r w:rsidR="007E4ECF" w:rsidRPr="007E4ECF">
        <w:t xml:space="preserve">arrangements included in the guidelines </w:t>
      </w:r>
      <w:r w:rsidR="007E4ECF" w:rsidRPr="007E4ECF">
        <w:rPr>
          <w:i/>
        </w:rPr>
        <w:t>are particularly relevant</w:t>
      </w:r>
      <w:r w:rsidR="007E4ECF" w:rsidRPr="007E4ECF">
        <w:t xml:space="preserve"> to ensure that firms comply with their obligation to act in the best interest of their clients in situations </w:t>
      </w:r>
      <w:r w:rsidR="007E4ECF" w:rsidRPr="00A13BEC">
        <w:rPr>
          <w:i/>
        </w:rPr>
        <w:t>where there is a heightened risk of non-compliant behaviours</w:t>
      </w:r>
      <w:r w:rsidR="007E4ECF" w:rsidRPr="007E4ECF">
        <w:t xml:space="preserve">, due to the presence of </w:t>
      </w:r>
      <w:r w:rsidR="007E4ECF" w:rsidRPr="00A13BEC">
        <w:rPr>
          <w:i/>
        </w:rPr>
        <w:t>significant conflicts of interests</w:t>
      </w:r>
      <w:r w:rsidR="007E4ECF">
        <w:t xml:space="preserve"> (e.g. investing into their own products, or those for which they receive inducements) (paragraph 83 of the Background to the proposed Guideline</w:t>
      </w:r>
      <w:r w:rsidR="00F343F4">
        <w:t xml:space="preserve"> 10</w:t>
      </w:r>
      <w:r w:rsidR="007E4ECF">
        <w:t>)</w:t>
      </w:r>
    </w:p>
    <w:p w:rsidR="002D3E53" w:rsidRDefault="002D3E53" w:rsidP="002D3E53"/>
    <w:p w:rsidR="002D3E53" w:rsidRPr="002D3E53" w:rsidRDefault="002D3E53" w:rsidP="002D3E53">
      <w:pPr>
        <w:rPr>
          <w:i/>
        </w:rPr>
      </w:pPr>
      <w:r w:rsidRPr="002D3E53">
        <w:rPr>
          <w:i/>
        </w:rPr>
        <w:t>Switching</w:t>
      </w:r>
    </w:p>
    <w:p w:rsidR="007045B4" w:rsidRDefault="002D3E53" w:rsidP="002D3E53">
      <w:r>
        <w:t xml:space="preserve">The key concept in Article 54(11) is that of </w:t>
      </w:r>
      <w:r w:rsidR="00A13BEC">
        <w:t>‘</w:t>
      </w:r>
      <w:r>
        <w:t>switching</w:t>
      </w:r>
      <w:r w:rsidR="00A13BEC">
        <w:t>’</w:t>
      </w:r>
      <w:r>
        <w:t xml:space="preserve">. It is only </w:t>
      </w:r>
      <w:r w:rsidRPr="002D3E53">
        <w:t>portfolio management services tha</w:t>
      </w:r>
      <w:r w:rsidR="007045B4">
        <w:t xml:space="preserve">t involve </w:t>
      </w:r>
      <w:r w:rsidR="00A13BEC">
        <w:t>‘</w:t>
      </w:r>
      <w:r w:rsidR="007045B4">
        <w:t>switching</w:t>
      </w:r>
      <w:r w:rsidR="00A13BEC">
        <w:t>’</w:t>
      </w:r>
      <w:r w:rsidR="007045B4">
        <w:t xml:space="preserve"> investments which are required to both:</w:t>
      </w:r>
    </w:p>
    <w:p w:rsidR="007045B4" w:rsidRDefault="007045B4" w:rsidP="007045B4">
      <w:pPr>
        <w:pStyle w:val="ListParagraph"/>
        <w:numPr>
          <w:ilvl w:val="0"/>
          <w:numId w:val="20"/>
        </w:numPr>
      </w:pPr>
      <w:r w:rsidRPr="007045B4">
        <w:t>collect the necessary information on the client's existing investments and the recommended new investments</w:t>
      </w:r>
      <w:r w:rsidR="00A13BEC">
        <w:t>;</w:t>
      </w:r>
      <w:r w:rsidRPr="007045B4">
        <w:t xml:space="preserve"> and </w:t>
      </w:r>
    </w:p>
    <w:p w:rsidR="002D3E53" w:rsidRDefault="007045B4" w:rsidP="007045B4">
      <w:pPr>
        <w:pStyle w:val="ListParagraph"/>
        <w:numPr>
          <w:ilvl w:val="0"/>
          <w:numId w:val="20"/>
        </w:numPr>
      </w:pPr>
      <w:r w:rsidRPr="007045B4">
        <w:t>undertake an analysis of the costs and benefits of the switch</w:t>
      </w:r>
    </w:p>
    <w:p w:rsidR="007045B4" w:rsidRDefault="007045B4" w:rsidP="003D02BD">
      <w:r w:rsidRPr="007045B4">
        <w:t>Switching investments</w:t>
      </w:r>
      <w:r>
        <w:t xml:space="preserve"> is specified to be ei</w:t>
      </w:r>
      <w:r w:rsidRPr="007045B4">
        <w:t>ther</w:t>
      </w:r>
      <w:r>
        <w:t>:</w:t>
      </w:r>
      <w:r w:rsidRPr="007045B4">
        <w:t xml:space="preserve"> </w:t>
      </w:r>
    </w:p>
    <w:p w:rsidR="007045B4" w:rsidRDefault="007045B4" w:rsidP="007045B4">
      <w:pPr>
        <w:pStyle w:val="ListParagraph"/>
        <w:numPr>
          <w:ilvl w:val="0"/>
          <w:numId w:val="21"/>
        </w:numPr>
      </w:pPr>
      <w:r w:rsidRPr="007045B4">
        <w:t xml:space="preserve">selling an instrument and </w:t>
      </w:r>
      <w:r w:rsidR="00F343F4">
        <w:t xml:space="preserve">recommending the purchase of </w:t>
      </w:r>
      <w:r w:rsidRPr="007045B4">
        <w:t>another</w:t>
      </w:r>
      <w:r w:rsidR="00A13BEC">
        <w:t>;</w:t>
      </w:r>
      <w:r w:rsidRPr="007045B4">
        <w:t xml:space="preserve"> or </w:t>
      </w:r>
    </w:p>
    <w:p w:rsidR="003D02BD" w:rsidRDefault="00E91437" w:rsidP="007045B4">
      <w:pPr>
        <w:pStyle w:val="ListParagraph"/>
        <w:numPr>
          <w:ilvl w:val="0"/>
          <w:numId w:val="21"/>
        </w:numPr>
      </w:pPr>
      <w:r>
        <w:t xml:space="preserve">recommending the </w:t>
      </w:r>
      <w:r w:rsidR="007045B4" w:rsidRPr="007045B4">
        <w:t>exercis</w:t>
      </w:r>
      <w:r>
        <w:t>e of</w:t>
      </w:r>
      <w:r w:rsidR="007045B4" w:rsidRPr="007045B4">
        <w:t xml:space="preserve"> a right to make a change in r</w:t>
      </w:r>
      <w:r w:rsidR="00777FD4">
        <w:t>egard to an existing instrument</w:t>
      </w:r>
    </w:p>
    <w:p w:rsidR="00905A49" w:rsidRDefault="00E91437" w:rsidP="00905A49">
      <w:r>
        <w:lastRenderedPageBreak/>
        <w:t xml:space="preserve">especially </w:t>
      </w:r>
      <w:r w:rsidR="00905A49" w:rsidRPr="00905A49">
        <w:t>where investment decisions are linked by a same intent</w:t>
      </w:r>
      <w:r w:rsidR="00905A49">
        <w:t>.</w:t>
      </w:r>
    </w:p>
    <w:p w:rsidR="00C67DB4" w:rsidRDefault="00C67DB4" w:rsidP="00A13BEC">
      <w:r>
        <w:t xml:space="preserve">As such, it should be made clear in </w:t>
      </w:r>
      <w:r w:rsidR="00E91437">
        <w:t xml:space="preserve">the final </w:t>
      </w:r>
      <w:r w:rsidR="00905A49">
        <w:t>Guideline 10</w:t>
      </w:r>
      <w:r>
        <w:t xml:space="preserve"> that this obligation will only apply to </w:t>
      </w:r>
      <w:r w:rsidR="00F343F4">
        <w:t xml:space="preserve">advisory </w:t>
      </w:r>
      <w:r>
        <w:t xml:space="preserve">portfolio managers as, and when, a series of linked transactions involves the </w:t>
      </w:r>
      <w:r w:rsidR="00E91437">
        <w:t xml:space="preserve">recommendation to </w:t>
      </w:r>
      <w:r>
        <w:t xml:space="preserve">switch investments. </w:t>
      </w:r>
    </w:p>
    <w:p w:rsidR="00F343F4" w:rsidRDefault="00F343F4" w:rsidP="00F343F4"/>
    <w:p w:rsidR="00F343F4" w:rsidRPr="00826BEF" w:rsidRDefault="00F343F4" w:rsidP="00F343F4">
      <w:pPr>
        <w:rPr>
          <w:i/>
        </w:rPr>
      </w:pPr>
      <w:r w:rsidRPr="00826BEF">
        <w:rPr>
          <w:i/>
        </w:rPr>
        <w:t>Recommended</w:t>
      </w:r>
    </w:p>
    <w:p w:rsidR="00F343F4" w:rsidRDefault="00F343F4" w:rsidP="00F343F4">
      <w:r>
        <w:t>In the Delegated Regulation (EU 2017/565)</w:t>
      </w:r>
      <w:r w:rsidR="00E91437">
        <w:t>:</w:t>
      </w:r>
      <w:r>
        <w:t xml:space="preserve"> Recital 85 uses the term ‘recommend’ in relation to advisory portfolio management</w:t>
      </w:r>
      <w:r w:rsidR="00E91437">
        <w:t>;</w:t>
      </w:r>
      <w:r>
        <w:t xml:space="preserve"> Recital 88 clearly differentiates between a ‘recommendation’ and a ‘decisions to trade’</w:t>
      </w:r>
      <w:r w:rsidR="00514928">
        <w:t>;</w:t>
      </w:r>
      <w:r>
        <w:t xml:space="preserve"> Article 54(2) </w:t>
      </w:r>
      <w:r w:rsidR="00514928">
        <w:t xml:space="preserve">distinguishes between </w:t>
      </w:r>
      <w:r w:rsidR="00E91437">
        <w:t xml:space="preserve">a </w:t>
      </w:r>
      <w:r w:rsidR="00514928" w:rsidRPr="00514928">
        <w:t>specific transaction to be recommended, or entered into in the course of providing</w:t>
      </w:r>
      <w:r w:rsidR="00514928">
        <w:t xml:space="preserve"> a portfolio management service; and Article 54</w:t>
      </w:r>
      <w:r>
        <w:t>(10)</w:t>
      </w:r>
      <w:r w:rsidR="00514928">
        <w:t xml:space="preserve"> distinguishes between recommending, when providing advice, and deciding to trade, when providing discretionary portfolio management</w:t>
      </w:r>
      <w:r>
        <w:t xml:space="preserve">. </w:t>
      </w:r>
    </w:p>
    <w:p w:rsidR="00E91437" w:rsidRDefault="00E91437" w:rsidP="00F343F4">
      <w:r>
        <w:t xml:space="preserve">There is a clear distinction between recommending an advisory portfolio management client to trade, and deciding to trade on behalf of a discretionary portfolio management client. </w:t>
      </w:r>
    </w:p>
    <w:p w:rsidR="00F343F4" w:rsidRDefault="00514928" w:rsidP="00F343F4">
      <w:r>
        <w:t>Given</w:t>
      </w:r>
      <w:r w:rsidR="00F343F4">
        <w:t xml:space="preserve"> that </w:t>
      </w:r>
      <w:r>
        <w:t xml:space="preserve">Article </w:t>
      </w:r>
      <w:r w:rsidR="00F343F4">
        <w:t>54(11)</w:t>
      </w:r>
      <w:r w:rsidRPr="00514928">
        <w:t xml:space="preserve"> </w:t>
      </w:r>
      <w:r>
        <w:t>specifically refers to ‘</w:t>
      </w:r>
      <w:r w:rsidRPr="00514928">
        <w:t>recommended new investments</w:t>
      </w:r>
      <w:r>
        <w:t>’ it would seem that this sub-article</w:t>
      </w:r>
      <w:r w:rsidR="00F343F4">
        <w:t xml:space="preserve"> is </w:t>
      </w:r>
      <w:r>
        <w:t>referring to</w:t>
      </w:r>
      <w:r w:rsidR="00F343F4">
        <w:t xml:space="preserve"> advisory portfolio management</w:t>
      </w:r>
      <w:r>
        <w:t xml:space="preserve">, </w:t>
      </w:r>
      <w:r w:rsidR="00E91437">
        <w:t>not to</w:t>
      </w:r>
      <w:r>
        <w:t xml:space="preserve"> discretionary portfolio management</w:t>
      </w:r>
      <w:r w:rsidR="00F343F4">
        <w:t xml:space="preserve">. </w:t>
      </w:r>
    </w:p>
    <w:p w:rsidR="00F343F4" w:rsidRDefault="00F343F4" w:rsidP="00A13BEC"/>
    <w:p w:rsidR="00514928" w:rsidRPr="00826BEF" w:rsidRDefault="00514928" w:rsidP="00A13BEC">
      <w:pPr>
        <w:rPr>
          <w:i/>
        </w:rPr>
      </w:pPr>
      <w:r w:rsidRPr="00826BEF">
        <w:rPr>
          <w:i/>
        </w:rPr>
        <w:t>Linked Transactions</w:t>
      </w:r>
    </w:p>
    <w:p w:rsidR="00A13BEC" w:rsidRDefault="00A13BEC" w:rsidP="00A13BEC">
      <w:r>
        <w:t xml:space="preserve">The Background section of the ESMA consultation suggests that ‘switching’ </w:t>
      </w:r>
      <w:r w:rsidRPr="00D7557D">
        <w:t xml:space="preserve">should cover situations </w:t>
      </w:r>
      <w:r>
        <w:t>‘</w:t>
      </w:r>
      <w:r w:rsidRPr="00D7557D">
        <w:t>where investment decisions are linked by a same intent, so as to avoid circumvention</w:t>
      </w:r>
      <w:r>
        <w:t>’.</w:t>
      </w:r>
    </w:p>
    <w:p w:rsidR="007045B4" w:rsidRDefault="00777FD4" w:rsidP="00A13BEC">
      <w:r>
        <w:t>‘Switching’</w:t>
      </w:r>
      <w:r w:rsidR="00D7557D">
        <w:t xml:space="preserve"> is not a term that appears in the Level One Directive, or the recitals to the Delegated Regulation</w:t>
      </w:r>
      <w:r w:rsidR="00E91437">
        <w:t>, nor is it</w:t>
      </w:r>
      <w:r w:rsidR="00D7557D">
        <w:t xml:space="preserve"> a term which is used within discretionary portfolio management. However it does appear in Annex II of the Delegated Regulation, where it is defined as </w:t>
      </w:r>
      <w:r w:rsidR="00D7557D" w:rsidRPr="00D7557D">
        <w:t xml:space="preserve">investors </w:t>
      </w:r>
      <w:r w:rsidR="00D7557D">
        <w:t>‘</w:t>
      </w:r>
      <w:r w:rsidR="00D7557D" w:rsidRPr="00D7557D">
        <w:t>switching from one investment firm to another investment firm</w:t>
      </w:r>
      <w:r w:rsidR="00D7557D">
        <w:t>’</w:t>
      </w:r>
      <w:r w:rsidR="00D7557D" w:rsidRPr="00D7557D">
        <w:t>.</w:t>
      </w:r>
    </w:p>
    <w:p w:rsidR="00514928" w:rsidRDefault="00D7557D" w:rsidP="003D02BD">
      <w:r>
        <w:t>As such we interpret</w:t>
      </w:r>
      <w:r w:rsidR="004624EA">
        <w:t>,</w:t>
      </w:r>
      <w:r>
        <w:t xml:space="preserve"> and the final Guideline </w:t>
      </w:r>
      <w:r w:rsidR="004624EA">
        <w:t xml:space="preserve">should </w:t>
      </w:r>
      <w:r w:rsidR="00B262C5">
        <w:t>clarify</w:t>
      </w:r>
      <w:r w:rsidR="004624EA">
        <w:t>, that</w:t>
      </w:r>
      <w:r>
        <w:t xml:space="preserve"> </w:t>
      </w:r>
      <w:r w:rsidR="00A13BEC">
        <w:t>‘</w:t>
      </w:r>
      <w:r>
        <w:t>switching</w:t>
      </w:r>
      <w:r w:rsidR="00A13BEC">
        <w:t>’</w:t>
      </w:r>
      <w:r>
        <w:t xml:space="preserve"> refer</w:t>
      </w:r>
      <w:r w:rsidR="004624EA">
        <w:t>s</w:t>
      </w:r>
      <w:r>
        <w:t xml:space="preserve"> to </w:t>
      </w:r>
      <w:r w:rsidR="00346614">
        <w:t xml:space="preserve">the selling of one </w:t>
      </w:r>
      <w:r w:rsidR="00C67DB4">
        <w:t xml:space="preserve">investment with the distinct and considered intention of buying another, probably similar instrument to replace it. For instance, where this involves </w:t>
      </w:r>
      <w:r w:rsidR="00E91437">
        <w:t xml:space="preserve">the recommendation to </w:t>
      </w:r>
      <w:r w:rsidR="00C67DB4">
        <w:t xml:space="preserve">sell one </w:t>
      </w:r>
      <w:r w:rsidR="00346614">
        <w:t xml:space="preserve">packaged retail investment product in order to buy another, within </w:t>
      </w:r>
      <w:r w:rsidR="00E91437">
        <w:t>an advisory</w:t>
      </w:r>
      <w:r w:rsidR="00346614">
        <w:t xml:space="preserve"> portfolio</w:t>
      </w:r>
      <w:r w:rsidR="00A13BEC">
        <w:t xml:space="preserve">, </w:t>
      </w:r>
      <w:r w:rsidR="00D772F5">
        <w:t xml:space="preserve">as </w:t>
      </w:r>
      <w:r w:rsidR="00A13BEC">
        <w:t xml:space="preserve">there is a </w:t>
      </w:r>
      <w:r w:rsidR="00D772F5">
        <w:t xml:space="preserve">clear </w:t>
      </w:r>
      <w:r w:rsidR="00A13BEC">
        <w:t>conflict of interest</w:t>
      </w:r>
      <w:r w:rsidR="00D772F5">
        <w:t>, due to the receipt of commission by the portfolio manager, which provides an inducement to churn the portfolio</w:t>
      </w:r>
      <w:r w:rsidR="00346614">
        <w:t xml:space="preserve">. </w:t>
      </w:r>
    </w:p>
    <w:p w:rsidR="00346614" w:rsidRDefault="00346614" w:rsidP="003D02BD">
      <w:r>
        <w:t xml:space="preserve">This would </w:t>
      </w:r>
      <w:r w:rsidR="00514928">
        <w:t xml:space="preserve">further </w:t>
      </w:r>
      <w:r w:rsidR="00D772F5">
        <w:t xml:space="preserve">allow the </w:t>
      </w:r>
      <w:r>
        <w:t>differentiat</w:t>
      </w:r>
      <w:r w:rsidR="00D772F5">
        <w:t>ion of</w:t>
      </w:r>
      <w:r>
        <w:t xml:space="preserve"> this activity</w:t>
      </w:r>
      <w:r w:rsidR="00D772F5">
        <w:t xml:space="preserve"> (switching</w:t>
      </w:r>
      <w:r w:rsidR="00514928">
        <w:t xml:space="preserve"> within advisory portfolio management</w:t>
      </w:r>
      <w:r w:rsidR="00D772F5">
        <w:t>)</w:t>
      </w:r>
      <w:r>
        <w:t xml:space="preserve"> from the </w:t>
      </w:r>
      <w:r w:rsidRPr="00346614">
        <w:t>continuous process of adjustment</w:t>
      </w:r>
      <w:r>
        <w:t xml:space="preserve"> (e.g. </w:t>
      </w:r>
      <w:r w:rsidRPr="00346614">
        <w:t>bond fund managers continuously adjust their portfolios to match the desired yield curve and duration</w:t>
      </w:r>
      <w:r>
        <w:t>)</w:t>
      </w:r>
      <w:r w:rsidRPr="00346614">
        <w:t xml:space="preserve"> </w:t>
      </w:r>
      <w:r>
        <w:t>which takes place in a discretionary portfolio management service</w:t>
      </w:r>
      <w:r w:rsidR="004624EA">
        <w:t>, and for which any such obligation would be counter-productive</w:t>
      </w:r>
      <w:r>
        <w:t xml:space="preserve">. </w:t>
      </w:r>
    </w:p>
    <w:p w:rsidR="00D772F5" w:rsidRDefault="00D772F5" w:rsidP="003D02BD">
      <w:r>
        <w:t>One clear purpose behind this obligation is the</w:t>
      </w:r>
      <w:r w:rsidR="004624EA">
        <w:t xml:space="preserve"> mitigat</w:t>
      </w:r>
      <w:r>
        <w:t>ion</w:t>
      </w:r>
      <w:r w:rsidR="004624EA">
        <w:t xml:space="preserve"> </w:t>
      </w:r>
      <w:r>
        <w:t xml:space="preserve">of </w:t>
      </w:r>
      <w:r w:rsidR="004624EA">
        <w:t>conflicts of interest, such as w</w:t>
      </w:r>
      <w:r w:rsidR="00B262C5">
        <w:t>h</w:t>
      </w:r>
      <w:r w:rsidR="004624EA">
        <w:t xml:space="preserve">ere the portfolio manager </w:t>
      </w:r>
      <w:r>
        <w:t xml:space="preserve">being </w:t>
      </w:r>
      <w:r w:rsidR="004624EA">
        <w:t xml:space="preserve">remunerated in some way for a transaction, e.g. by commission. </w:t>
      </w:r>
      <w:r>
        <w:t xml:space="preserve">This is recognised in paragraph 83 of the background consideration in the Consultation Paper. Where these risks do not exist, then the relevant controls would not be necessary. </w:t>
      </w:r>
    </w:p>
    <w:p w:rsidR="00536C0F" w:rsidRDefault="00346614" w:rsidP="003D02BD">
      <w:r>
        <w:t>T</w:t>
      </w:r>
      <w:r w:rsidRPr="00346614">
        <w:t xml:space="preserve">o select </w:t>
      </w:r>
      <w:r w:rsidRPr="00B262C5">
        <w:rPr>
          <w:i/>
        </w:rPr>
        <w:t>any</w:t>
      </w:r>
      <w:r w:rsidRPr="00346614">
        <w:t xml:space="preserve"> </w:t>
      </w:r>
      <w:r w:rsidR="00D772F5">
        <w:t xml:space="preserve">random </w:t>
      </w:r>
      <w:r w:rsidRPr="00346614">
        <w:t xml:space="preserve">pair of trades and define them as a </w:t>
      </w:r>
      <w:r w:rsidR="00D772F5">
        <w:t>‘</w:t>
      </w:r>
      <w:r w:rsidRPr="00346614">
        <w:t>switch</w:t>
      </w:r>
      <w:r w:rsidR="00D772F5">
        <w:t>’</w:t>
      </w:r>
      <w:r w:rsidRPr="00346614">
        <w:t xml:space="preserve"> would be meaningless</w:t>
      </w:r>
      <w:r w:rsidR="004624EA">
        <w:t xml:space="preserve"> in this context</w:t>
      </w:r>
      <w:r>
        <w:t xml:space="preserve">. </w:t>
      </w:r>
      <w:r w:rsidR="00A13BEC">
        <w:t xml:space="preserve">There must be a </w:t>
      </w:r>
      <w:r w:rsidR="004624EA">
        <w:t xml:space="preserve">related </w:t>
      </w:r>
      <w:r w:rsidR="00D772F5">
        <w:t xml:space="preserve">risk, such as a </w:t>
      </w:r>
      <w:r w:rsidR="00A13BEC">
        <w:t xml:space="preserve">conflict of interest. </w:t>
      </w:r>
      <w:r>
        <w:t>T</w:t>
      </w:r>
      <w:r w:rsidRPr="00346614">
        <w:t xml:space="preserve">he nature of the </w:t>
      </w:r>
      <w:r w:rsidR="00E91437">
        <w:t xml:space="preserve">discretionary </w:t>
      </w:r>
      <w:r w:rsidRPr="00346614">
        <w:t xml:space="preserve">asset management agreement in the institutional space, with documented </w:t>
      </w:r>
      <w:r w:rsidRPr="00346614">
        <w:lastRenderedPageBreak/>
        <w:t xml:space="preserve">investment and risk parameters, obviates any need for </w:t>
      </w:r>
      <w:r w:rsidR="004624EA">
        <w:t xml:space="preserve">such </w:t>
      </w:r>
      <w:r w:rsidRPr="00346614">
        <w:t>an additional rigidly defined cost-benefit process.</w:t>
      </w:r>
    </w:p>
    <w:p w:rsidR="00D7557D" w:rsidRDefault="00536C0F" w:rsidP="003D02BD">
      <w:r w:rsidRPr="00536C0F">
        <w:t xml:space="preserve">We ask that ESMA amends the </w:t>
      </w:r>
      <w:r w:rsidR="00E91437">
        <w:t>final</w:t>
      </w:r>
      <w:r w:rsidR="00E91437" w:rsidRPr="00536C0F">
        <w:t xml:space="preserve"> </w:t>
      </w:r>
      <w:r w:rsidRPr="00536C0F">
        <w:t>guideline to make clear its scope</w:t>
      </w:r>
      <w:r>
        <w:t xml:space="preserve">, </w:t>
      </w:r>
      <w:r w:rsidR="00D772F5">
        <w:t xml:space="preserve">e.g. </w:t>
      </w:r>
      <w:r>
        <w:t>targeting conflicts raised by swapping from one packaged product to another with the manager benefiting from this</w:t>
      </w:r>
      <w:r w:rsidRPr="00536C0F">
        <w:t xml:space="preserve">, </w:t>
      </w:r>
      <w:r>
        <w:t xml:space="preserve">and specifically </w:t>
      </w:r>
      <w:r w:rsidRPr="00536C0F">
        <w:t xml:space="preserve">excluding </w:t>
      </w:r>
      <w:r w:rsidR="00D772F5">
        <w:t xml:space="preserve">the normal, non-linked, transactions that a </w:t>
      </w:r>
      <w:r w:rsidR="00E91437">
        <w:t xml:space="preserve">discretionary </w:t>
      </w:r>
      <w:r w:rsidR="00D772F5">
        <w:t xml:space="preserve">portfolio manager carries out when providing </w:t>
      </w:r>
      <w:r w:rsidRPr="00536C0F">
        <w:t>discretionary portfolio management</w:t>
      </w:r>
      <w:r w:rsidR="006A2CFF">
        <w:t>, e.g.</w:t>
      </w:r>
      <w:r>
        <w:t xml:space="preserve"> for professional clients.</w:t>
      </w:r>
    </w:p>
    <w:p w:rsidR="00514928" w:rsidRDefault="00514928" w:rsidP="003D02BD"/>
    <w:p w:rsidR="00D772F5" w:rsidRDefault="00D772F5" w:rsidP="003D02BD">
      <w:r>
        <w:t>We would suggest that an extra paragraph be inserted into the Guidelines (possibly between paragraphs 92 and 93) along the lines of:</w:t>
      </w:r>
    </w:p>
    <w:p w:rsidR="002F5017" w:rsidRDefault="00D772F5" w:rsidP="00D772F5">
      <w:pPr>
        <w:ind w:left="720"/>
      </w:pPr>
      <w:r>
        <w:t xml:space="preserve">Switching involves two, or more, investment </w:t>
      </w:r>
      <w:r w:rsidR="00514928">
        <w:t>recommendations</w:t>
      </w:r>
      <w:r>
        <w:t xml:space="preserve"> which are linked by a same intent, such that the sale is </w:t>
      </w:r>
      <w:r w:rsidR="00514928">
        <w:t>recommended</w:t>
      </w:r>
      <w:r>
        <w:t xml:space="preserve"> </w:t>
      </w:r>
      <w:r w:rsidRPr="00826BEF">
        <w:rPr>
          <w:b/>
          <w:u w:val="single"/>
        </w:rPr>
        <w:t>so that</w:t>
      </w:r>
      <w:r>
        <w:t xml:space="preserve"> the purchase can be made. This would not</w:t>
      </w:r>
      <w:r w:rsidR="00514928">
        <w:t>, generally,</w:t>
      </w:r>
      <w:r>
        <w:t xml:space="preserve"> include</w:t>
      </w:r>
      <w:r w:rsidR="00514928">
        <w:t>:</w:t>
      </w:r>
      <w:r>
        <w:t xml:space="preserve"> </w:t>
      </w:r>
    </w:p>
    <w:p w:rsidR="002F5017" w:rsidRDefault="00E91437" w:rsidP="00826BEF">
      <w:pPr>
        <w:pStyle w:val="ListParagraph"/>
        <w:numPr>
          <w:ilvl w:val="0"/>
          <w:numId w:val="25"/>
        </w:numPr>
      </w:pPr>
      <w:r>
        <w:t>decisions to deal</w:t>
      </w:r>
      <w:r w:rsidR="00D772F5">
        <w:t xml:space="preserve"> for the client</w:t>
      </w:r>
      <w:r w:rsidR="00514928">
        <w:t xml:space="preserve"> on a discretionary basis;</w:t>
      </w:r>
      <w:r w:rsidR="00D772F5">
        <w:t xml:space="preserve"> or </w:t>
      </w:r>
    </w:p>
    <w:p w:rsidR="002F5017" w:rsidRDefault="00D772F5" w:rsidP="00826BEF">
      <w:pPr>
        <w:pStyle w:val="ListParagraph"/>
        <w:numPr>
          <w:ilvl w:val="0"/>
          <w:numId w:val="25"/>
        </w:numPr>
      </w:pPr>
      <w:r>
        <w:t>rebalancing of the portfolio under management</w:t>
      </w:r>
      <w:r w:rsidR="00514928">
        <w:t>;</w:t>
      </w:r>
      <w:r>
        <w:t xml:space="preserve"> </w:t>
      </w:r>
    </w:p>
    <w:p w:rsidR="00D772F5" w:rsidRDefault="002F5017" w:rsidP="00826BEF">
      <w:pPr>
        <w:pStyle w:val="ListParagraph"/>
        <w:numPr>
          <w:ilvl w:val="0"/>
          <w:numId w:val="25"/>
        </w:numPr>
      </w:pPr>
      <w:r>
        <w:t xml:space="preserve">or </w:t>
      </w:r>
      <w:r w:rsidR="00D772F5">
        <w:t>passive strategies to replicate an index</w:t>
      </w:r>
    </w:p>
    <w:p w:rsidR="00E91437" w:rsidRDefault="00E91437" w:rsidP="003D02BD">
      <w:pPr>
        <w:rPr>
          <w:i/>
        </w:rPr>
      </w:pPr>
    </w:p>
    <w:p w:rsidR="00DA7231" w:rsidRPr="00DA7231" w:rsidRDefault="00DA7231" w:rsidP="003D02BD">
      <w:pPr>
        <w:rPr>
          <w:i/>
        </w:rPr>
      </w:pPr>
      <w:r w:rsidRPr="00DA7231">
        <w:rPr>
          <w:i/>
        </w:rPr>
        <w:t>Client’s Existing Investments</w:t>
      </w:r>
    </w:p>
    <w:p w:rsidR="00DA7231" w:rsidRDefault="00DA7231" w:rsidP="003D02BD">
      <w:r>
        <w:t>Article 54(11) requires that firms ‘</w:t>
      </w:r>
      <w:r w:rsidRPr="00DA7231">
        <w:t>collect the necessary information on the client's existing investments</w:t>
      </w:r>
      <w:r w:rsidR="00777FD4" w:rsidRPr="00777FD4">
        <w:t xml:space="preserve"> and the recommended new investments</w:t>
      </w:r>
      <w:r>
        <w:t xml:space="preserve">’. </w:t>
      </w:r>
      <w:r w:rsidR="00C8150F">
        <w:t xml:space="preserve"> </w:t>
      </w:r>
    </w:p>
    <w:p w:rsidR="00BD0AF0" w:rsidRDefault="00BD0AF0" w:rsidP="00DA7231">
      <w:r>
        <w:t>It is clear from the proposed Guideline 3 that: b</w:t>
      </w:r>
      <w:r w:rsidR="00DA7231">
        <w:t xml:space="preserve">efore providing portfolio management services, firms need to collect all ‘necessary information’ about the client’s financial situation. The extent of ‘necessary’ information </w:t>
      </w:r>
      <w:r>
        <w:t xml:space="preserve">will vary, taking </w:t>
      </w:r>
      <w:r w:rsidR="00DA7231">
        <w:t xml:space="preserve">into account the features of the portfolio management </w:t>
      </w:r>
      <w:r>
        <w:t>services to be provided</w:t>
      </w:r>
      <w:r w:rsidR="00DA7231">
        <w:t xml:space="preserve"> and the </w:t>
      </w:r>
      <w:r w:rsidR="00DA7231" w:rsidRPr="00C8150F">
        <w:t>characteristics of the clients</w:t>
      </w:r>
      <w:r w:rsidR="00DA7231">
        <w:t>.</w:t>
      </w:r>
      <w:r>
        <w:t xml:space="preserve"> </w:t>
      </w:r>
      <w:r w:rsidRPr="00BD0AF0">
        <w:t xml:space="preserve">The principle of proportionality in MiFID allows firms to collect the level of information proportionate to the </w:t>
      </w:r>
      <w:r>
        <w:t>service they offer</w:t>
      </w:r>
      <w:r w:rsidRPr="00BD0AF0">
        <w:t>.</w:t>
      </w:r>
      <w:r w:rsidR="00A13BEC">
        <w:t xml:space="preserve"> </w:t>
      </w:r>
      <w:r w:rsidR="0054427A" w:rsidRPr="0054427A">
        <w:t xml:space="preserve">Guideline 3 </w:t>
      </w:r>
      <w:r w:rsidR="0054427A">
        <w:t xml:space="preserve">goes on to state that </w:t>
      </w:r>
      <w:r w:rsidRPr="00BD0AF0">
        <w:t xml:space="preserve">firms are expected to possess information about the client’s financial investments </w:t>
      </w:r>
      <w:r w:rsidR="00C8150F">
        <w:t>held</w:t>
      </w:r>
      <w:r w:rsidRPr="00BD0AF0">
        <w:t xml:space="preserve"> </w:t>
      </w:r>
      <w:r w:rsidR="00E91437">
        <w:t>‘</w:t>
      </w:r>
      <w:r w:rsidRPr="00BD0AF0">
        <w:t xml:space="preserve">at </w:t>
      </w:r>
      <w:r w:rsidRPr="0054427A">
        <w:rPr>
          <w:b/>
          <w:i/>
        </w:rPr>
        <w:t>this</w:t>
      </w:r>
      <w:r w:rsidRPr="00BD0AF0">
        <w:t xml:space="preserve"> firm</w:t>
      </w:r>
      <w:r w:rsidR="00E91437">
        <w:t>’</w:t>
      </w:r>
      <w:r w:rsidRPr="00BD0AF0">
        <w:t xml:space="preserve"> on an instrument-by-instrument basis.</w:t>
      </w:r>
    </w:p>
    <w:p w:rsidR="0054427A" w:rsidRDefault="0054427A" w:rsidP="00DA7231">
      <w:r>
        <w:t xml:space="preserve">Given this, and the </w:t>
      </w:r>
      <w:r w:rsidR="004624EA">
        <w:t xml:space="preserve">way in which the sub-article relates </w:t>
      </w:r>
      <w:r w:rsidR="004624EA" w:rsidRPr="004624EA">
        <w:t xml:space="preserve">the client's </w:t>
      </w:r>
      <w:r w:rsidR="00B93895">
        <w:t>‘</w:t>
      </w:r>
      <w:r w:rsidR="004624EA" w:rsidRPr="004624EA">
        <w:t>existing investments</w:t>
      </w:r>
      <w:r w:rsidR="00B93895">
        <w:t>’</w:t>
      </w:r>
      <w:r w:rsidR="004624EA" w:rsidRPr="004624EA">
        <w:t xml:space="preserve"> </w:t>
      </w:r>
      <w:r w:rsidR="00B93895">
        <w:t>to</w:t>
      </w:r>
      <w:r w:rsidR="004624EA" w:rsidRPr="004624EA">
        <w:t xml:space="preserve"> the </w:t>
      </w:r>
      <w:r w:rsidR="00B93895">
        <w:t>‘</w:t>
      </w:r>
      <w:r w:rsidR="004624EA" w:rsidRPr="004624EA">
        <w:t>new investments</w:t>
      </w:r>
      <w:r w:rsidR="00B93895">
        <w:t>’</w:t>
      </w:r>
      <w:r w:rsidR="008E03E8">
        <w:t>,</w:t>
      </w:r>
      <w:r>
        <w:t xml:space="preserve"> we think that </w:t>
      </w:r>
      <w:r w:rsidR="00C8150F">
        <w:t xml:space="preserve">it is clear that </w:t>
      </w:r>
      <w:r>
        <w:t>the phrase ‘existing investment’ refer</w:t>
      </w:r>
      <w:r w:rsidR="00C8150F">
        <w:t>s</w:t>
      </w:r>
      <w:r>
        <w:t xml:space="preserve"> to the investment product that exists in the client’s portfolio, which is</w:t>
      </w:r>
      <w:r w:rsidR="00E91437">
        <w:t xml:space="preserve"> recommended</w:t>
      </w:r>
      <w:r>
        <w:t xml:space="preserve"> to be sold. </w:t>
      </w:r>
      <w:r w:rsidR="00C8150F">
        <w:t xml:space="preserve">The scope of information to be collected, under Article 54(11) relates only to the investments that are to form part of the ‘switch’. </w:t>
      </w:r>
    </w:p>
    <w:p w:rsidR="0054427A" w:rsidRDefault="0054427A" w:rsidP="00DA7231">
      <w:r>
        <w:t>It should be made clear</w:t>
      </w:r>
      <w:r w:rsidR="00C8150F">
        <w:t xml:space="preserve"> that</w:t>
      </w:r>
      <w:r>
        <w:t xml:space="preserve"> this phrase does </w:t>
      </w:r>
      <w:r w:rsidRPr="008E03E8">
        <w:rPr>
          <w:i/>
        </w:rPr>
        <w:t>not</w:t>
      </w:r>
      <w:r>
        <w:t xml:space="preserve"> refer to investments held by the client outside its portfolio managed by the investment firm.  </w:t>
      </w:r>
    </w:p>
    <w:p w:rsidR="00BD0AF0" w:rsidRDefault="00BD0AF0" w:rsidP="00DA7231"/>
    <w:p w:rsidR="00595668" w:rsidRPr="00595668" w:rsidRDefault="00595668" w:rsidP="00DA7231">
      <w:pPr>
        <w:rPr>
          <w:i/>
        </w:rPr>
      </w:pPr>
      <w:r w:rsidRPr="00595668">
        <w:rPr>
          <w:i/>
        </w:rPr>
        <w:t>Trackers</w:t>
      </w:r>
    </w:p>
    <w:p w:rsidR="00A13BEC" w:rsidRDefault="00A13BEC" w:rsidP="00A13BEC">
      <w:r>
        <w:t xml:space="preserve">Paragraph 84 </w:t>
      </w:r>
      <w:r w:rsidR="00B262C5" w:rsidRPr="00B262C5">
        <w:t xml:space="preserve">of the Background to the proposed Guidelines </w:t>
      </w:r>
      <w:r w:rsidRPr="00712766">
        <w:t>state</w:t>
      </w:r>
      <w:r>
        <w:t>s</w:t>
      </w:r>
      <w:r w:rsidRPr="00712766">
        <w:t xml:space="preserve"> that investment decisions</w:t>
      </w:r>
      <w:r w:rsidR="007D4217">
        <w:t>,</w:t>
      </w:r>
      <w:r w:rsidRPr="00712766">
        <w:t xml:space="preserve"> such as rebalanci</w:t>
      </w:r>
      <w:r w:rsidR="007D4217">
        <w:t>ng a portfolio under management</w:t>
      </w:r>
      <w:r w:rsidRPr="00712766">
        <w:t xml:space="preserve"> in the case of a ‘passive’ strategy to replicate an index (agreed with the client in the mandate)</w:t>
      </w:r>
      <w:r w:rsidR="007D4217">
        <w:t>,</w:t>
      </w:r>
      <w:r w:rsidRPr="00712766">
        <w:t xml:space="preserve"> would normally </w:t>
      </w:r>
      <w:r w:rsidRPr="007D4217">
        <w:rPr>
          <w:b/>
          <w:i/>
        </w:rPr>
        <w:t>not</w:t>
      </w:r>
      <w:r w:rsidRPr="00712766">
        <w:t xml:space="preserve"> be considered as a switch.</w:t>
      </w:r>
      <w:r w:rsidR="00B262C5">
        <w:t xml:space="preserve"> </w:t>
      </w:r>
    </w:p>
    <w:p w:rsidR="007D4217" w:rsidRDefault="00595668" w:rsidP="00DA7231">
      <w:r w:rsidRPr="00595668">
        <w:t xml:space="preserve">The disapplication of the need for cost-benefit analysis in the case of indexing (para 84) should be reflected in the </w:t>
      </w:r>
      <w:r>
        <w:t xml:space="preserve">final </w:t>
      </w:r>
      <w:r w:rsidRPr="00595668">
        <w:t>Guideline.</w:t>
      </w:r>
    </w:p>
    <w:p w:rsidR="007D4217" w:rsidRDefault="007D4217" w:rsidP="00DA7231"/>
    <w:p w:rsidR="00595668" w:rsidRPr="00595668" w:rsidRDefault="00595668" w:rsidP="00DA7231">
      <w:pPr>
        <w:rPr>
          <w:i/>
        </w:rPr>
      </w:pPr>
      <w:r w:rsidRPr="00595668">
        <w:rPr>
          <w:i/>
        </w:rPr>
        <w:lastRenderedPageBreak/>
        <w:t>Unintended Consequence</w:t>
      </w:r>
      <w:r w:rsidR="00F96A0C">
        <w:rPr>
          <w:i/>
        </w:rPr>
        <w:t>s</w:t>
      </w:r>
    </w:p>
    <w:p w:rsidR="008370BA" w:rsidRDefault="00595668" w:rsidP="00DA7231">
      <w:r>
        <w:t xml:space="preserve">While </w:t>
      </w:r>
      <w:r w:rsidR="00BA6CF1">
        <w:t xml:space="preserve">advisory </w:t>
      </w:r>
      <w:r>
        <w:t xml:space="preserve">portfolios of packaged investment products would not be subject to a significant level of trading (a low level of transactions </w:t>
      </w:r>
      <w:r w:rsidR="0083326B">
        <w:t>per</w:t>
      </w:r>
      <w:r>
        <w:t xml:space="preserve"> week, or even per month), and the required cost benefit analysis would not have too significant an impact, for discretionary portfolio management for large mandates</w:t>
      </w:r>
      <w:r w:rsidR="00BA6CF1">
        <w:t>, especially those</w:t>
      </w:r>
      <w:r>
        <w:t xml:space="preserve"> on behalf of professional clients</w:t>
      </w:r>
      <w:r w:rsidR="00BA6CF1">
        <w:t>,</w:t>
      </w:r>
      <w:r>
        <w:t xml:space="preserve"> the situation could be very different. </w:t>
      </w:r>
      <w:r w:rsidR="003E661B" w:rsidRPr="003E661B">
        <w:t>The cost-benefit analysis</w:t>
      </w:r>
      <w:r w:rsidR="0083326B">
        <w:t>,</w:t>
      </w:r>
      <w:r w:rsidR="003E661B" w:rsidRPr="003E661B">
        <w:t xml:space="preserve"> as described in the draft guidelines</w:t>
      </w:r>
      <w:r w:rsidR="0083326B">
        <w:t>,</w:t>
      </w:r>
      <w:r w:rsidR="003E661B" w:rsidRPr="003E661B">
        <w:t xml:space="preserve"> would delay trading and add frictional cost to the large trades undertaken for </w:t>
      </w:r>
      <w:r w:rsidR="00BA6CF1">
        <w:t>discretionary</w:t>
      </w:r>
      <w:r w:rsidR="00BA6CF1" w:rsidRPr="003E661B">
        <w:t xml:space="preserve"> </w:t>
      </w:r>
      <w:r w:rsidR="003E661B" w:rsidRPr="003E661B">
        <w:t>mandates.</w:t>
      </w:r>
      <w:r w:rsidR="003E661B">
        <w:t xml:space="preserve"> The </w:t>
      </w:r>
      <w:r w:rsidR="008370BA" w:rsidRPr="008370BA">
        <w:t xml:space="preserve">consequence </w:t>
      </w:r>
      <w:r w:rsidR="003E661B">
        <w:t xml:space="preserve">of these </w:t>
      </w:r>
      <w:r w:rsidR="008370BA" w:rsidRPr="008370BA">
        <w:t xml:space="preserve">delays and costs </w:t>
      </w:r>
      <w:r w:rsidR="003E661B">
        <w:t xml:space="preserve">on the performance of the portfolio </w:t>
      </w:r>
      <w:r w:rsidR="008E03E8">
        <w:t xml:space="preserve">would be substantial, </w:t>
      </w:r>
      <w:r w:rsidR="008370BA" w:rsidRPr="008370BA">
        <w:t>mak</w:t>
      </w:r>
      <w:r w:rsidR="008370BA">
        <w:t>ing</w:t>
      </w:r>
      <w:r w:rsidR="008370BA" w:rsidRPr="008370BA">
        <w:t xml:space="preserve"> segregated portfolio management services inoperable, </w:t>
      </w:r>
      <w:r w:rsidR="008E03E8">
        <w:t xml:space="preserve">and </w:t>
      </w:r>
      <w:r w:rsidR="008370BA">
        <w:t xml:space="preserve">being </w:t>
      </w:r>
      <w:r w:rsidR="008E03E8">
        <w:t>entirely counterproductive to the service being provided to the client</w:t>
      </w:r>
      <w:r w:rsidR="008370BA">
        <w:t>,</w:t>
      </w:r>
      <w:r w:rsidR="008370BA" w:rsidRPr="008370BA">
        <w:t xml:space="preserve"> leading to significant client detriment.</w:t>
      </w:r>
    </w:p>
    <w:p w:rsidR="007045B4" w:rsidRDefault="007045B4" w:rsidP="003D02BD"/>
    <w:p w:rsidR="003A089C" w:rsidRDefault="003A089C" w:rsidP="003A089C">
      <w:pPr>
        <w:pStyle w:val="Heading2"/>
      </w:pPr>
      <w:r w:rsidRPr="003A089C">
        <w:t>Guideline 11 - Qualifications of firm staff</w:t>
      </w:r>
    </w:p>
    <w:p w:rsidR="003D02BD" w:rsidRPr="00CF5F2B" w:rsidRDefault="003D02BD" w:rsidP="003D02BD">
      <w:pPr>
        <w:pStyle w:val="ListParagraph"/>
        <w:numPr>
          <w:ilvl w:val="0"/>
          <w:numId w:val="5"/>
        </w:numPr>
        <w:rPr>
          <w:b/>
        </w:rPr>
      </w:pPr>
      <w:r w:rsidRPr="003D02BD">
        <w:rPr>
          <w:b/>
          <w:bCs/>
        </w:rPr>
        <w:t>Do you believe that further guidance would be needed with regard to the skills, knowledge and expertise that should be possessed by staff not directly facing clients, but still involved in other aspects of the suitability assessment? Please also state the reasons for your answer.</w:t>
      </w:r>
    </w:p>
    <w:p w:rsidR="003D02BD" w:rsidRDefault="001835ED" w:rsidP="003D02BD">
      <w:r>
        <w:t>No comment.</w:t>
      </w:r>
    </w:p>
    <w:p w:rsidR="003D02BD" w:rsidRDefault="003D02BD" w:rsidP="003D02BD"/>
    <w:p w:rsidR="003A089C" w:rsidRDefault="003A089C" w:rsidP="003A089C">
      <w:pPr>
        <w:pStyle w:val="Heading2"/>
      </w:pPr>
      <w:r w:rsidRPr="003A089C">
        <w:t>Guideline 12 - Record-keeping</w:t>
      </w:r>
    </w:p>
    <w:p w:rsidR="003D02BD" w:rsidRPr="00CF5F2B" w:rsidRDefault="003D02BD" w:rsidP="003D02BD">
      <w:pPr>
        <w:pStyle w:val="ListParagraph"/>
        <w:numPr>
          <w:ilvl w:val="0"/>
          <w:numId w:val="5"/>
        </w:numPr>
        <w:rPr>
          <w:b/>
        </w:rPr>
      </w:pPr>
      <w:r w:rsidRPr="003D02BD">
        <w:rPr>
          <w:b/>
        </w:rPr>
        <w:t>Do you have any further comment or input on the draft guidelines?</w:t>
      </w:r>
    </w:p>
    <w:p w:rsidR="003D02BD" w:rsidRDefault="00A75CC4" w:rsidP="003D02BD">
      <w:r>
        <w:t>No comment</w:t>
      </w:r>
    </w:p>
    <w:p w:rsidR="003D02BD" w:rsidRPr="005C0F16" w:rsidRDefault="003D02BD" w:rsidP="003D02BD"/>
    <w:p w:rsidR="003D02BD" w:rsidRDefault="003D02BD" w:rsidP="003D02BD">
      <w:pPr>
        <w:pStyle w:val="ListParagraph"/>
        <w:numPr>
          <w:ilvl w:val="0"/>
          <w:numId w:val="5"/>
        </w:numPr>
        <w:rPr>
          <w:b/>
        </w:rPr>
      </w:pPr>
      <w:r w:rsidRPr="003D02BD">
        <w:rPr>
          <w:b/>
          <w:bCs/>
        </w:rPr>
        <w:t>What level of resources (financial and other) would be required to implement and comply with the Guidelines (market researches, organisational, IT costs, training costs, staff costs, etc., differentiated between one off and ongoing costs)? When answering this question, please also provide information about the size, internal organisation and the nature, scale and complexity of the activities of your institution, where relevant.</w:t>
      </w:r>
    </w:p>
    <w:p w:rsidR="00DC3083" w:rsidRDefault="00DC3083" w:rsidP="00F96A0C">
      <w:r>
        <w:t xml:space="preserve">There is no mention in the Cost Benefit Analysis of the extra costs that </w:t>
      </w:r>
      <w:r w:rsidR="008E03E8">
        <w:t>would</w:t>
      </w:r>
      <w:r>
        <w:t xml:space="preserve"> be imposed on portfolio managers by the new requirement that they conduct a cost benefit analysis of every switch carried out in their portfolios</w:t>
      </w:r>
      <w:r w:rsidR="008E03E8">
        <w:t xml:space="preserve"> under Guideline 10</w:t>
      </w:r>
      <w:r>
        <w:t xml:space="preserve">. Nor is there any consideration of the costs that would arise from the delay in the process of dealing as a result of the extra necessary analysis, which could cause firms to miss the best prices available. </w:t>
      </w:r>
    </w:p>
    <w:p w:rsidR="00A30A41" w:rsidRDefault="00F96A0C" w:rsidP="00F96A0C">
      <w:r>
        <w:t>We are concerned that it is not so much the extra resources but the delay in dealing that would be caused, for discretionary portfolio management of mandates on behalf of professional clients, which would h</w:t>
      </w:r>
      <w:r w:rsidR="002F5017">
        <w:t>ave the most significant impact.</w:t>
      </w:r>
      <w:r w:rsidR="00A30A41">
        <w:br w:type="page"/>
      </w:r>
    </w:p>
    <w:p w:rsidR="00A30A41" w:rsidRDefault="00A30A41" w:rsidP="00A30A41">
      <w:pPr>
        <w:pStyle w:val="Heading1"/>
      </w:pPr>
      <w:r>
        <w:lastRenderedPageBreak/>
        <w:t>Annex II</w:t>
      </w:r>
    </w:p>
    <w:p w:rsidR="00A30A41" w:rsidRDefault="00A30A41" w:rsidP="00A30A41">
      <w:pPr>
        <w:pStyle w:val="Heading2"/>
      </w:pPr>
      <w:r>
        <w:t>Typographical corrections</w:t>
      </w:r>
    </w:p>
    <w:p w:rsidR="00A30A41" w:rsidRDefault="00A30A41" w:rsidP="003D02BD">
      <w:r>
        <w:t>Paragraph 4 of the Guidelines should refer to paragraph 12, not to paragraph 11.</w:t>
      </w:r>
    </w:p>
    <w:p w:rsidR="00A30A41" w:rsidRDefault="00FA5E44" w:rsidP="003D02BD">
      <w:r>
        <w:t xml:space="preserve">There seem to be some missing words from the last sentence in paragraph 49, in Guideline 4. </w:t>
      </w:r>
    </w:p>
    <w:p w:rsidR="00FA5E44" w:rsidRDefault="003E661B" w:rsidP="003D02BD">
      <w:r>
        <w:t xml:space="preserve">There is a general lack of consistency in the use of the terms: product; investment product; </w:t>
      </w:r>
      <w:r w:rsidR="00754652">
        <w:t>financial instrument</w:t>
      </w:r>
    </w:p>
    <w:sectPr w:rsidR="00FA5E44" w:rsidSect="00067B07">
      <w:headerReference w:type="default" r:id="rId10"/>
      <w:footerReference w:type="default" r:id="rId11"/>
      <w:headerReference w:type="first" r:id="rId12"/>
      <w:footerReference w:type="first" r:id="rId13"/>
      <w:pgSz w:w="11906" w:h="16838" w:code="9"/>
      <w:pgMar w:top="1644" w:right="1474" w:bottom="1644" w:left="1474" w:header="709"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519C" w:rsidRDefault="009C519C" w:rsidP="001014D6">
      <w:r>
        <w:separator/>
      </w:r>
    </w:p>
  </w:endnote>
  <w:endnote w:type="continuationSeparator" w:id="0">
    <w:p w:rsidR="009C519C" w:rsidRDefault="009C519C" w:rsidP="00101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7613652"/>
      <w:docPartObj>
        <w:docPartGallery w:val="Page Numbers (Bottom of Page)"/>
        <w:docPartUnique/>
      </w:docPartObj>
    </w:sdtPr>
    <w:sdtEndPr/>
    <w:sdtContent>
      <w:sdt>
        <w:sdtPr>
          <w:id w:val="-1705238520"/>
          <w:docPartObj>
            <w:docPartGallery w:val="Page Numbers (Top of Page)"/>
            <w:docPartUnique/>
          </w:docPartObj>
        </w:sdtPr>
        <w:sdtEndPr/>
        <w:sdtContent>
          <w:p w:rsidR="00514928" w:rsidRDefault="00514928">
            <w:pPr>
              <w:pStyle w:val="Footer"/>
            </w:pPr>
            <w:r>
              <w:rPr>
                <w:noProof/>
                <w:sz w:val="14"/>
                <w:szCs w:val="14"/>
                <w:lang w:eastAsia="en-GB"/>
              </w:rPr>
              <w:drawing>
                <wp:anchor distT="0" distB="0" distL="114300" distR="114300" simplePos="0" relativeHeight="251669504" behindDoc="1" locked="0" layoutInCell="1" allowOverlap="1" wp14:anchorId="43EA19BA" wp14:editId="06E9BF0E">
                  <wp:simplePos x="0" y="0"/>
                  <wp:positionH relativeFrom="column">
                    <wp:posOffset>-960120</wp:posOffset>
                  </wp:positionH>
                  <wp:positionV relativeFrom="page">
                    <wp:posOffset>9977120</wp:posOffset>
                  </wp:positionV>
                  <wp:extent cx="7727950" cy="133731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27950" cy="133731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Page </w:t>
            </w:r>
            <w:r>
              <w:rPr>
                <w:b/>
                <w:bCs/>
                <w:sz w:val="24"/>
                <w:szCs w:val="24"/>
              </w:rPr>
              <w:fldChar w:fldCharType="begin"/>
            </w:r>
            <w:r>
              <w:rPr>
                <w:b/>
                <w:bCs/>
              </w:rPr>
              <w:instrText xml:space="preserve"> PAGE </w:instrText>
            </w:r>
            <w:r>
              <w:rPr>
                <w:b/>
                <w:bCs/>
                <w:sz w:val="24"/>
                <w:szCs w:val="24"/>
              </w:rPr>
              <w:fldChar w:fldCharType="separate"/>
            </w:r>
            <w:r w:rsidR="000F3246">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F3246">
              <w:rPr>
                <w:b/>
                <w:bCs/>
                <w:noProof/>
              </w:rPr>
              <w:t>11</w:t>
            </w:r>
            <w:r>
              <w:rPr>
                <w:b/>
                <w:bCs/>
                <w:sz w:val="24"/>
                <w:szCs w:val="24"/>
              </w:rPr>
              <w:fldChar w:fldCharType="end"/>
            </w:r>
          </w:p>
        </w:sdtContent>
      </w:sdt>
    </w:sdtContent>
  </w:sdt>
  <w:p w:rsidR="00514928" w:rsidRPr="004759C0" w:rsidRDefault="00514928">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8" w:rsidRPr="006760C6" w:rsidRDefault="00514928">
    <w:pPr>
      <w:pStyle w:val="Footer"/>
      <w:rPr>
        <w:b/>
        <w:color w:val="FFFFFF" w:themeColor="background1"/>
        <w:sz w:val="14"/>
        <w:szCs w:val="14"/>
      </w:rPr>
    </w:pPr>
    <w:r w:rsidRPr="006760C6">
      <w:rPr>
        <w:b/>
        <w:noProof/>
        <w:color w:val="FFFFFF" w:themeColor="background1"/>
        <w:sz w:val="14"/>
        <w:szCs w:val="14"/>
        <w:lang w:eastAsia="en-GB"/>
      </w:rPr>
      <w:drawing>
        <wp:anchor distT="0" distB="0" distL="114300" distR="114300" simplePos="0" relativeHeight="251661312" behindDoc="0" locked="0" layoutInCell="1" allowOverlap="1">
          <wp:simplePos x="0" y="0"/>
          <wp:positionH relativeFrom="column">
            <wp:posOffset>3970573</wp:posOffset>
          </wp:positionH>
          <wp:positionV relativeFrom="paragraph">
            <wp:posOffset>-241300</wp:posOffset>
          </wp:positionV>
          <wp:extent cx="2358000" cy="361413"/>
          <wp:effectExtent l="0" t="0" r="4445" b="63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8000" cy="361413"/>
                  </a:xfrm>
                  <a:prstGeom prst="rect">
                    <a:avLst/>
                  </a:prstGeom>
                </pic:spPr>
              </pic:pic>
            </a:graphicData>
          </a:graphic>
        </wp:anchor>
      </w:drawing>
    </w:r>
    <w:r w:rsidRPr="006760C6">
      <w:rPr>
        <w:b/>
        <w:color w:val="FFFFFF" w:themeColor="background1"/>
        <w:sz w:val="14"/>
        <w:szCs w:val="14"/>
      </w:rPr>
      <w:fldChar w:fldCharType="begin"/>
    </w:r>
    <w:r w:rsidRPr="006760C6">
      <w:rPr>
        <w:b/>
        <w:color w:val="FFFFFF" w:themeColor="background1"/>
        <w:sz w:val="14"/>
        <w:szCs w:val="14"/>
      </w:rPr>
      <w:instrText xml:space="preserve"> PAGE   \* MERGEFORMAT </w:instrText>
    </w:r>
    <w:r w:rsidRPr="006760C6">
      <w:rPr>
        <w:b/>
        <w:color w:val="FFFFFF" w:themeColor="background1"/>
        <w:sz w:val="14"/>
        <w:szCs w:val="14"/>
      </w:rPr>
      <w:fldChar w:fldCharType="separate"/>
    </w:r>
    <w:r w:rsidR="000F3246">
      <w:rPr>
        <w:b/>
        <w:noProof/>
        <w:color w:val="FFFFFF" w:themeColor="background1"/>
        <w:sz w:val="14"/>
        <w:szCs w:val="14"/>
      </w:rPr>
      <w:t>1</w:t>
    </w:r>
    <w:r w:rsidRPr="006760C6">
      <w:rPr>
        <w:b/>
        <w:color w:val="FFFFFF" w:themeColor="background1"/>
        <w:sz w:val="14"/>
        <w:szCs w:val="14"/>
      </w:rPr>
      <w:fldChar w:fldCharType="end"/>
    </w:r>
    <w:r w:rsidRPr="006760C6">
      <w:rPr>
        <w:b/>
        <w:color w:val="FFFFFF" w:themeColor="background1"/>
        <w:sz w:val="14"/>
        <w:szCs w:val="14"/>
      </w:rPr>
      <w:t xml:space="preserve">of </w:t>
    </w:r>
    <w:r w:rsidRPr="006760C6">
      <w:rPr>
        <w:b/>
        <w:color w:val="FFFFFF" w:themeColor="background1"/>
      </w:rPr>
      <w:fldChar w:fldCharType="begin"/>
    </w:r>
    <w:r w:rsidRPr="006760C6">
      <w:rPr>
        <w:b/>
        <w:color w:val="FFFFFF" w:themeColor="background1"/>
      </w:rPr>
      <w:instrText xml:space="preserve"> NUMPAGES   \* MERGEFORMAT </w:instrText>
    </w:r>
    <w:r w:rsidRPr="006760C6">
      <w:rPr>
        <w:b/>
        <w:color w:val="FFFFFF" w:themeColor="background1"/>
      </w:rPr>
      <w:fldChar w:fldCharType="separate"/>
    </w:r>
    <w:r w:rsidR="000F3246" w:rsidRPr="000F3246">
      <w:rPr>
        <w:b/>
        <w:noProof/>
        <w:color w:val="FFFFFF" w:themeColor="background1"/>
        <w:sz w:val="14"/>
        <w:szCs w:val="14"/>
      </w:rPr>
      <w:t>11</w:t>
    </w:r>
    <w:r w:rsidRPr="006760C6">
      <w:rPr>
        <w:b/>
        <w:color w:val="FFFFFF" w:themeColor="background1"/>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519C" w:rsidRDefault="009C519C" w:rsidP="001014D6">
      <w:r>
        <w:separator/>
      </w:r>
    </w:p>
  </w:footnote>
  <w:footnote w:type="continuationSeparator" w:id="0">
    <w:p w:rsidR="009C519C" w:rsidRDefault="009C519C" w:rsidP="00101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8" w:rsidRDefault="00514928">
    <w:pPr>
      <w:pStyle w:val="Header"/>
    </w:pPr>
    <w:r>
      <w:rPr>
        <w:noProof/>
        <w:lang w:eastAsia="en-GB"/>
      </w:rPr>
      <w:drawing>
        <wp:anchor distT="0" distB="0" distL="114300" distR="114300" simplePos="0" relativeHeight="251653120" behindDoc="1" locked="0" layoutInCell="1" allowOverlap="1" wp14:anchorId="5AF01925" wp14:editId="480181E3">
          <wp:simplePos x="0" y="0"/>
          <wp:positionH relativeFrom="column">
            <wp:posOffset>-1356360</wp:posOffset>
          </wp:positionH>
          <wp:positionV relativeFrom="page">
            <wp:posOffset>-1104900</wp:posOffset>
          </wp:positionV>
          <wp:extent cx="8229600" cy="1654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29600" cy="16547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49024" behindDoc="0" locked="0" layoutInCell="1" allowOverlap="1" wp14:anchorId="776BB003" wp14:editId="794C5BA5">
          <wp:simplePos x="0" y="0"/>
          <wp:positionH relativeFrom="page">
            <wp:posOffset>6970395</wp:posOffset>
          </wp:positionH>
          <wp:positionV relativeFrom="page">
            <wp:posOffset>1069340</wp:posOffset>
          </wp:positionV>
          <wp:extent cx="241200" cy="2376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row_cont2.png"/>
                  <pic:cNvPicPr/>
                </pic:nvPicPr>
                <pic:blipFill>
                  <a:blip r:embed="rId2">
                    <a:extLst>
                      <a:ext uri="{28A0092B-C50C-407E-A947-70E740481C1C}">
                        <a14:useLocalDpi xmlns:a14="http://schemas.microsoft.com/office/drawing/2010/main" val="0"/>
                      </a:ext>
                    </a:extLst>
                  </a:blip>
                  <a:stretch>
                    <a:fillRect/>
                  </a:stretch>
                </pic:blipFill>
                <pic:spPr>
                  <a:xfrm>
                    <a:off x="0" y="0"/>
                    <a:ext cx="241200" cy="2376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4928" w:rsidRDefault="00514928" w:rsidP="006760C6">
    <w:pPr>
      <w:pStyle w:val="Header"/>
      <w:tabs>
        <w:tab w:val="clear" w:pos="4513"/>
        <w:tab w:val="clear" w:pos="9026"/>
        <w:tab w:val="left" w:pos="2756"/>
      </w:tabs>
      <w:spacing w:after="2700"/>
    </w:pPr>
    <w:r>
      <w:rPr>
        <w:noProof/>
        <w:lang w:eastAsia="en-GB"/>
      </w:rPr>
      <w:drawing>
        <wp:anchor distT="0" distB="0" distL="114300" distR="114300" simplePos="0" relativeHeight="251657216" behindDoc="0" locked="0" layoutInCell="1" allowOverlap="1" wp14:anchorId="15E5DC3E" wp14:editId="2E3EEA4D">
          <wp:simplePos x="0" y="0"/>
          <wp:positionH relativeFrom="column">
            <wp:posOffset>4045443</wp:posOffset>
          </wp:positionH>
          <wp:positionV relativeFrom="paragraph">
            <wp:posOffset>13809</wp:posOffset>
          </wp:positionV>
          <wp:extent cx="2232000" cy="941078"/>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AMEMBERSERVIC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000" cy="941078"/>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5408" behindDoc="0" locked="0" layoutInCell="1" allowOverlap="1" wp14:anchorId="3EAF5328" wp14:editId="6715EE6F">
          <wp:simplePos x="0" y="0"/>
          <wp:positionH relativeFrom="page">
            <wp:posOffset>4932680</wp:posOffset>
          </wp:positionH>
          <wp:positionV relativeFrom="page">
            <wp:posOffset>2176463</wp:posOffset>
          </wp:positionV>
          <wp:extent cx="2290762" cy="1223962"/>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dress-Block1.png"/>
                  <pic:cNvPicPr/>
                </pic:nvPicPr>
                <pic:blipFill>
                  <a:blip r:embed="rId2"/>
                  <a:stretch>
                    <a:fillRect/>
                  </a:stretch>
                </pic:blipFill>
                <pic:spPr>
                  <a:xfrm>
                    <a:off x="0" y="0"/>
                    <a:ext cx="2290762" cy="1223962"/>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80759"/>
    <w:multiLevelType w:val="hybridMultilevel"/>
    <w:tmpl w:val="6D6C6AEE"/>
    <w:lvl w:ilvl="0" w:tplc="9D3A69A0">
      <w:start w:val="1"/>
      <w:numFmt w:val="bullet"/>
      <w:pStyle w:val="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56207"/>
    <w:multiLevelType w:val="hybridMultilevel"/>
    <w:tmpl w:val="EDF690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44DEA"/>
    <w:multiLevelType w:val="hybridMultilevel"/>
    <w:tmpl w:val="A1027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3B76A4"/>
    <w:multiLevelType w:val="hybridMultilevel"/>
    <w:tmpl w:val="A1A60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C12B8C"/>
    <w:multiLevelType w:val="hybridMultilevel"/>
    <w:tmpl w:val="CC2C3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6CE1D40"/>
    <w:multiLevelType w:val="hybridMultilevel"/>
    <w:tmpl w:val="1B247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46227"/>
    <w:multiLevelType w:val="hybridMultilevel"/>
    <w:tmpl w:val="BD088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B033F1"/>
    <w:multiLevelType w:val="hybridMultilevel"/>
    <w:tmpl w:val="D872285C"/>
    <w:lvl w:ilvl="0" w:tplc="AE1ABD22">
      <w:start w:val="1"/>
      <w:numFmt w:val="bullet"/>
      <w:pStyle w:val="BulletedTextLevel1"/>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E57428"/>
    <w:multiLevelType w:val="hybridMultilevel"/>
    <w:tmpl w:val="01380C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4C21CA"/>
    <w:multiLevelType w:val="hybridMultilevel"/>
    <w:tmpl w:val="BD088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5D5FAC"/>
    <w:multiLevelType w:val="hybridMultilevel"/>
    <w:tmpl w:val="1B247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32576"/>
    <w:multiLevelType w:val="hybridMultilevel"/>
    <w:tmpl w:val="B6603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67536E0"/>
    <w:multiLevelType w:val="hybridMultilevel"/>
    <w:tmpl w:val="BD088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DE3D54"/>
    <w:multiLevelType w:val="hybridMultilevel"/>
    <w:tmpl w:val="1A78AEB4"/>
    <w:lvl w:ilvl="0" w:tplc="122EBFE6">
      <w:start w:val="1"/>
      <w:numFmt w:val="bullet"/>
      <w:pStyle w:val="BulletedTextLevel3"/>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5D4AE2"/>
    <w:multiLevelType w:val="hybridMultilevel"/>
    <w:tmpl w:val="BD088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652F28"/>
    <w:multiLevelType w:val="multilevel"/>
    <w:tmpl w:val="BD0881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71D28F0"/>
    <w:multiLevelType w:val="hybridMultilevel"/>
    <w:tmpl w:val="6FA44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0D1DFA"/>
    <w:multiLevelType w:val="hybridMultilevel"/>
    <w:tmpl w:val="AE1269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BC642E"/>
    <w:multiLevelType w:val="hybridMultilevel"/>
    <w:tmpl w:val="2834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F40513"/>
    <w:multiLevelType w:val="hybridMultilevel"/>
    <w:tmpl w:val="BD088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BD520F8"/>
    <w:multiLevelType w:val="hybridMultilevel"/>
    <w:tmpl w:val="0116F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C932281"/>
    <w:multiLevelType w:val="hybridMultilevel"/>
    <w:tmpl w:val="BD088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CE196A"/>
    <w:multiLevelType w:val="hybridMultilevel"/>
    <w:tmpl w:val="BD088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60728"/>
    <w:multiLevelType w:val="hybridMultilevel"/>
    <w:tmpl w:val="779AE7FC"/>
    <w:lvl w:ilvl="0" w:tplc="E51C1982">
      <w:start w:val="1"/>
      <w:numFmt w:val="bullet"/>
      <w:pStyle w:val="BulletedTextLevel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3"/>
  </w:num>
  <w:num w:numId="4">
    <w:abstractNumId w:val="0"/>
  </w:num>
  <w:num w:numId="5">
    <w:abstractNumId w:val="17"/>
  </w:num>
  <w:num w:numId="6">
    <w:abstractNumId w:val="22"/>
  </w:num>
  <w:num w:numId="7">
    <w:abstractNumId w:val="6"/>
  </w:num>
  <w:num w:numId="8">
    <w:abstractNumId w:val="12"/>
  </w:num>
  <w:num w:numId="9">
    <w:abstractNumId w:val="15"/>
  </w:num>
  <w:num w:numId="10">
    <w:abstractNumId w:val="4"/>
  </w:num>
  <w:num w:numId="11">
    <w:abstractNumId w:val="0"/>
  </w:num>
  <w:num w:numId="12">
    <w:abstractNumId w:val="19"/>
  </w:num>
  <w:num w:numId="13">
    <w:abstractNumId w:val="14"/>
  </w:num>
  <w:num w:numId="14">
    <w:abstractNumId w:val="9"/>
  </w:num>
  <w:num w:numId="15">
    <w:abstractNumId w:val="21"/>
  </w:num>
  <w:num w:numId="16">
    <w:abstractNumId w:val="10"/>
  </w:num>
  <w:num w:numId="17">
    <w:abstractNumId w:val="5"/>
  </w:num>
  <w:num w:numId="18">
    <w:abstractNumId w:val="8"/>
  </w:num>
  <w:num w:numId="19">
    <w:abstractNumId w:val="1"/>
  </w:num>
  <w:num w:numId="20">
    <w:abstractNumId w:val="20"/>
  </w:num>
  <w:num w:numId="21">
    <w:abstractNumId w:val="2"/>
  </w:num>
  <w:num w:numId="22">
    <w:abstractNumId w:val="16"/>
  </w:num>
  <w:num w:numId="23">
    <w:abstractNumId w:val="18"/>
  </w:num>
  <w:num w:numId="24">
    <w:abstractNumId w:val="3"/>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F15"/>
    <w:rsid w:val="00001906"/>
    <w:rsid w:val="00003543"/>
    <w:rsid w:val="0000438E"/>
    <w:rsid w:val="000076AC"/>
    <w:rsid w:val="00010E69"/>
    <w:rsid w:val="00012C87"/>
    <w:rsid w:val="000137BD"/>
    <w:rsid w:val="000140FD"/>
    <w:rsid w:val="0001577A"/>
    <w:rsid w:val="00016611"/>
    <w:rsid w:val="00020664"/>
    <w:rsid w:val="000207B4"/>
    <w:rsid w:val="00022324"/>
    <w:rsid w:val="00022FB5"/>
    <w:rsid w:val="00023E97"/>
    <w:rsid w:val="00024C68"/>
    <w:rsid w:val="000265B5"/>
    <w:rsid w:val="00026C4B"/>
    <w:rsid w:val="00030D97"/>
    <w:rsid w:val="000344D8"/>
    <w:rsid w:val="00034671"/>
    <w:rsid w:val="00040954"/>
    <w:rsid w:val="00040983"/>
    <w:rsid w:val="00040D31"/>
    <w:rsid w:val="00042079"/>
    <w:rsid w:val="00042B80"/>
    <w:rsid w:val="00044F17"/>
    <w:rsid w:val="00045BEC"/>
    <w:rsid w:val="000469A1"/>
    <w:rsid w:val="0004789A"/>
    <w:rsid w:val="00053FEF"/>
    <w:rsid w:val="00054B0A"/>
    <w:rsid w:val="00055061"/>
    <w:rsid w:val="0005697C"/>
    <w:rsid w:val="000572D8"/>
    <w:rsid w:val="000614A0"/>
    <w:rsid w:val="00061969"/>
    <w:rsid w:val="00065588"/>
    <w:rsid w:val="00067B07"/>
    <w:rsid w:val="000709FE"/>
    <w:rsid w:val="000728ED"/>
    <w:rsid w:val="00076032"/>
    <w:rsid w:val="0007617D"/>
    <w:rsid w:val="00083E03"/>
    <w:rsid w:val="00084EAA"/>
    <w:rsid w:val="00085178"/>
    <w:rsid w:val="00086A3A"/>
    <w:rsid w:val="00086D43"/>
    <w:rsid w:val="0009046A"/>
    <w:rsid w:val="00090D8F"/>
    <w:rsid w:val="000923AD"/>
    <w:rsid w:val="000943DB"/>
    <w:rsid w:val="000A0A45"/>
    <w:rsid w:val="000A2CF3"/>
    <w:rsid w:val="000A4FD6"/>
    <w:rsid w:val="000A508C"/>
    <w:rsid w:val="000A5BF7"/>
    <w:rsid w:val="000A5C4C"/>
    <w:rsid w:val="000A5E2C"/>
    <w:rsid w:val="000B0C40"/>
    <w:rsid w:val="000B2A19"/>
    <w:rsid w:val="000B481D"/>
    <w:rsid w:val="000B4F9A"/>
    <w:rsid w:val="000B55B9"/>
    <w:rsid w:val="000B69F4"/>
    <w:rsid w:val="000B7D83"/>
    <w:rsid w:val="000C0CFF"/>
    <w:rsid w:val="000C2C01"/>
    <w:rsid w:val="000C5DF3"/>
    <w:rsid w:val="000C73B1"/>
    <w:rsid w:val="000D0F5D"/>
    <w:rsid w:val="000D1A51"/>
    <w:rsid w:val="000D30E5"/>
    <w:rsid w:val="000D4161"/>
    <w:rsid w:val="000D425A"/>
    <w:rsid w:val="000D435E"/>
    <w:rsid w:val="000E4116"/>
    <w:rsid w:val="000E5F7D"/>
    <w:rsid w:val="000F05B4"/>
    <w:rsid w:val="000F101C"/>
    <w:rsid w:val="000F2D6D"/>
    <w:rsid w:val="000F3246"/>
    <w:rsid w:val="000F4975"/>
    <w:rsid w:val="000F638E"/>
    <w:rsid w:val="001014D6"/>
    <w:rsid w:val="00102F3C"/>
    <w:rsid w:val="00103959"/>
    <w:rsid w:val="00103F1F"/>
    <w:rsid w:val="001066B9"/>
    <w:rsid w:val="00106F0C"/>
    <w:rsid w:val="00110856"/>
    <w:rsid w:val="0011222D"/>
    <w:rsid w:val="0011369D"/>
    <w:rsid w:val="00114282"/>
    <w:rsid w:val="001154A8"/>
    <w:rsid w:val="00120563"/>
    <w:rsid w:val="00122674"/>
    <w:rsid w:val="00122C34"/>
    <w:rsid w:val="001233A0"/>
    <w:rsid w:val="001266ED"/>
    <w:rsid w:val="00127452"/>
    <w:rsid w:val="0012758C"/>
    <w:rsid w:val="00132933"/>
    <w:rsid w:val="00132A6D"/>
    <w:rsid w:val="00132C2A"/>
    <w:rsid w:val="0013322D"/>
    <w:rsid w:val="00135040"/>
    <w:rsid w:val="001376F8"/>
    <w:rsid w:val="00140EA2"/>
    <w:rsid w:val="00141D30"/>
    <w:rsid w:val="00141DFB"/>
    <w:rsid w:val="001510F4"/>
    <w:rsid w:val="00151238"/>
    <w:rsid w:val="00151424"/>
    <w:rsid w:val="00154896"/>
    <w:rsid w:val="001548D6"/>
    <w:rsid w:val="00155632"/>
    <w:rsid w:val="001565D1"/>
    <w:rsid w:val="00161CF8"/>
    <w:rsid w:val="0016308C"/>
    <w:rsid w:val="0016334B"/>
    <w:rsid w:val="00167D5F"/>
    <w:rsid w:val="001721B0"/>
    <w:rsid w:val="00174A7F"/>
    <w:rsid w:val="00182AC8"/>
    <w:rsid w:val="001835ED"/>
    <w:rsid w:val="001849C0"/>
    <w:rsid w:val="00186A30"/>
    <w:rsid w:val="00186BCE"/>
    <w:rsid w:val="00187A55"/>
    <w:rsid w:val="00187C35"/>
    <w:rsid w:val="0019068A"/>
    <w:rsid w:val="00194548"/>
    <w:rsid w:val="001A1CD8"/>
    <w:rsid w:val="001A7F1C"/>
    <w:rsid w:val="001B51EE"/>
    <w:rsid w:val="001B5E3D"/>
    <w:rsid w:val="001C14C1"/>
    <w:rsid w:val="001C4FBB"/>
    <w:rsid w:val="001C5103"/>
    <w:rsid w:val="001C6F02"/>
    <w:rsid w:val="001C7B0A"/>
    <w:rsid w:val="001D263C"/>
    <w:rsid w:val="001D40A5"/>
    <w:rsid w:val="001D5272"/>
    <w:rsid w:val="001D72C0"/>
    <w:rsid w:val="001E0444"/>
    <w:rsid w:val="001E0472"/>
    <w:rsid w:val="001E0847"/>
    <w:rsid w:val="001E0FE3"/>
    <w:rsid w:val="001E611B"/>
    <w:rsid w:val="001F0084"/>
    <w:rsid w:val="001F12BA"/>
    <w:rsid w:val="001F3C90"/>
    <w:rsid w:val="001F49F0"/>
    <w:rsid w:val="001F7FEF"/>
    <w:rsid w:val="002000A9"/>
    <w:rsid w:val="0020294F"/>
    <w:rsid w:val="00206780"/>
    <w:rsid w:val="00207212"/>
    <w:rsid w:val="0021152F"/>
    <w:rsid w:val="00211598"/>
    <w:rsid w:val="00212AEF"/>
    <w:rsid w:val="00217C64"/>
    <w:rsid w:val="002210A8"/>
    <w:rsid w:val="00233732"/>
    <w:rsid w:val="0023408C"/>
    <w:rsid w:val="002343FF"/>
    <w:rsid w:val="00235470"/>
    <w:rsid w:val="002369C7"/>
    <w:rsid w:val="00236C4C"/>
    <w:rsid w:val="00237990"/>
    <w:rsid w:val="002425C1"/>
    <w:rsid w:val="002462CD"/>
    <w:rsid w:val="00246B71"/>
    <w:rsid w:val="00251099"/>
    <w:rsid w:val="00252FA2"/>
    <w:rsid w:val="00256ACD"/>
    <w:rsid w:val="002612BA"/>
    <w:rsid w:val="00261D68"/>
    <w:rsid w:val="00264608"/>
    <w:rsid w:val="002667AB"/>
    <w:rsid w:val="002669E5"/>
    <w:rsid w:val="00267F99"/>
    <w:rsid w:val="002711AE"/>
    <w:rsid w:val="00276FB4"/>
    <w:rsid w:val="002773D7"/>
    <w:rsid w:val="00282BEB"/>
    <w:rsid w:val="00283464"/>
    <w:rsid w:val="002835FB"/>
    <w:rsid w:val="00283F1E"/>
    <w:rsid w:val="00283F9C"/>
    <w:rsid w:val="00284263"/>
    <w:rsid w:val="00286A17"/>
    <w:rsid w:val="00290DBA"/>
    <w:rsid w:val="00291CBC"/>
    <w:rsid w:val="002924C8"/>
    <w:rsid w:val="00295F00"/>
    <w:rsid w:val="002A1494"/>
    <w:rsid w:val="002A1F89"/>
    <w:rsid w:val="002A2639"/>
    <w:rsid w:val="002A70B6"/>
    <w:rsid w:val="002B00F8"/>
    <w:rsid w:val="002B0121"/>
    <w:rsid w:val="002B44E8"/>
    <w:rsid w:val="002C0A77"/>
    <w:rsid w:val="002C4A40"/>
    <w:rsid w:val="002C4F58"/>
    <w:rsid w:val="002C6F2C"/>
    <w:rsid w:val="002C700C"/>
    <w:rsid w:val="002D3E53"/>
    <w:rsid w:val="002D7339"/>
    <w:rsid w:val="002E0877"/>
    <w:rsid w:val="002E10A1"/>
    <w:rsid w:val="002E2294"/>
    <w:rsid w:val="002E2808"/>
    <w:rsid w:val="002E5506"/>
    <w:rsid w:val="002E724B"/>
    <w:rsid w:val="002E748E"/>
    <w:rsid w:val="002F3438"/>
    <w:rsid w:val="002F5017"/>
    <w:rsid w:val="002F689D"/>
    <w:rsid w:val="00302770"/>
    <w:rsid w:val="0030290F"/>
    <w:rsid w:val="00303A81"/>
    <w:rsid w:val="003076AC"/>
    <w:rsid w:val="0030794F"/>
    <w:rsid w:val="003115C3"/>
    <w:rsid w:val="00311861"/>
    <w:rsid w:val="00312C34"/>
    <w:rsid w:val="00312F86"/>
    <w:rsid w:val="0031353B"/>
    <w:rsid w:val="003142C7"/>
    <w:rsid w:val="00314A7C"/>
    <w:rsid w:val="00316686"/>
    <w:rsid w:val="00317D9E"/>
    <w:rsid w:val="00320C1F"/>
    <w:rsid w:val="00321305"/>
    <w:rsid w:val="0032357A"/>
    <w:rsid w:val="00323D1B"/>
    <w:rsid w:val="00324801"/>
    <w:rsid w:val="00324B40"/>
    <w:rsid w:val="0032528A"/>
    <w:rsid w:val="003260EB"/>
    <w:rsid w:val="00326AAA"/>
    <w:rsid w:val="00327555"/>
    <w:rsid w:val="00331105"/>
    <w:rsid w:val="00334000"/>
    <w:rsid w:val="00336C70"/>
    <w:rsid w:val="00337D78"/>
    <w:rsid w:val="00340407"/>
    <w:rsid w:val="0034063B"/>
    <w:rsid w:val="00341FCE"/>
    <w:rsid w:val="003457D7"/>
    <w:rsid w:val="00346614"/>
    <w:rsid w:val="00347DF4"/>
    <w:rsid w:val="003507C3"/>
    <w:rsid w:val="00350D79"/>
    <w:rsid w:val="00351BA6"/>
    <w:rsid w:val="003523B9"/>
    <w:rsid w:val="00353A93"/>
    <w:rsid w:val="00353FFD"/>
    <w:rsid w:val="00356C65"/>
    <w:rsid w:val="00357D81"/>
    <w:rsid w:val="00366A28"/>
    <w:rsid w:val="003679F6"/>
    <w:rsid w:val="003741AC"/>
    <w:rsid w:val="00375011"/>
    <w:rsid w:val="003778E4"/>
    <w:rsid w:val="00380F76"/>
    <w:rsid w:val="00385800"/>
    <w:rsid w:val="00385CB5"/>
    <w:rsid w:val="0039027B"/>
    <w:rsid w:val="00390ACE"/>
    <w:rsid w:val="00391DDA"/>
    <w:rsid w:val="00393590"/>
    <w:rsid w:val="003941D6"/>
    <w:rsid w:val="003944D9"/>
    <w:rsid w:val="0039584B"/>
    <w:rsid w:val="003A089C"/>
    <w:rsid w:val="003A2A2C"/>
    <w:rsid w:val="003A330B"/>
    <w:rsid w:val="003A3C60"/>
    <w:rsid w:val="003A5800"/>
    <w:rsid w:val="003A5E5C"/>
    <w:rsid w:val="003B3BED"/>
    <w:rsid w:val="003B44CD"/>
    <w:rsid w:val="003B4A59"/>
    <w:rsid w:val="003B6871"/>
    <w:rsid w:val="003B6CAA"/>
    <w:rsid w:val="003B6E00"/>
    <w:rsid w:val="003C108A"/>
    <w:rsid w:val="003C2DE2"/>
    <w:rsid w:val="003C645D"/>
    <w:rsid w:val="003C7B28"/>
    <w:rsid w:val="003C7D5A"/>
    <w:rsid w:val="003D02BD"/>
    <w:rsid w:val="003D13F7"/>
    <w:rsid w:val="003D1C0A"/>
    <w:rsid w:val="003D3D5B"/>
    <w:rsid w:val="003D63D6"/>
    <w:rsid w:val="003E0304"/>
    <w:rsid w:val="003E2029"/>
    <w:rsid w:val="003E2A4E"/>
    <w:rsid w:val="003E2FDD"/>
    <w:rsid w:val="003E3627"/>
    <w:rsid w:val="003E4472"/>
    <w:rsid w:val="003E661B"/>
    <w:rsid w:val="003F047F"/>
    <w:rsid w:val="003F1C5D"/>
    <w:rsid w:val="003F6FCC"/>
    <w:rsid w:val="00403E11"/>
    <w:rsid w:val="00404AEC"/>
    <w:rsid w:val="00405011"/>
    <w:rsid w:val="00407A8C"/>
    <w:rsid w:val="00407B0B"/>
    <w:rsid w:val="0041070E"/>
    <w:rsid w:val="004123A3"/>
    <w:rsid w:val="00413728"/>
    <w:rsid w:val="00416BD8"/>
    <w:rsid w:val="00420D12"/>
    <w:rsid w:val="004217DF"/>
    <w:rsid w:val="00421DE6"/>
    <w:rsid w:val="004254CD"/>
    <w:rsid w:val="00432D43"/>
    <w:rsid w:val="00433F99"/>
    <w:rsid w:val="0044042F"/>
    <w:rsid w:val="00440604"/>
    <w:rsid w:val="00440780"/>
    <w:rsid w:val="004411DA"/>
    <w:rsid w:val="00442E2E"/>
    <w:rsid w:val="00443A76"/>
    <w:rsid w:val="00444F4A"/>
    <w:rsid w:val="00445736"/>
    <w:rsid w:val="00445C19"/>
    <w:rsid w:val="0044703A"/>
    <w:rsid w:val="004522B2"/>
    <w:rsid w:val="00454437"/>
    <w:rsid w:val="00454488"/>
    <w:rsid w:val="00454B20"/>
    <w:rsid w:val="004568D5"/>
    <w:rsid w:val="00460544"/>
    <w:rsid w:val="004619EE"/>
    <w:rsid w:val="004624EA"/>
    <w:rsid w:val="00462C42"/>
    <w:rsid w:val="00463941"/>
    <w:rsid w:val="00464638"/>
    <w:rsid w:val="004664AA"/>
    <w:rsid w:val="004664D1"/>
    <w:rsid w:val="0047335A"/>
    <w:rsid w:val="004744C1"/>
    <w:rsid w:val="004759C0"/>
    <w:rsid w:val="00480091"/>
    <w:rsid w:val="0048575F"/>
    <w:rsid w:val="00486330"/>
    <w:rsid w:val="00490B5D"/>
    <w:rsid w:val="00491F9D"/>
    <w:rsid w:val="00496622"/>
    <w:rsid w:val="004A2B0C"/>
    <w:rsid w:val="004A2CE4"/>
    <w:rsid w:val="004A3748"/>
    <w:rsid w:val="004A46F9"/>
    <w:rsid w:val="004A5D24"/>
    <w:rsid w:val="004B2050"/>
    <w:rsid w:val="004B2088"/>
    <w:rsid w:val="004B21F7"/>
    <w:rsid w:val="004B3A00"/>
    <w:rsid w:val="004B3BD4"/>
    <w:rsid w:val="004C0293"/>
    <w:rsid w:val="004C1060"/>
    <w:rsid w:val="004C235C"/>
    <w:rsid w:val="004C412F"/>
    <w:rsid w:val="004C5E8B"/>
    <w:rsid w:val="004C6770"/>
    <w:rsid w:val="004D3FE3"/>
    <w:rsid w:val="004D5D9A"/>
    <w:rsid w:val="004E1B4B"/>
    <w:rsid w:val="004E34A6"/>
    <w:rsid w:val="004E3654"/>
    <w:rsid w:val="004E7CC1"/>
    <w:rsid w:val="00502756"/>
    <w:rsid w:val="005030D2"/>
    <w:rsid w:val="00503837"/>
    <w:rsid w:val="00504685"/>
    <w:rsid w:val="005046FB"/>
    <w:rsid w:val="00504E36"/>
    <w:rsid w:val="005052A9"/>
    <w:rsid w:val="0050541F"/>
    <w:rsid w:val="00506844"/>
    <w:rsid w:val="00507A3C"/>
    <w:rsid w:val="00511078"/>
    <w:rsid w:val="0051232F"/>
    <w:rsid w:val="00512D03"/>
    <w:rsid w:val="005133AB"/>
    <w:rsid w:val="005145E4"/>
    <w:rsid w:val="00514928"/>
    <w:rsid w:val="00514E11"/>
    <w:rsid w:val="0051581A"/>
    <w:rsid w:val="00517D78"/>
    <w:rsid w:val="005217CE"/>
    <w:rsid w:val="00521A89"/>
    <w:rsid w:val="00521B0B"/>
    <w:rsid w:val="00523610"/>
    <w:rsid w:val="00526E06"/>
    <w:rsid w:val="00527188"/>
    <w:rsid w:val="00527BB2"/>
    <w:rsid w:val="00527C44"/>
    <w:rsid w:val="00532FDD"/>
    <w:rsid w:val="00533A73"/>
    <w:rsid w:val="00534D7E"/>
    <w:rsid w:val="005350E5"/>
    <w:rsid w:val="005358D6"/>
    <w:rsid w:val="005359CC"/>
    <w:rsid w:val="00536C0F"/>
    <w:rsid w:val="0054227D"/>
    <w:rsid w:val="005429D8"/>
    <w:rsid w:val="00543578"/>
    <w:rsid w:val="0054417B"/>
    <w:rsid w:val="0054427A"/>
    <w:rsid w:val="00544BCB"/>
    <w:rsid w:val="005455E7"/>
    <w:rsid w:val="00547BB0"/>
    <w:rsid w:val="00547E0A"/>
    <w:rsid w:val="00554B11"/>
    <w:rsid w:val="00555CCE"/>
    <w:rsid w:val="00555D81"/>
    <w:rsid w:val="00556DB8"/>
    <w:rsid w:val="0055789F"/>
    <w:rsid w:val="005605EB"/>
    <w:rsid w:val="005627B3"/>
    <w:rsid w:val="00564557"/>
    <w:rsid w:val="005659E0"/>
    <w:rsid w:val="00567BCC"/>
    <w:rsid w:val="00567CEC"/>
    <w:rsid w:val="005709CF"/>
    <w:rsid w:val="005724F4"/>
    <w:rsid w:val="0057440F"/>
    <w:rsid w:val="00575DAB"/>
    <w:rsid w:val="005818C7"/>
    <w:rsid w:val="00584024"/>
    <w:rsid w:val="005850AC"/>
    <w:rsid w:val="00595259"/>
    <w:rsid w:val="00595668"/>
    <w:rsid w:val="005964DF"/>
    <w:rsid w:val="00596F57"/>
    <w:rsid w:val="005A001B"/>
    <w:rsid w:val="005A113B"/>
    <w:rsid w:val="005A2124"/>
    <w:rsid w:val="005A4C93"/>
    <w:rsid w:val="005B06B3"/>
    <w:rsid w:val="005B1676"/>
    <w:rsid w:val="005B1CD3"/>
    <w:rsid w:val="005B27C4"/>
    <w:rsid w:val="005B42CE"/>
    <w:rsid w:val="005B4B83"/>
    <w:rsid w:val="005B4E0B"/>
    <w:rsid w:val="005B6562"/>
    <w:rsid w:val="005B666B"/>
    <w:rsid w:val="005B6AAA"/>
    <w:rsid w:val="005C05DD"/>
    <w:rsid w:val="005C0F16"/>
    <w:rsid w:val="005C2EC5"/>
    <w:rsid w:val="005C4C7B"/>
    <w:rsid w:val="005C4FD6"/>
    <w:rsid w:val="005D16B5"/>
    <w:rsid w:val="005D2FDC"/>
    <w:rsid w:val="005D3F73"/>
    <w:rsid w:val="005D69C7"/>
    <w:rsid w:val="005E092B"/>
    <w:rsid w:val="005E11B8"/>
    <w:rsid w:val="005E133C"/>
    <w:rsid w:val="005E2C44"/>
    <w:rsid w:val="005E2F93"/>
    <w:rsid w:val="005E320D"/>
    <w:rsid w:val="005F0A9D"/>
    <w:rsid w:val="005F34AD"/>
    <w:rsid w:val="005F566D"/>
    <w:rsid w:val="00601A75"/>
    <w:rsid w:val="006033C9"/>
    <w:rsid w:val="00604070"/>
    <w:rsid w:val="00611214"/>
    <w:rsid w:val="00611841"/>
    <w:rsid w:val="006119F6"/>
    <w:rsid w:val="006123DA"/>
    <w:rsid w:val="006164D5"/>
    <w:rsid w:val="00616AEE"/>
    <w:rsid w:val="006177B1"/>
    <w:rsid w:val="00620CA8"/>
    <w:rsid w:val="0062146A"/>
    <w:rsid w:val="00623438"/>
    <w:rsid w:val="006250FB"/>
    <w:rsid w:val="00626A41"/>
    <w:rsid w:val="00631B4D"/>
    <w:rsid w:val="00636056"/>
    <w:rsid w:val="00636197"/>
    <w:rsid w:val="00641550"/>
    <w:rsid w:val="00642C7A"/>
    <w:rsid w:val="00644727"/>
    <w:rsid w:val="00647D37"/>
    <w:rsid w:val="0065382D"/>
    <w:rsid w:val="00655496"/>
    <w:rsid w:val="006569BF"/>
    <w:rsid w:val="0066201E"/>
    <w:rsid w:val="00662B78"/>
    <w:rsid w:val="00664244"/>
    <w:rsid w:val="006702D7"/>
    <w:rsid w:val="00671942"/>
    <w:rsid w:val="006742A9"/>
    <w:rsid w:val="006760C6"/>
    <w:rsid w:val="00680A12"/>
    <w:rsid w:val="00681E63"/>
    <w:rsid w:val="006827FA"/>
    <w:rsid w:val="00683816"/>
    <w:rsid w:val="0068414F"/>
    <w:rsid w:val="006871D2"/>
    <w:rsid w:val="00687486"/>
    <w:rsid w:val="00690845"/>
    <w:rsid w:val="00691B93"/>
    <w:rsid w:val="00693F52"/>
    <w:rsid w:val="00694FD7"/>
    <w:rsid w:val="0069558F"/>
    <w:rsid w:val="006962E2"/>
    <w:rsid w:val="00696415"/>
    <w:rsid w:val="006970D5"/>
    <w:rsid w:val="006A0026"/>
    <w:rsid w:val="006A0369"/>
    <w:rsid w:val="006A0BE3"/>
    <w:rsid w:val="006A1E06"/>
    <w:rsid w:val="006A2CFF"/>
    <w:rsid w:val="006A483F"/>
    <w:rsid w:val="006A4DCE"/>
    <w:rsid w:val="006A524C"/>
    <w:rsid w:val="006B07BD"/>
    <w:rsid w:val="006B0D07"/>
    <w:rsid w:val="006B1B3E"/>
    <w:rsid w:val="006B4907"/>
    <w:rsid w:val="006C04A1"/>
    <w:rsid w:val="006C211F"/>
    <w:rsid w:val="006C5984"/>
    <w:rsid w:val="006D0163"/>
    <w:rsid w:val="006D0CEF"/>
    <w:rsid w:val="006D1554"/>
    <w:rsid w:val="006D187C"/>
    <w:rsid w:val="006D52B3"/>
    <w:rsid w:val="006D7667"/>
    <w:rsid w:val="006E36A2"/>
    <w:rsid w:val="006E45D6"/>
    <w:rsid w:val="006E6F58"/>
    <w:rsid w:val="006F4575"/>
    <w:rsid w:val="006F4914"/>
    <w:rsid w:val="006F652B"/>
    <w:rsid w:val="006F7AC4"/>
    <w:rsid w:val="007003D6"/>
    <w:rsid w:val="00700DA9"/>
    <w:rsid w:val="00704544"/>
    <w:rsid w:val="007045B4"/>
    <w:rsid w:val="00704658"/>
    <w:rsid w:val="00705EEA"/>
    <w:rsid w:val="00710621"/>
    <w:rsid w:val="007116B9"/>
    <w:rsid w:val="00712766"/>
    <w:rsid w:val="00714921"/>
    <w:rsid w:val="007153F5"/>
    <w:rsid w:val="00716F10"/>
    <w:rsid w:val="007204BE"/>
    <w:rsid w:val="00720590"/>
    <w:rsid w:val="007210F6"/>
    <w:rsid w:val="00721517"/>
    <w:rsid w:val="00722573"/>
    <w:rsid w:val="00726136"/>
    <w:rsid w:val="00727DE0"/>
    <w:rsid w:val="00730977"/>
    <w:rsid w:val="00730FD8"/>
    <w:rsid w:val="00731214"/>
    <w:rsid w:val="00737AC0"/>
    <w:rsid w:val="00754652"/>
    <w:rsid w:val="00755FF6"/>
    <w:rsid w:val="007614FE"/>
    <w:rsid w:val="00763A2A"/>
    <w:rsid w:val="00764992"/>
    <w:rsid w:val="00764DC7"/>
    <w:rsid w:val="00765431"/>
    <w:rsid w:val="00767F4B"/>
    <w:rsid w:val="00775E80"/>
    <w:rsid w:val="00776AA0"/>
    <w:rsid w:val="00777149"/>
    <w:rsid w:val="00777F1C"/>
    <w:rsid w:val="00777FD4"/>
    <w:rsid w:val="00781BD3"/>
    <w:rsid w:val="00782A86"/>
    <w:rsid w:val="007907D8"/>
    <w:rsid w:val="00791B53"/>
    <w:rsid w:val="00791DE8"/>
    <w:rsid w:val="00792C02"/>
    <w:rsid w:val="007946AB"/>
    <w:rsid w:val="007951EE"/>
    <w:rsid w:val="007A039C"/>
    <w:rsid w:val="007A146B"/>
    <w:rsid w:val="007A1FC0"/>
    <w:rsid w:val="007A2DD4"/>
    <w:rsid w:val="007A4429"/>
    <w:rsid w:val="007A75A3"/>
    <w:rsid w:val="007B21B7"/>
    <w:rsid w:val="007B2C27"/>
    <w:rsid w:val="007B37A4"/>
    <w:rsid w:val="007B55B2"/>
    <w:rsid w:val="007B60E9"/>
    <w:rsid w:val="007B65E5"/>
    <w:rsid w:val="007B7594"/>
    <w:rsid w:val="007C3284"/>
    <w:rsid w:val="007C373E"/>
    <w:rsid w:val="007C391B"/>
    <w:rsid w:val="007C4D99"/>
    <w:rsid w:val="007C5751"/>
    <w:rsid w:val="007C5C52"/>
    <w:rsid w:val="007C6874"/>
    <w:rsid w:val="007D2F4E"/>
    <w:rsid w:val="007D4217"/>
    <w:rsid w:val="007D448E"/>
    <w:rsid w:val="007D74BC"/>
    <w:rsid w:val="007E0983"/>
    <w:rsid w:val="007E31F6"/>
    <w:rsid w:val="007E4ECF"/>
    <w:rsid w:val="007E6055"/>
    <w:rsid w:val="007F0CD0"/>
    <w:rsid w:val="007F25F8"/>
    <w:rsid w:val="007F5293"/>
    <w:rsid w:val="007F5A32"/>
    <w:rsid w:val="007F5ED6"/>
    <w:rsid w:val="00800772"/>
    <w:rsid w:val="00800C11"/>
    <w:rsid w:val="008039FF"/>
    <w:rsid w:val="00806CE2"/>
    <w:rsid w:val="00810E06"/>
    <w:rsid w:val="00810F18"/>
    <w:rsid w:val="008124D3"/>
    <w:rsid w:val="00813926"/>
    <w:rsid w:val="0081420B"/>
    <w:rsid w:val="00814E07"/>
    <w:rsid w:val="00817364"/>
    <w:rsid w:val="00820807"/>
    <w:rsid w:val="008231F7"/>
    <w:rsid w:val="00823EED"/>
    <w:rsid w:val="00823F45"/>
    <w:rsid w:val="00824B41"/>
    <w:rsid w:val="0082656C"/>
    <w:rsid w:val="00826BEF"/>
    <w:rsid w:val="00826E83"/>
    <w:rsid w:val="0082771D"/>
    <w:rsid w:val="008308FA"/>
    <w:rsid w:val="00830DAE"/>
    <w:rsid w:val="00831716"/>
    <w:rsid w:val="00833037"/>
    <w:rsid w:val="0083326B"/>
    <w:rsid w:val="008370BA"/>
    <w:rsid w:val="00837914"/>
    <w:rsid w:val="00837B8C"/>
    <w:rsid w:val="008410A2"/>
    <w:rsid w:val="008431B5"/>
    <w:rsid w:val="008439CB"/>
    <w:rsid w:val="008444CD"/>
    <w:rsid w:val="00846105"/>
    <w:rsid w:val="00850D17"/>
    <w:rsid w:val="00851DEA"/>
    <w:rsid w:val="00856CCA"/>
    <w:rsid w:val="0086082C"/>
    <w:rsid w:val="0086256A"/>
    <w:rsid w:val="00863021"/>
    <w:rsid w:val="00863D03"/>
    <w:rsid w:val="008647AD"/>
    <w:rsid w:val="00866B97"/>
    <w:rsid w:val="008702B4"/>
    <w:rsid w:val="00871B6E"/>
    <w:rsid w:val="008742BC"/>
    <w:rsid w:val="00876BC5"/>
    <w:rsid w:val="008773C8"/>
    <w:rsid w:val="0088070D"/>
    <w:rsid w:val="00880BC9"/>
    <w:rsid w:val="00880BF6"/>
    <w:rsid w:val="00882229"/>
    <w:rsid w:val="008840B7"/>
    <w:rsid w:val="00884C8B"/>
    <w:rsid w:val="0088513C"/>
    <w:rsid w:val="00885E2C"/>
    <w:rsid w:val="00890809"/>
    <w:rsid w:val="008953FE"/>
    <w:rsid w:val="00896605"/>
    <w:rsid w:val="00897456"/>
    <w:rsid w:val="008A1F69"/>
    <w:rsid w:val="008A23B8"/>
    <w:rsid w:val="008A3EFE"/>
    <w:rsid w:val="008A5270"/>
    <w:rsid w:val="008B085D"/>
    <w:rsid w:val="008B6309"/>
    <w:rsid w:val="008C3B70"/>
    <w:rsid w:val="008C560A"/>
    <w:rsid w:val="008C58FF"/>
    <w:rsid w:val="008C592F"/>
    <w:rsid w:val="008C62A0"/>
    <w:rsid w:val="008C665D"/>
    <w:rsid w:val="008D0B22"/>
    <w:rsid w:val="008D4B5E"/>
    <w:rsid w:val="008E03E8"/>
    <w:rsid w:val="008E1C02"/>
    <w:rsid w:val="008E3F40"/>
    <w:rsid w:val="008F12E8"/>
    <w:rsid w:val="008F20D6"/>
    <w:rsid w:val="008F4780"/>
    <w:rsid w:val="008F50DD"/>
    <w:rsid w:val="008F58A0"/>
    <w:rsid w:val="008F60B8"/>
    <w:rsid w:val="00902F68"/>
    <w:rsid w:val="009042B9"/>
    <w:rsid w:val="009046D1"/>
    <w:rsid w:val="00905163"/>
    <w:rsid w:val="00905A49"/>
    <w:rsid w:val="0090740A"/>
    <w:rsid w:val="00907DCB"/>
    <w:rsid w:val="009110DA"/>
    <w:rsid w:val="009169AA"/>
    <w:rsid w:val="0091776F"/>
    <w:rsid w:val="00922A39"/>
    <w:rsid w:val="00924961"/>
    <w:rsid w:val="009256E7"/>
    <w:rsid w:val="00926AC2"/>
    <w:rsid w:val="0093064A"/>
    <w:rsid w:val="00932430"/>
    <w:rsid w:val="009332D4"/>
    <w:rsid w:val="0094012D"/>
    <w:rsid w:val="009408B6"/>
    <w:rsid w:val="009416CD"/>
    <w:rsid w:val="00942171"/>
    <w:rsid w:val="009434DF"/>
    <w:rsid w:val="009437BC"/>
    <w:rsid w:val="009460F3"/>
    <w:rsid w:val="009511BA"/>
    <w:rsid w:val="00951318"/>
    <w:rsid w:val="00952F68"/>
    <w:rsid w:val="009549B8"/>
    <w:rsid w:val="00957751"/>
    <w:rsid w:val="00957D0C"/>
    <w:rsid w:val="00957D9A"/>
    <w:rsid w:val="00961D94"/>
    <w:rsid w:val="00962617"/>
    <w:rsid w:val="00965B29"/>
    <w:rsid w:val="00966065"/>
    <w:rsid w:val="009831EE"/>
    <w:rsid w:val="00984159"/>
    <w:rsid w:val="009850F3"/>
    <w:rsid w:val="00987A0A"/>
    <w:rsid w:val="009906CF"/>
    <w:rsid w:val="00991505"/>
    <w:rsid w:val="00993A9E"/>
    <w:rsid w:val="00996778"/>
    <w:rsid w:val="009A6142"/>
    <w:rsid w:val="009A7131"/>
    <w:rsid w:val="009B23BB"/>
    <w:rsid w:val="009B3130"/>
    <w:rsid w:val="009B3179"/>
    <w:rsid w:val="009B6D78"/>
    <w:rsid w:val="009C0D2B"/>
    <w:rsid w:val="009C519C"/>
    <w:rsid w:val="009C68FC"/>
    <w:rsid w:val="009D2286"/>
    <w:rsid w:val="009D2EF6"/>
    <w:rsid w:val="009D46C0"/>
    <w:rsid w:val="009D55AD"/>
    <w:rsid w:val="009D6EDF"/>
    <w:rsid w:val="009D74E5"/>
    <w:rsid w:val="009D7A5F"/>
    <w:rsid w:val="009E0156"/>
    <w:rsid w:val="009E3BCD"/>
    <w:rsid w:val="009E4510"/>
    <w:rsid w:val="009E59CF"/>
    <w:rsid w:val="009E5BBD"/>
    <w:rsid w:val="009F18EF"/>
    <w:rsid w:val="009F402E"/>
    <w:rsid w:val="009F4AAA"/>
    <w:rsid w:val="009F619A"/>
    <w:rsid w:val="00A006EE"/>
    <w:rsid w:val="00A01F8E"/>
    <w:rsid w:val="00A032B0"/>
    <w:rsid w:val="00A05563"/>
    <w:rsid w:val="00A05828"/>
    <w:rsid w:val="00A06E48"/>
    <w:rsid w:val="00A10C13"/>
    <w:rsid w:val="00A1191D"/>
    <w:rsid w:val="00A13BEC"/>
    <w:rsid w:val="00A14BC9"/>
    <w:rsid w:val="00A15FA7"/>
    <w:rsid w:val="00A16552"/>
    <w:rsid w:val="00A17D65"/>
    <w:rsid w:val="00A203E6"/>
    <w:rsid w:val="00A20601"/>
    <w:rsid w:val="00A22A8D"/>
    <w:rsid w:val="00A22A95"/>
    <w:rsid w:val="00A2592B"/>
    <w:rsid w:val="00A303E6"/>
    <w:rsid w:val="00A30A41"/>
    <w:rsid w:val="00A365DF"/>
    <w:rsid w:val="00A36C19"/>
    <w:rsid w:val="00A36C5D"/>
    <w:rsid w:val="00A36D6E"/>
    <w:rsid w:val="00A44254"/>
    <w:rsid w:val="00A45077"/>
    <w:rsid w:val="00A47365"/>
    <w:rsid w:val="00A50ABD"/>
    <w:rsid w:val="00A51B38"/>
    <w:rsid w:val="00A5257B"/>
    <w:rsid w:val="00A535EC"/>
    <w:rsid w:val="00A5481E"/>
    <w:rsid w:val="00A55306"/>
    <w:rsid w:val="00A5540E"/>
    <w:rsid w:val="00A6096E"/>
    <w:rsid w:val="00A61FA1"/>
    <w:rsid w:val="00A70E54"/>
    <w:rsid w:val="00A73CF5"/>
    <w:rsid w:val="00A75CC4"/>
    <w:rsid w:val="00A7623C"/>
    <w:rsid w:val="00A80D86"/>
    <w:rsid w:val="00A80DD0"/>
    <w:rsid w:val="00A8573C"/>
    <w:rsid w:val="00A86315"/>
    <w:rsid w:val="00A86F8D"/>
    <w:rsid w:val="00A877B4"/>
    <w:rsid w:val="00A92DA3"/>
    <w:rsid w:val="00A94F03"/>
    <w:rsid w:val="00A952DB"/>
    <w:rsid w:val="00A9575C"/>
    <w:rsid w:val="00A96762"/>
    <w:rsid w:val="00AA16EC"/>
    <w:rsid w:val="00AA223D"/>
    <w:rsid w:val="00AA3402"/>
    <w:rsid w:val="00AA49BD"/>
    <w:rsid w:val="00AA53DB"/>
    <w:rsid w:val="00AA5AD5"/>
    <w:rsid w:val="00AA5B57"/>
    <w:rsid w:val="00AA646B"/>
    <w:rsid w:val="00AB3255"/>
    <w:rsid w:val="00AB5E6E"/>
    <w:rsid w:val="00AB7786"/>
    <w:rsid w:val="00AC103D"/>
    <w:rsid w:val="00AC26BB"/>
    <w:rsid w:val="00AC5F71"/>
    <w:rsid w:val="00AD01B8"/>
    <w:rsid w:val="00AD038D"/>
    <w:rsid w:val="00AD1D18"/>
    <w:rsid w:val="00AD28DB"/>
    <w:rsid w:val="00AD53F7"/>
    <w:rsid w:val="00AD5AD0"/>
    <w:rsid w:val="00AE3BFF"/>
    <w:rsid w:val="00AF2049"/>
    <w:rsid w:val="00AF4F40"/>
    <w:rsid w:val="00B0155F"/>
    <w:rsid w:val="00B018B0"/>
    <w:rsid w:val="00B03862"/>
    <w:rsid w:val="00B04291"/>
    <w:rsid w:val="00B071AF"/>
    <w:rsid w:val="00B100DD"/>
    <w:rsid w:val="00B109D7"/>
    <w:rsid w:val="00B155DA"/>
    <w:rsid w:val="00B233B2"/>
    <w:rsid w:val="00B262C5"/>
    <w:rsid w:val="00B27F39"/>
    <w:rsid w:val="00B3032F"/>
    <w:rsid w:val="00B30DD6"/>
    <w:rsid w:val="00B31089"/>
    <w:rsid w:val="00B33DFF"/>
    <w:rsid w:val="00B342D7"/>
    <w:rsid w:val="00B371D4"/>
    <w:rsid w:val="00B4028C"/>
    <w:rsid w:val="00B41E8C"/>
    <w:rsid w:val="00B41F65"/>
    <w:rsid w:val="00B42964"/>
    <w:rsid w:val="00B43AB3"/>
    <w:rsid w:val="00B440AD"/>
    <w:rsid w:val="00B44504"/>
    <w:rsid w:val="00B458F5"/>
    <w:rsid w:val="00B45FAC"/>
    <w:rsid w:val="00B514D3"/>
    <w:rsid w:val="00B63A30"/>
    <w:rsid w:val="00B70247"/>
    <w:rsid w:val="00B77743"/>
    <w:rsid w:val="00B80399"/>
    <w:rsid w:val="00B80C33"/>
    <w:rsid w:val="00B81766"/>
    <w:rsid w:val="00B83F42"/>
    <w:rsid w:val="00B843B5"/>
    <w:rsid w:val="00B85C8F"/>
    <w:rsid w:val="00B8714E"/>
    <w:rsid w:val="00B87513"/>
    <w:rsid w:val="00B91139"/>
    <w:rsid w:val="00B91A6F"/>
    <w:rsid w:val="00B92D5F"/>
    <w:rsid w:val="00B93746"/>
    <w:rsid w:val="00B93895"/>
    <w:rsid w:val="00BA3C97"/>
    <w:rsid w:val="00BA6210"/>
    <w:rsid w:val="00BA6CF1"/>
    <w:rsid w:val="00BA6FDA"/>
    <w:rsid w:val="00BA728C"/>
    <w:rsid w:val="00BB241F"/>
    <w:rsid w:val="00BB51E3"/>
    <w:rsid w:val="00BB701E"/>
    <w:rsid w:val="00BC15EC"/>
    <w:rsid w:val="00BC354F"/>
    <w:rsid w:val="00BC4905"/>
    <w:rsid w:val="00BC67DE"/>
    <w:rsid w:val="00BD0AF0"/>
    <w:rsid w:val="00BD35FE"/>
    <w:rsid w:val="00BD538B"/>
    <w:rsid w:val="00BD6D47"/>
    <w:rsid w:val="00BE0CE0"/>
    <w:rsid w:val="00BE0E2B"/>
    <w:rsid w:val="00BE3D22"/>
    <w:rsid w:val="00BE45F2"/>
    <w:rsid w:val="00BE5432"/>
    <w:rsid w:val="00BE7B52"/>
    <w:rsid w:val="00BE7D27"/>
    <w:rsid w:val="00BF1BA8"/>
    <w:rsid w:val="00BF2A93"/>
    <w:rsid w:val="00BF2D3F"/>
    <w:rsid w:val="00BF5569"/>
    <w:rsid w:val="00C026A7"/>
    <w:rsid w:val="00C0399C"/>
    <w:rsid w:val="00C03DE2"/>
    <w:rsid w:val="00C03E88"/>
    <w:rsid w:val="00C03EC4"/>
    <w:rsid w:val="00C04144"/>
    <w:rsid w:val="00C051E0"/>
    <w:rsid w:val="00C077FE"/>
    <w:rsid w:val="00C136CA"/>
    <w:rsid w:val="00C13D1F"/>
    <w:rsid w:val="00C13D68"/>
    <w:rsid w:val="00C15C63"/>
    <w:rsid w:val="00C162DD"/>
    <w:rsid w:val="00C17B88"/>
    <w:rsid w:val="00C2045B"/>
    <w:rsid w:val="00C2270B"/>
    <w:rsid w:val="00C24057"/>
    <w:rsid w:val="00C267E5"/>
    <w:rsid w:val="00C30A01"/>
    <w:rsid w:val="00C335CD"/>
    <w:rsid w:val="00C34857"/>
    <w:rsid w:val="00C35FF4"/>
    <w:rsid w:val="00C40E96"/>
    <w:rsid w:val="00C417FD"/>
    <w:rsid w:val="00C41A93"/>
    <w:rsid w:val="00C41BF9"/>
    <w:rsid w:val="00C41E27"/>
    <w:rsid w:val="00C42897"/>
    <w:rsid w:val="00C47685"/>
    <w:rsid w:val="00C47714"/>
    <w:rsid w:val="00C534A7"/>
    <w:rsid w:val="00C5376F"/>
    <w:rsid w:val="00C5400D"/>
    <w:rsid w:val="00C57C93"/>
    <w:rsid w:val="00C60E36"/>
    <w:rsid w:val="00C63022"/>
    <w:rsid w:val="00C632AF"/>
    <w:rsid w:val="00C67DB4"/>
    <w:rsid w:val="00C704AC"/>
    <w:rsid w:val="00C74ACE"/>
    <w:rsid w:val="00C760B9"/>
    <w:rsid w:val="00C7747C"/>
    <w:rsid w:val="00C81336"/>
    <w:rsid w:val="00C8150F"/>
    <w:rsid w:val="00C830BF"/>
    <w:rsid w:val="00C83F9C"/>
    <w:rsid w:val="00C847A6"/>
    <w:rsid w:val="00C9046F"/>
    <w:rsid w:val="00C92EB7"/>
    <w:rsid w:val="00C93071"/>
    <w:rsid w:val="00C93936"/>
    <w:rsid w:val="00C975B0"/>
    <w:rsid w:val="00C97E84"/>
    <w:rsid w:val="00CA4089"/>
    <w:rsid w:val="00CA42F4"/>
    <w:rsid w:val="00CB1EC5"/>
    <w:rsid w:val="00CB228D"/>
    <w:rsid w:val="00CB23A8"/>
    <w:rsid w:val="00CB5057"/>
    <w:rsid w:val="00CB58E8"/>
    <w:rsid w:val="00CC0174"/>
    <w:rsid w:val="00CC50D1"/>
    <w:rsid w:val="00CC6291"/>
    <w:rsid w:val="00CC6824"/>
    <w:rsid w:val="00CD01EF"/>
    <w:rsid w:val="00CD431B"/>
    <w:rsid w:val="00CD48AA"/>
    <w:rsid w:val="00CD530A"/>
    <w:rsid w:val="00CE099C"/>
    <w:rsid w:val="00CE0E7E"/>
    <w:rsid w:val="00CE5960"/>
    <w:rsid w:val="00CE75F2"/>
    <w:rsid w:val="00CF5F2B"/>
    <w:rsid w:val="00CF7FF3"/>
    <w:rsid w:val="00D00DE3"/>
    <w:rsid w:val="00D0296F"/>
    <w:rsid w:val="00D0357B"/>
    <w:rsid w:val="00D03EB6"/>
    <w:rsid w:val="00D06B93"/>
    <w:rsid w:val="00D07360"/>
    <w:rsid w:val="00D10349"/>
    <w:rsid w:val="00D1154D"/>
    <w:rsid w:val="00D1245B"/>
    <w:rsid w:val="00D141E0"/>
    <w:rsid w:val="00D14898"/>
    <w:rsid w:val="00D14E74"/>
    <w:rsid w:val="00D15267"/>
    <w:rsid w:val="00D152F2"/>
    <w:rsid w:val="00D22EC3"/>
    <w:rsid w:val="00D23AB4"/>
    <w:rsid w:val="00D23F79"/>
    <w:rsid w:val="00D2628F"/>
    <w:rsid w:val="00D262F8"/>
    <w:rsid w:val="00D265DC"/>
    <w:rsid w:val="00D2661E"/>
    <w:rsid w:val="00D273CD"/>
    <w:rsid w:val="00D31741"/>
    <w:rsid w:val="00D340B3"/>
    <w:rsid w:val="00D34D81"/>
    <w:rsid w:val="00D34E78"/>
    <w:rsid w:val="00D35682"/>
    <w:rsid w:val="00D3584C"/>
    <w:rsid w:val="00D40C66"/>
    <w:rsid w:val="00D42C65"/>
    <w:rsid w:val="00D45F35"/>
    <w:rsid w:val="00D46CB7"/>
    <w:rsid w:val="00D47D20"/>
    <w:rsid w:val="00D50301"/>
    <w:rsid w:val="00D60B16"/>
    <w:rsid w:val="00D63BD5"/>
    <w:rsid w:val="00D63DCF"/>
    <w:rsid w:val="00D64746"/>
    <w:rsid w:val="00D65227"/>
    <w:rsid w:val="00D67FB0"/>
    <w:rsid w:val="00D7375C"/>
    <w:rsid w:val="00D74B33"/>
    <w:rsid w:val="00D7557D"/>
    <w:rsid w:val="00D757B5"/>
    <w:rsid w:val="00D772F5"/>
    <w:rsid w:val="00D8024F"/>
    <w:rsid w:val="00D903D3"/>
    <w:rsid w:val="00D91517"/>
    <w:rsid w:val="00D92ACF"/>
    <w:rsid w:val="00D9372E"/>
    <w:rsid w:val="00D93FE6"/>
    <w:rsid w:val="00D961CD"/>
    <w:rsid w:val="00D9680B"/>
    <w:rsid w:val="00D96F73"/>
    <w:rsid w:val="00D97829"/>
    <w:rsid w:val="00D97C4B"/>
    <w:rsid w:val="00D97D18"/>
    <w:rsid w:val="00DA0793"/>
    <w:rsid w:val="00DA0B63"/>
    <w:rsid w:val="00DA1651"/>
    <w:rsid w:val="00DA2602"/>
    <w:rsid w:val="00DA30E5"/>
    <w:rsid w:val="00DA39D6"/>
    <w:rsid w:val="00DA5300"/>
    <w:rsid w:val="00DA62A2"/>
    <w:rsid w:val="00DA7231"/>
    <w:rsid w:val="00DB181A"/>
    <w:rsid w:val="00DB773E"/>
    <w:rsid w:val="00DC12E5"/>
    <w:rsid w:val="00DC3083"/>
    <w:rsid w:val="00DC3756"/>
    <w:rsid w:val="00DC389D"/>
    <w:rsid w:val="00DC46EC"/>
    <w:rsid w:val="00DC477A"/>
    <w:rsid w:val="00DC59B8"/>
    <w:rsid w:val="00DC5D36"/>
    <w:rsid w:val="00DC6B22"/>
    <w:rsid w:val="00DD1793"/>
    <w:rsid w:val="00DD2244"/>
    <w:rsid w:val="00DD6D5E"/>
    <w:rsid w:val="00DE1BA9"/>
    <w:rsid w:val="00DE2193"/>
    <w:rsid w:val="00DE39C9"/>
    <w:rsid w:val="00DE59FA"/>
    <w:rsid w:val="00DE643B"/>
    <w:rsid w:val="00DE6AC4"/>
    <w:rsid w:val="00DE77F6"/>
    <w:rsid w:val="00DE7C3C"/>
    <w:rsid w:val="00DF0443"/>
    <w:rsid w:val="00DF1465"/>
    <w:rsid w:val="00DF321C"/>
    <w:rsid w:val="00DF3DCB"/>
    <w:rsid w:val="00DF59B0"/>
    <w:rsid w:val="00DF6A68"/>
    <w:rsid w:val="00DF6FB5"/>
    <w:rsid w:val="00E01029"/>
    <w:rsid w:val="00E019A9"/>
    <w:rsid w:val="00E0371D"/>
    <w:rsid w:val="00E04281"/>
    <w:rsid w:val="00E053B9"/>
    <w:rsid w:val="00E07F48"/>
    <w:rsid w:val="00E10E2F"/>
    <w:rsid w:val="00E12EF6"/>
    <w:rsid w:val="00E1541E"/>
    <w:rsid w:val="00E15AE2"/>
    <w:rsid w:val="00E170FD"/>
    <w:rsid w:val="00E216FE"/>
    <w:rsid w:val="00E23411"/>
    <w:rsid w:val="00E23F27"/>
    <w:rsid w:val="00E26715"/>
    <w:rsid w:val="00E27159"/>
    <w:rsid w:val="00E271C5"/>
    <w:rsid w:val="00E30907"/>
    <w:rsid w:val="00E31ACE"/>
    <w:rsid w:val="00E3242D"/>
    <w:rsid w:val="00E325BE"/>
    <w:rsid w:val="00E34A01"/>
    <w:rsid w:val="00E35117"/>
    <w:rsid w:val="00E358D9"/>
    <w:rsid w:val="00E3652E"/>
    <w:rsid w:val="00E41F50"/>
    <w:rsid w:val="00E4652B"/>
    <w:rsid w:val="00E47F47"/>
    <w:rsid w:val="00E52FA8"/>
    <w:rsid w:val="00E54F15"/>
    <w:rsid w:val="00E55C17"/>
    <w:rsid w:val="00E5698A"/>
    <w:rsid w:val="00E57D67"/>
    <w:rsid w:val="00E60A6F"/>
    <w:rsid w:val="00E6205C"/>
    <w:rsid w:val="00E63DA6"/>
    <w:rsid w:val="00E64ECF"/>
    <w:rsid w:val="00E70268"/>
    <w:rsid w:val="00E728A9"/>
    <w:rsid w:val="00E73615"/>
    <w:rsid w:val="00E74895"/>
    <w:rsid w:val="00E7630B"/>
    <w:rsid w:val="00E76E01"/>
    <w:rsid w:val="00E80D63"/>
    <w:rsid w:val="00E81073"/>
    <w:rsid w:val="00E81204"/>
    <w:rsid w:val="00E85F36"/>
    <w:rsid w:val="00E90F3E"/>
    <w:rsid w:val="00E91437"/>
    <w:rsid w:val="00E9444F"/>
    <w:rsid w:val="00E9683D"/>
    <w:rsid w:val="00EA1457"/>
    <w:rsid w:val="00EA4C6A"/>
    <w:rsid w:val="00EA4EBB"/>
    <w:rsid w:val="00EA5CE6"/>
    <w:rsid w:val="00EA6992"/>
    <w:rsid w:val="00EA7414"/>
    <w:rsid w:val="00EA7C04"/>
    <w:rsid w:val="00EB0DFC"/>
    <w:rsid w:val="00EB296D"/>
    <w:rsid w:val="00EB4D4C"/>
    <w:rsid w:val="00EB794A"/>
    <w:rsid w:val="00EC2217"/>
    <w:rsid w:val="00EC304C"/>
    <w:rsid w:val="00ED6491"/>
    <w:rsid w:val="00ED6574"/>
    <w:rsid w:val="00ED7290"/>
    <w:rsid w:val="00ED7384"/>
    <w:rsid w:val="00ED7677"/>
    <w:rsid w:val="00EE3DFC"/>
    <w:rsid w:val="00EE69C3"/>
    <w:rsid w:val="00EE710C"/>
    <w:rsid w:val="00EF0A19"/>
    <w:rsid w:val="00EF1177"/>
    <w:rsid w:val="00EF15C8"/>
    <w:rsid w:val="00EF260B"/>
    <w:rsid w:val="00EF3A08"/>
    <w:rsid w:val="00EF3BE9"/>
    <w:rsid w:val="00F032CF"/>
    <w:rsid w:val="00F118F4"/>
    <w:rsid w:val="00F13210"/>
    <w:rsid w:val="00F21FBE"/>
    <w:rsid w:val="00F23D95"/>
    <w:rsid w:val="00F252B2"/>
    <w:rsid w:val="00F260DA"/>
    <w:rsid w:val="00F27BA1"/>
    <w:rsid w:val="00F31350"/>
    <w:rsid w:val="00F31D60"/>
    <w:rsid w:val="00F343F4"/>
    <w:rsid w:val="00F36734"/>
    <w:rsid w:val="00F37D46"/>
    <w:rsid w:val="00F4407E"/>
    <w:rsid w:val="00F466A5"/>
    <w:rsid w:val="00F4693F"/>
    <w:rsid w:val="00F51571"/>
    <w:rsid w:val="00F52236"/>
    <w:rsid w:val="00F5344B"/>
    <w:rsid w:val="00F54C20"/>
    <w:rsid w:val="00F55529"/>
    <w:rsid w:val="00F56251"/>
    <w:rsid w:val="00F56833"/>
    <w:rsid w:val="00F658CC"/>
    <w:rsid w:val="00F7055F"/>
    <w:rsid w:val="00F7164D"/>
    <w:rsid w:val="00F7183D"/>
    <w:rsid w:val="00F72510"/>
    <w:rsid w:val="00F72CB8"/>
    <w:rsid w:val="00F7514F"/>
    <w:rsid w:val="00F7562E"/>
    <w:rsid w:val="00F75AF7"/>
    <w:rsid w:val="00F82437"/>
    <w:rsid w:val="00F83491"/>
    <w:rsid w:val="00F85459"/>
    <w:rsid w:val="00F908DC"/>
    <w:rsid w:val="00F928B3"/>
    <w:rsid w:val="00F92F20"/>
    <w:rsid w:val="00F95896"/>
    <w:rsid w:val="00F96A0C"/>
    <w:rsid w:val="00FA056E"/>
    <w:rsid w:val="00FA198D"/>
    <w:rsid w:val="00FA1F69"/>
    <w:rsid w:val="00FA2A37"/>
    <w:rsid w:val="00FA2CEC"/>
    <w:rsid w:val="00FA34BD"/>
    <w:rsid w:val="00FA4E4E"/>
    <w:rsid w:val="00FA5E44"/>
    <w:rsid w:val="00FA6D16"/>
    <w:rsid w:val="00FB1E21"/>
    <w:rsid w:val="00FB254E"/>
    <w:rsid w:val="00FB6304"/>
    <w:rsid w:val="00FB7994"/>
    <w:rsid w:val="00FC2A34"/>
    <w:rsid w:val="00FC2A7E"/>
    <w:rsid w:val="00FC3ABD"/>
    <w:rsid w:val="00FC5D62"/>
    <w:rsid w:val="00FC68B1"/>
    <w:rsid w:val="00FD03BE"/>
    <w:rsid w:val="00FD1C70"/>
    <w:rsid w:val="00FD33CB"/>
    <w:rsid w:val="00FD4E38"/>
    <w:rsid w:val="00FD67DE"/>
    <w:rsid w:val="00FE0B88"/>
    <w:rsid w:val="00FE783A"/>
    <w:rsid w:val="00FF0618"/>
    <w:rsid w:val="00FF185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DFE2D"/>
  <w15:docId w15:val="{3808EFEB-E6E6-4A21-96AE-67D885A4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291"/>
    <w:pPr>
      <w:spacing w:line="240" w:lineRule="auto"/>
    </w:pPr>
    <w:rPr>
      <w:rFonts w:ascii="Tahoma" w:hAnsi="Tahoma" w:cs="Tahoma"/>
      <w:w w:val="110"/>
      <w:kern w:val="20"/>
      <w:sz w:val="20"/>
      <w:szCs w:val="20"/>
    </w:rPr>
  </w:style>
  <w:style w:type="paragraph" w:styleId="Heading1">
    <w:name w:val="heading 1"/>
    <w:basedOn w:val="Normal"/>
    <w:next w:val="Normal"/>
    <w:link w:val="Heading1Char"/>
    <w:uiPriority w:val="9"/>
    <w:qFormat/>
    <w:rsid w:val="00B04291"/>
    <w:pPr>
      <w:keepNext/>
      <w:keepLines/>
      <w:suppressAutoHyphens/>
      <w:spacing w:before="240" w:after="240"/>
      <w:outlineLvl w:val="0"/>
    </w:pPr>
    <w:rPr>
      <w:rFonts w:asciiTheme="majorHAnsi" w:eastAsiaTheme="majorEastAsia" w:hAnsiTheme="majorHAnsi" w:cstheme="majorBidi"/>
      <w:caps/>
      <w:color w:val="50DAB0"/>
      <w:sz w:val="36"/>
      <w:szCs w:val="36"/>
    </w:rPr>
  </w:style>
  <w:style w:type="paragraph" w:styleId="Heading2">
    <w:name w:val="heading 2"/>
    <w:basedOn w:val="Normal"/>
    <w:next w:val="Normal"/>
    <w:link w:val="Heading2Char"/>
    <w:uiPriority w:val="9"/>
    <w:unhideWhenUsed/>
    <w:qFormat/>
    <w:rsid w:val="00B04291"/>
    <w:pPr>
      <w:keepNext/>
      <w:keepLines/>
      <w:suppressAutoHyphens/>
      <w:spacing w:before="240" w:after="40"/>
      <w:outlineLvl w:val="1"/>
    </w:pPr>
    <w:rPr>
      <w:rFonts w:asciiTheme="majorHAnsi" w:eastAsiaTheme="majorEastAsia" w:hAnsiTheme="majorHAnsi" w:cstheme="majorBidi"/>
      <w:caps/>
      <w:color w:val="50DAB0"/>
      <w:sz w:val="30"/>
      <w:szCs w:val="30"/>
    </w:rPr>
  </w:style>
  <w:style w:type="paragraph" w:styleId="Heading3">
    <w:name w:val="heading 3"/>
    <w:basedOn w:val="Normal"/>
    <w:next w:val="Normal"/>
    <w:link w:val="Heading3Char"/>
    <w:uiPriority w:val="9"/>
    <w:unhideWhenUsed/>
    <w:qFormat/>
    <w:rsid w:val="00B04291"/>
    <w:pPr>
      <w:keepNext/>
      <w:keepLines/>
      <w:suppressAutoHyphens/>
      <w:spacing w:before="240" w:after="40"/>
      <w:outlineLvl w:val="2"/>
    </w:pPr>
    <w:rPr>
      <w:rFonts w:asciiTheme="majorHAnsi" w:eastAsiaTheme="majorEastAsia" w:hAnsiTheme="majorHAnsi" w:cstheme="majorBidi"/>
      <w:caps/>
      <w:color w:val="50DAB0"/>
      <w:sz w:val="26"/>
      <w:szCs w:val="26"/>
    </w:rPr>
  </w:style>
  <w:style w:type="paragraph" w:styleId="Heading4">
    <w:name w:val="heading 4"/>
    <w:basedOn w:val="Normal"/>
    <w:next w:val="Normal"/>
    <w:link w:val="Heading4Char"/>
    <w:uiPriority w:val="9"/>
    <w:unhideWhenUsed/>
    <w:qFormat/>
    <w:rsid w:val="00B04291"/>
    <w:pPr>
      <w:keepNext/>
      <w:keepLines/>
      <w:suppressAutoHyphens/>
      <w:spacing w:before="240" w:after="40"/>
      <w:outlineLvl w:val="3"/>
    </w:pPr>
    <w:rPr>
      <w:rFonts w:asciiTheme="majorHAnsi" w:eastAsiaTheme="majorEastAsia" w:hAnsiTheme="majorHAnsi" w:cstheme="majorBidi"/>
      <w:i/>
      <w:iCs/>
      <w:caps/>
      <w:color w:val="50DAB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4291"/>
    <w:pPr>
      <w:tabs>
        <w:tab w:val="center" w:pos="4513"/>
        <w:tab w:val="right" w:pos="9026"/>
      </w:tabs>
      <w:spacing w:after="0"/>
    </w:pPr>
  </w:style>
  <w:style w:type="character" w:customStyle="1" w:styleId="HeaderChar">
    <w:name w:val="Header Char"/>
    <w:basedOn w:val="DefaultParagraphFont"/>
    <w:link w:val="Header"/>
    <w:uiPriority w:val="99"/>
    <w:rsid w:val="00B04291"/>
    <w:rPr>
      <w:rFonts w:ascii="Tahoma" w:hAnsi="Tahoma" w:cs="Tahoma"/>
      <w:w w:val="110"/>
      <w:kern w:val="20"/>
      <w:sz w:val="20"/>
      <w:szCs w:val="20"/>
    </w:rPr>
  </w:style>
  <w:style w:type="paragraph" w:styleId="Footer">
    <w:name w:val="footer"/>
    <w:basedOn w:val="Normal"/>
    <w:link w:val="FooterChar"/>
    <w:uiPriority w:val="99"/>
    <w:unhideWhenUsed/>
    <w:rsid w:val="00B04291"/>
    <w:pPr>
      <w:tabs>
        <w:tab w:val="center" w:pos="4513"/>
        <w:tab w:val="right" w:pos="9026"/>
      </w:tabs>
      <w:spacing w:after="0"/>
    </w:pPr>
  </w:style>
  <w:style w:type="character" w:customStyle="1" w:styleId="FooterChar">
    <w:name w:val="Footer Char"/>
    <w:basedOn w:val="DefaultParagraphFont"/>
    <w:link w:val="Footer"/>
    <w:uiPriority w:val="99"/>
    <w:rsid w:val="00B04291"/>
    <w:rPr>
      <w:rFonts w:ascii="Tahoma" w:hAnsi="Tahoma" w:cs="Tahoma"/>
      <w:w w:val="110"/>
      <w:kern w:val="20"/>
      <w:sz w:val="20"/>
      <w:szCs w:val="20"/>
    </w:rPr>
  </w:style>
  <w:style w:type="table" w:styleId="TableGrid">
    <w:name w:val="Table Grid"/>
    <w:basedOn w:val="TableNormal"/>
    <w:uiPriority w:val="39"/>
    <w:rsid w:val="00B04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Text">
    <w:name w:val="Date Text"/>
    <w:basedOn w:val="Normal"/>
    <w:qFormat/>
    <w:rsid w:val="001014D6"/>
    <w:rPr>
      <w:b/>
    </w:rPr>
  </w:style>
  <w:style w:type="paragraph" w:styleId="BodyText">
    <w:name w:val="Body Text"/>
    <w:basedOn w:val="Normal"/>
    <w:link w:val="BodyTextChar"/>
    <w:uiPriority w:val="99"/>
    <w:unhideWhenUsed/>
    <w:rsid w:val="00F7514F"/>
    <w:pPr>
      <w:spacing w:after="230"/>
    </w:pPr>
  </w:style>
  <w:style w:type="character" w:customStyle="1" w:styleId="BodyTextChar">
    <w:name w:val="Body Text Char"/>
    <w:basedOn w:val="DefaultParagraphFont"/>
    <w:link w:val="BodyText"/>
    <w:uiPriority w:val="99"/>
    <w:rsid w:val="00F7514F"/>
    <w:rPr>
      <w:rFonts w:ascii="Tahoma" w:hAnsi="Tahoma"/>
      <w:sz w:val="17"/>
    </w:rPr>
  </w:style>
  <w:style w:type="paragraph" w:customStyle="1" w:styleId="SubjectLine">
    <w:name w:val="Subject Line"/>
    <w:basedOn w:val="Normal"/>
    <w:qFormat/>
    <w:rsid w:val="00F7514F"/>
    <w:pPr>
      <w:spacing w:after="230"/>
    </w:pPr>
    <w:rPr>
      <w:b/>
    </w:rPr>
  </w:style>
  <w:style w:type="character" w:styleId="Hyperlink">
    <w:name w:val="Hyperlink"/>
    <w:basedOn w:val="DefaultParagraphFont"/>
    <w:uiPriority w:val="99"/>
    <w:unhideWhenUsed/>
    <w:rsid w:val="00B04291"/>
    <w:rPr>
      <w:color w:val="0563C1" w:themeColor="hyperlink"/>
      <w:u w:val="single"/>
    </w:rPr>
  </w:style>
  <w:style w:type="paragraph" w:customStyle="1" w:styleId="Sign-offText">
    <w:name w:val="Sign-off Text"/>
    <w:basedOn w:val="Normal"/>
    <w:qFormat/>
    <w:rsid w:val="0086256A"/>
    <w:pPr>
      <w:spacing w:after="1380"/>
    </w:pPr>
  </w:style>
  <w:style w:type="paragraph" w:customStyle="1" w:styleId="BoldText">
    <w:name w:val="Bold Text"/>
    <w:basedOn w:val="Normal"/>
    <w:qFormat/>
    <w:rsid w:val="0086256A"/>
    <w:rPr>
      <w:b/>
    </w:rPr>
  </w:style>
  <w:style w:type="character" w:customStyle="1" w:styleId="Heading1Char">
    <w:name w:val="Heading 1 Char"/>
    <w:basedOn w:val="DefaultParagraphFont"/>
    <w:link w:val="Heading1"/>
    <w:uiPriority w:val="9"/>
    <w:rsid w:val="00B04291"/>
    <w:rPr>
      <w:rFonts w:asciiTheme="majorHAnsi" w:eastAsiaTheme="majorEastAsia" w:hAnsiTheme="majorHAnsi" w:cstheme="majorBidi"/>
      <w:caps/>
      <w:color w:val="50DAB0"/>
      <w:w w:val="110"/>
      <w:kern w:val="20"/>
      <w:sz w:val="36"/>
      <w:szCs w:val="36"/>
    </w:rPr>
  </w:style>
  <w:style w:type="paragraph" w:customStyle="1" w:styleId="BulletedTextLevel1">
    <w:name w:val="Bulleted Text Level 1"/>
    <w:basedOn w:val="Normal"/>
    <w:qFormat/>
    <w:rsid w:val="00C2270B"/>
    <w:pPr>
      <w:numPr>
        <w:numId w:val="1"/>
      </w:numPr>
      <w:spacing w:after="40"/>
      <w:ind w:left="170" w:hanging="170"/>
    </w:pPr>
  </w:style>
  <w:style w:type="paragraph" w:customStyle="1" w:styleId="BulletedTextLevel2">
    <w:name w:val="Bulleted Text Level 2"/>
    <w:basedOn w:val="Normal"/>
    <w:qFormat/>
    <w:rsid w:val="00C2270B"/>
    <w:pPr>
      <w:numPr>
        <w:numId w:val="2"/>
      </w:numPr>
      <w:ind w:left="737" w:hanging="170"/>
    </w:pPr>
  </w:style>
  <w:style w:type="paragraph" w:customStyle="1" w:styleId="BulletedTextLevel3">
    <w:name w:val="Bulleted Text Level 3"/>
    <w:basedOn w:val="Normal"/>
    <w:qFormat/>
    <w:rsid w:val="00C2270B"/>
    <w:pPr>
      <w:numPr>
        <w:numId w:val="3"/>
      </w:numPr>
      <w:ind w:left="1304" w:hanging="170"/>
    </w:pPr>
  </w:style>
  <w:style w:type="paragraph" w:styleId="BalloonText">
    <w:name w:val="Balloon Text"/>
    <w:basedOn w:val="Normal"/>
    <w:link w:val="BalloonTextChar"/>
    <w:uiPriority w:val="99"/>
    <w:semiHidden/>
    <w:unhideWhenUsed/>
    <w:rsid w:val="0066201E"/>
    <w:rPr>
      <w:rFonts w:ascii="Segoe UI" w:hAnsi="Segoe UI" w:cs="Segoe UI"/>
      <w:szCs w:val="18"/>
    </w:rPr>
  </w:style>
  <w:style w:type="character" w:customStyle="1" w:styleId="BalloonTextChar">
    <w:name w:val="Balloon Text Char"/>
    <w:basedOn w:val="DefaultParagraphFont"/>
    <w:link w:val="BalloonText"/>
    <w:uiPriority w:val="99"/>
    <w:semiHidden/>
    <w:rsid w:val="0066201E"/>
    <w:rPr>
      <w:rFonts w:ascii="Segoe UI" w:hAnsi="Segoe UI" w:cs="Segoe UI"/>
      <w:spacing w:val="6"/>
      <w:sz w:val="18"/>
      <w:szCs w:val="18"/>
    </w:rPr>
  </w:style>
  <w:style w:type="paragraph" w:styleId="ListParagraph">
    <w:name w:val="List Paragraph"/>
    <w:basedOn w:val="Normal"/>
    <w:link w:val="ListParagraphChar"/>
    <w:uiPriority w:val="34"/>
    <w:rsid w:val="00B04291"/>
    <w:pPr>
      <w:ind w:left="720"/>
      <w:contextualSpacing/>
    </w:pPr>
  </w:style>
  <w:style w:type="character" w:customStyle="1" w:styleId="ListParagraphChar">
    <w:name w:val="List Paragraph Char"/>
    <w:basedOn w:val="DefaultParagraphFont"/>
    <w:link w:val="ListParagraph"/>
    <w:uiPriority w:val="34"/>
    <w:rsid w:val="00B04291"/>
    <w:rPr>
      <w:rFonts w:ascii="Tahoma" w:hAnsi="Tahoma" w:cs="Tahoma"/>
      <w:w w:val="110"/>
      <w:kern w:val="20"/>
      <w:sz w:val="20"/>
      <w:szCs w:val="20"/>
    </w:rPr>
  </w:style>
  <w:style w:type="paragraph" w:customStyle="1" w:styleId="Bullets">
    <w:name w:val="Bullets"/>
    <w:basedOn w:val="ListParagraph"/>
    <w:link w:val="BulletsChar"/>
    <w:rsid w:val="00B04291"/>
    <w:pPr>
      <w:numPr>
        <w:numId w:val="11"/>
      </w:numPr>
    </w:pPr>
  </w:style>
  <w:style w:type="character" w:customStyle="1" w:styleId="BulletsChar">
    <w:name w:val="Bullets Char"/>
    <w:basedOn w:val="ListParagraphChar"/>
    <w:link w:val="Bullets"/>
    <w:rsid w:val="00B04291"/>
    <w:rPr>
      <w:rFonts w:ascii="Tahoma" w:hAnsi="Tahoma" w:cs="Tahoma"/>
      <w:w w:val="110"/>
      <w:kern w:val="20"/>
      <w:sz w:val="20"/>
      <w:szCs w:val="20"/>
    </w:rPr>
  </w:style>
  <w:style w:type="character" w:customStyle="1" w:styleId="Heading2Char">
    <w:name w:val="Heading 2 Char"/>
    <w:basedOn w:val="DefaultParagraphFont"/>
    <w:link w:val="Heading2"/>
    <w:uiPriority w:val="9"/>
    <w:rsid w:val="00B04291"/>
    <w:rPr>
      <w:rFonts w:asciiTheme="majorHAnsi" w:eastAsiaTheme="majorEastAsia" w:hAnsiTheme="majorHAnsi" w:cstheme="majorBidi"/>
      <w:caps/>
      <w:color w:val="50DAB0"/>
      <w:w w:val="110"/>
      <w:kern w:val="20"/>
      <w:sz w:val="30"/>
      <w:szCs w:val="30"/>
    </w:rPr>
  </w:style>
  <w:style w:type="character" w:customStyle="1" w:styleId="Heading3Char">
    <w:name w:val="Heading 3 Char"/>
    <w:basedOn w:val="DefaultParagraphFont"/>
    <w:link w:val="Heading3"/>
    <w:uiPriority w:val="9"/>
    <w:rsid w:val="00B04291"/>
    <w:rPr>
      <w:rFonts w:asciiTheme="majorHAnsi" w:eastAsiaTheme="majorEastAsia" w:hAnsiTheme="majorHAnsi" w:cstheme="majorBidi"/>
      <w:caps/>
      <w:color w:val="50DAB0"/>
      <w:w w:val="110"/>
      <w:kern w:val="20"/>
      <w:sz w:val="26"/>
      <w:szCs w:val="26"/>
    </w:rPr>
  </w:style>
  <w:style w:type="character" w:customStyle="1" w:styleId="Heading4Char">
    <w:name w:val="Heading 4 Char"/>
    <w:basedOn w:val="DefaultParagraphFont"/>
    <w:link w:val="Heading4"/>
    <w:uiPriority w:val="9"/>
    <w:rsid w:val="00B04291"/>
    <w:rPr>
      <w:rFonts w:asciiTheme="majorHAnsi" w:eastAsiaTheme="majorEastAsia" w:hAnsiTheme="majorHAnsi" w:cstheme="majorBidi"/>
      <w:i/>
      <w:iCs/>
      <w:caps/>
      <w:color w:val="50DAB0"/>
      <w:w w:val="110"/>
      <w:kern w:val="20"/>
      <w:sz w:val="24"/>
    </w:rPr>
  </w:style>
  <w:style w:type="paragraph" w:styleId="NoSpacing">
    <w:name w:val="No Spacing"/>
    <w:basedOn w:val="Normal"/>
    <w:link w:val="NoSpacingChar"/>
    <w:uiPriority w:val="1"/>
    <w:rsid w:val="00B04291"/>
  </w:style>
  <w:style w:type="paragraph" w:styleId="Subtitle">
    <w:name w:val="Subtitle"/>
    <w:basedOn w:val="Normal"/>
    <w:next w:val="Normal"/>
    <w:link w:val="SubtitleChar"/>
    <w:uiPriority w:val="11"/>
    <w:qFormat/>
    <w:rsid w:val="00B04291"/>
    <w:pPr>
      <w:numPr>
        <w:ilvl w:val="1"/>
      </w:numPr>
      <w:spacing w:after="240"/>
      <w:contextualSpacing/>
    </w:pPr>
    <w:rPr>
      <w:rFonts w:asciiTheme="majorHAnsi" w:eastAsiaTheme="minorEastAsia" w:hAnsiTheme="majorHAnsi" w:cstheme="minorBidi"/>
      <w:caps/>
      <w:color w:val="172242"/>
      <w:spacing w:val="-10"/>
      <w:kern w:val="30"/>
      <w:sz w:val="56"/>
      <w:szCs w:val="56"/>
    </w:rPr>
  </w:style>
  <w:style w:type="character" w:customStyle="1" w:styleId="SubtitleChar">
    <w:name w:val="Subtitle Char"/>
    <w:basedOn w:val="DefaultParagraphFont"/>
    <w:link w:val="Subtitle"/>
    <w:uiPriority w:val="11"/>
    <w:rsid w:val="00B04291"/>
    <w:rPr>
      <w:rFonts w:asciiTheme="majorHAnsi" w:eastAsiaTheme="minorEastAsia" w:hAnsiTheme="majorHAnsi"/>
      <w:caps/>
      <w:color w:val="172242"/>
      <w:spacing w:val="-10"/>
      <w:w w:val="110"/>
      <w:kern w:val="30"/>
      <w:sz w:val="56"/>
      <w:szCs w:val="56"/>
    </w:rPr>
  </w:style>
  <w:style w:type="paragraph" w:styleId="Title">
    <w:name w:val="Title"/>
    <w:basedOn w:val="Normal"/>
    <w:next w:val="Normal"/>
    <w:link w:val="TitleChar"/>
    <w:uiPriority w:val="10"/>
    <w:qFormat/>
    <w:rsid w:val="00B04291"/>
    <w:pPr>
      <w:suppressAutoHyphens/>
      <w:spacing w:before="240" w:after="40"/>
      <w:contextualSpacing/>
    </w:pPr>
    <w:rPr>
      <w:rFonts w:asciiTheme="majorHAnsi" w:eastAsiaTheme="majorEastAsia" w:hAnsiTheme="majorHAnsi" w:cstheme="majorBidi"/>
      <w:caps/>
      <w:color w:val="50DAB0"/>
      <w:spacing w:val="-10"/>
      <w:kern w:val="28"/>
      <w:sz w:val="56"/>
      <w:szCs w:val="56"/>
    </w:rPr>
  </w:style>
  <w:style w:type="character" w:customStyle="1" w:styleId="TitleChar">
    <w:name w:val="Title Char"/>
    <w:basedOn w:val="DefaultParagraphFont"/>
    <w:link w:val="Title"/>
    <w:uiPriority w:val="10"/>
    <w:rsid w:val="00B04291"/>
    <w:rPr>
      <w:rFonts w:asciiTheme="majorHAnsi" w:eastAsiaTheme="majorEastAsia" w:hAnsiTheme="majorHAnsi" w:cstheme="majorBidi"/>
      <w:caps/>
      <w:color w:val="50DAB0"/>
      <w:spacing w:val="-10"/>
      <w:w w:val="110"/>
      <w:kern w:val="28"/>
      <w:sz w:val="56"/>
      <w:szCs w:val="56"/>
    </w:rPr>
  </w:style>
  <w:style w:type="paragraph" w:styleId="TOC1">
    <w:name w:val="toc 1"/>
    <w:basedOn w:val="Normal"/>
    <w:next w:val="Normal"/>
    <w:autoRedefine/>
    <w:uiPriority w:val="39"/>
    <w:unhideWhenUsed/>
    <w:rsid w:val="00B04291"/>
    <w:pPr>
      <w:tabs>
        <w:tab w:val="right" w:leader="dot" w:pos="9016"/>
      </w:tabs>
      <w:spacing w:after="100"/>
    </w:pPr>
  </w:style>
  <w:style w:type="paragraph" w:styleId="TOC2">
    <w:name w:val="toc 2"/>
    <w:basedOn w:val="Normal"/>
    <w:next w:val="Normal"/>
    <w:autoRedefine/>
    <w:uiPriority w:val="39"/>
    <w:unhideWhenUsed/>
    <w:rsid w:val="00B04291"/>
    <w:pPr>
      <w:spacing w:after="100"/>
      <w:ind w:left="200"/>
    </w:pPr>
  </w:style>
  <w:style w:type="paragraph" w:styleId="TOC3">
    <w:name w:val="toc 3"/>
    <w:basedOn w:val="Normal"/>
    <w:next w:val="Normal"/>
    <w:autoRedefine/>
    <w:uiPriority w:val="39"/>
    <w:unhideWhenUsed/>
    <w:rsid w:val="00B04291"/>
    <w:pPr>
      <w:spacing w:after="100"/>
      <w:ind w:left="400"/>
    </w:pPr>
  </w:style>
  <w:style w:type="paragraph" w:styleId="TOCHeading">
    <w:name w:val="TOC Heading"/>
    <w:basedOn w:val="Heading1"/>
    <w:next w:val="Normal"/>
    <w:uiPriority w:val="39"/>
    <w:unhideWhenUsed/>
    <w:qFormat/>
    <w:rsid w:val="00B04291"/>
    <w:pPr>
      <w:suppressAutoHyphens w:val="0"/>
      <w:spacing w:line="259" w:lineRule="auto"/>
      <w:outlineLvl w:val="9"/>
    </w:pPr>
  </w:style>
  <w:style w:type="character" w:customStyle="1" w:styleId="NoSpacingChar">
    <w:name w:val="No Spacing Char"/>
    <w:basedOn w:val="DefaultParagraphFont"/>
    <w:link w:val="NoSpacing"/>
    <w:uiPriority w:val="1"/>
    <w:rsid w:val="006D187C"/>
    <w:rPr>
      <w:rFonts w:ascii="Tahoma" w:hAnsi="Tahoma" w:cs="Tahoma"/>
      <w:w w:val="110"/>
      <w:kern w:val="20"/>
      <w:sz w:val="20"/>
      <w:szCs w:val="20"/>
    </w:rPr>
  </w:style>
  <w:style w:type="paragraph" w:customStyle="1" w:styleId="Topic">
    <w:name w:val="Topic"/>
    <w:basedOn w:val="Normal"/>
    <w:link w:val="TopicChar"/>
    <w:qFormat/>
    <w:rsid w:val="00B04291"/>
    <w:rPr>
      <w:rFonts w:asciiTheme="majorHAnsi" w:hAnsiTheme="majorHAnsi"/>
      <w:noProof/>
      <w:color w:val="F36A5B"/>
      <w:sz w:val="32"/>
      <w:szCs w:val="32"/>
    </w:rPr>
  </w:style>
  <w:style w:type="character" w:customStyle="1" w:styleId="TopicChar">
    <w:name w:val="Topic Char"/>
    <w:basedOn w:val="DefaultParagraphFont"/>
    <w:link w:val="Topic"/>
    <w:rsid w:val="00B04291"/>
    <w:rPr>
      <w:rFonts w:asciiTheme="majorHAnsi" w:hAnsiTheme="majorHAnsi" w:cs="Tahoma"/>
      <w:noProof/>
      <w:color w:val="F36A5B"/>
      <w:w w:val="110"/>
      <w:kern w:val="20"/>
      <w:sz w:val="32"/>
      <w:szCs w:val="32"/>
    </w:rPr>
  </w:style>
  <w:style w:type="character" w:styleId="FollowedHyperlink">
    <w:name w:val="FollowedHyperlink"/>
    <w:basedOn w:val="DefaultParagraphFont"/>
    <w:uiPriority w:val="99"/>
    <w:semiHidden/>
    <w:unhideWhenUsed/>
    <w:rsid w:val="00680A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33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investmentassociation.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ma.europa.eu/sites/default/files/library/esma35-43-620_report_on_guidelines_on_product_governance.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C68E-85AF-4882-A941-7FBDD1580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4250</Words>
  <Characters>24231</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Hood</dc:creator>
  <cp:lastModifiedBy>Emilie Brakha</cp:lastModifiedBy>
  <cp:revision>2</cp:revision>
  <cp:lastPrinted>2017-10-16T11:13:00Z</cp:lastPrinted>
  <dcterms:created xsi:type="dcterms:W3CDTF">2017-10-18T14:13:00Z</dcterms:created>
  <dcterms:modified xsi:type="dcterms:W3CDTF">2017-10-18T14:13:00Z</dcterms:modified>
</cp:coreProperties>
</file>