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0F0" w:rsidRPr="007D10F0" w:rsidRDefault="007D10F0" w:rsidP="004106F1">
      <w:pPr>
        <w:spacing w:line="276" w:lineRule="auto"/>
        <w:jc w:val="center"/>
        <w:rPr>
          <w:rFonts w:ascii="Times New Roman" w:hAnsi="Times New Roman"/>
          <w:color w:val="0070C0"/>
          <w:sz w:val="24"/>
          <w:szCs w:val="24"/>
          <w:lang w:val="en-GB"/>
        </w:rPr>
      </w:pPr>
    </w:p>
    <w:p w:rsidR="004106F1" w:rsidRPr="00841E8F" w:rsidRDefault="004106F1" w:rsidP="004106F1">
      <w:pPr>
        <w:spacing w:line="276" w:lineRule="auto"/>
        <w:jc w:val="center"/>
        <w:rPr>
          <w:rFonts w:ascii="Times New Roman" w:hAnsi="Times New Roman"/>
          <w:b/>
          <w:i/>
          <w:color w:val="0070C0"/>
          <w:sz w:val="28"/>
          <w:szCs w:val="28"/>
          <w:lang w:val="en-GB"/>
        </w:rPr>
      </w:pPr>
      <w:r w:rsidRPr="00841E8F">
        <w:rPr>
          <w:rFonts w:ascii="Times New Roman" w:hAnsi="Times New Roman"/>
          <w:b/>
          <w:i/>
          <w:color w:val="0070C0"/>
          <w:sz w:val="28"/>
          <w:szCs w:val="28"/>
          <w:lang w:val="en-GB"/>
        </w:rPr>
        <w:t>Consultation Paper</w:t>
      </w:r>
    </w:p>
    <w:p w:rsidR="004106F1" w:rsidRPr="00841E8F" w:rsidRDefault="004106F1" w:rsidP="004106F1">
      <w:pPr>
        <w:spacing w:line="276" w:lineRule="auto"/>
        <w:jc w:val="center"/>
        <w:rPr>
          <w:rFonts w:ascii="Times New Roman" w:hAnsi="Times New Roman"/>
          <w:b/>
          <w:color w:val="0070C0"/>
          <w:sz w:val="28"/>
          <w:szCs w:val="28"/>
          <w:lang w:val="en-GB"/>
        </w:rPr>
      </w:pPr>
      <w:r w:rsidRPr="00841E8F">
        <w:rPr>
          <w:rFonts w:ascii="Times New Roman" w:hAnsi="Times New Roman"/>
          <w:b/>
          <w:color w:val="0070C0"/>
          <w:sz w:val="28"/>
          <w:szCs w:val="28"/>
          <w:lang w:val="en-GB"/>
        </w:rPr>
        <w:t>Guidelines on certain aspects of the MiFID II suitability require</w:t>
      </w:r>
      <w:bookmarkStart w:id="0" w:name="_GoBack"/>
      <w:bookmarkEnd w:id="0"/>
      <w:r w:rsidRPr="00841E8F">
        <w:rPr>
          <w:rFonts w:ascii="Times New Roman" w:hAnsi="Times New Roman"/>
          <w:b/>
          <w:color w:val="0070C0"/>
          <w:sz w:val="28"/>
          <w:szCs w:val="28"/>
          <w:lang w:val="en-GB"/>
        </w:rPr>
        <w:t>ments</w:t>
      </w:r>
    </w:p>
    <w:p w:rsidR="004106F1" w:rsidRPr="00841E8F" w:rsidRDefault="004106F1" w:rsidP="004106F1">
      <w:pPr>
        <w:rPr>
          <w:rFonts w:ascii="Times New Roman" w:hAnsi="Times New Roman"/>
          <w:sz w:val="28"/>
          <w:szCs w:val="28"/>
          <w:lang w:val="en-GB"/>
        </w:rPr>
      </w:pPr>
    </w:p>
    <w:p w:rsidR="004106F1" w:rsidRPr="009E3D20" w:rsidRDefault="004106F1" w:rsidP="004106F1">
      <w:pPr>
        <w:spacing w:line="276" w:lineRule="auto"/>
        <w:jc w:val="both"/>
        <w:rPr>
          <w:rFonts w:ascii="Times New Roman" w:hAnsi="Times New Roman"/>
          <w:b/>
          <w:color w:val="000000" w:themeColor="text1"/>
          <w:lang w:val="en-GB"/>
        </w:rPr>
      </w:pPr>
      <w:r w:rsidRPr="009E3D20">
        <w:rPr>
          <w:rFonts w:ascii="Times New Roman" w:hAnsi="Times New Roman"/>
          <w:b/>
          <w:color w:val="000000" w:themeColor="text1"/>
          <w:lang w:val="en-GB"/>
        </w:rPr>
        <w:t xml:space="preserve">Q1: Do you agree with the suggested approach on the information to be provided on the suitability assessment and specifically with the new supporting guidelines on robo-advice? Please also state the reasons for your answer. </w:t>
      </w:r>
    </w:p>
    <w:p w:rsidR="00AB3126" w:rsidRPr="009E3D20" w:rsidRDefault="00881651" w:rsidP="004106F1">
      <w:pPr>
        <w:spacing w:line="276" w:lineRule="auto"/>
        <w:jc w:val="both"/>
        <w:rPr>
          <w:rFonts w:ascii="Times New Roman" w:hAnsi="Times New Roman"/>
          <w:color w:val="000000" w:themeColor="text1"/>
          <w:lang w:val="en-GB"/>
        </w:rPr>
      </w:pPr>
      <w:r w:rsidRPr="009E3D20">
        <w:rPr>
          <w:rFonts w:ascii="Times New Roman" w:hAnsi="Times New Roman"/>
          <w:color w:val="000000" w:themeColor="text1"/>
          <w:lang w:val="en-GB"/>
        </w:rPr>
        <w:t xml:space="preserve">Yes, we do. </w:t>
      </w:r>
      <w:r w:rsidR="008E3240" w:rsidRPr="009E3D20">
        <w:rPr>
          <w:rFonts w:ascii="Times New Roman" w:hAnsi="Times New Roman"/>
          <w:color w:val="000000" w:themeColor="text1"/>
          <w:lang w:val="en-GB"/>
        </w:rPr>
        <w:t>Specifically</w:t>
      </w:r>
      <w:r w:rsidR="00AC4FDE" w:rsidRPr="009E3D20">
        <w:rPr>
          <w:rFonts w:ascii="Times New Roman" w:hAnsi="Times New Roman"/>
          <w:color w:val="000000" w:themeColor="text1"/>
          <w:lang w:val="en-GB"/>
        </w:rPr>
        <w:t xml:space="preserve">, </w:t>
      </w:r>
      <w:r w:rsidRPr="009E3D20">
        <w:rPr>
          <w:rFonts w:ascii="Times New Roman" w:hAnsi="Times New Roman"/>
          <w:color w:val="000000" w:themeColor="text1"/>
          <w:lang w:val="en-GB"/>
        </w:rPr>
        <w:t xml:space="preserve">we agree with the </w:t>
      </w:r>
      <w:r w:rsidR="00AB3126" w:rsidRPr="009E3D20">
        <w:rPr>
          <w:rFonts w:ascii="Times New Roman" w:hAnsi="Times New Roman"/>
          <w:color w:val="000000" w:themeColor="text1"/>
          <w:lang w:val="en-GB"/>
        </w:rPr>
        <w:t xml:space="preserve">information on robo-advice </w:t>
      </w:r>
      <w:r w:rsidR="00841E8F" w:rsidRPr="009E3D20">
        <w:rPr>
          <w:rFonts w:ascii="Times New Roman" w:hAnsi="Times New Roman"/>
          <w:color w:val="000000" w:themeColor="text1"/>
          <w:lang w:val="en-GB"/>
        </w:rPr>
        <w:t>to</w:t>
      </w:r>
      <w:r w:rsidR="00AB3126" w:rsidRPr="009E3D20">
        <w:rPr>
          <w:rFonts w:ascii="Times New Roman" w:hAnsi="Times New Roman"/>
          <w:color w:val="000000" w:themeColor="text1"/>
          <w:lang w:val="en-GB"/>
        </w:rPr>
        <w:t xml:space="preserve"> be provided to clients </w:t>
      </w:r>
      <w:r w:rsidR="00841E8F" w:rsidRPr="009E3D20">
        <w:rPr>
          <w:rFonts w:ascii="Times New Roman" w:hAnsi="Times New Roman"/>
          <w:color w:val="000000" w:themeColor="text1"/>
          <w:lang w:val="en-GB"/>
        </w:rPr>
        <w:t xml:space="preserve">(i.e. concerning </w:t>
      </w:r>
      <w:r w:rsidR="00AB3126" w:rsidRPr="009E3D20">
        <w:rPr>
          <w:rFonts w:ascii="Times New Roman" w:hAnsi="Times New Roman"/>
          <w:color w:val="000000" w:themeColor="text1"/>
          <w:lang w:val="en-GB"/>
        </w:rPr>
        <w:t>the use of an algorithm, the degree of human involvement</w:t>
      </w:r>
      <w:r w:rsidR="00841E8F" w:rsidRPr="009E3D20">
        <w:rPr>
          <w:rFonts w:ascii="Times New Roman" w:hAnsi="Times New Roman"/>
          <w:color w:val="000000" w:themeColor="text1"/>
          <w:lang w:val="en-GB"/>
        </w:rPr>
        <w:t xml:space="preserve"> and the description of how </w:t>
      </w:r>
      <w:r w:rsidR="00AB3126" w:rsidRPr="009E3D20">
        <w:rPr>
          <w:rFonts w:ascii="Times New Roman" w:hAnsi="Times New Roman"/>
          <w:color w:val="000000" w:themeColor="text1"/>
          <w:lang w:val="en-GB"/>
        </w:rPr>
        <w:t>the information gathered</w:t>
      </w:r>
      <w:r w:rsidR="00841E8F" w:rsidRPr="009E3D20">
        <w:rPr>
          <w:rFonts w:ascii="Times New Roman" w:hAnsi="Times New Roman"/>
          <w:color w:val="000000" w:themeColor="text1"/>
          <w:lang w:val="en-GB"/>
        </w:rPr>
        <w:t xml:space="preserve"> will be used)</w:t>
      </w:r>
      <w:r w:rsidR="00AB3126" w:rsidRPr="009E3D20">
        <w:rPr>
          <w:rFonts w:ascii="Times New Roman" w:hAnsi="Times New Roman"/>
          <w:color w:val="000000" w:themeColor="text1"/>
          <w:lang w:val="en-GB"/>
        </w:rPr>
        <w:t xml:space="preserve">. </w:t>
      </w:r>
      <w:r w:rsidR="00841E8F" w:rsidRPr="009E3D20">
        <w:rPr>
          <w:rFonts w:ascii="Times New Roman" w:hAnsi="Times New Roman"/>
          <w:color w:val="000000" w:themeColor="text1"/>
          <w:lang w:val="en-GB"/>
        </w:rPr>
        <w:t>With regard to</w:t>
      </w:r>
      <w:r w:rsidR="00AB3126" w:rsidRPr="009E3D20">
        <w:rPr>
          <w:rFonts w:ascii="Times New Roman" w:hAnsi="Times New Roman"/>
          <w:color w:val="000000" w:themeColor="text1"/>
          <w:lang w:val="en-GB"/>
        </w:rPr>
        <w:t xml:space="preserve"> the “degree of human involvement”, we believe that </w:t>
      </w:r>
      <w:r w:rsidR="00B6316D" w:rsidRPr="009E3D20">
        <w:rPr>
          <w:rFonts w:ascii="Times New Roman" w:hAnsi="Times New Roman"/>
          <w:color w:val="000000" w:themeColor="text1"/>
          <w:lang w:val="en-GB"/>
        </w:rPr>
        <w:t>a distinction is needed between:</w:t>
      </w:r>
    </w:p>
    <w:p w:rsidR="00B6316D" w:rsidRPr="009E3D20" w:rsidRDefault="00B6316D" w:rsidP="00B6316D">
      <w:pPr>
        <w:pStyle w:val="Paragrafoelenco"/>
        <w:numPr>
          <w:ilvl w:val="0"/>
          <w:numId w:val="3"/>
        </w:numPr>
        <w:spacing w:line="276" w:lineRule="auto"/>
        <w:jc w:val="both"/>
        <w:rPr>
          <w:rFonts w:ascii="Times New Roman" w:hAnsi="Times New Roman"/>
          <w:color w:val="000000" w:themeColor="text1"/>
          <w:lang w:val="en-GB"/>
        </w:rPr>
      </w:pPr>
      <w:r w:rsidRPr="009E3D20">
        <w:rPr>
          <w:rFonts w:ascii="Times New Roman" w:hAnsi="Times New Roman"/>
          <w:i/>
          <w:color w:val="000000" w:themeColor="text1"/>
          <w:lang w:val="en-GB"/>
        </w:rPr>
        <w:t>robo-for-advisors</w:t>
      </w:r>
      <w:r w:rsidRPr="009E3D20">
        <w:rPr>
          <w:rFonts w:ascii="Times New Roman" w:hAnsi="Times New Roman"/>
          <w:color w:val="000000" w:themeColor="text1"/>
          <w:lang w:val="en-GB"/>
        </w:rPr>
        <w:t xml:space="preserve">. </w:t>
      </w:r>
      <w:r w:rsidR="00841E8F" w:rsidRPr="009E3D20">
        <w:rPr>
          <w:rFonts w:ascii="Times New Roman" w:hAnsi="Times New Roman"/>
          <w:color w:val="000000" w:themeColor="text1"/>
          <w:lang w:val="en-GB"/>
        </w:rPr>
        <w:t xml:space="preserve">These are </w:t>
      </w:r>
      <w:r w:rsidR="00EE5048" w:rsidRPr="009E3D20">
        <w:rPr>
          <w:rFonts w:ascii="Times New Roman" w:hAnsi="Times New Roman"/>
          <w:color w:val="000000" w:themeColor="text1"/>
          <w:lang w:val="en-GB"/>
        </w:rPr>
        <w:t>semi-</w:t>
      </w:r>
      <w:r w:rsidR="00841E8F" w:rsidRPr="009E3D20">
        <w:rPr>
          <w:rFonts w:ascii="Times New Roman" w:hAnsi="Times New Roman"/>
          <w:color w:val="000000" w:themeColor="text1"/>
          <w:lang w:val="en-GB"/>
        </w:rPr>
        <w:t>a</w:t>
      </w:r>
      <w:r w:rsidRPr="009E3D20">
        <w:rPr>
          <w:rFonts w:ascii="Times New Roman" w:hAnsi="Times New Roman"/>
          <w:color w:val="000000" w:themeColor="text1"/>
          <w:lang w:val="en-GB"/>
        </w:rPr>
        <w:t xml:space="preserve">utomated tools to be used in the first stage of the advisory process to collect information about the clients and enable </w:t>
      </w:r>
      <w:r w:rsidR="00FD6DD2" w:rsidRPr="009E3D20">
        <w:rPr>
          <w:rFonts w:ascii="Times New Roman" w:hAnsi="Times New Roman"/>
          <w:color w:val="000000" w:themeColor="text1"/>
          <w:lang w:val="en-GB"/>
        </w:rPr>
        <w:t>them</w:t>
      </w:r>
      <w:r w:rsidRPr="009E3D20">
        <w:rPr>
          <w:rFonts w:ascii="Times New Roman" w:hAnsi="Times New Roman"/>
          <w:color w:val="000000" w:themeColor="text1"/>
          <w:lang w:val="en-GB"/>
        </w:rPr>
        <w:t xml:space="preserve"> to understand their need for investment advice, </w:t>
      </w:r>
      <w:r w:rsidR="00FD6DD2" w:rsidRPr="009E3D20">
        <w:rPr>
          <w:rFonts w:ascii="Times New Roman" w:hAnsi="Times New Roman"/>
          <w:color w:val="000000" w:themeColor="text1"/>
          <w:lang w:val="en-GB"/>
        </w:rPr>
        <w:t xml:space="preserve">i.e. </w:t>
      </w:r>
      <w:r w:rsidRPr="009E3D20">
        <w:rPr>
          <w:rFonts w:ascii="Times New Roman" w:hAnsi="Times New Roman"/>
          <w:color w:val="000000" w:themeColor="text1"/>
          <w:lang w:val="en-GB"/>
        </w:rPr>
        <w:t>human interaction with an advisor</w:t>
      </w:r>
      <w:r w:rsidR="00FD6DD2" w:rsidRPr="009E3D20">
        <w:rPr>
          <w:rFonts w:ascii="Times New Roman" w:hAnsi="Times New Roman"/>
          <w:color w:val="000000" w:themeColor="text1"/>
          <w:lang w:val="en-GB"/>
        </w:rPr>
        <w:t>.</w:t>
      </w:r>
      <w:r w:rsidRPr="009E3D20">
        <w:rPr>
          <w:rFonts w:ascii="Times New Roman" w:hAnsi="Times New Roman"/>
          <w:color w:val="000000" w:themeColor="text1"/>
          <w:lang w:val="en-GB"/>
        </w:rPr>
        <w:t xml:space="preserve"> </w:t>
      </w:r>
      <w:r w:rsidR="00FD6DD2" w:rsidRPr="009E3D20">
        <w:rPr>
          <w:rFonts w:ascii="Times New Roman" w:hAnsi="Times New Roman"/>
          <w:color w:val="000000" w:themeColor="text1"/>
          <w:lang w:val="en-GB"/>
        </w:rPr>
        <w:t>T</w:t>
      </w:r>
      <w:r w:rsidRPr="009E3D20">
        <w:rPr>
          <w:rFonts w:ascii="Times New Roman" w:hAnsi="Times New Roman"/>
          <w:color w:val="000000" w:themeColor="text1"/>
          <w:lang w:val="en-GB"/>
        </w:rPr>
        <w:t>he core service is</w:t>
      </w:r>
      <w:r w:rsidR="00FD6DD2" w:rsidRPr="009E3D20">
        <w:rPr>
          <w:rFonts w:ascii="Times New Roman" w:hAnsi="Times New Roman"/>
          <w:color w:val="000000" w:themeColor="text1"/>
          <w:lang w:val="en-GB"/>
        </w:rPr>
        <w:t xml:space="preserve"> thus provided by a human advisor</w:t>
      </w:r>
      <w:r w:rsidRPr="009E3D20">
        <w:rPr>
          <w:rFonts w:ascii="Times New Roman" w:hAnsi="Times New Roman"/>
          <w:color w:val="000000" w:themeColor="text1"/>
          <w:lang w:val="en-GB"/>
        </w:rPr>
        <w:t>;</w:t>
      </w:r>
    </w:p>
    <w:p w:rsidR="00B6316D" w:rsidRPr="009E3D20" w:rsidRDefault="00B6316D" w:rsidP="00B6316D">
      <w:pPr>
        <w:pStyle w:val="Paragrafoelenco"/>
        <w:numPr>
          <w:ilvl w:val="0"/>
          <w:numId w:val="3"/>
        </w:numPr>
        <w:spacing w:line="276" w:lineRule="auto"/>
        <w:jc w:val="both"/>
        <w:rPr>
          <w:rFonts w:ascii="Times New Roman" w:hAnsi="Times New Roman"/>
          <w:color w:val="000000" w:themeColor="text1"/>
          <w:lang w:val="en-GB"/>
        </w:rPr>
      </w:pPr>
      <w:r w:rsidRPr="009E3D20">
        <w:rPr>
          <w:rFonts w:ascii="Times New Roman" w:hAnsi="Times New Roman"/>
          <w:i/>
          <w:color w:val="000000" w:themeColor="text1"/>
          <w:lang w:val="en-GB"/>
        </w:rPr>
        <w:t>robo-advice tout court</w:t>
      </w:r>
      <w:r w:rsidRPr="009E3D20">
        <w:rPr>
          <w:rFonts w:ascii="Times New Roman" w:hAnsi="Times New Roman"/>
          <w:color w:val="000000" w:themeColor="text1"/>
          <w:lang w:val="en-GB"/>
        </w:rPr>
        <w:t xml:space="preserve">, </w:t>
      </w:r>
      <w:r w:rsidR="00FD6DD2" w:rsidRPr="009E3D20">
        <w:rPr>
          <w:rFonts w:ascii="Times New Roman" w:hAnsi="Times New Roman"/>
          <w:color w:val="000000" w:themeColor="text1"/>
          <w:lang w:val="en-GB"/>
        </w:rPr>
        <w:t>automated tools where</w:t>
      </w:r>
      <w:r w:rsidRPr="009E3D20">
        <w:rPr>
          <w:rFonts w:ascii="Times New Roman" w:hAnsi="Times New Roman"/>
          <w:color w:val="000000" w:themeColor="text1"/>
          <w:lang w:val="en-GB"/>
        </w:rPr>
        <w:t xml:space="preserve"> </w:t>
      </w:r>
      <w:r w:rsidR="008F4534" w:rsidRPr="009E3D20">
        <w:rPr>
          <w:rFonts w:ascii="Times New Roman" w:hAnsi="Times New Roman"/>
          <w:color w:val="000000" w:themeColor="text1"/>
          <w:lang w:val="en-GB"/>
        </w:rPr>
        <w:t>no form of human interaction takes place.</w:t>
      </w:r>
    </w:p>
    <w:p w:rsidR="009E3D20" w:rsidRPr="009E3D20" w:rsidRDefault="00FD6DD2" w:rsidP="00FD6DD2">
      <w:pPr>
        <w:spacing w:line="276" w:lineRule="auto"/>
        <w:jc w:val="both"/>
        <w:rPr>
          <w:rFonts w:ascii="Times New Roman" w:hAnsi="Times New Roman"/>
          <w:color w:val="000000" w:themeColor="text1"/>
          <w:lang w:val="en-GB"/>
        </w:rPr>
      </w:pPr>
      <w:r w:rsidRPr="009E3D20">
        <w:rPr>
          <w:rFonts w:ascii="Times New Roman" w:hAnsi="Times New Roman"/>
          <w:color w:val="000000" w:themeColor="text1"/>
          <w:lang w:val="en-GB"/>
        </w:rPr>
        <w:t>In light of the critical role of advisory services, we believe that automated tools may foster efficiency in the first stage of the advisory process, but in later stages they shall be complemented with a personalised service and the interaction with human advisors (</w:t>
      </w:r>
      <w:r w:rsidRPr="009E3D20">
        <w:rPr>
          <w:rFonts w:ascii="Times New Roman" w:hAnsi="Times New Roman"/>
          <w:i/>
          <w:color w:val="000000" w:themeColor="text1"/>
          <w:lang w:val="en-GB"/>
        </w:rPr>
        <w:t>robo-for-advisors</w:t>
      </w:r>
      <w:r w:rsidRPr="009E3D20">
        <w:rPr>
          <w:rFonts w:ascii="Times New Roman" w:hAnsi="Times New Roman"/>
          <w:color w:val="000000" w:themeColor="text1"/>
          <w:lang w:val="en-GB"/>
        </w:rPr>
        <w:t>).</w:t>
      </w:r>
      <w:r w:rsidR="009E3D20" w:rsidRPr="009E3D20">
        <w:rPr>
          <w:rFonts w:ascii="Times New Roman" w:hAnsi="Times New Roman"/>
          <w:color w:val="000000" w:themeColor="text1"/>
          <w:lang w:val="en-GB"/>
        </w:rPr>
        <w:t xml:space="preserve"> Indeed, in the long run, excessive automation may hinder the opportunity to access human financial advice at all, thereby sacrificing human sensitivity. To avoid an Orwellian world, automated tools shall rather be conceived </w:t>
      </w:r>
      <w:r w:rsidR="003E2DD3">
        <w:rPr>
          <w:rFonts w:ascii="Times New Roman" w:hAnsi="Times New Roman"/>
          <w:color w:val="000000" w:themeColor="text1"/>
          <w:lang w:val="en-GB"/>
        </w:rPr>
        <w:t>as a complement to human advice</w:t>
      </w:r>
      <w:r w:rsidR="009E3D20" w:rsidRPr="009E3D20">
        <w:rPr>
          <w:rFonts w:ascii="Times New Roman" w:hAnsi="Times New Roman"/>
          <w:color w:val="000000" w:themeColor="text1"/>
          <w:lang w:val="en-GB"/>
        </w:rPr>
        <w:t>.</w:t>
      </w:r>
    </w:p>
    <w:p w:rsidR="00881651" w:rsidRPr="009E3D20" w:rsidRDefault="00881651" w:rsidP="004106F1">
      <w:pPr>
        <w:spacing w:line="276" w:lineRule="auto"/>
        <w:jc w:val="both"/>
        <w:rPr>
          <w:rFonts w:ascii="Times New Roman" w:hAnsi="Times New Roman"/>
          <w:b/>
          <w:color w:val="000000" w:themeColor="text1"/>
          <w:lang w:val="en-GB"/>
        </w:rPr>
      </w:pPr>
    </w:p>
    <w:p w:rsidR="004106F1" w:rsidRPr="009E3D20" w:rsidRDefault="004106F1" w:rsidP="004106F1">
      <w:pPr>
        <w:spacing w:line="276" w:lineRule="auto"/>
        <w:jc w:val="both"/>
        <w:rPr>
          <w:rFonts w:ascii="Times New Roman" w:hAnsi="Times New Roman"/>
          <w:b/>
          <w:color w:val="000000" w:themeColor="text1"/>
          <w:lang w:val="en-GB"/>
        </w:rPr>
      </w:pPr>
      <w:r w:rsidRPr="009E3D20">
        <w:rPr>
          <w:rFonts w:ascii="Times New Roman" w:hAnsi="Times New Roman"/>
          <w:b/>
          <w:color w:val="000000" w:themeColor="text1"/>
          <w:lang w:val="en-GB"/>
        </w:rPr>
        <w:t xml:space="preserve">Q2: Do you agree with the suggested approach on the arrangements necessary to understand clients and specifically with how the guideline has been updated to take into account behavioural finance and the development of robo-advice models? Please also state the reasons for your answer. </w:t>
      </w:r>
    </w:p>
    <w:p w:rsidR="00EE5048" w:rsidRPr="009E3D20" w:rsidRDefault="00EE5048" w:rsidP="00E0026F">
      <w:pPr>
        <w:spacing w:line="276" w:lineRule="auto"/>
        <w:jc w:val="both"/>
        <w:rPr>
          <w:rFonts w:ascii="Times New Roman" w:hAnsi="Times New Roman"/>
          <w:color w:val="000000" w:themeColor="text1"/>
          <w:lang w:val="en-GB"/>
        </w:rPr>
      </w:pPr>
      <w:r w:rsidRPr="009E3D20">
        <w:rPr>
          <w:rFonts w:ascii="Times New Roman" w:hAnsi="Times New Roman"/>
          <w:color w:val="000000" w:themeColor="text1"/>
          <w:lang w:val="en-GB"/>
        </w:rPr>
        <w:t>Yes, we do. Commenting on the supporting guidelines</w:t>
      </w:r>
      <w:r w:rsidR="003853DB" w:rsidRPr="009E3D20">
        <w:rPr>
          <w:rFonts w:ascii="Times New Roman" w:hAnsi="Times New Roman"/>
          <w:color w:val="000000" w:themeColor="text1"/>
          <w:lang w:val="en-GB"/>
        </w:rPr>
        <w:t>, we agree with</w:t>
      </w:r>
      <w:r w:rsidRPr="009E3D20">
        <w:rPr>
          <w:rFonts w:ascii="Times New Roman" w:hAnsi="Times New Roman"/>
          <w:color w:val="000000" w:themeColor="text1"/>
          <w:lang w:val="en-GB"/>
        </w:rPr>
        <w:t>:</w:t>
      </w:r>
    </w:p>
    <w:p w:rsidR="00EE5048" w:rsidRPr="009E3D20" w:rsidRDefault="00B40545" w:rsidP="00F779E9">
      <w:pPr>
        <w:pStyle w:val="Paragrafoelenco"/>
        <w:numPr>
          <w:ilvl w:val="0"/>
          <w:numId w:val="4"/>
        </w:numPr>
        <w:spacing w:line="276" w:lineRule="auto"/>
        <w:jc w:val="both"/>
        <w:rPr>
          <w:rFonts w:ascii="Times New Roman" w:hAnsi="Times New Roman"/>
          <w:color w:val="000000" w:themeColor="text1"/>
          <w:lang w:val="en-GB"/>
        </w:rPr>
      </w:pPr>
      <w:r w:rsidRPr="009E3D20">
        <w:rPr>
          <w:rFonts w:ascii="Times New Roman" w:hAnsi="Times New Roman"/>
          <w:color w:val="000000" w:themeColor="text1"/>
          <w:lang w:val="en-GB"/>
        </w:rPr>
        <w:t xml:space="preserve">the need to give attention to “exhaustiveness and comprehensibility of the questionnaire” (par. 25). This statement appears to be fully consistent with Regulation EU 1286/2014 on KID (Article 6, the KID shall be “clearly expressed and written in language and a style that communicate in a way that facilitates the understanding of the information, in particular, in language that is clear, succinct and comprehensible”). In </w:t>
      </w:r>
      <w:r w:rsidR="00F779E9" w:rsidRPr="009E3D20">
        <w:rPr>
          <w:rFonts w:ascii="Times New Roman" w:hAnsi="Times New Roman"/>
          <w:color w:val="000000" w:themeColor="text1"/>
          <w:lang w:val="en-GB"/>
        </w:rPr>
        <w:t>general</w:t>
      </w:r>
      <w:r w:rsidRPr="009E3D20">
        <w:rPr>
          <w:rFonts w:ascii="Times New Roman" w:hAnsi="Times New Roman"/>
          <w:color w:val="000000" w:themeColor="text1"/>
          <w:lang w:val="en-GB"/>
        </w:rPr>
        <w:t xml:space="preserve">, all </w:t>
      </w:r>
      <w:r w:rsidR="00F779E9" w:rsidRPr="009E3D20">
        <w:rPr>
          <w:rFonts w:ascii="Times New Roman" w:hAnsi="Times New Roman"/>
          <w:color w:val="000000" w:themeColor="text1"/>
          <w:lang w:val="en-GB"/>
        </w:rPr>
        <w:t xml:space="preserve">the </w:t>
      </w:r>
      <w:r w:rsidRPr="009E3D20">
        <w:rPr>
          <w:rFonts w:ascii="Times New Roman" w:hAnsi="Times New Roman"/>
          <w:color w:val="000000" w:themeColor="text1"/>
          <w:lang w:val="en-GB"/>
        </w:rPr>
        <w:t xml:space="preserve">information </w:t>
      </w:r>
      <w:r w:rsidR="00F779E9" w:rsidRPr="009E3D20">
        <w:rPr>
          <w:rFonts w:ascii="Times New Roman" w:hAnsi="Times New Roman"/>
          <w:color w:val="000000" w:themeColor="text1"/>
          <w:lang w:val="en-GB"/>
        </w:rPr>
        <w:t>provided to investors about services and products shall respond to this principle of clarity and comprehensibility;</w:t>
      </w:r>
    </w:p>
    <w:p w:rsidR="00F779E9" w:rsidRPr="009E3D20" w:rsidRDefault="00F779E9" w:rsidP="00F779E9">
      <w:pPr>
        <w:pStyle w:val="Paragrafoelenco"/>
        <w:numPr>
          <w:ilvl w:val="0"/>
          <w:numId w:val="4"/>
        </w:numPr>
        <w:spacing w:line="276" w:lineRule="auto"/>
        <w:jc w:val="both"/>
        <w:rPr>
          <w:rFonts w:ascii="Times New Roman" w:hAnsi="Times New Roman"/>
          <w:color w:val="000000" w:themeColor="text1"/>
          <w:lang w:val="en-GB"/>
        </w:rPr>
      </w:pPr>
      <w:r w:rsidRPr="009E3D20">
        <w:rPr>
          <w:rFonts w:ascii="Times New Roman" w:hAnsi="Times New Roman"/>
          <w:color w:val="000000" w:themeColor="text1"/>
          <w:lang w:val="en-GB"/>
        </w:rPr>
        <w:t>the idea of avoiding the reply “no answer” in questionnaires (par. 25). Rather, we believe that such a reply should be avoided at all;</w:t>
      </w:r>
    </w:p>
    <w:p w:rsidR="003853DB" w:rsidRPr="009E3D20" w:rsidRDefault="003853DB" w:rsidP="00F87550">
      <w:pPr>
        <w:pStyle w:val="Paragrafoelenco"/>
        <w:numPr>
          <w:ilvl w:val="0"/>
          <w:numId w:val="4"/>
        </w:numPr>
        <w:spacing w:line="276" w:lineRule="auto"/>
        <w:jc w:val="both"/>
        <w:rPr>
          <w:rFonts w:ascii="Times New Roman" w:hAnsi="Times New Roman"/>
          <w:color w:val="000000" w:themeColor="text1"/>
          <w:lang w:val="en-GB"/>
        </w:rPr>
      </w:pPr>
      <w:r w:rsidRPr="009E3D20">
        <w:rPr>
          <w:rFonts w:ascii="Times New Roman" w:hAnsi="Times New Roman"/>
          <w:color w:val="000000" w:themeColor="text1"/>
          <w:lang w:val="en-GB"/>
        </w:rPr>
        <w:t xml:space="preserve">par. 29, </w:t>
      </w:r>
      <w:r w:rsidR="00F87550" w:rsidRPr="009E3D20">
        <w:rPr>
          <w:rFonts w:ascii="Times New Roman" w:hAnsi="Times New Roman"/>
          <w:color w:val="000000" w:themeColor="text1"/>
          <w:lang w:val="en-GB"/>
        </w:rPr>
        <w:t xml:space="preserve">i.e. it is important that firms appraise </w:t>
      </w:r>
      <w:r w:rsidRPr="009E3D20">
        <w:rPr>
          <w:rFonts w:ascii="Times New Roman" w:hAnsi="Times New Roman"/>
          <w:color w:val="000000" w:themeColor="text1"/>
          <w:lang w:val="en-GB"/>
        </w:rPr>
        <w:t>the client’s financial literacy. In this sense, we point out that (human) interaction with financial advisors is of key importance to promote financial education;</w:t>
      </w:r>
    </w:p>
    <w:p w:rsidR="003853DB" w:rsidRPr="009E3D20" w:rsidRDefault="006A767C" w:rsidP="006A767C">
      <w:pPr>
        <w:pStyle w:val="Paragrafoelenco"/>
        <w:numPr>
          <w:ilvl w:val="0"/>
          <w:numId w:val="4"/>
        </w:numPr>
        <w:spacing w:line="276" w:lineRule="auto"/>
        <w:jc w:val="both"/>
        <w:rPr>
          <w:rFonts w:ascii="Times New Roman" w:hAnsi="Times New Roman"/>
          <w:color w:val="000000" w:themeColor="text1"/>
          <w:lang w:val="en-GB"/>
        </w:rPr>
      </w:pPr>
      <w:r w:rsidRPr="009E3D20">
        <w:rPr>
          <w:rFonts w:ascii="Times New Roman" w:hAnsi="Times New Roman"/>
          <w:color w:val="000000" w:themeColor="text1"/>
          <w:lang w:val="en-GB"/>
        </w:rPr>
        <w:t xml:space="preserve">par. 30, </w:t>
      </w:r>
      <w:r w:rsidR="0052458C" w:rsidRPr="009E3D20">
        <w:rPr>
          <w:rFonts w:ascii="Times New Roman" w:hAnsi="Times New Roman"/>
          <w:color w:val="000000" w:themeColor="text1"/>
          <w:lang w:val="en-GB"/>
        </w:rPr>
        <w:t xml:space="preserve">point iii), </w:t>
      </w:r>
      <w:r w:rsidRPr="009E3D20">
        <w:rPr>
          <w:rFonts w:ascii="Times New Roman" w:hAnsi="Times New Roman"/>
          <w:color w:val="000000" w:themeColor="text1"/>
          <w:lang w:val="en-GB"/>
        </w:rPr>
        <w:t>i.e. the need to consider whether “some human interaction (including remote interaction via emails or mobile phones) is available to clients when responding to the online questionnaire”. Such a clarification is of primary importance, as it marks the border between</w:t>
      </w:r>
      <w:r w:rsidR="008E1D8B" w:rsidRPr="009E3D20">
        <w:rPr>
          <w:rFonts w:ascii="Times New Roman" w:hAnsi="Times New Roman"/>
          <w:color w:val="000000" w:themeColor="text1"/>
          <w:lang w:val="en-GB"/>
        </w:rPr>
        <w:t xml:space="preserve"> </w:t>
      </w:r>
      <w:r w:rsidRPr="009E3D20">
        <w:rPr>
          <w:rFonts w:ascii="Times New Roman" w:hAnsi="Times New Roman"/>
          <w:color w:val="000000" w:themeColor="text1"/>
          <w:lang w:val="en-GB"/>
        </w:rPr>
        <w:t xml:space="preserve">robo-advice </w:t>
      </w:r>
      <w:r w:rsidRPr="003E2DD3">
        <w:rPr>
          <w:rFonts w:ascii="Times New Roman" w:hAnsi="Times New Roman"/>
          <w:i/>
          <w:color w:val="000000" w:themeColor="text1"/>
          <w:lang w:val="en-GB"/>
        </w:rPr>
        <w:t>tout court</w:t>
      </w:r>
      <w:r w:rsidRPr="009E3D20">
        <w:rPr>
          <w:rFonts w:ascii="Times New Roman" w:hAnsi="Times New Roman"/>
          <w:color w:val="000000" w:themeColor="text1"/>
          <w:lang w:val="en-GB"/>
        </w:rPr>
        <w:t xml:space="preserve"> and other forms of semi-automated </w:t>
      </w:r>
      <w:r w:rsidR="0052458C" w:rsidRPr="009E3D20">
        <w:rPr>
          <w:rFonts w:ascii="Times New Roman" w:hAnsi="Times New Roman"/>
          <w:color w:val="000000" w:themeColor="text1"/>
          <w:lang w:val="en-GB"/>
        </w:rPr>
        <w:t>systems for the provision of investment advice or portfolio management (cf. our answer to Question 1);</w:t>
      </w:r>
    </w:p>
    <w:p w:rsidR="0052458C" w:rsidRPr="009E3D20" w:rsidRDefault="0052458C" w:rsidP="006A767C">
      <w:pPr>
        <w:pStyle w:val="Paragrafoelenco"/>
        <w:numPr>
          <w:ilvl w:val="0"/>
          <w:numId w:val="4"/>
        </w:numPr>
        <w:spacing w:line="276" w:lineRule="auto"/>
        <w:jc w:val="both"/>
        <w:rPr>
          <w:rFonts w:ascii="Times New Roman" w:hAnsi="Times New Roman"/>
          <w:color w:val="000000" w:themeColor="text1"/>
          <w:lang w:val="en-GB"/>
        </w:rPr>
      </w:pPr>
      <w:r w:rsidRPr="009E3D20">
        <w:rPr>
          <w:rFonts w:ascii="Times New Roman" w:hAnsi="Times New Roman"/>
          <w:color w:val="000000" w:themeColor="text1"/>
          <w:lang w:val="en-GB"/>
        </w:rPr>
        <w:t xml:space="preserve">par. 30, point iv), i.e. the importance of steps to address inconsistent client responses when responding to an online questionnaire, especially </w:t>
      </w:r>
      <w:r w:rsidR="00AB61BC" w:rsidRPr="009E3D20">
        <w:rPr>
          <w:rFonts w:ascii="Times New Roman" w:hAnsi="Times New Roman"/>
          <w:color w:val="000000" w:themeColor="text1"/>
          <w:lang w:val="en-GB"/>
        </w:rPr>
        <w:t>alerts or flags</w:t>
      </w:r>
      <w:r w:rsidRPr="009E3D20">
        <w:rPr>
          <w:rFonts w:ascii="Times New Roman" w:hAnsi="Times New Roman"/>
          <w:color w:val="000000" w:themeColor="text1"/>
          <w:lang w:val="en-GB"/>
        </w:rPr>
        <w:t xml:space="preserve"> when responses appear inconsistent</w:t>
      </w:r>
      <w:r w:rsidR="00AB61BC" w:rsidRPr="009E3D20">
        <w:rPr>
          <w:rFonts w:ascii="Times New Roman" w:hAnsi="Times New Roman"/>
          <w:color w:val="000000" w:themeColor="text1"/>
          <w:lang w:val="en-GB"/>
        </w:rPr>
        <w:t>.</w:t>
      </w:r>
    </w:p>
    <w:p w:rsidR="004106F1" w:rsidRPr="009E3D20" w:rsidRDefault="004106F1" w:rsidP="004106F1">
      <w:pPr>
        <w:spacing w:line="276" w:lineRule="auto"/>
        <w:jc w:val="both"/>
        <w:rPr>
          <w:rFonts w:ascii="Times New Roman" w:hAnsi="Times New Roman"/>
          <w:b/>
          <w:color w:val="000000" w:themeColor="text1"/>
          <w:lang w:val="en-GB"/>
        </w:rPr>
      </w:pPr>
    </w:p>
    <w:p w:rsidR="009E3D20" w:rsidRDefault="009E3D20" w:rsidP="004106F1">
      <w:pPr>
        <w:spacing w:line="276" w:lineRule="auto"/>
        <w:jc w:val="both"/>
        <w:rPr>
          <w:rFonts w:ascii="Times New Roman" w:hAnsi="Times New Roman"/>
          <w:b/>
          <w:color w:val="000000" w:themeColor="text1"/>
          <w:lang w:val="en-GB"/>
        </w:rPr>
      </w:pPr>
    </w:p>
    <w:p w:rsidR="003E2DD3" w:rsidRPr="009E3D20" w:rsidRDefault="003E2DD3" w:rsidP="004106F1">
      <w:pPr>
        <w:spacing w:line="276" w:lineRule="auto"/>
        <w:jc w:val="both"/>
        <w:rPr>
          <w:rFonts w:ascii="Times New Roman" w:hAnsi="Times New Roman"/>
          <w:b/>
          <w:color w:val="000000" w:themeColor="text1"/>
          <w:lang w:val="en-GB"/>
        </w:rPr>
      </w:pPr>
    </w:p>
    <w:p w:rsidR="004106F1" w:rsidRPr="009E3D20" w:rsidRDefault="004106F1" w:rsidP="004106F1">
      <w:pPr>
        <w:spacing w:line="276" w:lineRule="auto"/>
        <w:jc w:val="both"/>
        <w:rPr>
          <w:rFonts w:ascii="Times New Roman" w:hAnsi="Times New Roman"/>
          <w:b/>
          <w:color w:val="000000" w:themeColor="text1"/>
          <w:lang w:val="en-GB"/>
        </w:rPr>
      </w:pPr>
      <w:r w:rsidRPr="009E3D20">
        <w:rPr>
          <w:rFonts w:ascii="Times New Roman" w:hAnsi="Times New Roman"/>
          <w:b/>
          <w:color w:val="000000" w:themeColor="text1"/>
          <w:lang w:val="en-GB"/>
        </w:rPr>
        <w:lastRenderedPageBreak/>
        <w:t xml:space="preserve">Q4: Do you agree with how the guideline on the topic of ‘reliability of client information’ has been updated to take into account behavioural finance and the development of robo-advice models? Please also state the reasons for your answer. </w:t>
      </w:r>
    </w:p>
    <w:p w:rsidR="008E4D99" w:rsidRPr="009E3D20" w:rsidRDefault="008E4D99" w:rsidP="004106F1">
      <w:pPr>
        <w:spacing w:line="276" w:lineRule="auto"/>
        <w:jc w:val="both"/>
        <w:rPr>
          <w:rFonts w:ascii="Times New Roman" w:hAnsi="Times New Roman"/>
          <w:color w:val="000000" w:themeColor="text1"/>
          <w:lang w:val="en-GB"/>
        </w:rPr>
      </w:pPr>
      <w:r w:rsidRPr="009E3D20">
        <w:rPr>
          <w:rFonts w:ascii="Times New Roman" w:hAnsi="Times New Roman"/>
          <w:color w:val="000000" w:themeColor="text1"/>
          <w:lang w:val="en-GB"/>
        </w:rPr>
        <w:t xml:space="preserve">We </w:t>
      </w:r>
      <w:r w:rsidR="00546213" w:rsidRPr="009E3D20">
        <w:rPr>
          <w:rFonts w:ascii="Times New Roman" w:hAnsi="Times New Roman"/>
          <w:color w:val="000000" w:themeColor="text1"/>
          <w:lang w:val="en-GB"/>
        </w:rPr>
        <w:t>particularly agree with these guidelines</w:t>
      </w:r>
      <w:r w:rsidRPr="009E3D20">
        <w:rPr>
          <w:rFonts w:ascii="Times New Roman" w:hAnsi="Times New Roman"/>
          <w:color w:val="000000" w:themeColor="text1"/>
          <w:lang w:val="en-GB"/>
        </w:rPr>
        <w:t>:</w:t>
      </w:r>
    </w:p>
    <w:p w:rsidR="003B342D" w:rsidRPr="009E3D20" w:rsidRDefault="008E4D99" w:rsidP="00D0072A">
      <w:pPr>
        <w:pStyle w:val="Paragrafoelenco"/>
        <w:numPr>
          <w:ilvl w:val="0"/>
          <w:numId w:val="4"/>
        </w:numPr>
        <w:spacing w:line="276" w:lineRule="auto"/>
        <w:jc w:val="both"/>
        <w:rPr>
          <w:rFonts w:ascii="Times New Roman" w:hAnsi="Times New Roman"/>
          <w:color w:val="000000" w:themeColor="text1"/>
          <w:lang w:val="en-GB"/>
        </w:rPr>
      </w:pPr>
      <w:r w:rsidRPr="009E3D20">
        <w:rPr>
          <w:rFonts w:ascii="Times New Roman" w:hAnsi="Times New Roman"/>
          <w:color w:val="000000" w:themeColor="text1"/>
          <w:lang w:val="en-GB"/>
        </w:rPr>
        <w:t>« self-assessment should be counterbalanced by objective criteria »</w:t>
      </w:r>
      <w:r w:rsidR="00D0072A" w:rsidRPr="009E3D20">
        <w:rPr>
          <w:rFonts w:ascii="Times New Roman" w:hAnsi="Times New Roman"/>
          <w:color w:val="000000" w:themeColor="text1"/>
          <w:lang w:val="en-GB"/>
        </w:rPr>
        <w:t xml:space="preserve"> (par. 44</w:t>
      </w:r>
      <w:r w:rsidR="001E3E37" w:rsidRPr="009E3D20">
        <w:rPr>
          <w:rFonts w:ascii="Times New Roman" w:hAnsi="Times New Roman"/>
          <w:color w:val="000000" w:themeColor="text1"/>
          <w:lang w:val="en-GB"/>
        </w:rPr>
        <w:t xml:space="preserve"> and 45</w:t>
      </w:r>
      <w:r w:rsidR="00D0072A" w:rsidRPr="009E3D20">
        <w:rPr>
          <w:rFonts w:ascii="Times New Roman" w:hAnsi="Times New Roman"/>
          <w:color w:val="000000" w:themeColor="text1"/>
          <w:lang w:val="en-GB"/>
        </w:rPr>
        <w:t>). In general, we believe that the mechanisms adopted by the firms to avoid self-assessment are particularly important for the assessment of client’s knowledge, experience</w:t>
      </w:r>
      <w:r w:rsidR="001E3E37" w:rsidRPr="009E3D20">
        <w:rPr>
          <w:rFonts w:ascii="Times New Roman" w:hAnsi="Times New Roman"/>
          <w:color w:val="000000" w:themeColor="text1"/>
          <w:lang w:val="en-GB"/>
        </w:rPr>
        <w:t>, financial situation</w:t>
      </w:r>
      <w:r w:rsidR="00D0072A" w:rsidRPr="009E3D20">
        <w:rPr>
          <w:rFonts w:ascii="Times New Roman" w:hAnsi="Times New Roman"/>
          <w:color w:val="000000" w:themeColor="text1"/>
          <w:lang w:val="en-GB"/>
        </w:rPr>
        <w:t xml:space="preserve"> and risk tolerance</w:t>
      </w:r>
      <w:r w:rsidR="001E3E37" w:rsidRPr="009E3D20">
        <w:rPr>
          <w:rFonts w:ascii="Times New Roman" w:hAnsi="Times New Roman"/>
          <w:color w:val="000000" w:themeColor="text1"/>
          <w:lang w:val="en-GB"/>
        </w:rPr>
        <w:t xml:space="preserve">. For instance, to assess risk tolerance through a questionnaire it is possible to ask the client what he/she would do </w:t>
      </w:r>
      <w:r w:rsidR="003B342D" w:rsidRPr="009E3D20">
        <w:rPr>
          <w:rFonts w:ascii="Times New Roman" w:hAnsi="Times New Roman"/>
          <w:color w:val="000000" w:themeColor="text1"/>
          <w:lang w:val="en-GB"/>
        </w:rPr>
        <w:t>in the face of</w:t>
      </w:r>
      <w:r w:rsidR="001E3E37" w:rsidRPr="009E3D20">
        <w:rPr>
          <w:rFonts w:ascii="Times New Roman" w:hAnsi="Times New Roman"/>
          <w:color w:val="000000" w:themeColor="text1"/>
          <w:lang w:val="en-GB"/>
        </w:rPr>
        <w:t xml:space="preserve"> </w:t>
      </w:r>
      <w:r w:rsidR="003E2DD3">
        <w:rPr>
          <w:rFonts w:ascii="Times New Roman" w:hAnsi="Times New Roman"/>
          <w:color w:val="000000" w:themeColor="text1"/>
          <w:lang w:val="en-GB"/>
        </w:rPr>
        <w:t>negative market trends, choosing between</w:t>
      </w:r>
      <w:r w:rsidR="003B342D" w:rsidRPr="009E3D20">
        <w:rPr>
          <w:rFonts w:ascii="Times New Roman" w:hAnsi="Times New Roman"/>
          <w:color w:val="000000" w:themeColor="text1"/>
          <w:lang w:val="en-GB"/>
        </w:rPr>
        <w:t xml:space="preserve"> these possible answers: </w:t>
      </w:r>
    </w:p>
    <w:p w:rsidR="008E4D99" w:rsidRPr="009E3D20" w:rsidRDefault="003B342D" w:rsidP="003B342D">
      <w:pPr>
        <w:pStyle w:val="Paragrafoelenco"/>
        <w:numPr>
          <w:ilvl w:val="1"/>
          <w:numId w:val="4"/>
        </w:numPr>
        <w:spacing w:line="276" w:lineRule="auto"/>
        <w:jc w:val="both"/>
        <w:rPr>
          <w:rFonts w:ascii="Times New Roman" w:hAnsi="Times New Roman"/>
          <w:color w:val="000000" w:themeColor="text1"/>
          <w:lang w:val="en-GB"/>
        </w:rPr>
      </w:pPr>
      <w:r w:rsidRPr="009E3D20">
        <w:rPr>
          <w:rFonts w:ascii="Times New Roman" w:hAnsi="Times New Roman"/>
          <w:color w:val="000000" w:themeColor="text1"/>
          <w:lang w:val="en-GB"/>
        </w:rPr>
        <w:t>disinvest immediately, because I am not willing to bear higher losses;</w:t>
      </w:r>
    </w:p>
    <w:p w:rsidR="003B342D" w:rsidRPr="009E3D20" w:rsidRDefault="00546213" w:rsidP="003B342D">
      <w:pPr>
        <w:pStyle w:val="Paragrafoelenco"/>
        <w:numPr>
          <w:ilvl w:val="1"/>
          <w:numId w:val="4"/>
        </w:numPr>
        <w:spacing w:line="276" w:lineRule="auto"/>
        <w:jc w:val="both"/>
        <w:rPr>
          <w:rFonts w:ascii="Times New Roman" w:hAnsi="Times New Roman"/>
          <w:color w:val="000000" w:themeColor="text1"/>
          <w:lang w:val="en-GB"/>
        </w:rPr>
      </w:pPr>
      <w:r w:rsidRPr="009E3D20">
        <w:rPr>
          <w:rFonts w:ascii="Times New Roman" w:hAnsi="Times New Roman"/>
          <w:color w:val="000000" w:themeColor="text1"/>
          <w:lang w:val="en-GB"/>
        </w:rPr>
        <w:t xml:space="preserve">hold the investment and wait to recoup </w:t>
      </w:r>
      <w:r w:rsidR="003E2DD3">
        <w:rPr>
          <w:rFonts w:ascii="Times New Roman" w:hAnsi="Times New Roman"/>
          <w:color w:val="000000" w:themeColor="text1"/>
          <w:lang w:val="en-GB"/>
        </w:rPr>
        <w:t>its value</w:t>
      </w:r>
      <w:r w:rsidRPr="009E3D20">
        <w:rPr>
          <w:rFonts w:ascii="Times New Roman" w:hAnsi="Times New Roman"/>
          <w:color w:val="000000" w:themeColor="text1"/>
          <w:lang w:val="en-GB"/>
        </w:rPr>
        <w:t xml:space="preserve"> before selling it;</w:t>
      </w:r>
      <w:r w:rsidR="003B342D" w:rsidRPr="009E3D20">
        <w:rPr>
          <w:rFonts w:ascii="Times New Roman" w:hAnsi="Times New Roman"/>
          <w:color w:val="000000" w:themeColor="text1"/>
          <w:lang w:val="en-GB"/>
        </w:rPr>
        <w:t xml:space="preserve"> </w:t>
      </w:r>
    </w:p>
    <w:p w:rsidR="003B342D" w:rsidRPr="009E3D20" w:rsidRDefault="003B342D" w:rsidP="003B342D">
      <w:pPr>
        <w:pStyle w:val="Paragrafoelenco"/>
        <w:numPr>
          <w:ilvl w:val="1"/>
          <w:numId w:val="4"/>
        </w:numPr>
        <w:spacing w:line="276" w:lineRule="auto"/>
        <w:jc w:val="both"/>
        <w:rPr>
          <w:rFonts w:ascii="Times New Roman" w:hAnsi="Times New Roman"/>
          <w:color w:val="000000" w:themeColor="text1"/>
          <w:lang w:val="en-GB"/>
        </w:rPr>
      </w:pPr>
      <w:r w:rsidRPr="009E3D20">
        <w:rPr>
          <w:rFonts w:ascii="Times New Roman" w:hAnsi="Times New Roman"/>
          <w:color w:val="000000" w:themeColor="text1"/>
          <w:lang w:val="en-GB"/>
        </w:rPr>
        <w:t>hold the investment to achieve a positive return on the long-term;</w:t>
      </w:r>
    </w:p>
    <w:p w:rsidR="00546213" w:rsidRPr="009E3D20" w:rsidRDefault="00546213" w:rsidP="00546213">
      <w:pPr>
        <w:pStyle w:val="Paragrafoelenco"/>
        <w:numPr>
          <w:ilvl w:val="1"/>
          <w:numId w:val="4"/>
        </w:numPr>
        <w:spacing w:line="276" w:lineRule="auto"/>
        <w:jc w:val="both"/>
        <w:rPr>
          <w:rFonts w:ascii="Times New Roman" w:hAnsi="Times New Roman"/>
          <w:color w:val="000000" w:themeColor="text1"/>
          <w:lang w:val="en-GB"/>
        </w:rPr>
      </w:pPr>
      <w:r w:rsidRPr="009E3D20">
        <w:rPr>
          <w:rFonts w:ascii="Times New Roman" w:hAnsi="Times New Roman"/>
          <w:color w:val="000000" w:themeColor="text1"/>
          <w:lang w:val="en-GB"/>
        </w:rPr>
        <w:t>hold the investment and further invest</w:t>
      </w:r>
      <w:r w:rsidR="003E2DD3">
        <w:rPr>
          <w:rFonts w:ascii="Times New Roman" w:hAnsi="Times New Roman"/>
          <w:color w:val="000000" w:themeColor="text1"/>
          <w:lang w:val="en-GB"/>
        </w:rPr>
        <w:t xml:space="preserve"> in it</w:t>
      </w:r>
      <w:r w:rsidRPr="009E3D20">
        <w:rPr>
          <w:rFonts w:ascii="Times New Roman" w:hAnsi="Times New Roman"/>
          <w:color w:val="000000" w:themeColor="text1"/>
          <w:lang w:val="en-GB"/>
        </w:rPr>
        <w:t xml:space="preserve"> to profit when the market goes down;</w:t>
      </w:r>
    </w:p>
    <w:p w:rsidR="00546213" w:rsidRPr="003E2DD3" w:rsidRDefault="00546213" w:rsidP="00E95B5A">
      <w:pPr>
        <w:pStyle w:val="Paragrafoelenco"/>
        <w:numPr>
          <w:ilvl w:val="0"/>
          <w:numId w:val="4"/>
        </w:numPr>
        <w:spacing w:line="276" w:lineRule="auto"/>
        <w:jc w:val="both"/>
        <w:rPr>
          <w:rFonts w:ascii="Times New Roman" w:hAnsi="Times New Roman"/>
          <w:color w:val="000000" w:themeColor="text1"/>
          <w:lang w:val="en-GB"/>
        </w:rPr>
      </w:pPr>
      <w:r w:rsidRPr="003E2DD3">
        <w:rPr>
          <w:rFonts w:ascii="Times New Roman" w:hAnsi="Times New Roman"/>
          <w:color w:val="000000" w:themeColor="text1"/>
          <w:lang w:val="en-GB"/>
        </w:rPr>
        <w:t>appropriate systems and controls are needed</w:t>
      </w:r>
      <w:r w:rsidR="003E2DD3" w:rsidRPr="003E2DD3">
        <w:rPr>
          <w:rFonts w:ascii="Times New Roman" w:hAnsi="Times New Roman"/>
          <w:color w:val="000000" w:themeColor="text1"/>
          <w:lang w:val="en-GB"/>
        </w:rPr>
        <w:t xml:space="preserve"> to ensure</w:t>
      </w:r>
      <w:r w:rsidRPr="003E2DD3">
        <w:rPr>
          <w:rFonts w:ascii="Times New Roman" w:hAnsi="Times New Roman"/>
          <w:color w:val="000000" w:themeColor="text1"/>
          <w:lang w:val="en-GB"/>
        </w:rPr>
        <w:t xml:space="preserve"> that</w:t>
      </w:r>
      <w:r w:rsidR="003E2DD3">
        <w:rPr>
          <w:rFonts w:ascii="Times New Roman" w:hAnsi="Times New Roman"/>
          <w:color w:val="000000" w:themeColor="text1"/>
          <w:lang w:val="en-GB"/>
        </w:rPr>
        <w:t xml:space="preserve"> the</w:t>
      </w:r>
      <w:r w:rsidRPr="003E2DD3">
        <w:rPr>
          <w:rFonts w:ascii="Times New Roman" w:hAnsi="Times New Roman"/>
          <w:color w:val="000000" w:themeColor="text1"/>
          <w:lang w:val="en-GB"/>
        </w:rPr>
        <w:t xml:space="preserve"> tools</w:t>
      </w:r>
      <w:r w:rsidRPr="003E2DD3">
        <w:rPr>
          <w:color w:val="000000" w:themeColor="text1"/>
          <w:lang w:val="en-GB"/>
        </w:rPr>
        <w:t xml:space="preserve"> </w:t>
      </w:r>
      <w:r w:rsidRPr="003E2DD3">
        <w:rPr>
          <w:rFonts w:ascii="Times New Roman" w:hAnsi="Times New Roman"/>
          <w:color w:val="000000" w:themeColor="text1"/>
          <w:lang w:val="en-GB"/>
        </w:rPr>
        <w:t xml:space="preserve">used </w:t>
      </w:r>
      <w:r w:rsidRPr="003E2DD3">
        <w:rPr>
          <w:rFonts w:ascii="Times New Roman" w:hAnsi="Times New Roman"/>
          <w:i/>
          <w:color w:val="000000" w:themeColor="text1"/>
          <w:lang w:val="en-GB"/>
        </w:rPr>
        <w:t>by clients</w:t>
      </w:r>
      <w:r w:rsidRPr="003E2DD3">
        <w:rPr>
          <w:rFonts w:ascii="Times New Roman" w:hAnsi="Times New Roman"/>
          <w:color w:val="000000" w:themeColor="text1"/>
          <w:lang w:val="en-GB"/>
        </w:rPr>
        <w:t xml:space="preserve"> as part of the suitability process are fit for purpose and produce satisfactory results</w:t>
      </w:r>
      <w:r w:rsidR="00E95B5A" w:rsidRPr="003E2DD3">
        <w:rPr>
          <w:rFonts w:ascii="Times New Roman" w:hAnsi="Times New Roman"/>
          <w:color w:val="000000" w:themeColor="text1"/>
          <w:lang w:val="en-GB"/>
        </w:rPr>
        <w:t xml:space="preserve">. In particular, we agree with par. 46: risk-profiling software should include controls of coherence of the replies provided by clients in order to highlight </w:t>
      </w:r>
      <w:r w:rsidR="00F83549">
        <w:rPr>
          <w:rFonts w:ascii="Times New Roman" w:hAnsi="Times New Roman"/>
          <w:color w:val="000000" w:themeColor="text1"/>
          <w:lang w:val="en-GB"/>
        </w:rPr>
        <w:t xml:space="preserve">possible </w:t>
      </w:r>
      <w:r w:rsidR="00E95B5A" w:rsidRPr="003E2DD3">
        <w:rPr>
          <w:rFonts w:ascii="Times New Roman" w:hAnsi="Times New Roman"/>
          <w:color w:val="000000" w:themeColor="text1"/>
          <w:lang w:val="en-GB"/>
        </w:rPr>
        <w:t>contradictions between different pieces of information collected;</w:t>
      </w:r>
    </w:p>
    <w:p w:rsidR="00E95B5A" w:rsidRPr="009E3D20" w:rsidRDefault="00E95B5A" w:rsidP="00E95B5A">
      <w:pPr>
        <w:pStyle w:val="Paragrafoelenco"/>
        <w:numPr>
          <w:ilvl w:val="0"/>
          <w:numId w:val="4"/>
        </w:numPr>
        <w:spacing w:line="276" w:lineRule="auto"/>
        <w:jc w:val="both"/>
        <w:rPr>
          <w:rFonts w:ascii="Times New Roman" w:hAnsi="Times New Roman"/>
          <w:color w:val="000000" w:themeColor="text1"/>
          <w:lang w:val="en-GB"/>
        </w:rPr>
      </w:pPr>
      <w:r w:rsidRPr="009E3D20">
        <w:rPr>
          <w:rFonts w:ascii="Times New Roman" w:hAnsi="Times New Roman"/>
          <w:color w:val="000000" w:themeColor="text1"/>
          <w:lang w:val="en-GB"/>
        </w:rPr>
        <w:t xml:space="preserve">adequate mechanisms are required to avoid that clients may tend to overestimate their knowledge and experience. We completely agree with par. 49 when it recognizes that </w:t>
      </w:r>
      <w:r w:rsidR="000F7E2C" w:rsidRPr="009E3D20">
        <w:rPr>
          <w:rFonts w:ascii="Times New Roman" w:hAnsi="Times New Roman"/>
          <w:color w:val="000000" w:themeColor="text1"/>
          <w:lang w:val="en-GB"/>
        </w:rPr>
        <w:t>such measures are particularly important in the case of robo-advice</w:t>
      </w:r>
      <w:r w:rsidR="005E3C85" w:rsidRPr="009E3D20">
        <w:rPr>
          <w:rFonts w:ascii="Times New Roman" w:hAnsi="Times New Roman"/>
          <w:color w:val="000000" w:themeColor="text1"/>
          <w:lang w:val="en-GB"/>
        </w:rPr>
        <w:t>, where the risk of overestimation by clients may result higher.</w:t>
      </w:r>
    </w:p>
    <w:p w:rsidR="007A722F" w:rsidRPr="00942A40" w:rsidRDefault="007A1D01" w:rsidP="007A722F">
      <w:pPr>
        <w:spacing w:line="276" w:lineRule="auto"/>
        <w:jc w:val="both"/>
        <w:rPr>
          <w:rFonts w:ascii="Times New Roman" w:hAnsi="Times New Roman"/>
          <w:color w:val="000000" w:themeColor="text1"/>
          <w:lang w:val="en-US"/>
        </w:rPr>
      </w:pPr>
      <w:r w:rsidRPr="00942A40">
        <w:rPr>
          <w:rFonts w:ascii="Times New Roman" w:hAnsi="Times New Roman"/>
          <w:color w:val="000000" w:themeColor="text1"/>
          <w:lang w:val="en-US"/>
        </w:rPr>
        <w:t xml:space="preserve">We propose an integration of the aforementioned Guideline </w:t>
      </w:r>
      <w:r w:rsidR="00623F0C" w:rsidRPr="00942A40">
        <w:rPr>
          <w:rFonts w:ascii="Times New Roman" w:hAnsi="Times New Roman"/>
          <w:color w:val="000000" w:themeColor="text1"/>
          <w:lang w:val="en-US"/>
        </w:rPr>
        <w:t>t</w:t>
      </w:r>
      <w:r w:rsidRPr="00942A40">
        <w:rPr>
          <w:rFonts w:ascii="Times New Roman" w:hAnsi="Times New Roman"/>
          <w:color w:val="000000" w:themeColor="text1"/>
          <w:lang w:val="en-US"/>
        </w:rPr>
        <w:t>o consider the risk of a</w:t>
      </w:r>
      <w:r w:rsidR="007A722F" w:rsidRPr="00942A40">
        <w:rPr>
          <w:rFonts w:ascii="Times New Roman" w:hAnsi="Times New Roman"/>
          <w:color w:val="000000" w:themeColor="text1"/>
          <w:lang w:val="en-US"/>
        </w:rPr>
        <w:t xml:space="preserve"> </w:t>
      </w:r>
      <w:r w:rsidRPr="00942A40">
        <w:rPr>
          <w:rFonts w:ascii="Times New Roman" w:hAnsi="Times New Roman"/>
          <w:color w:val="000000" w:themeColor="text1"/>
          <w:lang w:val="en-US"/>
        </w:rPr>
        <w:t>self-profiling</w:t>
      </w:r>
      <w:r w:rsidR="007A722F" w:rsidRPr="00942A40">
        <w:rPr>
          <w:rFonts w:ascii="Times New Roman" w:hAnsi="Times New Roman"/>
          <w:color w:val="000000" w:themeColor="text1"/>
          <w:lang w:val="en-US"/>
        </w:rPr>
        <w:t xml:space="preserve"> by the investor</w:t>
      </w:r>
      <w:r w:rsidR="00623F0C" w:rsidRPr="00942A40">
        <w:rPr>
          <w:rFonts w:ascii="Times New Roman" w:hAnsi="Times New Roman"/>
          <w:color w:val="000000" w:themeColor="text1"/>
          <w:lang w:val="en-US"/>
        </w:rPr>
        <w:t>, aimed a</w:t>
      </w:r>
      <w:r w:rsidR="007A722F" w:rsidRPr="00942A40">
        <w:rPr>
          <w:rFonts w:ascii="Times New Roman" w:hAnsi="Times New Roman"/>
          <w:color w:val="000000" w:themeColor="text1"/>
          <w:lang w:val="en-US"/>
        </w:rPr>
        <w:t>t</w:t>
      </w:r>
      <w:r w:rsidR="00623F0C" w:rsidRPr="00942A40">
        <w:rPr>
          <w:rFonts w:ascii="Times New Roman" w:hAnsi="Times New Roman"/>
          <w:color w:val="000000" w:themeColor="text1"/>
          <w:lang w:val="en-US"/>
        </w:rPr>
        <w:t xml:space="preserve"> making</w:t>
      </w:r>
      <w:r w:rsidR="007A722F" w:rsidRPr="00942A40">
        <w:rPr>
          <w:rFonts w:ascii="Times New Roman" w:hAnsi="Times New Roman"/>
          <w:color w:val="000000" w:themeColor="text1"/>
          <w:lang w:val="en-US"/>
        </w:rPr>
        <w:t xml:space="preserve"> h</w:t>
      </w:r>
      <w:r w:rsidR="00623F0C" w:rsidRPr="00942A40">
        <w:rPr>
          <w:rFonts w:ascii="Times New Roman" w:hAnsi="Times New Roman"/>
          <w:color w:val="000000" w:themeColor="text1"/>
          <w:lang w:val="en-US"/>
        </w:rPr>
        <w:t>er</w:t>
      </w:r>
      <w:r w:rsidR="007A722F" w:rsidRPr="00942A40">
        <w:rPr>
          <w:rFonts w:ascii="Times New Roman" w:hAnsi="Times New Roman"/>
          <w:color w:val="000000" w:themeColor="text1"/>
          <w:lang w:val="en-US"/>
        </w:rPr>
        <w:t>/h</w:t>
      </w:r>
      <w:r w:rsidR="00623F0C" w:rsidRPr="00942A40">
        <w:rPr>
          <w:rFonts w:ascii="Times New Roman" w:hAnsi="Times New Roman"/>
          <w:color w:val="000000" w:themeColor="text1"/>
          <w:lang w:val="en-US"/>
        </w:rPr>
        <w:t>is</w:t>
      </w:r>
      <w:r w:rsidR="007A722F" w:rsidRPr="00942A40">
        <w:rPr>
          <w:rFonts w:ascii="Times New Roman" w:hAnsi="Times New Roman"/>
          <w:color w:val="000000" w:themeColor="text1"/>
          <w:lang w:val="en-US"/>
        </w:rPr>
        <w:t xml:space="preserve"> profile appear suitable</w:t>
      </w:r>
      <w:r w:rsidRPr="00942A40">
        <w:rPr>
          <w:rFonts w:ascii="Times New Roman" w:hAnsi="Times New Roman"/>
          <w:color w:val="000000" w:themeColor="text1"/>
          <w:lang w:val="en-US"/>
        </w:rPr>
        <w:t>: i.e., the cas</w:t>
      </w:r>
      <w:r w:rsidR="00623F0C" w:rsidRPr="00942A40">
        <w:rPr>
          <w:rFonts w:ascii="Times New Roman" w:hAnsi="Times New Roman"/>
          <w:color w:val="000000" w:themeColor="text1"/>
          <w:lang w:val="en-US"/>
        </w:rPr>
        <w:t>e of an investor who profiles her</w:t>
      </w:r>
      <w:r w:rsidRPr="00942A40">
        <w:rPr>
          <w:rFonts w:ascii="Times New Roman" w:hAnsi="Times New Roman"/>
          <w:color w:val="000000" w:themeColor="text1"/>
          <w:lang w:val="en-US"/>
        </w:rPr>
        <w:t>self/h</w:t>
      </w:r>
      <w:r w:rsidR="00623F0C" w:rsidRPr="00942A40">
        <w:rPr>
          <w:rFonts w:ascii="Times New Roman" w:hAnsi="Times New Roman"/>
          <w:color w:val="000000" w:themeColor="text1"/>
          <w:lang w:val="en-US"/>
        </w:rPr>
        <w:t>im</w:t>
      </w:r>
      <w:r w:rsidRPr="00942A40">
        <w:rPr>
          <w:rFonts w:ascii="Times New Roman" w:hAnsi="Times New Roman"/>
          <w:color w:val="000000" w:themeColor="text1"/>
          <w:lang w:val="en-US"/>
        </w:rPr>
        <w:t xml:space="preserve">self, leading to an inconsistent outcome which results in the choice of unsuitable investment products. That is to say, </w:t>
      </w:r>
      <w:r w:rsidR="00623F0C" w:rsidRPr="00942A40">
        <w:rPr>
          <w:rFonts w:ascii="Times New Roman" w:hAnsi="Times New Roman"/>
          <w:color w:val="000000" w:themeColor="text1"/>
          <w:lang w:val="en-US"/>
        </w:rPr>
        <w:t xml:space="preserve">in this case </w:t>
      </w:r>
      <w:r w:rsidR="007A722F" w:rsidRPr="00942A40">
        <w:rPr>
          <w:rFonts w:ascii="Times New Roman" w:hAnsi="Times New Roman"/>
          <w:color w:val="000000" w:themeColor="text1"/>
          <w:lang w:val="en-US"/>
        </w:rPr>
        <w:t xml:space="preserve">the investor tries to modify, by trial, the details of </w:t>
      </w:r>
      <w:r w:rsidR="00623F0C" w:rsidRPr="00942A40">
        <w:rPr>
          <w:rFonts w:ascii="Times New Roman" w:hAnsi="Times New Roman"/>
          <w:color w:val="000000" w:themeColor="text1"/>
          <w:lang w:val="en-US"/>
        </w:rPr>
        <w:t>her/his</w:t>
      </w:r>
      <w:r w:rsidR="007A722F" w:rsidRPr="00942A40">
        <w:rPr>
          <w:rFonts w:ascii="Times New Roman" w:hAnsi="Times New Roman"/>
          <w:color w:val="000000" w:themeColor="text1"/>
          <w:lang w:val="en-US"/>
        </w:rPr>
        <w:t xml:space="preserve"> automated profiling, until he/she makes it appear suitable an unsuitable product that he/she desires. To avoid this risk, we may consider </w:t>
      </w:r>
      <w:r w:rsidR="00F84126" w:rsidRPr="00942A40">
        <w:rPr>
          <w:rFonts w:ascii="Times New Roman" w:hAnsi="Times New Roman"/>
          <w:color w:val="000000" w:themeColor="text1"/>
          <w:lang w:val="en-US"/>
        </w:rPr>
        <w:t>a</w:t>
      </w:r>
      <w:r w:rsidR="007A722F" w:rsidRPr="00942A40">
        <w:rPr>
          <w:rFonts w:ascii="Times New Roman" w:hAnsi="Times New Roman"/>
          <w:color w:val="000000" w:themeColor="text1"/>
          <w:lang w:val="en-US"/>
        </w:rPr>
        <w:t xml:space="preserve"> limit</w:t>
      </w:r>
      <w:r w:rsidR="00F84126" w:rsidRPr="00942A40">
        <w:rPr>
          <w:rFonts w:ascii="Times New Roman" w:hAnsi="Times New Roman"/>
          <w:color w:val="000000" w:themeColor="text1"/>
          <w:lang w:val="en-US"/>
        </w:rPr>
        <w:t xml:space="preserve"> to</w:t>
      </w:r>
      <w:r w:rsidR="007A722F" w:rsidRPr="00942A40">
        <w:rPr>
          <w:rFonts w:ascii="Times New Roman" w:hAnsi="Times New Roman"/>
          <w:color w:val="000000" w:themeColor="text1"/>
          <w:lang w:val="en-US"/>
        </w:rPr>
        <w:t xml:space="preserve"> the number of changes </w:t>
      </w:r>
      <w:r w:rsidR="00294D2D" w:rsidRPr="00942A40">
        <w:rPr>
          <w:rFonts w:ascii="Times New Roman" w:hAnsi="Times New Roman"/>
          <w:color w:val="000000" w:themeColor="text1"/>
          <w:lang w:val="en-US"/>
        </w:rPr>
        <w:t>to</w:t>
      </w:r>
      <w:r w:rsidR="007A722F" w:rsidRPr="00942A40">
        <w:rPr>
          <w:rFonts w:ascii="Times New Roman" w:hAnsi="Times New Roman"/>
          <w:color w:val="000000" w:themeColor="text1"/>
          <w:lang w:val="en-US"/>
        </w:rPr>
        <w:t xml:space="preserve"> </w:t>
      </w:r>
      <w:r w:rsidR="00F84126" w:rsidRPr="00942A40">
        <w:rPr>
          <w:rFonts w:ascii="Times New Roman" w:hAnsi="Times New Roman"/>
          <w:color w:val="000000" w:themeColor="text1"/>
          <w:lang w:val="en-US"/>
        </w:rPr>
        <w:t>the investor’s</w:t>
      </w:r>
      <w:r w:rsidR="007A722F" w:rsidRPr="00942A40">
        <w:rPr>
          <w:rFonts w:ascii="Times New Roman" w:hAnsi="Times New Roman"/>
          <w:color w:val="000000" w:themeColor="text1"/>
          <w:lang w:val="en-US"/>
        </w:rPr>
        <w:t xml:space="preserve"> profile that </w:t>
      </w:r>
      <w:r w:rsidR="00F84126" w:rsidRPr="00942A40">
        <w:rPr>
          <w:rFonts w:ascii="Times New Roman" w:hAnsi="Times New Roman"/>
          <w:color w:val="000000" w:themeColor="text1"/>
          <w:lang w:val="en-US"/>
        </w:rPr>
        <w:t>he/she</w:t>
      </w:r>
      <w:r w:rsidR="007A722F" w:rsidRPr="00942A40">
        <w:rPr>
          <w:rFonts w:ascii="Times New Roman" w:hAnsi="Times New Roman"/>
          <w:color w:val="000000" w:themeColor="text1"/>
          <w:lang w:val="en-US"/>
        </w:rPr>
        <w:t xml:space="preserve"> can </w:t>
      </w:r>
      <w:r w:rsidR="00297374" w:rsidRPr="00942A40">
        <w:rPr>
          <w:rFonts w:ascii="Times New Roman" w:hAnsi="Times New Roman"/>
          <w:color w:val="000000" w:themeColor="text1"/>
          <w:lang w:val="en-US"/>
        </w:rPr>
        <w:t>make</w:t>
      </w:r>
      <w:r w:rsidR="007A722F" w:rsidRPr="00942A40">
        <w:rPr>
          <w:rFonts w:ascii="Times New Roman" w:hAnsi="Times New Roman"/>
          <w:color w:val="000000" w:themeColor="text1"/>
          <w:lang w:val="en-US"/>
        </w:rPr>
        <w:t xml:space="preserve"> with regard to the data he/she has inputted (for instance, by establishing that these changes are possible only twice).</w:t>
      </w:r>
      <w:r w:rsidR="00297374" w:rsidRPr="00942A40">
        <w:rPr>
          <w:rFonts w:ascii="Times New Roman" w:hAnsi="Times New Roman"/>
          <w:color w:val="000000" w:themeColor="text1"/>
          <w:lang w:val="en-US"/>
        </w:rPr>
        <w:t xml:space="preserve"> </w:t>
      </w:r>
    </w:p>
    <w:p w:rsidR="00655A43" w:rsidRPr="007A1D01" w:rsidRDefault="00655A43" w:rsidP="004106F1">
      <w:pPr>
        <w:spacing w:line="276" w:lineRule="auto"/>
        <w:jc w:val="both"/>
        <w:rPr>
          <w:rFonts w:ascii="Times New Roman" w:hAnsi="Times New Roman"/>
          <w:b/>
          <w:color w:val="000000" w:themeColor="text1"/>
          <w:lang w:val="en-US"/>
        </w:rPr>
      </w:pPr>
    </w:p>
    <w:p w:rsidR="004106F1" w:rsidRPr="009E3D20" w:rsidRDefault="004106F1" w:rsidP="004106F1">
      <w:pPr>
        <w:spacing w:line="276" w:lineRule="auto"/>
        <w:jc w:val="both"/>
        <w:rPr>
          <w:rFonts w:ascii="Times New Roman" w:hAnsi="Times New Roman"/>
          <w:b/>
          <w:color w:val="000000" w:themeColor="text1"/>
          <w:lang w:val="en-GB"/>
        </w:rPr>
      </w:pPr>
      <w:r w:rsidRPr="009E3D20">
        <w:rPr>
          <w:rFonts w:ascii="Times New Roman" w:hAnsi="Times New Roman"/>
          <w:b/>
          <w:color w:val="000000" w:themeColor="text1"/>
          <w:lang w:val="en-GB"/>
        </w:rPr>
        <w:t xml:space="preserve">Q5: Do you agree with the suggested approach on the topic of ‘updating client information’? Please also state the reasons for your answer. </w:t>
      </w:r>
    </w:p>
    <w:p w:rsidR="006F684D" w:rsidRPr="009E3D20" w:rsidRDefault="006F684D" w:rsidP="00572B71">
      <w:pPr>
        <w:spacing w:line="276" w:lineRule="auto"/>
        <w:jc w:val="both"/>
        <w:rPr>
          <w:rFonts w:ascii="Times New Roman" w:hAnsi="Times New Roman"/>
          <w:color w:val="000000" w:themeColor="text1"/>
          <w:lang w:val="en-GB"/>
        </w:rPr>
      </w:pPr>
      <w:r w:rsidRPr="009E3D20">
        <w:rPr>
          <w:rFonts w:ascii="Times New Roman" w:hAnsi="Times New Roman"/>
          <w:color w:val="000000" w:themeColor="text1"/>
          <w:lang w:val="en-GB"/>
        </w:rPr>
        <w:t>We agree with par. 51, i.e. firms should implement procedures to encourage clients to update the information originally provided where significant changes occur. This guideline should be read in conjunction with par. 26, i.e. when one</w:t>
      </w:r>
      <w:r w:rsidR="009F4FB3">
        <w:rPr>
          <w:rFonts w:ascii="Times New Roman" w:hAnsi="Times New Roman"/>
          <w:color w:val="000000" w:themeColor="text1"/>
          <w:lang w:val="en-GB"/>
        </w:rPr>
        <w:t xml:space="preserve"> of</w:t>
      </w:r>
      <w:r w:rsidRPr="009E3D20">
        <w:rPr>
          <w:rFonts w:ascii="Times New Roman" w:hAnsi="Times New Roman"/>
          <w:color w:val="000000" w:themeColor="text1"/>
          <w:lang w:val="en-GB"/>
        </w:rPr>
        <w:t xml:space="preserve"> the listed elements (e.g. marital status, employment situation ...) is subject to change, client information should be updated.</w:t>
      </w:r>
    </w:p>
    <w:p w:rsidR="006F684D" w:rsidRPr="009E3D20" w:rsidRDefault="006F684D" w:rsidP="00572B71">
      <w:pPr>
        <w:spacing w:line="276" w:lineRule="auto"/>
        <w:jc w:val="both"/>
        <w:rPr>
          <w:rFonts w:ascii="Times New Roman" w:hAnsi="Times New Roman"/>
          <w:color w:val="000000" w:themeColor="text1"/>
          <w:lang w:val="en-GB"/>
        </w:rPr>
      </w:pPr>
      <w:r w:rsidRPr="009E3D20">
        <w:rPr>
          <w:rFonts w:ascii="Times New Roman" w:hAnsi="Times New Roman"/>
          <w:color w:val="000000" w:themeColor="text1"/>
          <w:lang w:val="en-GB"/>
        </w:rPr>
        <w:t xml:space="preserve">We also support par. 54: firms should adopt measures </w:t>
      </w:r>
      <w:r w:rsidR="00124168" w:rsidRPr="009E3D20">
        <w:rPr>
          <w:rFonts w:ascii="Times New Roman" w:hAnsi="Times New Roman"/>
          <w:color w:val="000000" w:themeColor="text1"/>
          <w:lang w:val="en-GB"/>
        </w:rPr>
        <w:t xml:space="preserve">to mitigate the risk of inducing the client to update his/her profile so as to make appear as suitable an unsuitable investment product. To this end, firms might use alerts to detect situations whereby the updated client’s profile significantly deviates from the previous one, especially when the update results in a higher risk profile. From this point of view, also par. 55 is of particular importance: i.e., </w:t>
      </w:r>
      <w:r w:rsidR="00DA5E8E" w:rsidRPr="009E3D20">
        <w:rPr>
          <w:rFonts w:ascii="Times New Roman" w:hAnsi="Times New Roman"/>
          <w:color w:val="000000" w:themeColor="text1"/>
          <w:lang w:val="en-GB"/>
        </w:rPr>
        <w:t>firms should inform the client when the additional information provided results in a change of his/her profile.</w:t>
      </w:r>
    </w:p>
    <w:p w:rsidR="004106F1" w:rsidRPr="009E3D20" w:rsidRDefault="004106F1" w:rsidP="004106F1">
      <w:pPr>
        <w:spacing w:line="276" w:lineRule="auto"/>
        <w:jc w:val="both"/>
        <w:rPr>
          <w:rFonts w:ascii="Times New Roman" w:hAnsi="Times New Roman"/>
          <w:b/>
          <w:color w:val="000000" w:themeColor="text1"/>
          <w:lang w:val="en-GB"/>
        </w:rPr>
      </w:pPr>
    </w:p>
    <w:p w:rsidR="004106F1" w:rsidRPr="009E3D20" w:rsidRDefault="004106F1" w:rsidP="004106F1">
      <w:pPr>
        <w:spacing w:line="276" w:lineRule="auto"/>
        <w:jc w:val="both"/>
        <w:rPr>
          <w:rFonts w:ascii="Times New Roman" w:hAnsi="Times New Roman"/>
          <w:b/>
          <w:color w:val="000000" w:themeColor="text1"/>
          <w:lang w:val="en-GB"/>
        </w:rPr>
      </w:pPr>
      <w:r w:rsidRPr="009E3D20">
        <w:rPr>
          <w:rFonts w:ascii="Times New Roman" w:hAnsi="Times New Roman"/>
          <w:b/>
          <w:color w:val="000000" w:themeColor="text1"/>
          <w:lang w:val="en-GB"/>
        </w:rPr>
        <w:t xml:space="preserve">Q8: Do you agree with the additional guidance provided with regard to the arrangements necessary to ensure the suitability of an investment? Please also state the reasons for your answer. </w:t>
      </w:r>
    </w:p>
    <w:p w:rsidR="00523C36" w:rsidRPr="009E3D20" w:rsidRDefault="009F4FB3" w:rsidP="00523C36">
      <w:pPr>
        <w:spacing w:line="276" w:lineRule="auto"/>
        <w:jc w:val="both"/>
        <w:rPr>
          <w:rFonts w:ascii="Times New Roman" w:hAnsi="Times New Roman"/>
          <w:color w:val="000000" w:themeColor="text1"/>
          <w:lang w:val="en-GB"/>
        </w:rPr>
      </w:pPr>
      <w:r>
        <w:rPr>
          <w:rFonts w:ascii="Times New Roman" w:hAnsi="Times New Roman"/>
          <w:color w:val="000000" w:themeColor="text1"/>
          <w:lang w:val="en-GB"/>
        </w:rPr>
        <w:t>I</w:t>
      </w:r>
      <w:r w:rsidR="00523C36" w:rsidRPr="009E3D20">
        <w:rPr>
          <w:rFonts w:ascii="Times New Roman" w:hAnsi="Times New Roman"/>
          <w:color w:val="000000" w:themeColor="text1"/>
          <w:lang w:val="en-GB"/>
        </w:rPr>
        <w:t>n general, we believe that reliability of the algorithms is a key issue: overconfidence in the use of artificial intelligence (and its underpinning algorithmic infrastructure) may lead to an inflated standardisation of client profiling and, consequently, to herding and pro-cyclical investment behaviour. Indeed, it is unlikely that an algorithm based on a given number of variables may really meet the needs of all European citizens.</w:t>
      </w:r>
    </w:p>
    <w:p w:rsidR="004106F1" w:rsidRPr="00942A40" w:rsidRDefault="00523C36" w:rsidP="00523C36">
      <w:pPr>
        <w:spacing w:line="276" w:lineRule="auto"/>
        <w:jc w:val="both"/>
        <w:rPr>
          <w:rFonts w:ascii="Times New Roman" w:hAnsi="Times New Roman"/>
          <w:color w:val="000000" w:themeColor="text1"/>
          <w:lang w:val="en-GB"/>
        </w:rPr>
      </w:pPr>
      <w:r w:rsidRPr="009E3D20">
        <w:rPr>
          <w:rFonts w:ascii="Times New Roman" w:hAnsi="Times New Roman"/>
          <w:color w:val="000000" w:themeColor="text1"/>
          <w:lang w:val="en-GB"/>
        </w:rPr>
        <w:lastRenderedPageBreak/>
        <w:t>Accordingly, we</w:t>
      </w:r>
      <w:r w:rsidR="00DA5E8E" w:rsidRPr="009E3D20">
        <w:rPr>
          <w:rFonts w:ascii="Times New Roman" w:hAnsi="Times New Roman"/>
          <w:color w:val="000000" w:themeColor="text1"/>
          <w:lang w:val="en-GB"/>
        </w:rPr>
        <w:t xml:space="preserve"> espouse the solution envisaged in par. 85: </w:t>
      </w:r>
      <w:r w:rsidR="005E0EFA" w:rsidRPr="009E3D20">
        <w:rPr>
          <w:rFonts w:ascii="Times New Roman" w:hAnsi="Times New Roman"/>
          <w:color w:val="000000" w:themeColor="text1"/>
          <w:lang w:val="en-GB"/>
        </w:rPr>
        <w:t>to ensure the consistency of the suitability assessment conducted through automated tools (</w:t>
      </w:r>
      <w:r w:rsidR="00DA5E8E" w:rsidRPr="009E3D20">
        <w:rPr>
          <w:rFonts w:ascii="Times New Roman" w:hAnsi="Times New Roman"/>
          <w:color w:val="000000" w:themeColor="text1"/>
          <w:lang w:val="en-GB"/>
        </w:rPr>
        <w:t xml:space="preserve">both robo-for-advisors and robo-advice </w:t>
      </w:r>
      <w:r w:rsidR="00DA5E8E" w:rsidRPr="009E3D20">
        <w:rPr>
          <w:rFonts w:ascii="Times New Roman" w:hAnsi="Times New Roman"/>
          <w:i/>
          <w:color w:val="000000" w:themeColor="text1"/>
          <w:lang w:val="en-GB"/>
        </w:rPr>
        <w:t>tout court</w:t>
      </w:r>
      <w:r w:rsidR="00DA5E8E" w:rsidRPr="009E3D20">
        <w:rPr>
          <w:rFonts w:ascii="Times New Roman" w:hAnsi="Times New Roman"/>
          <w:color w:val="000000" w:themeColor="text1"/>
          <w:lang w:val="en-GB"/>
        </w:rPr>
        <w:t>)</w:t>
      </w:r>
      <w:r w:rsidR="009F4FB3">
        <w:rPr>
          <w:rFonts w:ascii="Times New Roman" w:hAnsi="Times New Roman"/>
          <w:color w:val="000000" w:themeColor="text1"/>
          <w:lang w:val="en-GB"/>
        </w:rPr>
        <w:t xml:space="preserve"> </w:t>
      </w:r>
      <w:r w:rsidR="005E0EFA" w:rsidRPr="009E3D20">
        <w:rPr>
          <w:rFonts w:ascii="Times New Roman" w:hAnsi="Times New Roman"/>
          <w:color w:val="000000" w:themeColor="text1"/>
          <w:lang w:val="en-GB"/>
        </w:rPr>
        <w:t>firms should regularly monitor and test the</w:t>
      </w:r>
      <w:r w:rsidR="00DA5E8E" w:rsidRPr="009E3D20">
        <w:rPr>
          <w:rFonts w:ascii="Times New Roman" w:hAnsi="Times New Roman"/>
          <w:color w:val="000000" w:themeColor="text1"/>
          <w:lang w:val="en-GB"/>
        </w:rPr>
        <w:t xml:space="preserve"> </w:t>
      </w:r>
      <w:r w:rsidR="005E0EFA" w:rsidRPr="009E3D20">
        <w:rPr>
          <w:rFonts w:ascii="Times New Roman" w:hAnsi="Times New Roman"/>
          <w:color w:val="000000" w:themeColor="text1"/>
          <w:lang w:val="en-GB"/>
        </w:rPr>
        <w:t xml:space="preserve">algorithms </w:t>
      </w:r>
      <w:r w:rsidR="00DA5E8E" w:rsidRPr="009E3D20">
        <w:rPr>
          <w:rFonts w:ascii="Times New Roman" w:hAnsi="Times New Roman"/>
          <w:color w:val="000000" w:themeColor="text1"/>
          <w:lang w:val="en-GB"/>
        </w:rPr>
        <w:t>that underpin the suitability assessment. To this end, all the suggested procedures and mechanisms are of utmost importance: an appropriate system-design documentation, a documented test strategy, security arrangements</w:t>
      </w:r>
      <w:r w:rsidRPr="009E3D20">
        <w:rPr>
          <w:rFonts w:ascii="Times New Roman" w:hAnsi="Times New Roman"/>
          <w:color w:val="000000" w:themeColor="text1"/>
          <w:lang w:val="en-GB"/>
        </w:rPr>
        <w:t xml:space="preserve">, timely review and update of the algorithms, policies and </w:t>
      </w:r>
      <w:r w:rsidRPr="00942A40">
        <w:rPr>
          <w:rFonts w:ascii="Times New Roman" w:hAnsi="Times New Roman"/>
          <w:color w:val="000000" w:themeColor="text1"/>
          <w:lang w:val="en-GB"/>
        </w:rPr>
        <w:t xml:space="preserve">procedures enabling to detect errors within the algorithm. </w:t>
      </w:r>
    </w:p>
    <w:p w:rsidR="00297374" w:rsidRPr="00942A40" w:rsidRDefault="00E85E0F" w:rsidP="007A1D01">
      <w:pPr>
        <w:spacing w:line="276" w:lineRule="auto"/>
        <w:jc w:val="both"/>
        <w:rPr>
          <w:rFonts w:ascii="Times New Roman" w:hAnsi="Times New Roman"/>
          <w:color w:val="000000" w:themeColor="text1"/>
          <w:lang w:val="en-GB"/>
        </w:rPr>
      </w:pPr>
      <w:r w:rsidRPr="00942A40">
        <w:rPr>
          <w:rFonts w:ascii="Times New Roman" w:hAnsi="Times New Roman"/>
          <w:color w:val="000000" w:themeColor="text1"/>
          <w:lang w:val="en-GB"/>
        </w:rPr>
        <w:t xml:space="preserve">In this sense, we believe that par. 85 gets the point: </w:t>
      </w:r>
      <w:r w:rsidR="00583FE4" w:rsidRPr="00942A40">
        <w:rPr>
          <w:rFonts w:ascii="Times New Roman" w:hAnsi="Times New Roman"/>
          <w:color w:val="000000" w:themeColor="text1"/>
          <w:lang w:val="en-GB"/>
        </w:rPr>
        <w:t xml:space="preserve">the </w:t>
      </w:r>
      <w:r w:rsidRPr="00942A40">
        <w:rPr>
          <w:rFonts w:ascii="Times New Roman" w:hAnsi="Times New Roman"/>
          <w:color w:val="000000" w:themeColor="text1"/>
          <w:lang w:val="en-GB"/>
        </w:rPr>
        <w:t xml:space="preserve">underlying </w:t>
      </w:r>
      <w:r w:rsidR="00583FE4" w:rsidRPr="00942A40">
        <w:rPr>
          <w:rFonts w:ascii="Times New Roman" w:hAnsi="Times New Roman"/>
          <w:color w:val="000000" w:themeColor="text1"/>
          <w:lang w:val="en-GB"/>
        </w:rPr>
        <w:t>algorithms require fully-fledged controls and reviews to avoid that they become “black boxes” with no form of supervision</w:t>
      </w:r>
      <w:r w:rsidRPr="00942A40">
        <w:rPr>
          <w:rFonts w:ascii="Times New Roman" w:hAnsi="Times New Roman"/>
          <w:color w:val="000000" w:themeColor="text1"/>
          <w:lang w:val="en-GB"/>
        </w:rPr>
        <w:t>. In particular</w:t>
      </w:r>
      <w:r w:rsidR="00583FE4" w:rsidRPr="00942A40">
        <w:rPr>
          <w:rFonts w:ascii="Times New Roman" w:hAnsi="Times New Roman"/>
          <w:color w:val="000000" w:themeColor="text1"/>
          <w:lang w:val="en-GB"/>
        </w:rPr>
        <w:t>,</w:t>
      </w:r>
      <w:r w:rsidRPr="00942A40">
        <w:rPr>
          <w:rFonts w:ascii="Times New Roman" w:hAnsi="Times New Roman"/>
          <w:color w:val="000000" w:themeColor="text1"/>
          <w:lang w:val="en-GB"/>
        </w:rPr>
        <w:t xml:space="preserve"> it is necessary to avoid that</w:t>
      </w:r>
      <w:r w:rsidR="00583FE4" w:rsidRPr="00942A40">
        <w:rPr>
          <w:rFonts w:ascii="Times New Roman" w:hAnsi="Times New Roman"/>
          <w:color w:val="000000" w:themeColor="text1"/>
          <w:lang w:val="en-GB"/>
        </w:rPr>
        <w:t xml:space="preserve"> algorithms may be devised to favour the distribution of products which entail more revenues for distribution platforms, at the expense of customer protection.</w:t>
      </w:r>
      <w:r w:rsidR="00297374" w:rsidRPr="00942A40">
        <w:rPr>
          <w:rFonts w:ascii="Times New Roman" w:hAnsi="Times New Roman"/>
          <w:color w:val="000000" w:themeColor="text1"/>
          <w:lang w:val="en-GB"/>
        </w:rPr>
        <w:t xml:space="preserve"> To this end, we believe that competent authorities shall periodically </w:t>
      </w:r>
      <w:r w:rsidR="001D5852" w:rsidRPr="00942A40">
        <w:rPr>
          <w:rFonts w:ascii="Times New Roman" w:hAnsi="Times New Roman"/>
          <w:color w:val="000000" w:themeColor="text1"/>
          <w:lang w:val="en-GB"/>
        </w:rPr>
        <w:t>perform supervisory activities</w:t>
      </w:r>
      <w:r w:rsidR="00297374" w:rsidRPr="00942A40">
        <w:rPr>
          <w:rFonts w:ascii="Times New Roman" w:hAnsi="Times New Roman"/>
          <w:color w:val="000000" w:themeColor="text1"/>
          <w:lang w:val="en-GB"/>
        </w:rPr>
        <w:t xml:space="preserve"> (for instance, every 3-5 years) to check </w:t>
      </w:r>
      <w:r w:rsidR="001D5852" w:rsidRPr="00942A40">
        <w:rPr>
          <w:rFonts w:ascii="Times New Roman" w:hAnsi="Times New Roman"/>
          <w:color w:val="000000" w:themeColor="text1"/>
          <w:lang w:val="en-GB"/>
        </w:rPr>
        <w:t>automated decision-making systems, consistently with the existent controls on the business conduct of financial intermediaries and professionals.</w:t>
      </w:r>
    </w:p>
    <w:p w:rsidR="00583FE4" w:rsidRPr="00942A40" w:rsidRDefault="00583FE4" w:rsidP="004106F1">
      <w:pPr>
        <w:spacing w:line="276" w:lineRule="auto"/>
        <w:jc w:val="both"/>
        <w:rPr>
          <w:rFonts w:ascii="Times New Roman" w:hAnsi="Times New Roman"/>
          <w:b/>
          <w:color w:val="000000" w:themeColor="text1"/>
          <w:lang w:val="en-GB"/>
        </w:rPr>
      </w:pPr>
    </w:p>
    <w:p w:rsidR="008B1F69" w:rsidRPr="00942A40" w:rsidRDefault="004106F1" w:rsidP="004106F1">
      <w:pPr>
        <w:spacing w:line="276" w:lineRule="auto"/>
        <w:jc w:val="both"/>
        <w:rPr>
          <w:rFonts w:ascii="Times New Roman" w:hAnsi="Times New Roman"/>
          <w:b/>
          <w:color w:val="000000" w:themeColor="text1"/>
          <w:lang w:val="en-GB"/>
        </w:rPr>
      </w:pPr>
      <w:r w:rsidRPr="00942A40">
        <w:rPr>
          <w:rFonts w:ascii="Times New Roman" w:hAnsi="Times New Roman"/>
          <w:b/>
          <w:color w:val="000000" w:themeColor="text1"/>
          <w:lang w:val="en-GB"/>
        </w:rPr>
        <w:t xml:space="preserve">Q9: Do you agree with the suggested approach for ensuring that firms assess, while taking into account costs and complexity, whether equivalent products can meet their clients’ profile? Please also state the reasons for your answers. </w:t>
      </w:r>
    </w:p>
    <w:p w:rsidR="00E85E0F" w:rsidRPr="009E3D20" w:rsidRDefault="00E85E0F" w:rsidP="004106F1">
      <w:pPr>
        <w:spacing w:line="276" w:lineRule="auto"/>
        <w:jc w:val="both"/>
        <w:rPr>
          <w:rFonts w:ascii="Times New Roman" w:hAnsi="Times New Roman"/>
          <w:color w:val="000000" w:themeColor="text1"/>
          <w:lang w:val="en-GB"/>
        </w:rPr>
      </w:pPr>
      <w:r w:rsidRPr="009E3D20">
        <w:rPr>
          <w:rFonts w:ascii="Times New Roman" w:hAnsi="Times New Roman"/>
          <w:color w:val="000000" w:themeColor="text1"/>
          <w:lang w:val="en-GB"/>
        </w:rPr>
        <w:t xml:space="preserve">We </w:t>
      </w:r>
      <w:r w:rsidR="00350C8F" w:rsidRPr="009E3D20">
        <w:rPr>
          <w:rFonts w:ascii="Times New Roman" w:hAnsi="Times New Roman"/>
          <w:color w:val="000000" w:themeColor="text1"/>
          <w:lang w:val="en-GB"/>
        </w:rPr>
        <w:t>believe</w:t>
      </w:r>
      <w:r w:rsidRPr="009E3D20">
        <w:rPr>
          <w:rFonts w:ascii="Times New Roman" w:hAnsi="Times New Roman"/>
          <w:color w:val="000000" w:themeColor="text1"/>
          <w:lang w:val="en-GB"/>
        </w:rPr>
        <w:t xml:space="preserve"> that p</w:t>
      </w:r>
      <w:r w:rsidR="00350C8F" w:rsidRPr="009E3D20">
        <w:rPr>
          <w:rFonts w:ascii="Times New Roman" w:hAnsi="Times New Roman"/>
          <w:color w:val="000000" w:themeColor="text1"/>
          <w:lang w:val="en-GB"/>
        </w:rPr>
        <w:t xml:space="preserve">ar. 91 needs some clarification: costs and complexity are not the only elements to be considered when equivalent products are evaluated. Further criteria whose importance shall not be underestimated encompass portfolio’s diversification, liquidity, risk level and, more broadly, the aim of achieving suitable and efficient investment solutions. </w:t>
      </w:r>
    </w:p>
    <w:p w:rsidR="00E85E0F" w:rsidRPr="009E3D20" w:rsidRDefault="00E85E0F" w:rsidP="004106F1">
      <w:pPr>
        <w:spacing w:line="276" w:lineRule="auto"/>
        <w:jc w:val="both"/>
        <w:rPr>
          <w:rFonts w:ascii="Times New Roman" w:hAnsi="Times New Roman"/>
          <w:color w:val="000000" w:themeColor="text1"/>
          <w:lang w:val="en-GB"/>
        </w:rPr>
      </w:pPr>
    </w:p>
    <w:p w:rsidR="005A3666" w:rsidRPr="009E3D20" w:rsidRDefault="005A3666">
      <w:pPr>
        <w:spacing w:line="276" w:lineRule="auto"/>
        <w:jc w:val="both"/>
        <w:rPr>
          <w:rFonts w:ascii="Times New Roman" w:hAnsi="Times New Roman"/>
          <w:b/>
          <w:color w:val="000000" w:themeColor="text1"/>
          <w:lang w:val="en-GB"/>
        </w:rPr>
      </w:pPr>
      <w:r w:rsidRPr="009E3D20">
        <w:rPr>
          <w:rFonts w:ascii="Times New Roman" w:hAnsi="Times New Roman"/>
          <w:b/>
          <w:color w:val="000000" w:themeColor="text1"/>
          <w:lang w:val="en-GB"/>
        </w:rPr>
        <w:t xml:space="preserve">Q10: Do you agree with the suggested approach for conducting a cost-benefit analysis of switching investments in the context of portfolio management or investment advice? Please also state the reasons for your answer. </w:t>
      </w:r>
    </w:p>
    <w:p w:rsidR="004A539E" w:rsidRPr="00942A40" w:rsidRDefault="002663F6">
      <w:pPr>
        <w:spacing w:line="276" w:lineRule="auto"/>
        <w:jc w:val="both"/>
        <w:rPr>
          <w:rFonts w:ascii="Times New Roman" w:hAnsi="Times New Roman"/>
          <w:color w:val="000000" w:themeColor="text1"/>
          <w:lang w:val="en-GB"/>
        </w:rPr>
      </w:pPr>
      <w:r w:rsidRPr="00942A40">
        <w:rPr>
          <w:rFonts w:ascii="Times New Roman" w:hAnsi="Times New Roman"/>
          <w:color w:val="000000" w:themeColor="text1"/>
          <w:lang w:val="en-GB"/>
        </w:rPr>
        <w:t xml:space="preserve">We agree with par. 94: an ex-ante clear explanation of the reasons why the benefits of the recommended switch are greater than its costs is required. This requirement should not be regarded as a mere burden; rather, it represents an important step in the advisory process, whereby financial advisors can interact with investors and convey specific forms of financial education, aimed at assessing the evolution of the client’s profile. </w:t>
      </w:r>
    </w:p>
    <w:p w:rsidR="00294D2D" w:rsidRPr="00942A40" w:rsidRDefault="00294D2D">
      <w:pPr>
        <w:spacing w:line="276" w:lineRule="auto"/>
        <w:jc w:val="both"/>
        <w:rPr>
          <w:rFonts w:ascii="Times New Roman" w:hAnsi="Times New Roman"/>
          <w:color w:val="000000" w:themeColor="text1"/>
          <w:lang w:val="en-GB"/>
        </w:rPr>
      </w:pPr>
      <w:r w:rsidRPr="00942A40">
        <w:rPr>
          <w:rFonts w:ascii="Times New Roman" w:hAnsi="Times New Roman"/>
          <w:color w:val="000000" w:themeColor="text1"/>
          <w:lang w:val="en-GB"/>
        </w:rPr>
        <w:t>On the one hand, we believe that switch proposals shall be motivated; on the other hand, we consider that th</w:t>
      </w:r>
      <w:r w:rsidR="006A1CF0" w:rsidRPr="00942A40">
        <w:rPr>
          <w:rFonts w:ascii="Times New Roman" w:hAnsi="Times New Roman"/>
          <w:color w:val="000000" w:themeColor="text1"/>
          <w:lang w:val="en-GB"/>
        </w:rPr>
        <w:t>e</w:t>
      </w:r>
      <w:r w:rsidRPr="00942A40">
        <w:rPr>
          <w:rFonts w:ascii="Times New Roman" w:hAnsi="Times New Roman"/>
          <w:color w:val="000000" w:themeColor="text1"/>
          <w:lang w:val="en-GB"/>
        </w:rPr>
        <w:t>s</w:t>
      </w:r>
      <w:r w:rsidR="006A1CF0" w:rsidRPr="00942A40">
        <w:rPr>
          <w:rFonts w:ascii="Times New Roman" w:hAnsi="Times New Roman"/>
          <w:color w:val="000000" w:themeColor="text1"/>
          <w:lang w:val="en-GB"/>
        </w:rPr>
        <w:t>e</w:t>
      </w:r>
      <w:r w:rsidRPr="00942A40">
        <w:rPr>
          <w:rFonts w:ascii="Times New Roman" w:hAnsi="Times New Roman"/>
          <w:color w:val="000000" w:themeColor="text1"/>
          <w:lang w:val="en-GB"/>
        </w:rPr>
        <w:t xml:space="preserve"> proposal</w:t>
      </w:r>
      <w:r w:rsidR="006A1CF0" w:rsidRPr="00942A40">
        <w:rPr>
          <w:rFonts w:ascii="Times New Roman" w:hAnsi="Times New Roman"/>
          <w:color w:val="000000" w:themeColor="text1"/>
          <w:lang w:val="en-GB"/>
        </w:rPr>
        <w:t>s</w:t>
      </w:r>
      <w:r w:rsidRPr="00942A40">
        <w:rPr>
          <w:rFonts w:ascii="Times New Roman" w:hAnsi="Times New Roman"/>
          <w:color w:val="000000" w:themeColor="text1"/>
          <w:lang w:val="en-GB"/>
        </w:rPr>
        <w:t xml:space="preserve"> </w:t>
      </w:r>
      <w:r w:rsidR="006A1CF0" w:rsidRPr="00942A40">
        <w:rPr>
          <w:rFonts w:ascii="Times New Roman" w:hAnsi="Times New Roman"/>
          <w:color w:val="000000" w:themeColor="text1"/>
          <w:lang w:val="en-GB"/>
        </w:rPr>
        <w:t>are</w:t>
      </w:r>
      <w:r w:rsidRPr="00942A40">
        <w:rPr>
          <w:rFonts w:ascii="Times New Roman" w:hAnsi="Times New Roman"/>
          <w:color w:val="000000" w:themeColor="text1"/>
          <w:lang w:val="en-GB"/>
        </w:rPr>
        <w:t xml:space="preserve"> based on a professional evaluation: as such, this evaluation is not aimed at ensuring a predetermined result, but at </w:t>
      </w:r>
      <w:r w:rsidR="006A1CF0" w:rsidRPr="00942A40">
        <w:rPr>
          <w:rFonts w:ascii="Times New Roman" w:hAnsi="Times New Roman"/>
          <w:color w:val="000000" w:themeColor="text1"/>
          <w:lang w:val="en-GB"/>
        </w:rPr>
        <w:t>supporting the</w:t>
      </w:r>
      <w:r w:rsidRPr="00942A40">
        <w:rPr>
          <w:rFonts w:ascii="Times New Roman" w:hAnsi="Times New Roman"/>
          <w:color w:val="000000" w:themeColor="text1"/>
          <w:lang w:val="en-GB"/>
        </w:rPr>
        <w:t xml:space="preserve"> </w:t>
      </w:r>
      <w:r w:rsidR="006A1CF0" w:rsidRPr="00942A40">
        <w:rPr>
          <w:rFonts w:ascii="Times New Roman" w:hAnsi="Times New Roman"/>
          <w:color w:val="000000" w:themeColor="text1"/>
          <w:lang w:val="en-GB"/>
        </w:rPr>
        <w:t>cost-benefit analysis of switching in the best interest of the investor.</w:t>
      </w:r>
    </w:p>
    <w:p w:rsidR="005A3666" w:rsidRPr="00942A40" w:rsidRDefault="005A3666">
      <w:pPr>
        <w:spacing w:line="276" w:lineRule="auto"/>
        <w:jc w:val="both"/>
        <w:rPr>
          <w:rFonts w:ascii="Times New Roman" w:hAnsi="Times New Roman"/>
          <w:color w:val="000000" w:themeColor="text1"/>
          <w:lang w:val="en-GB"/>
        </w:rPr>
      </w:pPr>
    </w:p>
    <w:p w:rsidR="000139F2" w:rsidRPr="009E3D20" w:rsidRDefault="005A3666">
      <w:pPr>
        <w:spacing w:line="276" w:lineRule="auto"/>
        <w:jc w:val="both"/>
        <w:rPr>
          <w:rFonts w:ascii="Times New Roman" w:hAnsi="Times New Roman"/>
          <w:b/>
          <w:color w:val="000000" w:themeColor="text1"/>
          <w:lang w:val="en-GB"/>
        </w:rPr>
      </w:pPr>
      <w:r w:rsidRPr="009E3D20">
        <w:rPr>
          <w:rFonts w:ascii="Times New Roman" w:hAnsi="Times New Roman"/>
          <w:b/>
          <w:color w:val="000000" w:themeColor="text1"/>
          <w:lang w:val="en-GB"/>
        </w:rPr>
        <w:t xml:space="preserve">Q11: Do you believe that further guidance would be needed with regard to the skills, knowledge and expertise that should be possessed by staff not directly facing clients, but still involved in other aspects of the suitability assessment? Please also state the reasons for your answer. </w:t>
      </w:r>
    </w:p>
    <w:p w:rsidR="002663F6" w:rsidRPr="009E3D20" w:rsidRDefault="002663F6">
      <w:pPr>
        <w:spacing w:line="276" w:lineRule="auto"/>
        <w:jc w:val="both"/>
        <w:rPr>
          <w:rFonts w:ascii="Times New Roman" w:hAnsi="Times New Roman"/>
          <w:color w:val="000000" w:themeColor="text1"/>
          <w:lang w:val="en-GB"/>
        </w:rPr>
      </w:pPr>
      <w:r w:rsidRPr="009E3D20">
        <w:rPr>
          <w:rFonts w:ascii="Times New Roman" w:hAnsi="Times New Roman"/>
          <w:color w:val="000000" w:themeColor="text1"/>
          <w:lang w:val="en-GB"/>
        </w:rPr>
        <w:t xml:space="preserve">We espouse the reasoning outlined in par. 102: </w:t>
      </w:r>
      <w:r w:rsidR="006559AA" w:rsidRPr="009E3D20">
        <w:rPr>
          <w:rFonts w:ascii="Times New Roman" w:hAnsi="Times New Roman"/>
          <w:color w:val="000000" w:themeColor="text1"/>
          <w:lang w:val="en-GB"/>
        </w:rPr>
        <w:t xml:space="preserve">staff not directly facing clients must still possess the necessary skills, knowledge and expertise required depending on their particular role in the suitability process. To this end, periodic meetings with client-facing staff may be useful so as to enable “back office staff” to properly understand markets and clients.  </w:t>
      </w:r>
    </w:p>
    <w:p w:rsidR="002663F6" w:rsidRPr="009E3D20" w:rsidRDefault="002663F6">
      <w:pPr>
        <w:spacing w:line="276" w:lineRule="auto"/>
        <w:jc w:val="both"/>
        <w:rPr>
          <w:rFonts w:ascii="Times New Roman" w:hAnsi="Times New Roman"/>
          <w:color w:val="000000" w:themeColor="text1"/>
          <w:lang w:val="en-GB"/>
        </w:rPr>
      </w:pPr>
    </w:p>
    <w:p w:rsidR="000139F2" w:rsidRPr="009E3D20" w:rsidRDefault="005A3666">
      <w:pPr>
        <w:spacing w:line="276" w:lineRule="auto"/>
        <w:jc w:val="both"/>
        <w:rPr>
          <w:rFonts w:ascii="Times New Roman" w:hAnsi="Times New Roman"/>
          <w:b/>
          <w:color w:val="000000" w:themeColor="text1"/>
          <w:lang w:val="en-GB"/>
        </w:rPr>
      </w:pPr>
      <w:r w:rsidRPr="009E3D20">
        <w:rPr>
          <w:rFonts w:ascii="Times New Roman" w:hAnsi="Times New Roman"/>
          <w:b/>
          <w:color w:val="000000" w:themeColor="text1"/>
          <w:lang w:val="en-GB"/>
        </w:rPr>
        <w:t xml:space="preserve">Q12: Do you have any further comment or input on the draft guidelines? </w:t>
      </w:r>
    </w:p>
    <w:p w:rsidR="00942A40" w:rsidRDefault="00FD6DD2" w:rsidP="00FD6DD2">
      <w:pPr>
        <w:spacing w:line="276" w:lineRule="auto"/>
        <w:jc w:val="both"/>
        <w:rPr>
          <w:rFonts w:ascii="Times New Roman" w:hAnsi="Times New Roman"/>
          <w:color w:val="000000" w:themeColor="text1"/>
          <w:lang w:val="en-GB"/>
        </w:rPr>
      </w:pPr>
      <w:r w:rsidRPr="009E3D20">
        <w:rPr>
          <w:rFonts w:ascii="Times New Roman" w:hAnsi="Times New Roman"/>
          <w:color w:val="000000" w:themeColor="text1"/>
          <w:lang w:val="en-GB"/>
        </w:rPr>
        <w:t xml:space="preserve">In general, we </w:t>
      </w:r>
      <w:r w:rsidR="00942A40">
        <w:rPr>
          <w:rFonts w:ascii="Times New Roman" w:hAnsi="Times New Roman"/>
          <w:color w:val="000000" w:themeColor="text1"/>
          <w:lang w:val="en-GB"/>
        </w:rPr>
        <w:t>think it is necessary to pay more attention to what we have defined as “</w:t>
      </w:r>
      <w:r w:rsidR="00942A40" w:rsidRPr="00942A40">
        <w:rPr>
          <w:rFonts w:ascii="Times New Roman" w:hAnsi="Times New Roman"/>
          <w:i/>
          <w:color w:val="000000" w:themeColor="text1"/>
          <w:lang w:val="en-GB"/>
        </w:rPr>
        <w:t>robo-advisory tout court</w:t>
      </w:r>
      <w:r w:rsidR="00942A40">
        <w:rPr>
          <w:rFonts w:ascii="Times New Roman" w:hAnsi="Times New Roman"/>
          <w:color w:val="000000" w:themeColor="text1"/>
          <w:lang w:val="en-GB"/>
        </w:rPr>
        <w:t>”, i.e. robo-</w:t>
      </w:r>
      <w:r w:rsidR="00CE19BE">
        <w:rPr>
          <w:rFonts w:ascii="Times New Roman" w:hAnsi="Times New Roman"/>
          <w:color w:val="000000" w:themeColor="text1"/>
          <w:lang w:val="en-GB"/>
        </w:rPr>
        <w:t xml:space="preserve">advisory </w:t>
      </w:r>
      <w:r w:rsidR="00C70C34">
        <w:rPr>
          <w:rFonts w:ascii="Times New Roman" w:hAnsi="Times New Roman"/>
          <w:color w:val="000000" w:themeColor="text1"/>
          <w:lang w:val="en-GB"/>
        </w:rPr>
        <w:t xml:space="preserve">services </w:t>
      </w:r>
      <w:r w:rsidR="00CE19BE">
        <w:rPr>
          <w:rFonts w:ascii="Times New Roman" w:hAnsi="Times New Roman"/>
          <w:color w:val="000000" w:themeColor="text1"/>
          <w:lang w:val="en-GB"/>
        </w:rPr>
        <w:t>whereby clients have no interaction with a human advisor. In particular, higher and stricter pro</w:t>
      </w:r>
      <w:r w:rsidR="00C70C34">
        <w:rPr>
          <w:rFonts w:ascii="Times New Roman" w:hAnsi="Times New Roman"/>
          <w:color w:val="000000" w:themeColor="text1"/>
          <w:lang w:val="en-GB"/>
        </w:rPr>
        <w:t>tection arrangements are needed</w:t>
      </w:r>
      <w:r w:rsidR="00CE19BE">
        <w:rPr>
          <w:rFonts w:ascii="Times New Roman" w:hAnsi="Times New Roman"/>
          <w:color w:val="000000" w:themeColor="text1"/>
          <w:lang w:val="en-GB"/>
        </w:rPr>
        <w:t xml:space="preserve"> from a double-folded point of view</w:t>
      </w:r>
      <w:r w:rsidR="00C70C34">
        <w:rPr>
          <w:rFonts w:ascii="Times New Roman" w:hAnsi="Times New Roman"/>
          <w:color w:val="000000" w:themeColor="text1"/>
          <w:lang w:val="en-GB"/>
        </w:rPr>
        <w:t xml:space="preserve"> </w:t>
      </w:r>
      <w:r w:rsidR="00CE19BE">
        <w:rPr>
          <w:rFonts w:ascii="Times New Roman" w:hAnsi="Times New Roman"/>
          <w:color w:val="000000" w:themeColor="text1"/>
          <w:lang w:val="en-GB"/>
        </w:rPr>
        <w:t xml:space="preserve">(i.e., </w:t>
      </w:r>
      <w:r w:rsidR="00C70C34">
        <w:rPr>
          <w:rFonts w:ascii="Times New Roman" w:hAnsi="Times New Roman"/>
          <w:color w:val="000000" w:themeColor="text1"/>
          <w:lang w:val="en-GB"/>
        </w:rPr>
        <w:t xml:space="preserve">considering </w:t>
      </w:r>
      <w:r w:rsidR="00CE19BE">
        <w:rPr>
          <w:rFonts w:ascii="Times New Roman" w:hAnsi="Times New Roman"/>
          <w:color w:val="000000" w:themeColor="text1"/>
          <w:lang w:val="en-GB"/>
        </w:rPr>
        <w:t xml:space="preserve">both supervisory activities by public authorities and </w:t>
      </w:r>
      <w:r w:rsidR="00053597">
        <w:rPr>
          <w:rFonts w:ascii="Times New Roman" w:hAnsi="Times New Roman"/>
          <w:color w:val="000000" w:themeColor="text1"/>
          <w:lang w:val="en-GB"/>
        </w:rPr>
        <w:t>internal controls implemented by provider of “</w:t>
      </w:r>
      <w:r w:rsidR="00053597" w:rsidRPr="00942A40">
        <w:rPr>
          <w:rFonts w:ascii="Times New Roman" w:hAnsi="Times New Roman"/>
          <w:i/>
          <w:color w:val="000000" w:themeColor="text1"/>
          <w:lang w:val="en-GB"/>
        </w:rPr>
        <w:t>robo-advisory tout court</w:t>
      </w:r>
      <w:r w:rsidR="00053597">
        <w:rPr>
          <w:rFonts w:ascii="Times New Roman" w:hAnsi="Times New Roman"/>
          <w:color w:val="000000" w:themeColor="text1"/>
          <w:lang w:val="en-GB"/>
        </w:rPr>
        <w:t>” solutions).</w:t>
      </w:r>
    </w:p>
    <w:p w:rsidR="00A76070" w:rsidRPr="009E3D20" w:rsidRDefault="00DB5484" w:rsidP="008E1D8B">
      <w:pPr>
        <w:spacing w:line="276" w:lineRule="auto"/>
        <w:jc w:val="both"/>
        <w:rPr>
          <w:rFonts w:ascii="Times New Roman" w:hAnsi="Times New Roman"/>
          <w:color w:val="000000" w:themeColor="text1"/>
          <w:lang w:val="en-GB"/>
        </w:rPr>
      </w:pPr>
      <w:r w:rsidRPr="009E3D20">
        <w:rPr>
          <w:rFonts w:ascii="Times New Roman" w:hAnsi="Times New Roman"/>
          <w:color w:val="000000" w:themeColor="text1"/>
          <w:lang w:val="en-GB"/>
        </w:rPr>
        <w:lastRenderedPageBreak/>
        <w:t>Although there are no specific questions with regard to General Guideline 3, we would like to comment on par. 41. On</w:t>
      </w:r>
      <w:r w:rsidR="008E1D8B" w:rsidRPr="009E3D20">
        <w:rPr>
          <w:rFonts w:ascii="Times New Roman" w:hAnsi="Times New Roman"/>
          <w:color w:val="000000" w:themeColor="text1"/>
          <w:lang w:val="en-GB"/>
        </w:rPr>
        <w:t xml:space="preserve"> the</w:t>
      </w:r>
      <w:r w:rsidRPr="009E3D20">
        <w:rPr>
          <w:rFonts w:ascii="Times New Roman" w:hAnsi="Times New Roman"/>
          <w:color w:val="000000" w:themeColor="text1"/>
          <w:lang w:val="en-GB"/>
        </w:rPr>
        <w:t xml:space="preserve"> one hand, a comparison can be drawn between</w:t>
      </w:r>
      <w:r w:rsidR="008E1D8B" w:rsidRPr="009E3D20">
        <w:rPr>
          <w:rFonts w:ascii="Times New Roman" w:hAnsi="Times New Roman"/>
          <w:color w:val="000000" w:themeColor="text1"/>
          <w:lang w:val="en-GB"/>
        </w:rPr>
        <w:t xml:space="preserve"> doctors and financial advisors: a</w:t>
      </w:r>
      <w:r w:rsidRPr="009E3D20">
        <w:rPr>
          <w:rFonts w:ascii="Times New Roman" w:hAnsi="Times New Roman"/>
          <w:color w:val="000000" w:themeColor="text1"/>
          <w:lang w:val="en-GB"/>
        </w:rPr>
        <w:t xml:space="preserve"> whole understanding of the patient’s condition is needed to provide suitable medical advice</w:t>
      </w:r>
      <w:r w:rsidR="008E1D8B" w:rsidRPr="009E3D20">
        <w:rPr>
          <w:rFonts w:ascii="Times New Roman" w:hAnsi="Times New Roman"/>
          <w:color w:val="000000" w:themeColor="text1"/>
          <w:lang w:val="en-GB"/>
        </w:rPr>
        <w:t xml:space="preserve">; in the same way, financial advisors need to possess complete information about the client’s financial investments to provide suitable recommendations (especially in case of investment advice with a portfolio view). On the other hand, </w:t>
      </w:r>
      <w:r w:rsidR="00A76070" w:rsidRPr="009E3D20">
        <w:rPr>
          <w:rFonts w:ascii="Times New Roman" w:hAnsi="Times New Roman"/>
          <w:color w:val="000000" w:themeColor="text1"/>
          <w:lang w:val="en-GB"/>
        </w:rPr>
        <w:t xml:space="preserve">we agree with par. 41 when it specifies that «Firms should also encourage clients to disclose their financial investments they hold with </w:t>
      </w:r>
      <w:r w:rsidR="00A76070" w:rsidRPr="009E3D20">
        <w:rPr>
          <w:rFonts w:ascii="Times New Roman" w:hAnsi="Times New Roman"/>
          <w:color w:val="000000" w:themeColor="text1"/>
          <w:u w:val="single"/>
          <w:lang w:val="en-GB"/>
        </w:rPr>
        <w:t>other firms</w:t>
      </w:r>
      <w:r w:rsidR="00A76070" w:rsidRPr="009E3D20">
        <w:rPr>
          <w:rFonts w:ascii="Times New Roman" w:hAnsi="Times New Roman"/>
          <w:color w:val="000000" w:themeColor="text1"/>
          <w:lang w:val="en-GB"/>
        </w:rPr>
        <w:t xml:space="preserve"> in detail, </w:t>
      </w:r>
      <w:r w:rsidR="00A76070" w:rsidRPr="009E3D20">
        <w:rPr>
          <w:rFonts w:ascii="Times New Roman" w:hAnsi="Times New Roman"/>
          <w:color w:val="000000" w:themeColor="text1"/>
          <w:u w:val="single"/>
          <w:lang w:val="en-GB"/>
        </w:rPr>
        <w:t>if possible also on an instrument-by-instrument basis</w:t>
      </w:r>
      <w:r w:rsidR="00A76070" w:rsidRPr="009E3D20">
        <w:rPr>
          <w:rFonts w:ascii="Times New Roman" w:hAnsi="Times New Roman"/>
          <w:color w:val="000000" w:themeColor="text1"/>
          <w:lang w:val="en-GB"/>
        </w:rPr>
        <w:t>.»</w:t>
      </w:r>
      <w:r w:rsidR="002D24DF" w:rsidRPr="009E3D20">
        <w:rPr>
          <w:rFonts w:ascii="Times New Roman" w:hAnsi="Times New Roman"/>
          <w:color w:val="000000" w:themeColor="text1"/>
          <w:lang w:val="en-GB"/>
        </w:rPr>
        <w:t xml:space="preserve"> (i.e., obtaining information on instrument-by-instrument basis hold with other firms is desirable, but not always possible). </w:t>
      </w:r>
    </w:p>
    <w:p w:rsidR="00FD6DD2" w:rsidRPr="008E4D99" w:rsidRDefault="00FD6DD2">
      <w:pPr>
        <w:spacing w:line="276" w:lineRule="auto"/>
        <w:jc w:val="both"/>
        <w:rPr>
          <w:rFonts w:ascii="Times New Roman" w:hAnsi="Times New Roman"/>
          <w:lang w:val="en-GB"/>
        </w:rPr>
      </w:pPr>
    </w:p>
    <w:p w:rsidR="00583FE4" w:rsidRPr="00841E8F" w:rsidRDefault="00583FE4">
      <w:pPr>
        <w:spacing w:line="276" w:lineRule="auto"/>
        <w:jc w:val="both"/>
        <w:rPr>
          <w:rFonts w:ascii="Times New Roman" w:hAnsi="Times New Roman"/>
          <w:lang w:val="en-GB"/>
        </w:rPr>
      </w:pPr>
    </w:p>
    <w:sectPr w:rsidR="00583FE4" w:rsidRPr="00841E8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6F1" w:rsidRDefault="004106F1" w:rsidP="004106F1">
      <w:r>
        <w:separator/>
      </w:r>
    </w:p>
  </w:endnote>
  <w:endnote w:type="continuationSeparator" w:id="0">
    <w:p w:rsidR="004106F1" w:rsidRDefault="004106F1" w:rsidP="0041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6F1" w:rsidRDefault="004106F1" w:rsidP="004106F1">
      <w:r>
        <w:separator/>
      </w:r>
    </w:p>
  </w:footnote>
  <w:footnote w:type="continuationSeparator" w:id="0">
    <w:p w:rsidR="004106F1" w:rsidRDefault="004106F1" w:rsidP="00410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497" w:rsidRDefault="00722497" w:rsidP="004106F1">
    <w:pPr>
      <w:pStyle w:val="Intestazione"/>
      <w:jc w:val="right"/>
      <w:rPr>
        <w:rFonts w:ascii="Times New Roman" w:hAnsi="Times New Roman"/>
      </w:rPr>
    </w:pPr>
    <w:r>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-664144</wp:posOffset>
          </wp:positionV>
          <wp:extent cx="7209155" cy="1217930"/>
          <wp:effectExtent l="0" t="0" r="0" b="1270"/>
          <wp:wrapNone/>
          <wp:docPr id="2" name="Immagine 2" descr="C:\Users\anasf\Desktop\pr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6" descr="C:\Users\anasf\Desktop\prov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9155" cy="1217930"/>
                  </a:xfrm>
                  <a:prstGeom prst="rect">
                    <a:avLst/>
                  </a:prstGeom>
                  <a:noFill/>
                  <a:ln>
                    <a:noFill/>
                  </a:ln>
                </pic:spPr>
              </pic:pic>
            </a:graphicData>
          </a:graphic>
          <wp14:sizeRelH relativeFrom="page">
            <wp14:pctWidth>0</wp14:pctWidth>
          </wp14:sizeRelH>
          <wp14:sizeRelV relativeFrom="page">
            <wp14:pctHeight>0</wp14:pctHeight>
          </wp14:sizeRelV>
        </wp:anchor>
      </w:drawing>
    </w:r>
    <w:r w:rsidR="004106F1">
      <w:tab/>
    </w:r>
    <w:r w:rsidR="004106F1">
      <w:tab/>
    </w:r>
    <w:r w:rsidR="004106F1">
      <w:tab/>
    </w:r>
    <w:r w:rsidR="004106F1">
      <w:tab/>
    </w:r>
    <w:r w:rsidR="00380B4C">
      <w:rPr>
        <w:rFonts w:ascii="Times New Roman" w:hAnsi="Times New Roman"/>
      </w:rPr>
      <w:t>05.10</w:t>
    </w:r>
    <w:r w:rsidR="004106F1" w:rsidRPr="003818B6">
      <w:rPr>
        <w:rFonts w:ascii="Times New Roman" w:hAnsi="Times New Roman"/>
      </w:rPr>
      <w:t>.2017</w:t>
    </w:r>
  </w:p>
  <w:p w:rsidR="004106F1" w:rsidRDefault="004106F1" w:rsidP="004106F1">
    <w:pPr>
      <w:pStyle w:val="Intestazione"/>
      <w:jc w:val="right"/>
      <w:rPr>
        <w:rFonts w:ascii="Times New Roman" w:hAnsi="Times New Roman"/>
      </w:rPr>
    </w:pPr>
    <w:r>
      <w:rPr>
        <w:rFonts w:ascii="Times New Roman" w:hAnsi="Times New Roman"/>
      </w:rPr>
      <w:t xml:space="preserve"> </w:t>
    </w:r>
  </w:p>
  <w:p w:rsidR="004C02CE" w:rsidRPr="004106F1" w:rsidRDefault="004C02CE" w:rsidP="004106F1">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6B5D55"/>
    <w:multiLevelType w:val="hybridMultilevel"/>
    <w:tmpl w:val="8DC41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A42AB6"/>
    <w:multiLevelType w:val="hybridMultilevel"/>
    <w:tmpl w:val="240687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65F077A"/>
    <w:multiLevelType w:val="hybridMultilevel"/>
    <w:tmpl w:val="2B9A31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E9C27C5"/>
    <w:multiLevelType w:val="hybridMultilevel"/>
    <w:tmpl w:val="C4AE01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FD9"/>
    <w:rsid w:val="000139F2"/>
    <w:rsid w:val="00053597"/>
    <w:rsid w:val="000F1FB2"/>
    <w:rsid w:val="000F7E2C"/>
    <w:rsid w:val="00124168"/>
    <w:rsid w:val="001D5852"/>
    <w:rsid w:val="001E3E37"/>
    <w:rsid w:val="00202F39"/>
    <w:rsid w:val="00203FA6"/>
    <w:rsid w:val="002663F6"/>
    <w:rsid w:val="00294D2D"/>
    <w:rsid w:val="00297374"/>
    <w:rsid w:val="002D24DF"/>
    <w:rsid w:val="002F5E62"/>
    <w:rsid w:val="00350C8F"/>
    <w:rsid w:val="00380B4C"/>
    <w:rsid w:val="00380D96"/>
    <w:rsid w:val="003853DB"/>
    <w:rsid w:val="003B342D"/>
    <w:rsid w:val="003E2DD3"/>
    <w:rsid w:val="00407ACE"/>
    <w:rsid w:val="004106F1"/>
    <w:rsid w:val="004A539E"/>
    <w:rsid w:val="004C02CE"/>
    <w:rsid w:val="00523C36"/>
    <w:rsid w:val="0052458C"/>
    <w:rsid w:val="00546213"/>
    <w:rsid w:val="00572B71"/>
    <w:rsid w:val="00583FE4"/>
    <w:rsid w:val="005A3666"/>
    <w:rsid w:val="005E0EFA"/>
    <w:rsid w:val="005E3C85"/>
    <w:rsid w:val="006036D8"/>
    <w:rsid w:val="00606FD9"/>
    <w:rsid w:val="00612889"/>
    <w:rsid w:val="00623F0C"/>
    <w:rsid w:val="006559AA"/>
    <w:rsid w:val="00655A43"/>
    <w:rsid w:val="00673708"/>
    <w:rsid w:val="006A1CF0"/>
    <w:rsid w:val="006A767C"/>
    <w:rsid w:val="006F684D"/>
    <w:rsid w:val="00722497"/>
    <w:rsid w:val="007A1D01"/>
    <w:rsid w:val="007A6FDF"/>
    <w:rsid w:val="007A722F"/>
    <w:rsid w:val="007D10F0"/>
    <w:rsid w:val="0084138B"/>
    <w:rsid w:val="00841E8F"/>
    <w:rsid w:val="00881651"/>
    <w:rsid w:val="008B1F69"/>
    <w:rsid w:val="008E1D8B"/>
    <w:rsid w:val="008E3240"/>
    <w:rsid w:val="008E4D99"/>
    <w:rsid w:val="008F4534"/>
    <w:rsid w:val="00942A40"/>
    <w:rsid w:val="009E3D20"/>
    <w:rsid w:val="009F4FB3"/>
    <w:rsid w:val="00A76070"/>
    <w:rsid w:val="00AB3126"/>
    <w:rsid w:val="00AB61BC"/>
    <w:rsid w:val="00AC4FDE"/>
    <w:rsid w:val="00B40545"/>
    <w:rsid w:val="00B6316D"/>
    <w:rsid w:val="00BC3083"/>
    <w:rsid w:val="00BF38B8"/>
    <w:rsid w:val="00C50440"/>
    <w:rsid w:val="00C70C34"/>
    <w:rsid w:val="00CE19BE"/>
    <w:rsid w:val="00D0072A"/>
    <w:rsid w:val="00D40F05"/>
    <w:rsid w:val="00DA5E8E"/>
    <w:rsid w:val="00DB5484"/>
    <w:rsid w:val="00E0026F"/>
    <w:rsid w:val="00E85E0F"/>
    <w:rsid w:val="00E95B5A"/>
    <w:rsid w:val="00EB0A7C"/>
    <w:rsid w:val="00EE5048"/>
    <w:rsid w:val="00F15997"/>
    <w:rsid w:val="00F779E9"/>
    <w:rsid w:val="00F83549"/>
    <w:rsid w:val="00F84126"/>
    <w:rsid w:val="00F87550"/>
    <w:rsid w:val="00FD6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ADB19BC-E0C6-4652-89EB-5EBDE2B8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sz w:val="22"/>
        <w:szCs w:val="22"/>
        <w:lang w:val="it-IT" w:eastAsia="it-IT"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left"/>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4106F1"/>
    <w:pPr>
      <w:tabs>
        <w:tab w:val="center" w:pos="4819"/>
        <w:tab w:val="right" w:pos="9638"/>
      </w:tabs>
    </w:pPr>
  </w:style>
  <w:style w:type="character" w:customStyle="1" w:styleId="IntestazioneCarattere">
    <w:name w:val="Intestazione Carattere"/>
    <w:basedOn w:val="Carpredefinitoparagrafo"/>
    <w:link w:val="Intestazione"/>
    <w:uiPriority w:val="99"/>
    <w:rsid w:val="004106F1"/>
  </w:style>
  <w:style w:type="paragraph" w:styleId="Pidipagina">
    <w:name w:val="footer"/>
    <w:basedOn w:val="Normale"/>
    <w:link w:val="PidipaginaCarattere"/>
    <w:uiPriority w:val="99"/>
    <w:unhideWhenUsed/>
    <w:rsid w:val="004106F1"/>
    <w:pPr>
      <w:tabs>
        <w:tab w:val="center" w:pos="4819"/>
        <w:tab w:val="right" w:pos="9638"/>
      </w:tabs>
    </w:pPr>
  </w:style>
  <w:style w:type="character" w:customStyle="1" w:styleId="PidipaginaCarattere">
    <w:name w:val="Piè di pagina Carattere"/>
    <w:basedOn w:val="Carpredefinitoparagrafo"/>
    <w:link w:val="Pidipagina"/>
    <w:uiPriority w:val="99"/>
    <w:rsid w:val="004106F1"/>
  </w:style>
  <w:style w:type="paragraph" w:styleId="Paragrafoelenco">
    <w:name w:val="List Paragraph"/>
    <w:basedOn w:val="Normale"/>
    <w:uiPriority w:val="34"/>
    <w:qFormat/>
    <w:rsid w:val="00881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TotalTime>
  <Pages>4</Pages>
  <Words>1891</Words>
  <Characters>10781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Suardi</dc:creator>
  <cp:keywords/>
  <dc:description/>
  <cp:lastModifiedBy>Mattia Suardi</cp:lastModifiedBy>
  <cp:revision>32</cp:revision>
  <cp:lastPrinted>2017-10-05T07:48:00Z</cp:lastPrinted>
  <dcterms:created xsi:type="dcterms:W3CDTF">2017-09-08T12:09:00Z</dcterms:created>
  <dcterms:modified xsi:type="dcterms:W3CDTF">2017-10-05T07:54:00Z</dcterms:modified>
</cp:coreProperties>
</file>