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649"/>
      </w:tblGrid>
      <w:tr w:rsidR="00642235" w:rsidRPr="007E1AC2" w:rsidTr="00D364F4">
        <w:trPr>
          <w:trHeight w:hRule="exact" w:val="3600"/>
        </w:trPr>
        <w:tc>
          <w:tcPr>
            <w:tcW w:w="5102" w:type="dxa"/>
          </w:tcPr>
          <w:p w:rsidR="00B51CB0" w:rsidRPr="00805DBB" w:rsidRDefault="00650AE5" w:rsidP="00CE5D6F">
            <w:r>
              <w:rPr>
                <w:lang w:val="fi-FI"/>
              </w:rPr>
              <w:br/>
            </w:r>
          </w:p>
          <w:p w:rsidR="00B51CB0" w:rsidRDefault="00B51CB0" w:rsidP="00CE5D6F">
            <w:pPr>
              <w:rPr>
                <w:lang w:val="fi-FI"/>
              </w:rPr>
            </w:pPr>
          </w:p>
          <w:p w:rsidR="00CB2954" w:rsidRPr="00B22761" w:rsidRDefault="00CB2954" w:rsidP="00CE5D6F">
            <w:pPr>
              <w:rPr>
                <w:sz w:val="52"/>
                <w:szCs w:val="52"/>
                <w:lang w:val="fi-FI"/>
              </w:rPr>
            </w:pPr>
          </w:p>
        </w:tc>
        <w:tc>
          <w:tcPr>
            <w:tcW w:w="4649" w:type="dxa"/>
          </w:tcPr>
          <w:p w:rsidR="00642235" w:rsidRPr="00D364F4" w:rsidRDefault="00642235" w:rsidP="00CE5D6F">
            <w:pPr>
              <w:spacing w:line="220" w:lineRule="atLeast"/>
              <w:jc w:val="right"/>
              <w:rPr>
                <w:b/>
                <w:bCs/>
                <w:color w:val="000000"/>
                <w:sz w:val="6"/>
                <w:szCs w:val="6"/>
                <w:lang w:val="fi-FI"/>
              </w:rPr>
            </w:pPr>
          </w:p>
          <w:p w:rsidR="00642235" w:rsidRPr="00D364F4" w:rsidRDefault="00642235" w:rsidP="00CE5D6F">
            <w:pPr>
              <w:spacing w:line="220" w:lineRule="atLeast"/>
              <w:jc w:val="right"/>
              <w:rPr>
                <w:b/>
                <w:bCs/>
                <w:color w:val="000000"/>
                <w:sz w:val="6"/>
                <w:szCs w:val="6"/>
                <w:lang w:val="fi-FI"/>
              </w:rPr>
            </w:pPr>
          </w:p>
          <w:p w:rsidR="00642235" w:rsidRPr="00D364F4" w:rsidRDefault="00642235" w:rsidP="00CE5D6F">
            <w:pPr>
              <w:spacing w:line="220" w:lineRule="atLeast"/>
              <w:jc w:val="right"/>
              <w:rPr>
                <w:b/>
                <w:bCs/>
                <w:color w:val="000000"/>
                <w:sz w:val="6"/>
                <w:szCs w:val="6"/>
                <w:lang w:val="fi-FI"/>
              </w:rPr>
            </w:pPr>
          </w:p>
          <w:p w:rsidR="00642235" w:rsidRPr="00D364F4" w:rsidRDefault="00642235" w:rsidP="00CE5D6F">
            <w:pPr>
              <w:spacing w:line="260" w:lineRule="atLeast"/>
              <w:jc w:val="right"/>
              <w:rPr>
                <w:b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B55633">
              <w:rPr>
                <w:b/>
                <w:bCs/>
                <w:noProof/>
                <w:color w:val="000000"/>
                <w:sz w:val="18"/>
                <w:szCs w:val="18"/>
                <w:lang w:val="fi-FI"/>
              </w:rPr>
              <w:t xml:space="preserve"> </w:t>
            </w:r>
            <w:r w:rsidRPr="00D364F4">
              <w:rPr>
                <w:b/>
                <w:bCs/>
                <w:noProof/>
                <w:color w:val="000000"/>
                <w:sz w:val="18"/>
                <w:szCs w:val="18"/>
                <w:lang w:val="en-GB"/>
              </w:rPr>
              <w:t>Division Bank and Insurance</w:t>
            </w:r>
          </w:p>
          <w:p w:rsidR="00C47B46" w:rsidRPr="00D364F4" w:rsidRDefault="00C47B46" w:rsidP="00CE5D6F">
            <w:pPr>
              <w:spacing w:line="260" w:lineRule="atLeast"/>
              <w:jc w:val="right"/>
              <w:rPr>
                <w:bCs/>
                <w:color w:val="000000"/>
                <w:sz w:val="18"/>
                <w:szCs w:val="18"/>
                <w:lang w:val="en-GB"/>
              </w:rPr>
            </w:pPr>
            <w:r w:rsidRPr="00D364F4">
              <w:rPr>
                <w:bCs/>
                <w:noProof/>
                <w:color w:val="000000"/>
                <w:sz w:val="18"/>
                <w:szCs w:val="18"/>
                <w:lang w:val="en-GB"/>
              </w:rPr>
              <w:t>Austrian Federal Economic Chamber</w:t>
            </w:r>
          </w:p>
          <w:p w:rsidR="00642235" w:rsidRPr="00CE5D6F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  <w:lang w:val="de-AT"/>
              </w:rPr>
            </w:pPr>
            <w:r w:rsidRPr="00CE5D6F">
              <w:rPr>
                <w:noProof/>
                <w:color w:val="000000"/>
                <w:sz w:val="18"/>
                <w:szCs w:val="18"/>
                <w:lang w:val="de-AT"/>
              </w:rPr>
              <w:t>Wiedner Hauptstraße 63 | P.O. Box 320</w:t>
            </w:r>
          </w:p>
          <w:p w:rsidR="00642235" w:rsidRPr="00CE5D6F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  <w:lang w:val="de-AT"/>
              </w:rPr>
            </w:pPr>
            <w:r w:rsidRPr="00CE5D6F">
              <w:rPr>
                <w:noProof/>
                <w:color w:val="000000"/>
                <w:sz w:val="18"/>
                <w:szCs w:val="18"/>
                <w:lang w:val="de-AT"/>
              </w:rPr>
              <w:t>1045 Vienna</w:t>
            </w:r>
          </w:p>
          <w:p w:rsidR="00642235" w:rsidRPr="00D364F4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</w:rPr>
            </w:pPr>
            <w:r w:rsidRPr="00B51CB0">
              <w:rPr>
                <w:noProof/>
                <w:color w:val="000000"/>
                <w:sz w:val="18"/>
                <w:szCs w:val="18"/>
                <w:lang w:val="de-AT"/>
              </w:rPr>
              <w:t>T +43 (0)5 90 900-DW | F +43 (0)5 90 900-27</w:t>
            </w:r>
            <w:r w:rsidRPr="00D364F4">
              <w:rPr>
                <w:noProof/>
                <w:color w:val="000000"/>
                <w:sz w:val="18"/>
                <w:szCs w:val="18"/>
              </w:rPr>
              <w:t>2</w:t>
            </w:r>
          </w:p>
          <w:p w:rsidR="00642235" w:rsidRPr="00D364F4" w:rsidRDefault="00642235" w:rsidP="00CE5D6F">
            <w:pPr>
              <w:spacing w:line="260" w:lineRule="atLeast"/>
              <w:jc w:val="right"/>
              <w:rPr>
                <w:color w:val="000000"/>
                <w:sz w:val="18"/>
                <w:szCs w:val="18"/>
              </w:rPr>
            </w:pPr>
            <w:r w:rsidRPr="00D364F4">
              <w:rPr>
                <w:noProof/>
                <w:color w:val="000000"/>
                <w:sz w:val="18"/>
                <w:szCs w:val="18"/>
              </w:rPr>
              <w:t>E  bsbv@wko.at</w:t>
            </w:r>
          </w:p>
          <w:p w:rsidR="00642235" w:rsidRPr="00D364F4" w:rsidRDefault="00642235" w:rsidP="00CE5D6F">
            <w:pPr>
              <w:spacing w:line="260" w:lineRule="atLeast"/>
              <w:jc w:val="right"/>
              <w:rPr>
                <w:lang w:val="en-GB"/>
              </w:rPr>
            </w:pPr>
            <w:r w:rsidRPr="00D364F4">
              <w:rPr>
                <w:noProof/>
                <w:color w:val="000000"/>
                <w:sz w:val="18"/>
                <w:szCs w:val="18"/>
                <w:lang w:val="en-GB"/>
              </w:rPr>
              <w:t>W  http://wko.at/bsbv</w:t>
            </w:r>
          </w:p>
        </w:tc>
      </w:tr>
    </w:tbl>
    <w:p w:rsidR="00642235" w:rsidRPr="00C21BF0" w:rsidRDefault="00642235" w:rsidP="00CE5D6F">
      <w:pPr>
        <w:tabs>
          <w:tab w:val="left" w:pos="2892"/>
          <w:tab w:val="left" w:pos="5783"/>
          <w:tab w:val="left" w:pos="7655"/>
        </w:tabs>
        <w:rPr>
          <w:color w:val="000000"/>
          <w:sz w:val="16"/>
          <w:szCs w:val="16"/>
          <w:lang w:val="en-GB"/>
        </w:rPr>
      </w:pPr>
      <w:r w:rsidRPr="00C21BF0">
        <w:rPr>
          <w:noProof/>
          <w:color w:val="000000"/>
          <w:sz w:val="16"/>
          <w:szCs w:val="16"/>
          <w:lang w:val="en-GB"/>
        </w:rPr>
        <w:t>Your ref., Your message of</w:t>
      </w:r>
      <w:r w:rsidRPr="00C21BF0">
        <w:rPr>
          <w:color w:val="000000"/>
          <w:sz w:val="16"/>
          <w:szCs w:val="16"/>
          <w:lang w:val="en-GB"/>
        </w:rPr>
        <w:tab/>
      </w:r>
      <w:r w:rsidRPr="00C21BF0">
        <w:rPr>
          <w:noProof/>
          <w:color w:val="000000"/>
          <w:sz w:val="16"/>
          <w:szCs w:val="16"/>
          <w:lang w:val="en-GB"/>
        </w:rPr>
        <w:t>Our ref., person in charge</w:t>
      </w:r>
      <w:r w:rsidRPr="00C21BF0">
        <w:rPr>
          <w:color w:val="000000"/>
          <w:sz w:val="16"/>
          <w:szCs w:val="16"/>
          <w:lang w:val="en-GB"/>
        </w:rPr>
        <w:tab/>
      </w:r>
      <w:r w:rsidRPr="00C21BF0">
        <w:rPr>
          <w:noProof/>
          <w:color w:val="000000"/>
          <w:sz w:val="16"/>
          <w:szCs w:val="16"/>
          <w:lang w:val="en-GB"/>
        </w:rPr>
        <w:t>Extension</w:t>
      </w:r>
      <w:r w:rsidRPr="00C21BF0">
        <w:rPr>
          <w:color w:val="000000"/>
          <w:sz w:val="16"/>
          <w:szCs w:val="16"/>
          <w:lang w:val="en-GB"/>
        </w:rPr>
        <w:tab/>
      </w:r>
      <w:r w:rsidRPr="00C21BF0">
        <w:rPr>
          <w:noProof/>
          <w:color w:val="000000"/>
          <w:sz w:val="16"/>
          <w:szCs w:val="16"/>
          <w:lang w:val="en-GB"/>
        </w:rPr>
        <w:t>Date</w:t>
      </w:r>
    </w:p>
    <w:p w:rsidR="00642235" w:rsidRPr="00DC0A36" w:rsidRDefault="00642235" w:rsidP="00CE5D6F">
      <w:pPr>
        <w:tabs>
          <w:tab w:val="left" w:pos="2892"/>
          <w:tab w:val="left" w:pos="5783"/>
          <w:tab w:val="left" w:pos="7655"/>
        </w:tabs>
        <w:rPr>
          <w:color w:val="000000"/>
          <w:lang w:val="en-GB"/>
        </w:rPr>
      </w:pPr>
      <w:r w:rsidRPr="00C21BF0">
        <w:rPr>
          <w:color w:val="000000"/>
          <w:lang w:val="en-GB"/>
        </w:rPr>
        <w:tab/>
      </w:r>
      <w:r w:rsidRPr="00DC0A36">
        <w:rPr>
          <w:noProof/>
          <w:color w:val="000000"/>
          <w:lang w:val="en-GB"/>
        </w:rPr>
        <w:t>BSBV</w:t>
      </w:r>
      <w:r w:rsidR="00CE5D6F">
        <w:rPr>
          <w:noProof/>
          <w:color w:val="000000"/>
          <w:lang w:val="en-GB"/>
        </w:rPr>
        <w:t xml:space="preserve"> </w:t>
      </w:r>
      <w:r w:rsidR="00520471">
        <w:rPr>
          <w:noProof/>
          <w:color w:val="000000"/>
          <w:lang w:val="en-GB"/>
        </w:rPr>
        <w:t>64</w:t>
      </w:r>
      <w:r w:rsidR="00641DC4" w:rsidRPr="00DC0A36">
        <w:rPr>
          <w:noProof/>
          <w:color w:val="000000"/>
          <w:lang w:val="en-GB"/>
        </w:rPr>
        <w:t>/</w:t>
      </w:r>
      <w:r w:rsidR="00CE5D6F">
        <w:rPr>
          <w:noProof/>
          <w:color w:val="000000"/>
          <w:lang w:val="en-GB"/>
        </w:rPr>
        <w:t>Horvath</w:t>
      </w:r>
      <w:r w:rsidR="00641DC4" w:rsidRPr="00DC0A36">
        <w:rPr>
          <w:noProof/>
          <w:color w:val="000000"/>
          <w:lang w:val="en-GB"/>
        </w:rPr>
        <w:tab/>
        <w:t>31</w:t>
      </w:r>
      <w:r w:rsidR="00CE5D6F">
        <w:rPr>
          <w:noProof/>
          <w:color w:val="000000"/>
          <w:lang w:val="en-GB"/>
        </w:rPr>
        <w:t>41</w:t>
      </w:r>
      <w:r w:rsidRPr="00DC0A36">
        <w:rPr>
          <w:color w:val="000000"/>
          <w:lang w:val="en-GB"/>
        </w:rPr>
        <w:tab/>
      </w:r>
      <w:r w:rsidR="00520471">
        <w:rPr>
          <w:color w:val="000000"/>
          <w:lang w:val="en-GB"/>
        </w:rPr>
        <w:t>6</w:t>
      </w:r>
      <w:r w:rsidR="00520471" w:rsidRPr="00520471">
        <w:rPr>
          <w:color w:val="000000"/>
          <w:vertAlign w:val="superscript"/>
          <w:lang w:val="en-GB"/>
        </w:rPr>
        <w:t>th</w:t>
      </w:r>
      <w:r w:rsidR="00520471">
        <w:rPr>
          <w:color w:val="000000"/>
          <w:lang w:val="en-GB"/>
        </w:rPr>
        <w:t xml:space="preserve"> Sept</w:t>
      </w:r>
      <w:r w:rsidR="007E1AC2">
        <w:rPr>
          <w:color w:val="000000"/>
          <w:lang w:val="en-GB"/>
        </w:rPr>
        <w:t xml:space="preserve"> </w:t>
      </w:r>
      <w:r w:rsidR="00D82226" w:rsidRPr="00DC0A36">
        <w:rPr>
          <w:color w:val="000000"/>
          <w:lang w:val="en-GB"/>
        </w:rPr>
        <w:t>201</w:t>
      </w:r>
      <w:r w:rsidR="001D2667">
        <w:rPr>
          <w:color w:val="000000"/>
          <w:lang w:val="en-GB"/>
        </w:rPr>
        <w:t>7</w:t>
      </w:r>
    </w:p>
    <w:p w:rsidR="00E754C8" w:rsidRDefault="00E754C8" w:rsidP="00CE5D6F">
      <w:pPr>
        <w:rPr>
          <w:color w:val="000000"/>
          <w:sz w:val="24"/>
          <w:szCs w:val="24"/>
          <w:lang w:val="en-GB"/>
        </w:rPr>
      </w:pPr>
    </w:p>
    <w:p w:rsidR="00A82C13" w:rsidRPr="00DC0A36" w:rsidRDefault="00A82C13" w:rsidP="00CE5D6F">
      <w:pPr>
        <w:rPr>
          <w:color w:val="000000"/>
          <w:sz w:val="24"/>
          <w:szCs w:val="24"/>
          <w:lang w:val="en-GB"/>
        </w:rPr>
      </w:pPr>
    </w:p>
    <w:p w:rsidR="00711C4D" w:rsidRDefault="00520471" w:rsidP="00CE5D6F">
      <w:pPr>
        <w:rPr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US"/>
        </w:rPr>
        <w:t xml:space="preserve">ESMA - </w:t>
      </w:r>
      <w:r w:rsidR="00711C4D">
        <w:rPr>
          <w:rFonts w:cs="Arial"/>
          <w:b/>
          <w:sz w:val="24"/>
          <w:szCs w:val="24"/>
          <w:lang w:val="en-US"/>
        </w:rPr>
        <w:t>Consultation</w:t>
      </w:r>
      <w:r w:rsidR="007E1AC2">
        <w:rPr>
          <w:rFonts w:cs="Arial"/>
          <w:b/>
          <w:sz w:val="24"/>
          <w:szCs w:val="24"/>
          <w:lang w:val="en-US"/>
        </w:rPr>
        <w:t xml:space="preserve"> </w:t>
      </w:r>
      <w:r w:rsidR="00711C4D">
        <w:rPr>
          <w:rFonts w:cs="Arial"/>
          <w:b/>
          <w:sz w:val="24"/>
          <w:szCs w:val="24"/>
          <w:lang w:val="en-US"/>
        </w:rPr>
        <w:t xml:space="preserve">on </w:t>
      </w:r>
      <w:r>
        <w:rPr>
          <w:rFonts w:cs="Arial"/>
          <w:b/>
          <w:sz w:val="24"/>
          <w:szCs w:val="24"/>
          <w:lang w:val="en-US"/>
        </w:rPr>
        <w:t xml:space="preserve">Guidelines on </w:t>
      </w:r>
      <w:proofErr w:type="spellStart"/>
      <w:r>
        <w:rPr>
          <w:rFonts w:cs="Arial"/>
          <w:b/>
          <w:sz w:val="24"/>
          <w:szCs w:val="24"/>
          <w:lang w:val="en-US"/>
        </w:rPr>
        <w:t>Internalised</w:t>
      </w:r>
      <w:proofErr w:type="spellEnd"/>
      <w:r>
        <w:rPr>
          <w:rFonts w:cs="Arial"/>
          <w:b/>
          <w:sz w:val="24"/>
          <w:szCs w:val="24"/>
          <w:lang w:val="en-US"/>
        </w:rPr>
        <w:t xml:space="preserve"> Settlement Reporting under Article 9 of CSDR</w:t>
      </w:r>
    </w:p>
    <w:p w:rsidR="00B22761" w:rsidRDefault="00B22761" w:rsidP="00CE5D6F">
      <w:pPr>
        <w:rPr>
          <w:lang w:val="en-GB"/>
        </w:rPr>
      </w:pPr>
    </w:p>
    <w:p w:rsidR="00711C4D" w:rsidRDefault="00DC0A36" w:rsidP="007E1AC2">
      <w:pPr>
        <w:spacing w:line="240" w:lineRule="auto"/>
        <w:rPr>
          <w:rFonts w:cs="Arial"/>
          <w:color w:val="000000"/>
          <w:lang w:val="en-GB" w:eastAsia="en-US"/>
        </w:rPr>
      </w:pPr>
      <w:r w:rsidRPr="00DC0A36">
        <w:rPr>
          <w:lang w:val="en-GB"/>
        </w:rPr>
        <w:t xml:space="preserve">The Division Bank and Insurance of the Austrian Federal Economic </w:t>
      </w:r>
      <w:proofErr w:type="gramStart"/>
      <w:r w:rsidRPr="00DC0A36">
        <w:rPr>
          <w:lang w:val="en-GB"/>
        </w:rPr>
        <w:t>Chamber,</w:t>
      </w:r>
      <w:proofErr w:type="gramEnd"/>
      <w:r w:rsidRPr="00DC0A36">
        <w:rPr>
          <w:lang w:val="en-GB"/>
        </w:rPr>
        <w:t xml:space="preserve"> as </w:t>
      </w:r>
      <w:r w:rsidR="00041C1E">
        <w:rPr>
          <w:lang w:val="en-GB"/>
        </w:rPr>
        <w:t xml:space="preserve">legal </w:t>
      </w:r>
      <w:r w:rsidRPr="00DC0A36">
        <w:rPr>
          <w:lang w:val="en-GB"/>
        </w:rPr>
        <w:t>representative of the entire Austrian banking industry, appreciates the possibility to</w:t>
      </w:r>
      <w:r w:rsidR="00B467F0" w:rsidRPr="00487A00">
        <w:rPr>
          <w:rFonts w:cs="Arial"/>
          <w:color w:val="000000"/>
          <w:lang w:val="en-GB" w:eastAsia="en-US"/>
        </w:rPr>
        <w:t xml:space="preserve"> comment on </w:t>
      </w:r>
      <w:r w:rsidR="00B467F0">
        <w:rPr>
          <w:rFonts w:cs="Arial"/>
          <w:color w:val="000000"/>
          <w:lang w:val="en-GB" w:eastAsia="en-US"/>
        </w:rPr>
        <w:t xml:space="preserve">the above cited </w:t>
      </w:r>
      <w:r w:rsidR="00CE5D6F">
        <w:rPr>
          <w:rFonts w:cs="Arial"/>
          <w:color w:val="000000"/>
          <w:lang w:val="en-GB" w:eastAsia="en-US"/>
        </w:rPr>
        <w:t xml:space="preserve">consultation </w:t>
      </w:r>
      <w:r w:rsidR="005B2525">
        <w:rPr>
          <w:rFonts w:cs="Arial"/>
          <w:color w:val="000000"/>
          <w:lang w:val="en-GB" w:eastAsia="en-US"/>
        </w:rPr>
        <w:t>document</w:t>
      </w:r>
      <w:r w:rsidR="00B467F0">
        <w:rPr>
          <w:rFonts w:cs="Arial"/>
          <w:color w:val="000000"/>
          <w:lang w:val="en-GB" w:eastAsia="en-US"/>
        </w:rPr>
        <w:t xml:space="preserve"> </w:t>
      </w:r>
      <w:r w:rsidR="00B467F0" w:rsidRPr="00487A00">
        <w:rPr>
          <w:rFonts w:cs="Arial"/>
          <w:color w:val="000000"/>
          <w:lang w:val="en-GB" w:eastAsia="en-US"/>
        </w:rPr>
        <w:t>and would like to submit the following position:</w:t>
      </w:r>
      <w:bookmarkStart w:id="0" w:name="_Toc455495118"/>
      <w:bookmarkStart w:id="1" w:name="_Toc461114362"/>
    </w:p>
    <w:p w:rsidR="007E1AC2" w:rsidRDefault="007E1AC2" w:rsidP="007E1AC2">
      <w:pPr>
        <w:spacing w:line="240" w:lineRule="auto"/>
        <w:rPr>
          <w:rFonts w:cs="Arial"/>
          <w:color w:val="000000"/>
          <w:lang w:val="en-GB" w:eastAsia="en-US"/>
        </w:rPr>
      </w:pPr>
    </w:p>
    <w:bookmarkEnd w:id="0"/>
    <w:bookmarkEnd w:id="1"/>
    <w:p w:rsidR="00520471" w:rsidRPr="00520471" w:rsidRDefault="00520471" w:rsidP="00520471">
      <w:pPr>
        <w:spacing w:line="240" w:lineRule="auto"/>
        <w:rPr>
          <w:b/>
          <w:i/>
          <w:lang w:val="en-GB"/>
        </w:rPr>
      </w:pPr>
      <w:r w:rsidRPr="00520471">
        <w:rPr>
          <w:b/>
          <w:i/>
          <w:lang w:val="en-GB"/>
        </w:rPr>
        <w:t xml:space="preserve">Q1: Do you have any comments or suggestions regarding the scope of the data to </w:t>
      </w:r>
      <w:proofErr w:type="gramStart"/>
      <w:r w:rsidRPr="00520471">
        <w:rPr>
          <w:b/>
          <w:i/>
          <w:lang w:val="en-GB"/>
        </w:rPr>
        <w:t>be reported</w:t>
      </w:r>
      <w:proofErr w:type="gramEnd"/>
      <w:r w:rsidRPr="00520471">
        <w:rPr>
          <w:b/>
          <w:i/>
          <w:lang w:val="en-GB"/>
        </w:rPr>
        <w:t xml:space="preserve"> by settlement </w:t>
      </w:r>
      <w:proofErr w:type="spellStart"/>
      <w:r w:rsidRPr="00520471">
        <w:rPr>
          <w:b/>
          <w:i/>
          <w:lang w:val="en-GB"/>
        </w:rPr>
        <w:t>internalisers</w:t>
      </w:r>
      <w:proofErr w:type="spellEnd"/>
      <w:r w:rsidRPr="00520471">
        <w:rPr>
          <w:b/>
          <w:i/>
          <w:lang w:val="en-GB"/>
        </w:rPr>
        <w:t xml:space="preserve">? Please provide arguments supporting your comments and suggestions.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Does a </w:t>
      </w:r>
      <w:proofErr w:type="spellStart"/>
      <w:r w:rsidRPr="00520471">
        <w:rPr>
          <w:lang w:val="en-GB"/>
        </w:rPr>
        <w:t>nostro</w:t>
      </w:r>
      <w:proofErr w:type="spellEnd"/>
      <w:r w:rsidRPr="00520471">
        <w:rPr>
          <w:lang w:val="en-GB"/>
        </w:rPr>
        <w:t xml:space="preserve"> transaction (bank buys on own account) that arises directly out of a client transaction have to be reported?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Regarding Free of Payment Securities transfers: If a bank (BANK A) acts as depository bank (for an asset management company) and </w:t>
      </w:r>
      <w:proofErr w:type="spellStart"/>
      <w:r w:rsidRPr="00520471">
        <w:rPr>
          <w:lang w:val="en-GB"/>
        </w:rPr>
        <w:t>fulfills</w:t>
      </w:r>
      <w:proofErr w:type="spellEnd"/>
      <w:r w:rsidRPr="00520471">
        <w:rPr>
          <w:lang w:val="en-GB"/>
        </w:rPr>
        <w:t xml:space="preserve"> also the role of a sub-custodian for two custody clients (BANK B + C), would a transfer between two custody clients (banks) have to be reported? 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If yes, by whom? BANK B or BANK C or both as custodian banks for the direct client or the sub-custodian (BANK A) acting on the instruction of the custody clients? 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proofErr w:type="gramStart"/>
      <w:r w:rsidRPr="00520471">
        <w:rPr>
          <w:lang w:val="en-GB"/>
        </w:rPr>
        <w:t>The transaction will not be sent to the CSD by BANK A</w:t>
      </w:r>
      <w:proofErr w:type="gramEnd"/>
      <w:r w:rsidRPr="00520471">
        <w:rPr>
          <w:lang w:val="en-GB"/>
        </w:rPr>
        <w:t xml:space="preserve">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In general </w:t>
      </w:r>
      <w:r w:rsidR="001F1D38">
        <w:rPr>
          <w:lang w:val="en-GB"/>
        </w:rPr>
        <w:t>have o</w:t>
      </w:r>
      <w:r w:rsidRPr="00520471">
        <w:rPr>
          <w:lang w:val="en-GB"/>
        </w:rPr>
        <w:t>nly transactions with the change of the end client</w:t>
      </w:r>
      <w:r w:rsidR="001F1D38">
        <w:rPr>
          <w:lang w:val="en-GB"/>
        </w:rPr>
        <w:t xml:space="preserve"> to be reported</w:t>
      </w:r>
      <w:r w:rsidRPr="00520471">
        <w:rPr>
          <w:lang w:val="en-GB"/>
        </w:rPr>
        <w:t xml:space="preserve"> or also if the end client stays the same?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1F1D38" w:rsidP="00520471">
      <w:pPr>
        <w:spacing w:line="240" w:lineRule="auto"/>
        <w:rPr>
          <w:lang w:val="en-GB"/>
        </w:rPr>
      </w:pPr>
      <w:r>
        <w:rPr>
          <w:lang w:val="en-GB"/>
        </w:rPr>
        <w:t>Is there an obligation</w:t>
      </w:r>
      <w:r w:rsidR="00520471" w:rsidRPr="00520471">
        <w:rPr>
          <w:lang w:val="en-GB"/>
        </w:rPr>
        <w:t xml:space="preserve"> to report an account switch from e.g. BANK A to BANK B (as Settlement </w:t>
      </w:r>
      <w:proofErr w:type="spellStart"/>
      <w:r w:rsidR="00520471" w:rsidRPr="00520471">
        <w:rPr>
          <w:lang w:val="en-GB"/>
        </w:rPr>
        <w:t>internalisers</w:t>
      </w:r>
      <w:proofErr w:type="spellEnd"/>
      <w:r w:rsidR="00520471" w:rsidRPr="00520471">
        <w:rPr>
          <w:lang w:val="en-GB"/>
        </w:rPr>
        <w:t xml:space="preserve"> and depository of both banks)</w:t>
      </w:r>
      <w:r w:rsidR="00520471">
        <w:rPr>
          <w:lang w:val="en-GB"/>
        </w:rPr>
        <w:t xml:space="preserve"> </w:t>
      </w:r>
      <w:r w:rsidR="00520471" w:rsidRPr="00520471">
        <w:rPr>
          <w:lang w:val="en-GB"/>
        </w:rPr>
        <w:t>even if the end customer stays the same?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b/>
          <w:i/>
          <w:lang w:val="en-GB"/>
        </w:rPr>
      </w:pPr>
      <w:r w:rsidRPr="00520471">
        <w:rPr>
          <w:b/>
          <w:i/>
          <w:lang w:val="en-GB"/>
        </w:rPr>
        <w:t xml:space="preserve">Q2: Do you have any comments or suggestions regarding the entities responsible for reporting to competent authorities? Please provide arguments supporting your comments and suggestions.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Who is obliged to report custody transactions in a cross-border context? In Austria, securities of clients </w:t>
      </w:r>
      <w:proofErr w:type="gramStart"/>
      <w:r w:rsidRPr="00520471">
        <w:rPr>
          <w:lang w:val="en-GB"/>
        </w:rPr>
        <w:t>can be held</w:t>
      </w:r>
      <w:proofErr w:type="gramEnd"/>
      <w:r w:rsidRPr="00520471">
        <w:rPr>
          <w:lang w:val="en-GB"/>
        </w:rPr>
        <w:t xml:space="preserve"> at one omnibus account at the local CSD.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Example: A custody client keeps several accounts at the sub-custodian in Austria and initiates a transfer between two of his accounts.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lastRenderedPageBreak/>
        <w:t xml:space="preserve">For the Austrian Sub-custodian, this transaction will settle only in its books and qualifies therefore as reportable internal settlement.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Looking at the example in 4.2. </w:t>
      </w:r>
      <w:proofErr w:type="gramStart"/>
      <w:r w:rsidRPr="00520471">
        <w:rPr>
          <w:lang w:val="en-GB"/>
        </w:rPr>
        <w:t>item</w:t>
      </w:r>
      <w:proofErr w:type="gramEnd"/>
      <w:r w:rsidRPr="00520471">
        <w:rPr>
          <w:lang w:val="en-GB"/>
        </w:rPr>
        <w:t xml:space="preserve"> 15, it can be assumed that the custody client is managing the transfers and therefore would be obliged to report.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proofErr w:type="gramStart"/>
      <w:r w:rsidRPr="00520471">
        <w:rPr>
          <w:lang w:val="en-GB"/>
        </w:rPr>
        <w:t>Please explain who has to report to the local authority?</w:t>
      </w:r>
      <w:proofErr w:type="gramEnd"/>
      <w:r w:rsidRPr="00520471">
        <w:rPr>
          <w:lang w:val="en-GB"/>
        </w:rPr>
        <w:t xml:space="preserve"> The Sub-custodian in Austria to the Austrian NCA and the cross-border custody client to his local</w:t>
      </w:r>
      <w:r>
        <w:rPr>
          <w:lang w:val="en-GB"/>
        </w:rPr>
        <w:t xml:space="preserve"> </w:t>
      </w:r>
      <w:r w:rsidRPr="00520471">
        <w:rPr>
          <w:lang w:val="en-GB"/>
        </w:rPr>
        <w:t xml:space="preserve">authority? 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 </w:t>
      </w:r>
    </w:p>
    <w:p w:rsidR="00520471" w:rsidRPr="00520471" w:rsidRDefault="00520471" w:rsidP="00520471">
      <w:pPr>
        <w:spacing w:line="240" w:lineRule="auto"/>
        <w:rPr>
          <w:b/>
          <w:i/>
          <w:lang w:val="en-GB"/>
        </w:rPr>
      </w:pPr>
      <w:r w:rsidRPr="00520471">
        <w:rPr>
          <w:b/>
          <w:i/>
          <w:lang w:val="en-GB"/>
        </w:rPr>
        <w:t xml:space="preserve">Q3: Do you have any comments or suggestions regarding the proposed data reporting parameters? Please provide arguments supporting your comments and suggestions.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Regarding the table under item 25 (page 13) of the consultation paper: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•</w:t>
      </w:r>
      <w:r w:rsidRPr="00520471">
        <w:rPr>
          <w:lang w:val="en-GB"/>
        </w:rPr>
        <w:tab/>
        <w:t>How do we have understand this table?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•</w:t>
      </w:r>
      <w:r w:rsidRPr="00520471">
        <w:rPr>
          <w:lang w:val="en-GB"/>
        </w:rPr>
        <w:tab/>
        <w:t xml:space="preserve">The aggregation of the volumes does not seem to be useful from our point of view. We propose </w:t>
      </w:r>
      <w:proofErr w:type="gramStart"/>
      <w:r w:rsidRPr="00520471">
        <w:rPr>
          <w:lang w:val="en-GB"/>
        </w:rPr>
        <w:t>to only use</w:t>
      </w:r>
      <w:proofErr w:type="gramEnd"/>
      <w:r w:rsidRPr="00520471">
        <w:rPr>
          <w:lang w:val="en-GB"/>
        </w:rPr>
        <w:t xml:space="preserve"> the number of days.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In our experience, the settlement fail rate for internal settlement is very low and the number of contractual settlement for</w:t>
      </w:r>
      <w:r>
        <w:rPr>
          <w:lang w:val="en-GB"/>
        </w:rPr>
        <w:t xml:space="preserve"> </w:t>
      </w:r>
      <w:r w:rsidRPr="00520471">
        <w:rPr>
          <w:lang w:val="en-GB"/>
        </w:rPr>
        <w:t>banks with retail client business is very high.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 </w:t>
      </w:r>
    </w:p>
    <w:p w:rsidR="00520471" w:rsidRPr="00520471" w:rsidRDefault="00520471" w:rsidP="00520471">
      <w:pPr>
        <w:spacing w:line="240" w:lineRule="auto"/>
        <w:rPr>
          <w:b/>
          <w:i/>
          <w:lang w:val="en-GB"/>
        </w:rPr>
      </w:pPr>
      <w:r w:rsidRPr="00520471">
        <w:rPr>
          <w:b/>
          <w:i/>
          <w:lang w:val="en-GB"/>
        </w:rPr>
        <w:t xml:space="preserve">Q5: Do you have any comments or suggestions regarding the proposed process for submission of internalised settlement reports? Please provide arguments supporting your comments and suggestions. 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Would the reporting also be possible via Trade Repository (like EMIR or MiFIR) or would a direct reporting to the local authority be mandatory?</w:t>
      </w:r>
    </w:p>
    <w:p w:rsidR="00520471" w:rsidRP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>Many banks have already established reporting interfaces to trade repositories and need to keep an additional reporting line.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Pr="00520471" w:rsidRDefault="00520471" w:rsidP="00520471">
      <w:pPr>
        <w:spacing w:line="240" w:lineRule="auto"/>
        <w:rPr>
          <w:b/>
          <w:i/>
          <w:lang w:val="en-GB"/>
        </w:rPr>
      </w:pPr>
      <w:r w:rsidRPr="00520471">
        <w:rPr>
          <w:b/>
          <w:i/>
          <w:lang w:val="en-GB"/>
        </w:rPr>
        <w:t>Q6: Do you have any additional comments or suggestions regarding the proposed guidelines?</w:t>
      </w:r>
      <w:r>
        <w:rPr>
          <w:b/>
          <w:i/>
          <w:lang w:val="en-GB"/>
        </w:rPr>
        <w:t xml:space="preserve"> </w:t>
      </w:r>
      <w:r w:rsidRPr="00520471">
        <w:rPr>
          <w:b/>
          <w:i/>
          <w:lang w:val="en-GB"/>
        </w:rPr>
        <w:t>Please provide arguments supporting your comments and suggestions.</w:t>
      </w:r>
    </w:p>
    <w:p w:rsidR="00520471" w:rsidRPr="00520471" w:rsidRDefault="00520471" w:rsidP="00520471">
      <w:pPr>
        <w:spacing w:line="240" w:lineRule="auto"/>
        <w:rPr>
          <w:lang w:val="en-GB"/>
        </w:rPr>
      </w:pPr>
    </w:p>
    <w:p w:rsidR="00520471" w:rsidRDefault="00520471" w:rsidP="00520471">
      <w:pPr>
        <w:spacing w:line="240" w:lineRule="auto"/>
        <w:rPr>
          <w:lang w:val="en-GB"/>
        </w:rPr>
      </w:pPr>
      <w:r w:rsidRPr="00520471">
        <w:rPr>
          <w:lang w:val="en-GB"/>
        </w:rPr>
        <w:t xml:space="preserve">We propose to introduce a transaction matrix that shows which specific transactions settlement </w:t>
      </w:r>
      <w:proofErr w:type="spellStart"/>
      <w:r w:rsidRPr="00520471">
        <w:rPr>
          <w:lang w:val="en-GB"/>
        </w:rPr>
        <w:t>internaliser</w:t>
      </w:r>
      <w:proofErr w:type="spellEnd"/>
      <w:r w:rsidRPr="00520471">
        <w:rPr>
          <w:lang w:val="en-GB"/>
        </w:rPr>
        <w:t xml:space="preserve"> has to </w:t>
      </w:r>
      <w:proofErr w:type="gramStart"/>
      <w:r w:rsidRPr="00520471">
        <w:rPr>
          <w:lang w:val="en-GB"/>
        </w:rPr>
        <w:t>be reported</w:t>
      </w:r>
      <w:proofErr w:type="gramEnd"/>
      <w:r w:rsidRPr="00520471">
        <w:rPr>
          <w:lang w:val="en-GB"/>
        </w:rPr>
        <w:t>.</w:t>
      </w:r>
      <w:r w:rsidR="00D62449">
        <w:rPr>
          <w:lang w:val="en-GB"/>
        </w:rPr>
        <w:t xml:space="preserve"> </w:t>
      </w:r>
      <w:r w:rsidRPr="00520471">
        <w:rPr>
          <w:lang w:val="en-GB"/>
        </w:rPr>
        <w:t>Th</w:t>
      </w:r>
      <w:bookmarkStart w:id="2" w:name="_GoBack"/>
      <w:bookmarkEnd w:id="2"/>
      <w:r w:rsidRPr="00520471">
        <w:rPr>
          <w:lang w:val="en-GB"/>
        </w:rPr>
        <w:t>is would substantially support the banks and minimise uncertainties.</w:t>
      </w:r>
    </w:p>
    <w:p w:rsidR="00520471" w:rsidRDefault="00520471" w:rsidP="00C619D3">
      <w:pPr>
        <w:spacing w:line="240" w:lineRule="auto"/>
        <w:rPr>
          <w:lang w:val="en-GB"/>
        </w:rPr>
      </w:pPr>
    </w:p>
    <w:p w:rsidR="00520471" w:rsidRDefault="00520471" w:rsidP="00C619D3">
      <w:pPr>
        <w:spacing w:line="240" w:lineRule="auto"/>
        <w:rPr>
          <w:lang w:val="en-GB"/>
        </w:rPr>
      </w:pPr>
    </w:p>
    <w:p w:rsidR="00C84D8A" w:rsidRPr="00767DA3" w:rsidRDefault="00C66013" w:rsidP="00C619D3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We ask you to give our remarks du</w:t>
      </w:r>
      <w:r w:rsidR="00B960F5" w:rsidRPr="00767DA3">
        <w:rPr>
          <w:rFonts w:cs="Arial"/>
          <w:color w:val="000000"/>
          <w:lang w:val="en-GB" w:eastAsia="en-US"/>
        </w:rPr>
        <w:t>e consideration.</w:t>
      </w:r>
    </w:p>
    <w:p w:rsidR="00686189" w:rsidRPr="00767DA3" w:rsidRDefault="00686189" w:rsidP="00CE5D6F">
      <w:pPr>
        <w:spacing w:line="240" w:lineRule="auto"/>
        <w:rPr>
          <w:rFonts w:cs="Arial"/>
          <w:color w:val="000000"/>
          <w:lang w:val="en-GB" w:eastAsia="en-US"/>
        </w:rPr>
      </w:pPr>
    </w:p>
    <w:p w:rsidR="00C84D8A" w:rsidRPr="00767DA3" w:rsidRDefault="00686189" w:rsidP="00CE5D6F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Y</w:t>
      </w:r>
      <w:r w:rsidR="00C84D8A" w:rsidRPr="00767DA3">
        <w:rPr>
          <w:rFonts w:cs="Arial"/>
          <w:color w:val="000000"/>
          <w:lang w:val="en-GB" w:eastAsia="en-US"/>
        </w:rPr>
        <w:t xml:space="preserve">ours </w:t>
      </w:r>
      <w:r w:rsidR="004A01A9" w:rsidRPr="00767DA3">
        <w:rPr>
          <w:rFonts w:cs="Arial"/>
          <w:color w:val="000000"/>
          <w:lang w:val="en-GB" w:eastAsia="en-US"/>
        </w:rPr>
        <w:t>sincerely</w:t>
      </w:r>
      <w:r w:rsidR="00C84D8A" w:rsidRPr="00767DA3">
        <w:rPr>
          <w:rFonts w:cs="Arial"/>
          <w:color w:val="000000"/>
          <w:lang w:val="en-GB" w:eastAsia="en-US"/>
        </w:rPr>
        <w:t>,</w:t>
      </w:r>
    </w:p>
    <w:p w:rsidR="00F31CB0" w:rsidRPr="00767DA3" w:rsidRDefault="00F31CB0" w:rsidP="00CE5D6F">
      <w:pPr>
        <w:spacing w:line="240" w:lineRule="auto"/>
        <w:rPr>
          <w:rFonts w:cs="Arial"/>
          <w:color w:val="000000"/>
          <w:lang w:val="en-GB" w:eastAsia="en-US"/>
        </w:rPr>
      </w:pPr>
    </w:p>
    <w:p w:rsidR="00C84D8A" w:rsidRPr="00767DA3" w:rsidRDefault="00C84D8A" w:rsidP="00CE5D6F">
      <w:pPr>
        <w:spacing w:line="240" w:lineRule="auto"/>
        <w:rPr>
          <w:rFonts w:cs="Arial"/>
          <w:color w:val="000000"/>
          <w:lang w:val="en-GB" w:eastAsia="en-US"/>
        </w:rPr>
      </w:pPr>
      <w:proofErr w:type="spellStart"/>
      <w:r w:rsidRPr="00767DA3">
        <w:rPr>
          <w:rFonts w:cs="Arial"/>
          <w:color w:val="000000"/>
          <w:lang w:val="en-GB" w:eastAsia="en-US"/>
        </w:rPr>
        <w:t>Dr.</w:t>
      </w:r>
      <w:proofErr w:type="spellEnd"/>
      <w:r w:rsidRPr="00767DA3">
        <w:rPr>
          <w:rFonts w:cs="Arial"/>
          <w:color w:val="000000"/>
          <w:lang w:val="en-GB" w:eastAsia="en-US"/>
        </w:rPr>
        <w:t xml:space="preserve"> Franz Rudorfer</w:t>
      </w:r>
    </w:p>
    <w:p w:rsidR="00C84D8A" w:rsidRPr="00767DA3" w:rsidRDefault="00C84D8A" w:rsidP="00CE5D6F">
      <w:pPr>
        <w:spacing w:line="240" w:lineRule="auto"/>
        <w:rPr>
          <w:rFonts w:cs="Arial"/>
          <w:color w:val="000000"/>
          <w:lang w:val="en-GB" w:eastAsia="en-US"/>
        </w:rPr>
      </w:pPr>
      <w:r w:rsidRPr="00767DA3">
        <w:rPr>
          <w:rFonts w:cs="Arial"/>
          <w:color w:val="000000"/>
          <w:lang w:val="en-GB" w:eastAsia="en-US"/>
        </w:rPr>
        <w:t>Managing Director</w:t>
      </w:r>
    </w:p>
    <w:p w:rsidR="005E1BA5" w:rsidRPr="00767DA3" w:rsidRDefault="00C84D8A" w:rsidP="00CE5D6F">
      <w:pPr>
        <w:spacing w:line="240" w:lineRule="auto"/>
        <w:rPr>
          <w:noProof/>
          <w:lang w:val="en-GB"/>
        </w:rPr>
      </w:pPr>
      <w:r w:rsidRPr="00767DA3">
        <w:rPr>
          <w:rFonts w:cs="Arial"/>
          <w:color w:val="000000"/>
          <w:lang w:val="en-GB" w:eastAsia="en-US"/>
        </w:rPr>
        <w:t>Division Bank and Insurance</w:t>
      </w:r>
    </w:p>
    <w:p w:rsidR="00346DF4" w:rsidRPr="007C2846" w:rsidRDefault="00346DF4" w:rsidP="00CE5D6F">
      <w:pPr>
        <w:spacing w:line="240" w:lineRule="auto"/>
        <w:rPr>
          <w:noProof/>
          <w:lang w:val="en-GB"/>
        </w:rPr>
      </w:pPr>
    </w:p>
    <w:sectPr w:rsidR="00346DF4" w:rsidRPr="007C2846" w:rsidSect="00F700E4">
      <w:headerReference w:type="default" r:id="rId8"/>
      <w:headerReference w:type="first" r:id="rId9"/>
      <w:pgSz w:w="11906" w:h="16838"/>
      <w:pgMar w:top="1701" w:right="851" w:bottom="1134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79" w:rsidRDefault="00A23779">
      <w:r>
        <w:separator/>
      </w:r>
    </w:p>
  </w:endnote>
  <w:endnote w:type="continuationSeparator" w:id="0">
    <w:p w:rsidR="00A23779" w:rsidRDefault="00A2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79" w:rsidRDefault="00A23779">
      <w:r>
        <w:separator/>
      </w:r>
    </w:p>
  </w:footnote>
  <w:footnote w:type="continuationSeparator" w:id="0">
    <w:p w:rsidR="00A23779" w:rsidRDefault="00A2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8E" w:rsidRDefault="0014018E">
    <w:pPr>
      <w:pStyle w:val="Kopfzeile"/>
      <w:jc w:val="center"/>
    </w:pPr>
    <w:r>
      <w:t xml:space="preserve">- </w:t>
    </w:r>
    <w:r w:rsidR="008D5D3B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8D5D3B">
      <w:rPr>
        <w:rStyle w:val="Seitenzahl"/>
      </w:rPr>
      <w:fldChar w:fldCharType="separate"/>
    </w:r>
    <w:r w:rsidR="001F1D38">
      <w:rPr>
        <w:rStyle w:val="Seitenzahl"/>
        <w:noProof/>
      </w:rPr>
      <w:t>2</w:t>
    </w:r>
    <w:r w:rsidR="008D5D3B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8E" w:rsidRDefault="0014018E">
    <w:pPr>
      <w:pStyle w:val="Kopfzeile"/>
      <w:jc w:val="right"/>
    </w:pPr>
    <w:r>
      <w:rPr>
        <w:noProof/>
        <w:snapToGrid/>
        <w:lang w:val="de-AT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4859655</wp:posOffset>
          </wp:positionH>
          <wp:positionV relativeFrom="page">
            <wp:posOffset>197485</wp:posOffset>
          </wp:positionV>
          <wp:extent cx="2210435" cy="861695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379"/>
    <w:multiLevelType w:val="hybridMultilevel"/>
    <w:tmpl w:val="21AAB9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3C5"/>
    <w:multiLevelType w:val="hybridMultilevel"/>
    <w:tmpl w:val="758CF3B8"/>
    <w:lvl w:ilvl="0" w:tplc="42760B6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578A7"/>
    <w:multiLevelType w:val="hybridMultilevel"/>
    <w:tmpl w:val="A74EFC70"/>
    <w:lvl w:ilvl="0" w:tplc="719E4B7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D70F6"/>
    <w:multiLevelType w:val="hybridMultilevel"/>
    <w:tmpl w:val="94E20B0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0E9B"/>
    <w:multiLevelType w:val="hybridMultilevel"/>
    <w:tmpl w:val="19B0B4CA"/>
    <w:lvl w:ilvl="0" w:tplc="1CD2FC3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="Arial" w:hint="default"/>
        <w:u w:val="single"/>
        <w:lang w:val="en-GB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37B"/>
    <w:multiLevelType w:val="hybridMultilevel"/>
    <w:tmpl w:val="034003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3BED"/>
    <w:multiLevelType w:val="hybridMultilevel"/>
    <w:tmpl w:val="6A6293A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0C88"/>
    <w:multiLevelType w:val="hybridMultilevel"/>
    <w:tmpl w:val="BAFAAA72"/>
    <w:lvl w:ilvl="0" w:tplc="2A10F854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B435A"/>
    <w:multiLevelType w:val="hybridMultilevel"/>
    <w:tmpl w:val="430A2FC0"/>
    <w:lvl w:ilvl="0" w:tplc="C5586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20B5A"/>
    <w:multiLevelType w:val="hybridMultilevel"/>
    <w:tmpl w:val="458C926E"/>
    <w:lvl w:ilvl="0" w:tplc="15FEF840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E7B5DE9"/>
    <w:multiLevelType w:val="hybridMultilevel"/>
    <w:tmpl w:val="12188C80"/>
    <w:lvl w:ilvl="0" w:tplc="2A10F854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7E33E9"/>
    <w:multiLevelType w:val="hybridMultilevel"/>
    <w:tmpl w:val="AE08DD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D75D37"/>
    <w:multiLevelType w:val="hybridMultilevel"/>
    <w:tmpl w:val="A6160BC2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A97C8C"/>
    <w:multiLevelType w:val="hybridMultilevel"/>
    <w:tmpl w:val="A09AD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71814"/>
    <w:multiLevelType w:val="hybridMultilevel"/>
    <w:tmpl w:val="FD02C0A0"/>
    <w:lvl w:ilvl="0" w:tplc="2B72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135A3"/>
    <w:multiLevelType w:val="hybridMultilevel"/>
    <w:tmpl w:val="FACE7CFC"/>
    <w:lvl w:ilvl="0" w:tplc="E57EB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0C21"/>
    <w:multiLevelType w:val="hybridMultilevel"/>
    <w:tmpl w:val="EA7EAC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F1603"/>
    <w:multiLevelType w:val="hybridMultilevel"/>
    <w:tmpl w:val="526A3F40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A10D2"/>
    <w:multiLevelType w:val="hybridMultilevel"/>
    <w:tmpl w:val="1D8E3446"/>
    <w:lvl w:ilvl="0" w:tplc="61902CC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53930"/>
    <w:multiLevelType w:val="hybridMultilevel"/>
    <w:tmpl w:val="4E128B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61DB9"/>
    <w:multiLevelType w:val="hybridMultilevel"/>
    <w:tmpl w:val="3A0650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210E1"/>
    <w:multiLevelType w:val="hybridMultilevel"/>
    <w:tmpl w:val="D2EC6886"/>
    <w:lvl w:ilvl="0" w:tplc="516AC5AA">
      <w:start w:val="1"/>
      <w:numFmt w:val="lowerRoman"/>
      <w:lvlText w:val="(%1)"/>
      <w:lvlJc w:val="left"/>
      <w:pPr>
        <w:ind w:left="1440" w:hanging="720"/>
      </w:pPr>
      <w:rPr>
        <w:rFonts w:ascii="Trebuchet MS" w:eastAsia="Calibri" w:hAnsi="Trebuchet MS" w:cs="Times New Roman"/>
      </w:r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FA673E"/>
    <w:multiLevelType w:val="hybridMultilevel"/>
    <w:tmpl w:val="E04C4170"/>
    <w:lvl w:ilvl="0" w:tplc="C5586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7E1336"/>
    <w:multiLevelType w:val="hybridMultilevel"/>
    <w:tmpl w:val="CF7A09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A428C"/>
    <w:multiLevelType w:val="hybridMultilevel"/>
    <w:tmpl w:val="9514CBB0"/>
    <w:lvl w:ilvl="0" w:tplc="567C697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462943"/>
    <w:multiLevelType w:val="hybridMultilevel"/>
    <w:tmpl w:val="384ADF18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04F2D"/>
    <w:multiLevelType w:val="hybridMultilevel"/>
    <w:tmpl w:val="6E82D81A"/>
    <w:lvl w:ilvl="0" w:tplc="C5586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2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5"/>
  </w:num>
  <w:num w:numId="10">
    <w:abstractNumId w:val="23"/>
  </w:num>
  <w:num w:numId="11">
    <w:abstractNumId w:val="19"/>
  </w:num>
  <w:num w:numId="12">
    <w:abstractNumId w:val="25"/>
  </w:num>
  <w:num w:numId="13">
    <w:abstractNumId w:val="4"/>
  </w:num>
  <w:num w:numId="14">
    <w:abstractNumId w:val="0"/>
  </w:num>
  <w:num w:numId="15">
    <w:abstractNumId w:val="20"/>
  </w:num>
  <w:num w:numId="16">
    <w:abstractNumId w:val="24"/>
  </w:num>
  <w:num w:numId="17">
    <w:abstractNumId w:val="2"/>
  </w:num>
  <w:num w:numId="18">
    <w:abstractNumId w:val="1"/>
  </w:num>
  <w:num w:numId="19">
    <w:abstractNumId w:val="9"/>
  </w:num>
  <w:num w:numId="20">
    <w:abstractNumId w:val="14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7"/>
  </w:num>
  <w:num w:numId="25">
    <w:abstractNumId w:val="15"/>
  </w:num>
  <w:num w:numId="26">
    <w:abstractNumId w:val="16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CC"/>
    <w:rsid w:val="00001730"/>
    <w:rsid w:val="00013086"/>
    <w:rsid w:val="000135FB"/>
    <w:rsid w:val="000163E0"/>
    <w:rsid w:val="00021DBA"/>
    <w:rsid w:val="00024D8C"/>
    <w:rsid w:val="00026657"/>
    <w:rsid w:val="00035D58"/>
    <w:rsid w:val="00041C1E"/>
    <w:rsid w:val="00044A71"/>
    <w:rsid w:val="00053316"/>
    <w:rsid w:val="00057439"/>
    <w:rsid w:val="00061814"/>
    <w:rsid w:val="000619FB"/>
    <w:rsid w:val="0006215B"/>
    <w:rsid w:val="00071436"/>
    <w:rsid w:val="00071BF7"/>
    <w:rsid w:val="00080E83"/>
    <w:rsid w:val="0008171B"/>
    <w:rsid w:val="0008527D"/>
    <w:rsid w:val="0008698A"/>
    <w:rsid w:val="00086BFB"/>
    <w:rsid w:val="000919C4"/>
    <w:rsid w:val="00094EB8"/>
    <w:rsid w:val="0009753B"/>
    <w:rsid w:val="000A0183"/>
    <w:rsid w:val="000A205C"/>
    <w:rsid w:val="000A4FC6"/>
    <w:rsid w:val="000A55AE"/>
    <w:rsid w:val="000A771B"/>
    <w:rsid w:val="000A7D13"/>
    <w:rsid w:val="000B2CE7"/>
    <w:rsid w:val="000B449E"/>
    <w:rsid w:val="000B4D96"/>
    <w:rsid w:val="000B572C"/>
    <w:rsid w:val="000D7538"/>
    <w:rsid w:val="000E511B"/>
    <w:rsid w:val="000F1070"/>
    <w:rsid w:val="000F2220"/>
    <w:rsid w:val="000F28BB"/>
    <w:rsid w:val="000F3572"/>
    <w:rsid w:val="000F74C7"/>
    <w:rsid w:val="00101144"/>
    <w:rsid w:val="00101383"/>
    <w:rsid w:val="001042B8"/>
    <w:rsid w:val="00105F0E"/>
    <w:rsid w:val="0011743A"/>
    <w:rsid w:val="00121770"/>
    <w:rsid w:val="00121CBD"/>
    <w:rsid w:val="001276A5"/>
    <w:rsid w:val="00127F3B"/>
    <w:rsid w:val="00131416"/>
    <w:rsid w:val="00131A98"/>
    <w:rsid w:val="00135A40"/>
    <w:rsid w:val="00137EF5"/>
    <w:rsid w:val="0014018E"/>
    <w:rsid w:val="0014746B"/>
    <w:rsid w:val="00151673"/>
    <w:rsid w:val="00151A78"/>
    <w:rsid w:val="00155AEE"/>
    <w:rsid w:val="00161914"/>
    <w:rsid w:val="00163CC0"/>
    <w:rsid w:val="00163DDA"/>
    <w:rsid w:val="00174D0C"/>
    <w:rsid w:val="00183969"/>
    <w:rsid w:val="00196D5C"/>
    <w:rsid w:val="00196EB4"/>
    <w:rsid w:val="001974F7"/>
    <w:rsid w:val="001B0788"/>
    <w:rsid w:val="001B4AB0"/>
    <w:rsid w:val="001C4931"/>
    <w:rsid w:val="001C49F8"/>
    <w:rsid w:val="001D2667"/>
    <w:rsid w:val="001D40CC"/>
    <w:rsid w:val="001E0374"/>
    <w:rsid w:val="001F1D38"/>
    <w:rsid w:val="001F3545"/>
    <w:rsid w:val="002045CC"/>
    <w:rsid w:val="00205DE9"/>
    <w:rsid w:val="002061DD"/>
    <w:rsid w:val="00207AC9"/>
    <w:rsid w:val="00210FDF"/>
    <w:rsid w:val="00224981"/>
    <w:rsid w:val="00236C5A"/>
    <w:rsid w:val="00240D9B"/>
    <w:rsid w:val="00250CBA"/>
    <w:rsid w:val="0026358F"/>
    <w:rsid w:val="00264C67"/>
    <w:rsid w:val="00265C18"/>
    <w:rsid w:val="002711FC"/>
    <w:rsid w:val="00272C43"/>
    <w:rsid w:val="00280548"/>
    <w:rsid w:val="00282636"/>
    <w:rsid w:val="0028446E"/>
    <w:rsid w:val="00287819"/>
    <w:rsid w:val="00293410"/>
    <w:rsid w:val="00296269"/>
    <w:rsid w:val="002A00E4"/>
    <w:rsid w:val="002A15C7"/>
    <w:rsid w:val="002A3540"/>
    <w:rsid w:val="002B08BD"/>
    <w:rsid w:val="002B3BF4"/>
    <w:rsid w:val="002B4B41"/>
    <w:rsid w:val="002D14BF"/>
    <w:rsid w:val="002D4A90"/>
    <w:rsid w:val="002D69C4"/>
    <w:rsid w:val="002E4BD0"/>
    <w:rsid w:val="002F1DC4"/>
    <w:rsid w:val="003104AE"/>
    <w:rsid w:val="00312578"/>
    <w:rsid w:val="00316718"/>
    <w:rsid w:val="0031680D"/>
    <w:rsid w:val="00320A42"/>
    <w:rsid w:val="00325FCF"/>
    <w:rsid w:val="00327DD3"/>
    <w:rsid w:val="003303C4"/>
    <w:rsid w:val="00344DB8"/>
    <w:rsid w:val="00346DF4"/>
    <w:rsid w:val="00356254"/>
    <w:rsid w:val="003568E9"/>
    <w:rsid w:val="00361B24"/>
    <w:rsid w:val="003814C3"/>
    <w:rsid w:val="00384948"/>
    <w:rsid w:val="00390AC7"/>
    <w:rsid w:val="003933A5"/>
    <w:rsid w:val="0039371D"/>
    <w:rsid w:val="003A5633"/>
    <w:rsid w:val="003B3D28"/>
    <w:rsid w:val="003B6B36"/>
    <w:rsid w:val="003C35DC"/>
    <w:rsid w:val="003C5804"/>
    <w:rsid w:val="003C622F"/>
    <w:rsid w:val="003C7778"/>
    <w:rsid w:val="003D07A4"/>
    <w:rsid w:val="003E09A5"/>
    <w:rsid w:val="003E6845"/>
    <w:rsid w:val="003F44A2"/>
    <w:rsid w:val="003F5EEF"/>
    <w:rsid w:val="003F6706"/>
    <w:rsid w:val="00404863"/>
    <w:rsid w:val="004235FB"/>
    <w:rsid w:val="00425684"/>
    <w:rsid w:val="00430245"/>
    <w:rsid w:val="004302FD"/>
    <w:rsid w:val="004339AE"/>
    <w:rsid w:val="004400CB"/>
    <w:rsid w:val="00445FAF"/>
    <w:rsid w:val="0044708F"/>
    <w:rsid w:val="00450B6F"/>
    <w:rsid w:val="00461F65"/>
    <w:rsid w:val="004632A4"/>
    <w:rsid w:val="00470480"/>
    <w:rsid w:val="004745CD"/>
    <w:rsid w:val="00480120"/>
    <w:rsid w:val="00482639"/>
    <w:rsid w:val="00485220"/>
    <w:rsid w:val="0048523B"/>
    <w:rsid w:val="00487A00"/>
    <w:rsid w:val="004926F1"/>
    <w:rsid w:val="004A01A9"/>
    <w:rsid w:val="004A115F"/>
    <w:rsid w:val="004B2194"/>
    <w:rsid w:val="004C0E9B"/>
    <w:rsid w:val="004C5E94"/>
    <w:rsid w:val="004C6FA4"/>
    <w:rsid w:val="004D1102"/>
    <w:rsid w:val="004D1A1E"/>
    <w:rsid w:val="004E2249"/>
    <w:rsid w:val="004E2A45"/>
    <w:rsid w:val="004E51E5"/>
    <w:rsid w:val="004F1B60"/>
    <w:rsid w:val="004F53C0"/>
    <w:rsid w:val="004F6198"/>
    <w:rsid w:val="00505343"/>
    <w:rsid w:val="0051495A"/>
    <w:rsid w:val="00517690"/>
    <w:rsid w:val="00520471"/>
    <w:rsid w:val="00521B7F"/>
    <w:rsid w:val="00535CF4"/>
    <w:rsid w:val="00550380"/>
    <w:rsid w:val="005548F9"/>
    <w:rsid w:val="00556359"/>
    <w:rsid w:val="00560A66"/>
    <w:rsid w:val="00562C44"/>
    <w:rsid w:val="00576F32"/>
    <w:rsid w:val="00590AAE"/>
    <w:rsid w:val="00596B5B"/>
    <w:rsid w:val="005A2D33"/>
    <w:rsid w:val="005B1218"/>
    <w:rsid w:val="005B2525"/>
    <w:rsid w:val="005B3FB7"/>
    <w:rsid w:val="005C04FF"/>
    <w:rsid w:val="005C218C"/>
    <w:rsid w:val="005C7948"/>
    <w:rsid w:val="005D0470"/>
    <w:rsid w:val="005D08DC"/>
    <w:rsid w:val="005D0B33"/>
    <w:rsid w:val="005D1620"/>
    <w:rsid w:val="005D4F47"/>
    <w:rsid w:val="005E1BA5"/>
    <w:rsid w:val="005E7180"/>
    <w:rsid w:val="005F5B48"/>
    <w:rsid w:val="005F632A"/>
    <w:rsid w:val="006065F4"/>
    <w:rsid w:val="00606AFA"/>
    <w:rsid w:val="0062208D"/>
    <w:rsid w:val="00622B51"/>
    <w:rsid w:val="00623752"/>
    <w:rsid w:val="00623872"/>
    <w:rsid w:val="006261AF"/>
    <w:rsid w:val="00641DC4"/>
    <w:rsid w:val="00642235"/>
    <w:rsid w:val="00642A57"/>
    <w:rsid w:val="006471E3"/>
    <w:rsid w:val="00650AE5"/>
    <w:rsid w:val="006518A3"/>
    <w:rsid w:val="0065464B"/>
    <w:rsid w:val="00677F47"/>
    <w:rsid w:val="00683614"/>
    <w:rsid w:val="0068403B"/>
    <w:rsid w:val="00686189"/>
    <w:rsid w:val="0069309F"/>
    <w:rsid w:val="00694B28"/>
    <w:rsid w:val="006A55B4"/>
    <w:rsid w:val="006B05A1"/>
    <w:rsid w:val="006C33D2"/>
    <w:rsid w:val="006D6427"/>
    <w:rsid w:val="006E0163"/>
    <w:rsid w:val="006E5185"/>
    <w:rsid w:val="0070253E"/>
    <w:rsid w:val="007053E7"/>
    <w:rsid w:val="007114EC"/>
    <w:rsid w:val="00711C4D"/>
    <w:rsid w:val="007203E6"/>
    <w:rsid w:val="007230AC"/>
    <w:rsid w:val="00724C39"/>
    <w:rsid w:val="0072798F"/>
    <w:rsid w:val="00732AFB"/>
    <w:rsid w:val="0073402F"/>
    <w:rsid w:val="0073440E"/>
    <w:rsid w:val="00743A63"/>
    <w:rsid w:val="00754BAF"/>
    <w:rsid w:val="00766B69"/>
    <w:rsid w:val="00767DA3"/>
    <w:rsid w:val="007755BF"/>
    <w:rsid w:val="007757A9"/>
    <w:rsid w:val="007762A4"/>
    <w:rsid w:val="00776348"/>
    <w:rsid w:val="007816E4"/>
    <w:rsid w:val="00782541"/>
    <w:rsid w:val="00783F4D"/>
    <w:rsid w:val="007846C2"/>
    <w:rsid w:val="00795782"/>
    <w:rsid w:val="007A01B8"/>
    <w:rsid w:val="007A1751"/>
    <w:rsid w:val="007B32D2"/>
    <w:rsid w:val="007B3A82"/>
    <w:rsid w:val="007B3EA1"/>
    <w:rsid w:val="007B641D"/>
    <w:rsid w:val="007C2846"/>
    <w:rsid w:val="007C2F92"/>
    <w:rsid w:val="007D0A79"/>
    <w:rsid w:val="007D3573"/>
    <w:rsid w:val="007D4FE3"/>
    <w:rsid w:val="007E1AC2"/>
    <w:rsid w:val="007E6B3B"/>
    <w:rsid w:val="007F5F54"/>
    <w:rsid w:val="00801234"/>
    <w:rsid w:val="0080414A"/>
    <w:rsid w:val="0081169B"/>
    <w:rsid w:val="00811CE5"/>
    <w:rsid w:val="00812F74"/>
    <w:rsid w:val="00815C5E"/>
    <w:rsid w:val="00816598"/>
    <w:rsid w:val="008255E7"/>
    <w:rsid w:val="008351DF"/>
    <w:rsid w:val="008406BB"/>
    <w:rsid w:val="0084684D"/>
    <w:rsid w:val="0086077B"/>
    <w:rsid w:val="00864AF6"/>
    <w:rsid w:val="008720A6"/>
    <w:rsid w:val="008745CD"/>
    <w:rsid w:val="00881BC0"/>
    <w:rsid w:val="00884544"/>
    <w:rsid w:val="0088500E"/>
    <w:rsid w:val="0089476E"/>
    <w:rsid w:val="008953FC"/>
    <w:rsid w:val="008B1362"/>
    <w:rsid w:val="008B1D1A"/>
    <w:rsid w:val="008C0AE8"/>
    <w:rsid w:val="008C0C66"/>
    <w:rsid w:val="008C679C"/>
    <w:rsid w:val="008D1E25"/>
    <w:rsid w:val="008D469D"/>
    <w:rsid w:val="008D5D3B"/>
    <w:rsid w:val="008D70E6"/>
    <w:rsid w:val="008D77D7"/>
    <w:rsid w:val="008E02AC"/>
    <w:rsid w:val="008F1DD3"/>
    <w:rsid w:val="008F3076"/>
    <w:rsid w:val="008F3EA3"/>
    <w:rsid w:val="0091585E"/>
    <w:rsid w:val="009303DC"/>
    <w:rsid w:val="00935B03"/>
    <w:rsid w:val="00935BB6"/>
    <w:rsid w:val="0093708A"/>
    <w:rsid w:val="00942F6C"/>
    <w:rsid w:val="0094333B"/>
    <w:rsid w:val="0094518B"/>
    <w:rsid w:val="009458C0"/>
    <w:rsid w:val="009632CC"/>
    <w:rsid w:val="00965380"/>
    <w:rsid w:val="009853E1"/>
    <w:rsid w:val="009922DC"/>
    <w:rsid w:val="009A6947"/>
    <w:rsid w:val="009B6C3A"/>
    <w:rsid w:val="009C1E08"/>
    <w:rsid w:val="009C6136"/>
    <w:rsid w:val="009D188F"/>
    <w:rsid w:val="009D58FA"/>
    <w:rsid w:val="009E1189"/>
    <w:rsid w:val="009E5929"/>
    <w:rsid w:val="009E5A12"/>
    <w:rsid w:val="009E66CA"/>
    <w:rsid w:val="009F4450"/>
    <w:rsid w:val="009F57DA"/>
    <w:rsid w:val="009F6A00"/>
    <w:rsid w:val="00A01B18"/>
    <w:rsid w:val="00A0265B"/>
    <w:rsid w:val="00A04A94"/>
    <w:rsid w:val="00A06DE5"/>
    <w:rsid w:val="00A07FE0"/>
    <w:rsid w:val="00A147F7"/>
    <w:rsid w:val="00A21AEC"/>
    <w:rsid w:val="00A23371"/>
    <w:rsid w:val="00A23661"/>
    <w:rsid w:val="00A23779"/>
    <w:rsid w:val="00A36834"/>
    <w:rsid w:val="00A42F7B"/>
    <w:rsid w:val="00A437DE"/>
    <w:rsid w:val="00A44D5F"/>
    <w:rsid w:val="00A500F1"/>
    <w:rsid w:val="00A5381E"/>
    <w:rsid w:val="00A54C2F"/>
    <w:rsid w:val="00A55757"/>
    <w:rsid w:val="00A64C34"/>
    <w:rsid w:val="00A705F5"/>
    <w:rsid w:val="00A707A7"/>
    <w:rsid w:val="00A70C7D"/>
    <w:rsid w:val="00A81341"/>
    <w:rsid w:val="00A82C13"/>
    <w:rsid w:val="00A8532A"/>
    <w:rsid w:val="00A912E3"/>
    <w:rsid w:val="00A955F6"/>
    <w:rsid w:val="00A97AE7"/>
    <w:rsid w:val="00AA0432"/>
    <w:rsid w:val="00AB5857"/>
    <w:rsid w:val="00AB59B3"/>
    <w:rsid w:val="00AD053F"/>
    <w:rsid w:val="00AE02B3"/>
    <w:rsid w:val="00AE1B6A"/>
    <w:rsid w:val="00AE457B"/>
    <w:rsid w:val="00AE6511"/>
    <w:rsid w:val="00B020A3"/>
    <w:rsid w:val="00B10218"/>
    <w:rsid w:val="00B17B80"/>
    <w:rsid w:val="00B22761"/>
    <w:rsid w:val="00B32456"/>
    <w:rsid w:val="00B36C46"/>
    <w:rsid w:val="00B447AA"/>
    <w:rsid w:val="00B467F0"/>
    <w:rsid w:val="00B46C57"/>
    <w:rsid w:val="00B51CB0"/>
    <w:rsid w:val="00B532F2"/>
    <w:rsid w:val="00B55633"/>
    <w:rsid w:val="00B57C55"/>
    <w:rsid w:val="00B6209E"/>
    <w:rsid w:val="00B63C71"/>
    <w:rsid w:val="00B64838"/>
    <w:rsid w:val="00B6488D"/>
    <w:rsid w:val="00B6710C"/>
    <w:rsid w:val="00B67CEF"/>
    <w:rsid w:val="00B85379"/>
    <w:rsid w:val="00B8623F"/>
    <w:rsid w:val="00B93882"/>
    <w:rsid w:val="00B960F5"/>
    <w:rsid w:val="00BA5BEC"/>
    <w:rsid w:val="00BA5E95"/>
    <w:rsid w:val="00BA6878"/>
    <w:rsid w:val="00BA7A5E"/>
    <w:rsid w:val="00BB344D"/>
    <w:rsid w:val="00BC6569"/>
    <w:rsid w:val="00BD2D5E"/>
    <w:rsid w:val="00BD3A1D"/>
    <w:rsid w:val="00BD7362"/>
    <w:rsid w:val="00BE7A33"/>
    <w:rsid w:val="00BF1820"/>
    <w:rsid w:val="00BF2A57"/>
    <w:rsid w:val="00BF3BB7"/>
    <w:rsid w:val="00C02F42"/>
    <w:rsid w:val="00C044AE"/>
    <w:rsid w:val="00C11030"/>
    <w:rsid w:val="00C21BF0"/>
    <w:rsid w:val="00C23AED"/>
    <w:rsid w:val="00C3459A"/>
    <w:rsid w:val="00C34E41"/>
    <w:rsid w:val="00C358D5"/>
    <w:rsid w:val="00C376E8"/>
    <w:rsid w:val="00C406D2"/>
    <w:rsid w:val="00C47B46"/>
    <w:rsid w:val="00C519C2"/>
    <w:rsid w:val="00C543F8"/>
    <w:rsid w:val="00C619D3"/>
    <w:rsid w:val="00C64B6E"/>
    <w:rsid w:val="00C66013"/>
    <w:rsid w:val="00C728A8"/>
    <w:rsid w:val="00C84D8A"/>
    <w:rsid w:val="00C97D15"/>
    <w:rsid w:val="00CA1356"/>
    <w:rsid w:val="00CA6A50"/>
    <w:rsid w:val="00CB2954"/>
    <w:rsid w:val="00CB797F"/>
    <w:rsid w:val="00CC1072"/>
    <w:rsid w:val="00CD2A67"/>
    <w:rsid w:val="00CD4E8C"/>
    <w:rsid w:val="00CD4ED3"/>
    <w:rsid w:val="00CE1526"/>
    <w:rsid w:val="00CE1A19"/>
    <w:rsid w:val="00CE3F94"/>
    <w:rsid w:val="00CE4DD7"/>
    <w:rsid w:val="00CE5D6F"/>
    <w:rsid w:val="00CF63BD"/>
    <w:rsid w:val="00D10757"/>
    <w:rsid w:val="00D1088D"/>
    <w:rsid w:val="00D164AD"/>
    <w:rsid w:val="00D35759"/>
    <w:rsid w:val="00D364F4"/>
    <w:rsid w:val="00D371BE"/>
    <w:rsid w:val="00D37B81"/>
    <w:rsid w:val="00D42F9C"/>
    <w:rsid w:val="00D44582"/>
    <w:rsid w:val="00D51EC2"/>
    <w:rsid w:val="00D55968"/>
    <w:rsid w:val="00D57833"/>
    <w:rsid w:val="00D614D3"/>
    <w:rsid w:val="00D61E2F"/>
    <w:rsid w:val="00D62449"/>
    <w:rsid w:val="00D63F9C"/>
    <w:rsid w:val="00D6614C"/>
    <w:rsid w:val="00D679C5"/>
    <w:rsid w:val="00D708D7"/>
    <w:rsid w:val="00D76BDD"/>
    <w:rsid w:val="00D77C55"/>
    <w:rsid w:val="00D82226"/>
    <w:rsid w:val="00D84A26"/>
    <w:rsid w:val="00D90D34"/>
    <w:rsid w:val="00D9226A"/>
    <w:rsid w:val="00DA13B9"/>
    <w:rsid w:val="00DA5251"/>
    <w:rsid w:val="00DB117B"/>
    <w:rsid w:val="00DB4FF8"/>
    <w:rsid w:val="00DC0A36"/>
    <w:rsid w:val="00DC2F9C"/>
    <w:rsid w:val="00DD4E27"/>
    <w:rsid w:val="00DE0704"/>
    <w:rsid w:val="00E0664D"/>
    <w:rsid w:val="00E2444D"/>
    <w:rsid w:val="00E25162"/>
    <w:rsid w:val="00E260A8"/>
    <w:rsid w:val="00E376EA"/>
    <w:rsid w:val="00E40277"/>
    <w:rsid w:val="00E41DFD"/>
    <w:rsid w:val="00E4233B"/>
    <w:rsid w:val="00E45332"/>
    <w:rsid w:val="00E505CF"/>
    <w:rsid w:val="00E51B60"/>
    <w:rsid w:val="00E72490"/>
    <w:rsid w:val="00E754C8"/>
    <w:rsid w:val="00E8006A"/>
    <w:rsid w:val="00E81371"/>
    <w:rsid w:val="00E82191"/>
    <w:rsid w:val="00E87DCD"/>
    <w:rsid w:val="00E95C5D"/>
    <w:rsid w:val="00EA1FF4"/>
    <w:rsid w:val="00EB13E2"/>
    <w:rsid w:val="00EB2182"/>
    <w:rsid w:val="00EB3B01"/>
    <w:rsid w:val="00EC6597"/>
    <w:rsid w:val="00ED0561"/>
    <w:rsid w:val="00ED171E"/>
    <w:rsid w:val="00ED2466"/>
    <w:rsid w:val="00EE33EF"/>
    <w:rsid w:val="00F039F2"/>
    <w:rsid w:val="00F06018"/>
    <w:rsid w:val="00F17F3D"/>
    <w:rsid w:val="00F21921"/>
    <w:rsid w:val="00F253EA"/>
    <w:rsid w:val="00F26986"/>
    <w:rsid w:val="00F31CB0"/>
    <w:rsid w:val="00F37341"/>
    <w:rsid w:val="00F42876"/>
    <w:rsid w:val="00F472AC"/>
    <w:rsid w:val="00F57342"/>
    <w:rsid w:val="00F700E4"/>
    <w:rsid w:val="00F71922"/>
    <w:rsid w:val="00F744E0"/>
    <w:rsid w:val="00F77CC4"/>
    <w:rsid w:val="00F77E12"/>
    <w:rsid w:val="00F8025E"/>
    <w:rsid w:val="00F83CF8"/>
    <w:rsid w:val="00F878D2"/>
    <w:rsid w:val="00F90148"/>
    <w:rsid w:val="00F9470D"/>
    <w:rsid w:val="00F9528C"/>
    <w:rsid w:val="00FB464A"/>
    <w:rsid w:val="00FB6113"/>
    <w:rsid w:val="00FC5F01"/>
    <w:rsid w:val="00FD1999"/>
    <w:rsid w:val="00FD1D18"/>
    <w:rsid w:val="00FD48B2"/>
    <w:rsid w:val="00FD4B23"/>
    <w:rsid w:val="00FE48D6"/>
    <w:rsid w:val="00FF18C9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3721430"/>
  <w15:docId w15:val="{0D2A17A6-5C88-4FA6-9DDD-948BB5E3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00E4"/>
    <w:pPr>
      <w:spacing w:line="280" w:lineRule="atLeast"/>
    </w:pPr>
    <w:rPr>
      <w:rFonts w:ascii="Trebuchet MS" w:hAnsi="Trebuchet MS" w:cs="Trebuchet MS"/>
      <w:snapToGrid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rsid w:val="00F700E4"/>
    <w:pPr>
      <w:keepNext/>
      <w:pageBreakBefore/>
      <w:spacing w:after="360"/>
      <w:outlineLvl w:val="0"/>
    </w:pPr>
    <w:rPr>
      <w:rFonts w:ascii="Times New Roman" w:hAnsi="Times New Roman" w:cs="Times New Roman"/>
      <w:b/>
      <w:bCs/>
      <w:caps/>
      <w:kern w:val="28"/>
      <w:sz w:val="48"/>
      <w:szCs w:val="48"/>
    </w:rPr>
  </w:style>
  <w:style w:type="paragraph" w:styleId="berschrift2">
    <w:name w:val="heading 2"/>
    <w:basedOn w:val="Standard"/>
    <w:next w:val="Standard"/>
    <w:qFormat/>
    <w:rsid w:val="00F700E4"/>
    <w:pPr>
      <w:keepNext/>
      <w:spacing w:before="240" w:after="240"/>
      <w:outlineLvl w:val="1"/>
    </w:pPr>
    <w:rPr>
      <w:rFonts w:ascii="Times New Roman" w:hAnsi="Times New Roman" w:cs="Times New Roman"/>
      <w:b/>
      <w:bCs/>
      <w:caps/>
      <w:sz w:val="32"/>
      <w:szCs w:val="32"/>
    </w:rPr>
  </w:style>
  <w:style w:type="paragraph" w:styleId="berschrift3">
    <w:name w:val="heading 3"/>
    <w:basedOn w:val="Standard"/>
    <w:next w:val="Standard"/>
    <w:qFormat/>
    <w:rsid w:val="00F700E4"/>
    <w:pPr>
      <w:keepNext/>
      <w:spacing w:before="240" w:after="24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F700E4"/>
    <w:rPr>
      <w:sz w:val="18"/>
      <w:szCs w:val="18"/>
    </w:rPr>
  </w:style>
  <w:style w:type="paragraph" w:styleId="Kopfzeile">
    <w:name w:val="header"/>
    <w:basedOn w:val="Standard"/>
    <w:rsid w:val="00F700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700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00E4"/>
  </w:style>
  <w:style w:type="paragraph" w:styleId="Sprechblasentext">
    <w:name w:val="Balloon Text"/>
    <w:basedOn w:val="Standard"/>
    <w:semiHidden/>
    <w:rsid w:val="00F700E4"/>
    <w:rPr>
      <w:rFonts w:ascii="Times New Roman" w:hAnsi="Times New Roman" w:cs="Times New Roman"/>
      <w:sz w:val="16"/>
      <w:szCs w:val="16"/>
    </w:rPr>
  </w:style>
  <w:style w:type="paragraph" w:styleId="Titel">
    <w:name w:val="Title"/>
    <w:basedOn w:val="Standard"/>
    <w:qFormat/>
    <w:rsid w:val="00F700E4"/>
    <w:pPr>
      <w:spacing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w4winMark">
    <w:name w:val="tw4winMark"/>
    <w:rsid w:val="00F700E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F700E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F700E4"/>
    <w:rPr>
      <w:color w:val="0000FF"/>
    </w:rPr>
  </w:style>
  <w:style w:type="character" w:customStyle="1" w:styleId="tw4winPopup">
    <w:name w:val="tw4winPopup"/>
    <w:rsid w:val="00F700E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F700E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F700E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F700E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F700E4"/>
    <w:rPr>
      <w:rFonts w:ascii="Courier New" w:hAnsi="Courier New" w:cs="Courier New"/>
      <w:noProof/>
      <w:color w:val="800000"/>
    </w:rPr>
  </w:style>
  <w:style w:type="paragraph" w:styleId="NurText">
    <w:name w:val="Plain Text"/>
    <w:basedOn w:val="Standard"/>
    <w:link w:val="NurTextZchn"/>
    <w:uiPriority w:val="99"/>
    <w:unhideWhenUsed/>
    <w:rsid w:val="00B55633"/>
    <w:pPr>
      <w:spacing w:line="240" w:lineRule="auto"/>
    </w:pPr>
    <w:rPr>
      <w:rFonts w:ascii="Consolas" w:eastAsia="Calibri" w:hAnsi="Consolas" w:cs="Times New Roman"/>
      <w:snapToGrid/>
      <w:sz w:val="21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55633"/>
    <w:rPr>
      <w:rFonts w:ascii="Consolas" w:eastAsia="Calibri" w:hAnsi="Consolas" w:cs="Times New Roman"/>
      <w:sz w:val="21"/>
      <w:szCs w:val="21"/>
      <w:lang w:eastAsia="en-US"/>
    </w:rPr>
  </w:style>
  <w:style w:type="character" w:styleId="Hervorhebung">
    <w:name w:val="Emphasis"/>
    <w:basedOn w:val="Absatz-Standardschriftart"/>
    <w:uiPriority w:val="20"/>
    <w:qFormat/>
    <w:rsid w:val="008B1362"/>
    <w:rPr>
      <w:i/>
      <w:iCs/>
    </w:rPr>
  </w:style>
  <w:style w:type="paragraph" w:styleId="Listenabsatz">
    <w:name w:val="List Paragraph"/>
    <w:aliases w:val="Paragraphe EI,Paragraphe de liste1,EC"/>
    <w:basedOn w:val="Standard"/>
    <w:link w:val="ListenabsatzZchn"/>
    <w:uiPriority w:val="34"/>
    <w:qFormat/>
    <w:rsid w:val="00CD2A6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63C7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napToGrid/>
      <w:sz w:val="24"/>
      <w:szCs w:val="24"/>
      <w:lang w:val="de-AT"/>
    </w:rPr>
  </w:style>
  <w:style w:type="character" w:styleId="Fett">
    <w:name w:val="Strong"/>
    <w:basedOn w:val="Absatz-Standardschriftart"/>
    <w:uiPriority w:val="22"/>
    <w:qFormat/>
    <w:rsid w:val="00B63C71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ED2466"/>
    <w:rPr>
      <w:rFonts w:ascii="Trebuchet MS" w:hAnsi="Trebuchet MS" w:cs="Trebuchet MS"/>
      <w:snapToGrid w:val="0"/>
      <w:sz w:val="22"/>
      <w:szCs w:val="22"/>
      <w:lang w:val="de-DE"/>
    </w:rPr>
  </w:style>
  <w:style w:type="character" w:styleId="Hyperlink">
    <w:name w:val="Hyperlink"/>
    <w:basedOn w:val="Absatz-Standardschriftart"/>
    <w:rsid w:val="005B3FB7"/>
    <w:rPr>
      <w:color w:val="0000FF" w:themeColor="hyperlink"/>
      <w:u w:val="single"/>
    </w:rPr>
  </w:style>
  <w:style w:type="paragraph" w:customStyle="1" w:styleId="Default">
    <w:name w:val="Default"/>
    <w:rsid w:val="007755BF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ListenabsatzZchn">
    <w:name w:val="Listenabsatz Zchn"/>
    <w:aliases w:val="Paragraphe EI Zchn,Paragraphe de liste1 Zchn,EC Zchn"/>
    <w:link w:val="Listenabsatz"/>
    <w:rsid w:val="005C7948"/>
    <w:rPr>
      <w:rFonts w:ascii="Trebuchet MS" w:hAnsi="Trebuchet MS" w:cs="Trebuchet MS"/>
      <w:snapToGrid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E1B8-8B74-4A36-A955-4AF86268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Translation: www.brainstorm.at</vt:lpstr>
    </vt:vector>
  </TitlesOfParts>
  <Company>Translation: www.brainstorm.at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Translation: www.brainstorm.at</dc:title>
  <dc:creator>Manuela Bruck</dc:creator>
  <dc:description>Translation: www.brainstorm.at</dc:description>
  <cp:lastModifiedBy>Horvath Philipp, LL.M., WKÖ BSBV</cp:lastModifiedBy>
  <cp:revision>4</cp:revision>
  <cp:lastPrinted>2015-09-30T08:11:00Z</cp:lastPrinted>
  <dcterms:created xsi:type="dcterms:W3CDTF">2017-09-06T11:37:00Z</dcterms:created>
  <dcterms:modified xsi:type="dcterms:W3CDTF">2017-09-06T11:39:00Z</dcterms:modified>
  <cp:category>Translation: www.brainstorm.at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ion">
    <vt:lpwstr>Translation: www.brainstorm.at</vt:lpwstr>
  </property>
</Properties>
</file>