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rsidR="00EB2A3F" w:rsidRPr="00550A1A" w:rsidRDefault="0051277E" w:rsidP="00EB2A3F">
            <w:pPr>
              <w:pStyle w:val="01aDBTitle"/>
              <w:rPr>
                <w:rFonts w:cs="Arial"/>
                <w:sz w:val="32"/>
                <w:szCs w:val="32"/>
              </w:rPr>
            </w:pPr>
            <w:r w:rsidRPr="00550A1A">
              <w:rPr>
                <w:rFonts w:cs="Arial"/>
                <w:sz w:val="32"/>
                <w:szCs w:val="32"/>
              </w:rPr>
              <w:t>scrutiny and approval</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7"/>
          <w:headerReference w:type="default" r:id="rId8"/>
          <w:footerReference w:type="even"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rsidR="0051277E" w:rsidRPr="00550A1A" w:rsidRDefault="0051277E" w:rsidP="0051277E">
      <w:pPr>
        <w:pStyle w:val="ListParagraph"/>
        <w:numPr>
          <w:ilvl w:val="0"/>
          <w:numId w:val="42"/>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rsidR="0051277E" w:rsidRPr="00550A1A" w:rsidRDefault="0051277E" w:rsidP="0051277E">
      <w:pPr>
        <w:pStyle w:val="ListParagraph"/>
        <w:numPr>
          <w:ilvl w:val="0"/>
          <w:numId w:val="42"/>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rsidR="0051277E" w:rsidRPr="00550A1A" w:rsidRDefault="0051277E" w:rsidP="0051277E">
      <w:pPr>
        <w:pStyle w:val="ListParagraph"/>
        <w:numPr>
          <w:ilvl w:val="0"/>
          <w:numId w:val="42"/>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rsidR="0051277E" w:rsidRPr="00550A1A" w:rsidRDefault="0051277E" w:rsidP="0051277E">
      <w:pPr>
        <w:spacing w:after="240"/>
        <w:jc w:val="both"/>
        <w:rPr>
          <w:rStyle w:val="SubtleEmphasis"/>
          <w:b w:val="0"/>
          <w:sz w:val="22"/>
        </w:rPr>
      </w:pPr>
      <w:r w:rsidRPr="00550A1A">
        <w:rPr>
          <w:rStyle w:val="SubtleEmphasis"/>
          <w:b w:val="0"/>
          <w:sz w:val="22"/>
        </w:rPr>
        <w:t>ESMA will consider all responses received by 28 September 2017.</w:t>
      </w:r>
    </w:p>
    <w:p w:rsidR="0051277E" w:rsidRPr="00550A1A" w:rsidRDefault="0051277E" w:rsidP="0051277E">
      <w:pPr>
        <w:spacing w:after="120"/>
        <w:jc w:val="both"/>
        <w:rPr>
          <w:rStyle w:val="SubtleEmphasis"/>
          <w:sz w:val="22"/>
        </w:rPr>
      </w:pPr>
      <w:r w:rsidRPr="00550A1A">
        <w:rPr>
          <w:rStyle w:val="SubtleEmphasis"/>
          <w:sz w:val="22"/>
        </w:rPr>
        <w:t>Instructions</w:t>
      </w:r>
    </w:p>
    <w:p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rsidR="0051277E" w:rsidRPr="00550A1A" w:rsidRDefault="0051277E" w:rsidP="0051277E">
      <w:pPr>
        <w:pStyle w:val="ListParagraph"/>
        <w:numPr>
          <w:ilvl w:val="0"/>
          <w:numId w:val="42"/>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alongside the present Consultation Paper (</w:t>
      </w:r>
      <w:hyperlink r:id="rId13"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rsidR="0051277E" w:rsidRPr="00550A1A" w:rsidRDefault="0051277E" w:rsidP="0051277E">
      <w:pPr>
        <w:pStyle w:val="ListParagraph"/>
        <w:numPr>
          <w:ilvl w:val="0"/>
          <w:numId w:val="42"/>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&lt;ESMA_QUESTION_SAC_1&gt;. Your response to each question has to be framed by the two tags corresponding to the question.</w:t>
      </w:r>
    </w:p>
    <w:p w:rsidR="0051277E" w:rsidRPr="00550A1A" w:rsidRDefault="0051277E" w:rsidP="0051277E">
      <w:pPr>
        <w:pStyle w:val="ListParagraph"/>
        <w:numPr>
          <w:ilvl w:val="0"/>
          <w:numId w:val="42"/>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rsidR="0051277E" w:rsidRPr="00550A1A" w:rsidRDefault="0051277E" w:rsidP="0051277E">
      <w:pPr>
        <w:pStyle w:val="ListParagraph"/>
        <w:numPr>
          <w:ilvl w:val="0"/>
          <w:numId w:val="42"/>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ESMA_SAC_nameofrespondent_RESPONSEFORM. For example, for a respondent named ABCD, the response form would be entitled ESMA_SAC_ABCD_RESPONSEFORM.</w:t>
      </w:r>
    </w:p>
    <w:p w:rsidR="0051277E" w:rsidRPr="00550A1A" w:rsidRDefault="0051277E" w:rsidP="0051277E">
      <w:pPr>
        <w:pStyle w:val="ListParagraph"/>
        <w:numPr>
          <w:ilvl w:val="0"/>
          <w:numId w:val="42"/>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4"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550A1A">
        <w:rPr>
          <w:rStyle w:val="SubtleEmphasis"/>
          <w:b w:val="0"/>
          <w:sz w:val="22"/>
          <w:lang w:eastAsia="en-GB"/>
        </w:rPr>
        <w:lastRenderedPageBreak/>
        <w:t>disclose the response is reviewable by ESMA’s Board of Appeal and the European Ombudsman.</w:t>
      </w:r>
    </w:p>
    <w:p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5"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6C5707">
        <w:tc>
          <w:tcPr>
            <w:tcW w:w="3929" w:type="dxa"/>
            <w:shd w:val="clear" w:color="auto" w:fill="auto"/>
          </w:tcPr>
          <w:p w:rsidR="00B327E9" w:rsidRPr="00550A1A" w:rsidRDefault="00B327E9" w:rsidP="006C5707">
            <w:pPr>
              <w:rPr>
                <w:rFonts w:cs="Arial"/>
                <w:sz w:val="22"/>
              </w:rPr>
            </w:pPr>
            <w:permStart w:id="35348636" w:edGrp="everyone" w:colFirst="1" w:colLast="1"/>
            <w:r w:rsidRPr="00550A1A">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B70FEC" w:rsidP="00B70FEC">
                <w:pPr>
                  <w:rPr>
                    <w:rStyle w:val="PlaceholderText"/>
                    <w:rFonts w:cs="Arial"/>
                  </w:rPr>
                </w:pPr>
                <w:r>
                  <w:rPr>
                    <w:rStyle w:val="PlaceholderText"/>
                    <w:rFonts w:cs="Arial"/>
                  </w:rPr>
                  <w:t>International Capital Market Association (ICMA)</w:t>
                </w:r>
              </w:p>
            </w:tc>
          </w:sdtContent>
        </w:sdt>
      </w:tr>
      <w:tr w:rsidR="00B327E9" w:rsidRPr="00AB6D88" w:rsidTr="006C5707">
        <w:tc>
          <w:tcPr>
            <w:tcW w:w="3929" w:type="dxa"/>
            <w:shd w:val="clear" w:color="auto" w:fill="auto"/>
          </w:tcPr>
          <w:p w:rsidR="00B327E9" w:rsidRPr="00550A1A" w:rsidRDefault="00B327E9" w:rsidP="006C5707">
            <w:pPr>
              <w:rPr>
                <w:rFonts w:cs="Arial"/>
                <w:sz w:val="22"/>
              </w:rPr>
            </w:pPr>
            <w:permStart w:id="1622569500" w:edGrp="everyone" w:colFirst="1" w:colLast="1"/>
            <w:permEnd w:id="35348636"/>
            <w:r w:rsidRPr="00550A1A">
              <w:rPr>
                <w:rFonts w:cs="Arial"/>
                <w:sz w:val="22"/>
              </w:rPr>
              <w:t>Activity</w:t>
            </w:r>
          </w:p>
        </w:tc>
        <w:tc>
          <w:tcPr>
            <w:tcW w:w="5595" w:type="dxa"/>
            <w:shd w:val="clear" w:color="auto" w:fill="auto"/>
          </w:tcPr>
          <w:p w:rsidR="00B327E9" w:rsidRPr="00AB6D88" w:rsidRDefault="005B7E9D" w:rsidP="006C5707">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F354A">
                  <w:rPr>
                    <w:rFonts w:cs="Arial"/>
                  </w:rPr>
                  <w:t>Other Financial service providers</w:t>
                </w:r>
              </w:sdtContent>
            </w:sdt>
          </w:p>
        </w:tc>
      </w:tr>
      <w:tr w:rsidR="00B327E9" w:rsidRPr="00AB6D88" w:rsidTr="006C5707">
        <w:tc>
          <w:tcPr>
            <w:tcW w:w="3929" w:type="dxa"/>
            <w:shd w:val="clear" w:color="auto" w:fill="auto"/>
          </w:tcPr>
          <w:p w:rsidR="00B327E9" w:rsidRPr="00550A1A" w:rsidRDefault="00B327E9" w:rsidP="006C5707">
            <w:pPr>
              <w:rPr>
                <w:rFonts w:cs="Arial"/>
                <w:sz w:val="22"/>
              </w:rPr>
            </w:pPr>
            <w:permStart w:id="958530644" w:edGrp="everyone" w:colFirst="1" w:colLast="1"/>
            <w:permEnd w:id="1622569500"/>
            <w:r w:rsidRPr="00550A1A">
              <w:rPr>
                <w:rFonts w:cs="Arial"/>
                <w:sz w:val="22"/>
              </w:rPr>
              <w:t>Are you representing an association?</w:t>
            </w:r>
          </w:p>
        </w:tc>
        <w:sdt>
          <w:sdtPr>
            <w:rPr>
              <w:rFonts w:cs="Arial"/>
            </w:rPr>
            <w:id w:val="-242871467"/>
          </w:sdtPr>
          <w:sdtEndPr/>
          <w:sdtContent>
            <w:tc>
              <w:tcPr>
                <w:tcW w:w="5595" w:type="dxa"/>
                <w:shd w:val="clear" w:color="auto" w:fill="auto"/>
              </w:tcPr>
              <w:p w:rsidR="00B327E9" w:rsidRPr="00AB6D88" w:rsidRDefault="00FF354A" w:rsidP="006C5707">
                <w:pPr>
                  <w:rPr>
                    <w:rFonts w:cs="Arial"/>
                  </w:rPr>
                </w:pPr>
                <w:r>
                  <w:rPr>
                    <w:rFonts w:ascii="MS Gothic" w:eastAsia="MS Gothic" w:hAnsi="MS Gothic" w:cs="Arial" w:hint="eastAsia"/>
                  </w:rPr>
                  <w:t>y</w:t>
                </w:r>
              </w:p>
            </w:tc>
          </w:sdtContent>
        </w:sdt>
      </w:tr>
      <w:tr w:rsidR="00B327E9" w:rsidRPr="00AB6D88" w:rsidTr="006C5707">
        <w:tc>
          <w:tcPr>
            <w:tcW w:w="3929" w:type="dxa"/>
            <w:shd w:val="clear" w:color="auto" w:fill="auto"/>
          </w:tcPr>
          <w:p w:rsidR="00B327E9" w:rsidRPr="00550A1A" w:rsidRDefault="00B327E9" w:rsidP="006C5707">
            <w:pPr>
              <w:rPr>
                <w:rFonts w:cs="Arial"/>
                <w:sz w:val="22"/>
              </w:rPr>
            </w:pPr>
            <w:permStart w:id="184618151" w:edGrp="everyone" w:colFirst="1" w:colLast="1"/>
            <w:permEnd w:id="958530644"/>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9445E4" w:rsidP="006C5707">
                <w:pPr>
                  <w:rPr>
                    <w:rFonts w:cs="Arial"/>
                  </w:rPr>
                </w:pPr>
                <w:r>
                  <w:rPr>
                    <w:rFonts w:cs="Arial"/>
                  </w:rPr>
                  <w:t>International</w:t>
                </w:r>
              </w:p>
            </w:tc>
          </w:sdtContent>
        </w:sdt>
      </w:tr>
      <w:permEnd w:id="184618151"/>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bookmarkStart w:id="1" w:name="_GoBack"/>
      <w:bookmarkEnd w:id="1"/>
    </w:p>
    <w:p w:rsidR="00B327E9" w:rsidRPr="001D47A5" w:rsidRDefault="00B327E9" w:rsidP="00B327E9">
      <w:pPr>
        <w:rPr>
          <w:rStyle w:val="IntenseEmphasis"/>
        </w:rPr>
      </w:pPr>
      <w:r w:rsidRPr="00550A1A">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5C4E0E">
        <w:t>SA</w:t>
      </w:r>
      <w:r w:rsidR="00357C60">
        <w:t>C</w:t>
      </w:r>
      <w:r w:rsidRPr="006F4535">
        <w:t>_1&gt;</w:t>
      </w:r>
    </w:p>
    <w:p w:rsidR="00436334" w:rsidRPr="00FF354A" w:rsidRDefault="00436334" w:rsidP="00436334">
      <w:pPr>
        <w:rPr>
          <w:b/>
          <w:color w:val="FF0000"/>
        </w:rPr>
      </w:pPr>
      <w:permStart w:id="49045063" w:edGrp="everyone"/>
      <w:r>
        <w:t xml:space="preserve">Representing a broad range of capital market interests including banks, asset managers, exchanges, central banks, law firms and other professional advisers, ICMA’s market conventions and standards have been the pillars of the international debt market for almost 50 years. </w:t>
      </w:r>
    </w:p>
    <w:p w:rsidR="00B70FEC" w:rsidRDefault="00B70FEC" w:rsidP="00436334"/>
    <w:p w:rsidR="00436334" w:rsidRDefault="00436334" w:rsidP="00436334">
      <w:r>
        <w:t xml:space="preserve">See: </w:t>
      </w:r>
      <w:hyperlink r:id="rId16" w:history="1">
        <w:r w:rsidRPr="00436334">
          <w:rPr>
            <w:rStyle w:val="Hyperlink"/>
          </w:rPr>
          <w:t>www.icmagroup.org</w:t>
        </w:r>
      </w:hyperlink>
      <w:r>
        <w:t xml:space="preserve">. </w:t>
      </w:r>
    </w:p>
    <w:p w:rsidR="00B70FEC" w:rsidRDefault="00B70FEC" w:rsidP="00436334"/>
    <w:p w:rsidR="00436334" w:rsidRDefault="00436334" w:rsidP="00436334">
      <w:r>
        <w:t>ICMA is responding in relation to its primary market constituency that lead-manages syndicated, vanilla debt securities issues throughout Europe on behalf of corporate borrowers. This constituency deliberates principally through ICMA’s Primary Market Practices Committee, which gathers the heads and senior members of the syndicate desks of 48 ICMA member banks, and ICMA’s Legal and Documentation Committee, which gathers the heads and senior members of the legal transaction management teams of 21 ICMA member banks, in each case active in lead-managing syndicated debt securities issues in Europe.</w:t>
      </w:r>
    </w:p>
    <w:p w:rsidR="00436334" w:rsidRDefault="00436334" w:rsidP="00436334"/>
    <w:p w:rsidR="00B327E9" w:rsidRDefault="009917A4" w:rsidP="00436334">
      <w:pPr>
        <w:rPr>
          <w:rFonts w:cs="Arial"/>
        </w:rPr>
      </w:pPr>
      <w:r>
        <w:t>ICMA welcomes the ESMA Consultation Paper (</w:t>
      </w:r>
      <w:r w:rsidRPr="009917A4">
        <w:t>ESMA31-62-650</w:t>
      </w:r>
      <w:r>
        <w:t>,</w:t>
      </w:r>
      <w:r w:rsidRPr="009917A4">
        <w:t xml:space="preserve"> </w:t>
      </w:r>
      <w:r>
        <w:t>dated</w:t>
      </w:r>
      <w:r w:rsidRPr="009917A4">
        <w:t xml:space="preserve"> 6 July 2017</w:t>
      </w:r>
      <w:r>
        <w:t>) on t</w:t>
      </w:r>
      <w:r w:rsidRPr="009917A4">
        <w:t xml:space="preserve">he measures specifying the criteria for the scrutiny of prospectuses, in particular the completeness, comprehensibility and consistency of the information contained therein, and the procedures for the approval of the prospectus (Article 20(11) of the </w:t>
      </w:r>
      <w:r>
        <w:t xml:space="preserve">Prospectus </w:t>
      </w:r>
      <w:r w:rsidRPr="009917A4">
        <w:t>Regulation).</w:t>
      </w:r>
      <w:r w:rsidR="000E7DCE">
        <w:t xml:space="preserve">  </w:t>
      </w:r>
      <w:r w:rsidR="000E7DCE">
        <w:rPr>
          <w:rFonts w:cs="Arial"/>
        </w:rPr>
        <w:t>ESMA has highlighted t</w:t>
      </w:r>
      <w:r w:rsidR="000E7DCE" w:rsidRPr="006C5707">
        <w:rPr>
          <w:rFonts w:cs="Arial"/>
        </w:rPr>
        <w:t>he general conditions which have to be met for the prospectus to be approved</w:t>
      </w:r>
      <w:r w:rsidR="000E7DCE">
        <w:rPr>
          <w:rFonts w:cs="Arial"/>
        </w:rPr>
        <w:t xml:space="preserve"> and outlining </w:t>
      </w:r>
      <w:r w:rsidR="000E7DCE" w:rsidRPr="006C5707">
        <w:rPr>
          <w:rFonts w:cs="Arial"/>
        </w:rPr>
        <w:t>criteria for the scrutiny of</w:t>
      </w:r>
      <w:r w:rsidR="000E7DCE">
        <w:rPr>
          <w:rFonts w:cs="Arial"/>
        </w:rPr>
        <w:t xml:space="preserve"> "the three Cs":  </w:t>
      </w:r>
      <w:r w:rsidR="000E7DCE" w:rsidRPr="006C5707">
        <w:rPr>
          <w:rFonts w:cs="Arial"/>
        </w:rPr>
        <w:t xml:space="preserve"> </w:t>
      </w:r>
      <w:r w:rsidR="000E7DCE">
        <w:rPr>
          <w:rFonts w:cs="Arial"/>
        </w:rPr>
        <w:t>completeness,</w:t>
      </w:r>
      <w:r w:rsidR="000E7DCE" w:rsidRPr="006C5707">
        <w:rPr>
          <w:rFonts w:cs="Arial"/>
        </w:rPr>
        <w:t xml:space="preserve"> comprehensibility and consistency of the prospectus</w:t>
      </w:r>
      <w:r w:rsidR="000E7DCE">
        <w:rPr>
          <w:rFonts w:cs="Arial"/>
        </w:rPr>
        <w:t>.</w:t>
      </w:r>
    </w:p>
    <w:p w:rsidR="00B51E8E" w:rsidRDefault="00B51E8E" w:rsidP="00B327E9">
      <w:pPr>
        <w:rPr>
          <w:rFonts w:cs="Arial"/>
        </w:rPr>
      </w:pPr>
    </w:p>
    <w:p w:rsidR="009917A4" w:rsidRDefault="00B30D61" w:rsidP="00B327E9">
      <w:r>
        <w:t>There are three points which we would like to draw out in this introduction:</w:t>
      </w:r>
    </w:p>
    <w:p w:rsidR="00B30D61" w:rsidRDefault="00B30D61" w:rsidP="00B327E9"/>
    <w:p w:rsidR="00B30D61" w:rsidRDefault="00B30D61" w:rsidP="00B327E9">
      <w:r>
        <w:t>A).  We have highlighted our concern regarding NCA's potentially assuming additional liabilities in our response to Question 1, below.</w:t>
      </w:r>
    </w:p>
    <w:p w:rsidR="00B51E8E" w:rsidRDefault="00B51E8E" w:rsidP="00B327E9">
      <w:pPr>
        <w:rPr>
          <w:b/>
          <w:color w:val="FF0000"/>
        </w:rPr>
      </w:pPr>
    </w:p>
    <w:p w:rsidR="00B30D61" w:rsidRPr="00B30D61" w:rsidRDefault="00B30D61" w:rsidP="00B30D61">
      <w:pPr>
        <w:rPr>
          <w:color w:val="000000" w:themeColor="text1"/>
        </w:rPr>
      </w:pPr>
      <w:r w:rsidRPr="00B30D61">
        <w:rPr>
          <w:color w:val="000000" w:themeColor="text1"/>
        </w:rPr>
        <w:t>B).</w:t>
      </w:r>
      <w:r>
        <w:rPr>
          <w:color w:val="000000" w:themeColor="text1"/>
        </w:rPr>
        <w:t xml:space="preserve">  Although not addressed specifically in the Questions</w:t>
      </w:r>
      <w:r w:rsidR="00436334">
        <w:rPr>
          <w:color w:val="000000" w:themeColor="text1"/>
        </w:rPr>
        <w:t xml:space="preserve"> in this Consultation</w:t>
      </w:r>
      <w:r>
        <w:rPr>
          <w:color w:val="000000" w:themeColor="text1"/>
        </w:rPr>
        <w:t xml:space="preserve">, </w:t>
      </w:r>
      <w:r w:rsidRPr="00F07035">
        <w:rPr>
          <w:color w:val="000000" w:themeColor="text1"/>
        </w:rPr>
        <w:t>there is a point to raise on paragraph</w:t>
      </w:r>
      <w:r w:rsidR="00F07035" w:rsidRPr="00F07035">
        <w:rPr>
          <w:color w:val="000000" w:themeColor="text1"/>
        </w:rPr>
        <w:t xml:space="preserve">s under heading </w:t>
      </w:r>
      <w:r w:rsidRPr="00F07035">
        <w:rPr>
          <w:color w:val="000000" w:themeColor="text1"/>
        </w:rPr>
        <w:t>3.1.6</w:t>
      </w:r>
      <w:r w:rsidRPr="00F07035">
        <w:rPr>
          <w:b/>
          <w:i/>
          <w:color w:val="000000" w:themeColor="text1"/>
        </w:rPr>
        <w:t xml:space="preserve"> </w:t>
      </w:r>
      <w:r w:rsidR="00F07035" w:rsidRPr="00F07035">
        <w:rPr>
          <w:i/>
          <w:color w:val="000000" w:themeColor="text1"/>
        </w:rPr>
        <w:t>(Proportionate</w:t>
      </w:r>
      <w:r w:rsidR="00F07035" w:rsidRPr="00F07035">
        <w:rPr>
          <w:color w:val="000000" w:themeColor="text1"/>
        </w:rPr>
        <w:t xml:space="preserve"> </w:t>
      </w:r>
      <w:r w:rsidR="00F07035" w:rsidRPr="00F07035">
        <w:rPr>
          <w:i/>
          <w:color w:val="000000" w:themeColor="text1"/>
        </w:rPr>
        <w:t>approach to prospectus scrutiny</w:t>
      </w:r>
      <w:r w:rsidR="00F07035">
        <w:rPr>
          <w:color w:val="000000" w:themeColor="text1"/>
        </w:rPr>
        <w:t>)</w:t>
      </w:r>
      <w:r>
        <w:rPr>
          <w:color w:val="000000" w:themeColor="text1"/>
        </w:rPr>
        <w:t xml:space="preserve">.  On one reading, it would </w:t>
      </w:r>
      <w:r w:rsidR="00F07035">
        <w:rPr>
          <w:color w:val="000000" w:themeColor="text1"/>
        </w:rPr>
        <w:t>that the appro</w:t>
      </w:r>
      <w:r w:rsidR="00DD0444">
        <w:rPr>
          <w:color w:val="000000" w:themeColor="text1"/>
        </w:rPr>
        <w:t>a</w:t>
      </w:r>
      <w:r w:rsidR="00F07035">
        <w:rPr>
          <w:color w:val="000000" w:themeColor="text1"/>
        </w:rPr>
        <w:t xml:space="preserve">ch suggested in paragraphs 60 </w:t>
      </w:r>
      <w:r w:rsidR="00527598">
        <w:rPr>
          <w:color w:val="000000" w:themeColor="text1"/>
        </w:rPr>
        <w:t>–</w:t>
      </w:r>
      <w:r w:rsidR="00F07035">
        <w:rPr>
          <w:color w:val="000000" w:themeColor="text1"/>
        </w:rPr>
        <w:t xml:space="preserve"> 64</w:t>
      </w:r>
      <w:r w:rsidR="00527598">
        <w:rPr>
          <w:color w:val="000000" w:themeColor="text1"/>
        </w:rPr>
        <w:t xml:space="preserve"> </w:t>
      </w:r>
      <w:r>
        <w:rPr>
          <w:color w:val="000000" w:themeColor="text1"/>
        </w:rPr>
        <w:t>appear</w:t>
      </w:r>
      <w:r w:rsidR="00527598">
        <w:rPr>
          <w:color w:val="000000" w:themeColor="text1"/>
        </w:rPr>
        <w:t>s</w:t>
      </w:r>
      <w:r>
        <w:rPr>
          <w:color w:val="000000" w:themeColor="text1"/>
        </w:rPr>
        <w:t xml:space="preserve"> to give individual </w:t>
      </w:r>
      <w:r w:rsidRPr="00B30D61">
        <w:rPr>
          <w:color w:val="000000" w:themeColor="text1"/>
        </w:rPr>
        <w:t xml:space="preserve">NCAs the flexibility </w:t>
      </w:r>
      <w:r>
        <w:rPr>
          <w:color w:val="000000" w:themeColor="text1"/>
        </w:rPr>
        <w:t xml:space="preserve">effectively </w:t>
      </w:r>
      <w:r w:rsidRPr="00B30D61">
        <w:rPr>
          <w:color w:val="000000" w:themeColor="text1"/>
        </w:rPr>
        <w:t xml:space="preserve">to 'gold plate' the Prospectus Regulation </w:t>
      </w:r>
      <w:r>
        <w:rPr>
          <w:color w:val="000000" w:themeColor="text1"/>
        </w:rPr>
        <w:t xml:space="preserve">by requesting additional disclosure items which are not in the Annexes.  This </w:t>
      </w:r>
      <w:r w:rsidRPr="00B30D61">
        <w:rPr>
          <w:color w:val="000000" w:themeColor="text1"/>
        </w:rPr>
        <w:t>would appear to:</w:t>
      </w:r>
      <w:r>
        <w:rPr>
          <w:color w:val="000000" w:themeColor="text1"/>
        </w:rPr>
        <w:t xml:space="preserve">  </w:t>
      </w:r>
      <w:r w:rsidRPr="00B30D61">
        <w:rPr>
          <w:color w:val="000000" w:themeColor="text1"/>
        </w:rPr>
        <w:t xml:space="preserve">(i) run counter to the aims of the CMU; </w:t>
      </w:r>
    </w:p>
    <w:p w:rsidR="00B30D61" w:rsidRDefault="00B30D61" w:rsidP="00B30D61">
      <w:pPr>
        <w:rPr>
          <w:color w:val="000000" w:themeColor="text1"/>
        </w:rPr>
      </w:pPr>
      <w:r w:rsidRPr="00B30D61">
        <w:rPr>
          <w:color w:val="000000" w:themeColor="text1"/>
        </w:rPr>
        <w:t>(ii) further propagate the complaints about the operation of the current PD that it allows an unlevel playing field to be created; and</w:t>
      </w:r>
      <w:r>
        <w:rPr>
          <w:color w:val="000000" w:themeColor="text1"/>
        </w:rPr>
        <w:t xml:space="preserve"> </w:t>
      </w:r>
      <w:r w:rsidRPr="00B30D61">
        <w:rPr>
          <w:color w:val="000000" w:themeColor="text1"/>
        </w:rPr>
        <w:t xml:space="preserve">(iii) allow for NCAs to 'compete for business' and unfairly punishes those who may not be </w:t>
      </w:r>
      <w:proofErr w:type="gramStart"/>
      <w:r w:rsidRPr="00B30D61">
        <w:rPr>
          <w:color w:val="000000" w:themeColor="text1"/>
        </w:rPr>
        <w:t>in a position to</w:t>
      </w:r>
      <w:proofErr w:type="gramEnd"/>
      <w:r w:rsidRPr="00B30D61">
        <w:rPr>
          <w:color w:val="000000" w:themeColor="text1"/>
        </w:rPr>
        <w:t xml:space="preserve"> choose a more favourable home member state.  </w:t>
      </w:r>
    </w:p>
    <w:p w:rsidR="00B30D61" w:rsidRPr="00B30D61" w:rsidRDefault="00B30D61" w:rsidP="00B327E9">
      <w:pPr>
        <w:rPr>
          <w:color w:val="000000" w:themeColor="text1"/>
        </w:rPr>
      </w:pPr>
    </w:p>
    <w:p w:rsidR="00B51E8E" w:rsidRPr="00B51E8E" w:rsidRDefault="00B30D61" w:rsidP="00B327E9">
      <w:pPr>
        <w:rPr>
          <w:color w:val="000000" w:themeColor="text1"/>
        </w:rPr>
      </w:pPr>
      <w:r>
        <w:rPr>
          <w:color w:val="000000" w:themeColor="text1"/>
        </w:rPr>
        <w:t xml:space="preserve">C).  </w:t>
      </w:r>
      <w:r w:rsidR="00B70FEC" w:rsidRPr="00B70FEC">
        <w:rPr>
          <w:color w:val="000000" w:themeColor="text1"/>
        </w:rPr>
        <w:t xml:space="preserve">Finally, ICMA notes that the European Commission's Omnibus Regulation proposal published on 20 September 2017 includes suggested changes to Prospectus Regulation (EU) 2017/1129, as well as to other Regulations.  ICMA has not addressed the proposal in this response but would be keen to engage in any discussions or consultations on the suggested changes.  For the record, ICMA's preliminary view is to question the proposed changes.  The Home Member State definition for third country issuers was debated at length during the Level 1 Consultation and </w:t>
      </w:r>
      <w:proofErr w:type="spellStart"/>
      <w:r w:rsidR="00B70FEC" w:rsidRPr="00B70FEC">
        <w:rPr>
          <w:color w:val="000000" w:themeColor="text1"/>
        </w:rPr>
        <w:t>Trilogue</w:t>
      </w:r>
      <w:proofErr w:type="spellEnd"/>
      <w:r w:rsidR="00B70FEC" w:rsidRPr="00B70FEC">
        <w:rPr>
          <w:color w:val="000000" w:themeColor="text1"/>
        </w:rPr>
        <w:t xml:space="preserve"> and a decision was made to retain the status quo.  The suggested rationale for centralising approvals does not appear to be borne out by our experience and we query how any appeals</w:t>
      </w:r>
      <w:r w:rsidR="001F2AD2">
        <w:rPr>
          <w:color w:val="000000" w:themeColor="text1"/>
        </w:rPr>
        <w:t xml:space="preserve"> process from ESMA might work.</w:t>
      </w:r>
    </w:p>
    <w:permEnd w:id="49045063"/>
    <w:p w:rsidR="00B327E9" w:rsidRPr="00BF28DA" w:rsidRDefault="00B327E9" w:rsidP="00B327E9">
      <w:r w:rsidRPr="00BF28DA">
        <w:lastRenderedPageBreak/>
        <w:t>&lt;ESMA_COMMENT_</w:t>
      </w:r>
      <w:r w:rsidR="005C4E0E">
        <w:rPr>
          <w:rFonts w:cs="Arial"/>
        </w:rPr>
        <w:t>S</w:t>
      </w:r>
      <w:r w:rsidR="00357C60">
        <w:rPr>
          <w:rFonts w:cs="Arial"/>
        </w:rPr>
        <w:t>AC</w:t>
      </w:r>
      <w:r w:rsidRPr="00BF28DA">
        <w:t>_1&gt;</w:t>
      </w:r>
    </w:p>
    <w:p w:rsidR="002E7113" w:rsidRDefault="002E7113" w:rsidP="002E7113">
      <w:pPr>
        <w:pStyle w:val="Heading1"/>
        <w:numPr>
          <w:ilvl w:val="0"/>
          <w:numId w:val="0"/>
        </w:numPr>
      </w:pPr>
    </w:p>
    <w:p w:rsidR="00F31E57" w:rsidRPr="00BF28DA" w:rsidRDefault="00F31E57" w:rsidP="00D34282"/>
    <w:p w:rsidR="005C4E0E" w:rsidRPr="00282DFB" w:rsidRDefault="00F31E57" w:rsidP="005C4E0E">
      <w:pPr>
        <w:pStyle w:val="Questionstyle"/>
        <w:numPr>
          <w:ilvl w:val="0"/>
          <w:numId w:val="43"/>
        </w:numPr>
        <w:rPr>
          <w:rFonts w:ascii="Arial" w:hAnsi="Arial" w:cs="Arial"/>
          <w:szCs w:val="22"/>
        </w:rPr>
      </w:pPr>
      <w:r w:rsidRPr="0075015C">
        <w:br w:type="page"/>
      </w:r>
      <w:r w:rsidR="005C4E0E">
        <w:lastRenderedPageBreak/>
        <w:t xml:space="preserve">: </w:t>
      </w:r>
      <w:r w:rsidR="005C4E0E" w:rsidRPr="00282DFB">
        <w:rPr>
          <w:rFonts w:ascii="Arial" w:hAnsi="Arial" w:cs="Arial"/>
        </w:rPr>
        <w:t>Do you agree with the criteria for determining whether a prospectus is complete (Article A(1))? Do you consider that additional completeness criteria are necessary?</w:t>
      </w:r>
    </w:p>
    <w:p w:rsidR="005C4E0E" w:rsidRDefault="005C4E0E" w:rsidP="005C4E0E">
      <w:pPr>
        <w:rPr>
          <w:rFonts w:cs="Arial"/>
        </w:rPr>
      </w:pPr>
      <w:r>
        <w:rPr>
          <w:rFonts w:cs="Arial"/>
        </w:rPr>
        <w:t>&lt;ESMA_QUESTION_SAC_1&gt;</w:t>
      </w:r>
    </w:p>
    <w:p w:rsidR="000D7423" w:rsidRDefault="000D7423" w:rsidP="000D7423">
      <w:pPr>
        <w:rPr>
          <w:rFonts w:cs="Arial"/>
        </w:rPr>
      </w:pPr>
      <w:permStart w:id="2025410694" w:edGrp="everyone"/>
      <w:r>
        <w:rPr>
          <w:rFonts w:cs="Arial"/>
        </w:rPr>
        <w:t xml:space="preserve">We note that item </w:t>
      </w:r>
      <w:proofErr w:type="gramStart"/>
      <w:r>
        <w:rPr>
          <w:rFonts w:cs="Arial"/>
        </w:rPr>
        <w:t>A(</w:t>
      </w:r>
      <w:proofErr w:type="gramEnd"/>
      <w:r>
        <w:rPr>
          <w:rFonts w:cs="Arial"/>
        </w:rPr>
        <w:t>1) requires, in summary, that:</w:t>
      </w:r>
    </w:p>
    <w:p w:rsidR="000D7423" w:rsidRDefault="000D7423" w:rsidP="000D7423">
      <w:pPr>
        <w:pStyle w:val="ListParagraph"/>
        <w:numPr>
          <w:ilvl w:val="0"/>
          <w:numId w:val="41"/>
        </w:numPr>
        <w:rPr>
          <w:rFonts w:cs="Arial"/>
        </w:rPr>
      </w:pPr>
      <w:r w:rsidRPr="00F3264E">
        <w:rPr>
          <w:rFonts w:cs="Arial"/>
        </w:rPr>
        <w:t>the correct schedules and building blocks have been used for drawing up the prospectus (including, assessing the nature of the issuer, the securities and/or the offer/admission)</w:t>
      </w:r>
      <w:r>
        <w:rPr>
          <w:rFonts w:cs="Arial"/>
        </w:rPr>
        <w:t>; and</w:t>
      </w:r>
    </w:p>
    <w:p w:rsidR="000D7423" w:rsidRPr="00F3264E" w:rsidRDefault="000D7423" w:rsidP="000D7423">
      <w:pPr>
        <w:pStyle w:val="ListParagraph"/>
        <w:numPr>
          <w:ilvl w:val="0"/>
          <w:numId w:val="41"/>
        </w:numPr>
        <w:rPr>
          <w:rFonts w:cs="Arial"/>
        </w:rPr>
      </w:pPr>
      <w:r w:rsidRPr="00F3264E">
        <w:rPr>
          <w:rFonts w:cs="Arial"/>
        </w:rPr>
        <w:t xml:space="preserve"> the prospectus reasonably addresses all the information items of the applicable disclosure schedules.</w:t>
      </w:r>
    </w:p>
    <w:p w:rsidR="000D7423" w:rsidRDefault="000D7423" w:rsidP="000E7DCE">
      <w:pPr>
        <w:rPr>
          <w:rFonts w:cs="Arial"/>
        </w:rPr>
      </w:pPr>
    </w:p>
    <w:p w:rsidR="004027C9" w:rsidRDefault="00F3264E" w:rsidP="000E7DCE">
      <w:pPr>
        <w:rPr>
          <w:rFonts w:cs="Arial"/>
        </w:rPr>
      </w:pPr>
      <w:r>
        <w:rPr>
          <w:rFonts w:cs="Arial"/>
        </w:rPr>
        <w:t xml:space="preserve">ICMA </w:t>
      </w:r>
      <w:r w:rsidR="004027C9">
        <w:rPr>
          <w:rFonts w:cs="Arial"/>
        </w:rPr>
        <w:t xml:space="preserve">agrees with the clear acknowledgement that the criteria for determining whether a prospectus is complete will include </w:t>
      </w:r>
      <w:r w:rsidR="004027C9" w:rsidRPr="004027C9">
        <w:rPr>
          <w:rFonts w:cs="Arial"/>
        </w:rPr>
        <w:t>assessing the nature of the issuer, the securities and/or the offer/admission</w:t>
      </w:r>
      <w:r w:rsidR="000B3AB9">
        <w:rPr>
          <w:rFonts w:cs="Arial"/>
        </w:rPr>
        <w:t xml:space="preserve">.  This reflects the variable nature of securities and the </w:t>
      </w:r>
      <w:r w:rsidR="00761156">
        <w:rPr>
          <w:rFonts w:cs="Arial"/>
        </w:rPr>
        <w:t xml:space="preserve">variable </w:t>
      </w:r>
      <w:r w:rsidR="000B3AB9">
        <w:rPr>
          <w:rFonts w:cs="Arial"/>
        </w:rPr>
        <w:t>intended audiences for differ</w:t>
      </w:r>
      <w:r w:rsidR="00761156">
        <w:rPr>
          <w:rFonts w:cs="Arial"/>
        </w:rPr>
        <w:t>en</w:t>
      </w:r>
      <w:r w:rsidR="000B3AB9">
        <w:rPr>
          <w:rFonts w:cs="Arial"/>
        </w:rPr>
        <w:t>t prospectuses</w:t>
      </w:r>
      <w:r w:rsidR="00761156">
        <w:rPr>
          <w:rFonts w:cs="Arial"/>
        </w:rPr>
        <w:t xml:space="preserve"> and is to be welcomed</w:t>
      </w:r>
      <w:r w:rsidR="000B3AB9">
        <w:rPr>
          <w:rFonts w:cs="Arial"/>
        </w:rPr>
        <w:t>.</w:t>
      </w:r>
    </w:p>
    <w:p w:rsidR="004027C9" w:rsidRDefault="004027C9" w:rsidP="000E7DCE">
      <w:pPr>
        <w:rPr>
          <w:rFonts w:cs="Arial"/>
        </w:rPr>
      </w:pPr>
    </w:p>
    <w:p w:rsidR="00761156" w:rsidRDefault="006D7280" w:rsidP="000E7DCE">
      <w:pPr>
        <w:rPr>
          <w:rFonts w:cs="Arial"/>
        </w:rPr>
      </w:pPr>
      <w:r>
        <w:rPr>
          <w:rFonts w:cs="Arial"/>
        </w:rPr>
        <w:t xml:space="preserve">ICMA's view </w:t>
      </w:r>
      <w:r w:rsidR="000B3AB9">
        <w:rPr>
          <w:rFonts w:cs="Arial"/>
        </w:rPr>
        <w:t xml:space="preserve">is </w:t>
      </w:r>
      <w:r>
        <w:rPr>
          <w:rFonts w:cs="Arial"/>
        </w:rPr>
        <w:t xml:space="preserve">it might be sufficient for the criteria simply to include the statement that </w:t>
      </w:r>
      <w:r w:rsidR="000B3AB9">
        <w:rPr>
          <w:rFonts w:cs="Arial"/>
        </w:rPr>
        <w:t>"</w:t>
      </w:r>
      <w:r w:rsidRPr="000B3AB9">
        <w:rPr>
          <w:rFonts w:cs="Arial"/>
          <w:i/>
        </w:rPr>
        <w:t>the correct schedules and building blocks have been used for drawing up the prospectus</w:t>
      </w:r>
      <w:r w:rsidR="000B3AB9">
        <w:rPr>
          <w:rFonts w:cs="Arial"/>
        </w:rPr>
        <w:t xml:space="preserve">".  The additional </w:t>
      </w:r>
      <w:r w:rsidR="004027C9">
        <w:rPr>
          <w:rFonts w:cs="Arial"/>
        </w:rPr>
        <w:t>limb that "</w:t>
      </w:r>
      <w:r w:rsidR="004027C9" w:rsidRPr="004027C9">
        <w:rPr>
          <w:rFonts w:cs="Arial"/>
          <w:i/>
        </w:rPr>
        <w:t>the prospectus reasonably addresses all the information</w:t>
      </w:r>
      <w:r w:rsidR="004027C9">
        <w:rPr>
          <w:rFonts w:cs="Arial"/>
          <w:i/>
        </w:rPr>
        <w:t xml:space="preserve"> items </w:t>
      </w:r>
      <w:r w:rsidR="004027C9" w:rsidRPr="004027C9">
        <w:rPr>
          <w:rFonts w:cs="Arial"/>
          <w:i/>
        </w:rPr>
        <w:t>of the applicable disclosure schedules</w:t>
      </w:r>
      <w:r w:rsidR="004027C9">
        <w:rPr>
          <w:rFonts w:cs="Arial"/>
        </w:rPr>
        <w:t>"</w:t>
      </w:r>
      <w:r w:rsidR="000B3AB9">
        <w:rPr>
          <w:rFonts w:cs="Arial"/>
        </w:rPr>
        <w:t xml:space="preserve"> seems extraneous</w:t>
      </w:r>
      <w:r w:rsidR="00761156">
        <w:rPr>
          <w:rFonts w:cs="Arial"/>
        </w:rPr>
        <w:t>.</w:t>
      </w:r>
      <w:r w:rsidR="000B3AB9">
        <w:rPr>
          <w:rFonts w:cs="Arial"/>
        </w:rPr>
        <w:t xml:space="preserve"> </w:t>
      </w:r>
      <w:r w:rsidR="00761156">
        <w:rPr>
          <w:rFonts w:cs="Arial"/>
        </w:rPr>
        <w:t xml:space="preserve"> Instead, we would suggest that the </w:t>
      </w:r>
      <w:r w:rsidR="000D7423">
        <w:rPr>
          <w:rFonts w:cs="Arial"/>
        </w:rPr>
        <w:t>national competent authorities (NCAs)</w:t>
      </w:r>
      <w:r w:rsidR="00761156">
        <w:rPr>
          <w:rFonts w:cs="Arial"/>
        </w:rPr>
        <w:t xml:space="preserve"> should simply rely on </w:t>
      </w:r>
      <w:r w:rsidR="000B3AB9">
        <w:rPr>
          <w:rFonts w:cs="Arial"/>
        </w:rPr>
        <w:t xml:space="preserve">the obligation imposed by </w:t>
      </w:r>
      <w:r w:rsidR="00761156">
        <w:rPr>
          <w:rFonts w:cs="Arial"/>
        </w:rPr>
        <w:t xml:space="preserve">Article 6 of </w:t>
      </w:r>
      <w:r w:rsidR="000B3AB9">
        <w:rPr>
          <w:rFonts w:cs="Arial"/>
        </w:rPr>
        <w:t xml:space="preserve">the Prospectus Regulation </w:t>
      </w:r>
      <w:r w:rsidR="000B3AB9" w:rsidRPr="000B3AB9">
        <w:rPr>
          <w:rFonts w:cs="Arial"/>
        </w:rPr>
        <w:t>(EU) 2017/</w:t>
      </w:r>
      <w:proofErr w:type="gramStart"/>
      <w:r w:rsidR="000B3AB9" w:rsidRPr="000B3AB9">
        <w:rPr>
          <w:rFonts w:cs="Arial"/>
        </w:rPr>
        <w:t xml:space="preserve">1129 </w:t>
      </w:r>
      <w:r w:rsidR="000B3AB9">
        <w:rPr>
          <w:rFonts w:cs="Arial"/>
        </w:rPr>
        <w:t xml:space="preserve"> </w:t>
      </w:r>
      <w:r w:rsidR="00761156">
        <w:rPr>
          <w:rFonts w:cs="Arial"/>
        </w:rPr>
        <w:t>on</w:t>
      </w:r>
      <w:proofErr w:type="gramEnd"/>
      <w:r w:rsidR="00761156">
        <w:rPr>
          <w:rFonts w:cs="Arial"/>
        </w:rPr>
        <w:t xml:space="preserve"> anyone producing a prospectus that it "</w:t>
      </w:r>
      <w:r w:rsidR="00761156" w:rsidRPr="00761156">
        <w:rPr>
          <w:rFonts w:cs="Arial"/>
          <w:i/>
        </w:rPr>
        <w:t>shall contain the necessary information which is material to an investor for making an informed assessment</w:t>
      </w:r>
      <w:r w:rsidR="00761156">
        <w:rPr>
          <w:rFonts w:cs="Arial"/>
        </w:rPr>
        <w:t>".</w:t>
      </w:r>
    </w:p>
    <w:p w:rsidR="000D7423" w:rsidRDefault="000D7423" w:rsidP="000E7DCE">
      <w:pPr>
        <w:rPr>
          <w:rFonts w:cs="Arial"/>
        </w:rPr>
      </w:pPr>
    </w:p>
    <w:p w:rsidR="00BF2C1A" w:rsidRDefault="000D7423" w:rsidP="005C4E0E">
      <w:pPr>
        <w:rPr>
          <w:rFonts w:cs="Arial"/>
        </w:rPr>
      </w:pPr>
      <w:r>
        <w:rPr>
          <w:rFonts w:cs="Arial"/>
        </w:rPr>
        <w:t>Moreover, t</w:t>
      </w:r>
      <w:r w:rsidR="006D7280">
        <w:rPr>
          <w:rFonts w:cs="Arial"/>
        </w:rPr>
        <w:t>he requi</w:t>
      </w:r>
      <w:r w:rsidR="000B3AB9">
        <w:rPr>
          <w:rFonts w:cs="Arial"/>
        </w:rPr>
        <w:t>r</w:t>
      </w:r>
      <w:r w:rsidR="006D7280">
        <w:rPr>
          <w:rFonts w:cs="Arial"/>
        </w:rPr>
        <w:t>em</w:t>
      </w:r>
      <w:r w:rsidR="000B3AB9">
        <w:rPr>
          <w:rFonts w:cs="Arial"/>
        </w:rPr>
        <w:t>e</w:t>
      </w:r>
      <w:r w:rsidR="006D7280">
        <w:rPr>
          <w:rFonts w:cs="Arial"/>
        </w:rPr>
        <w:t>n</w:t>
      </w:r>
      <w:r w:rsidR="000B3AB9">
        <w:rPr>
          <w:rFonts w:cs="Arial"/>
        </w:rPr>
        <w:t>t</w:t>
      </w:r>
      <w:r w:rsidR="006D7280">
        <w:rPr>
          <w:rFonts w:cs="Arial"/>
        </w:rPr>
        <w:t xml:space="preserve"> to determine that the p</w:t>
      </w:r>
      <w:r w:rsidR="000B3AB9">
        <w:rPr>
          <w:rFonts w:cs="Arial"/>
        </w:rPr>
        <w:t>r</w:t>
      </w:r>
      <w:r w:rsidR="006D7280">
        <w:rPr>
          <w:rFonts w:cs="Arial"/>
        </w:rPr>
        <w:t>ospe</w:t>
      </w:r>
      <w:r w:rsidR="000B3AB9">
        <w:rPr>
          <w:rFonts w:cs="Arial"/>
        </w:rPr>
        <w:t>c</w:t>
      </w:r>
      <w:r w:rsidR="006D7280">
        <w:rPr>
          <w:rFonts w:cs="Arial"/>
        </w:rPr>
        <w:t>tus "</w:t>
      </w:r>
      <w:r w:rsidR="006D7280" w:rsidRPr="006D7280">
        <w:rPr>
          <w:rFonts w:cs="Arial"/>
          <w:i/>
        </w:rPr>
        <w:t>reasonably addresses</w:t>
      </w:r>
      <w:r w:rsidR="006D7280">
        <w:rPr>
          <w:rFonts w:cs="Arial"/>
        </w:rPr>
        <w:t>"</w:t>
      </w:r>
      <w:r w:rsidR="000B3AB9">
        <w:rPr>
          <w:rFonts w:cs="Arial"/>
        </w:rPr>
        <w:t xml:space="preserve"> certain items </w:t>
      </w:r>
      <w:r w:rsidR="006D7280">
        <w:rPr>
          <w:rFonts w:cs="Arial"/>
        </w:rPr>
        <w:t xml:space="preserve">may imply </w:t>
      </w:r>
      <w:r w:rsidR="004027C9">
        <w:rPr>
          <w:rFonts w:cs="Arial"/>
        </w:rPr>
        <w:t>a judgement</w:t>
      </w:r>
      <w:r>
        <w:rPr>
          <w:rFonts w:cs="Arial"/>
        </w:rPr>
        <w:t xml:space="preserve"> </w:t>
      </w:r>
      <w:r w:rsidR="0072393B">
        <w:rPr>
          <w:rFonts w:cs="Arial"/>
        </w:rPr>
        <w:t xml:space="preserve">by the NCA </w:t>
      </w:r>
      <w:r>
        <w:rPr>
          <w:rFonts w:cs="Arial"/>
        </w:rPr>
        <w:t xml:space="preserve">on the </w:t>
      </w:r>
      <w:r w:rsidR="004D3F9D">
        <w:rPr>
          <w:rFonts w:cs="Arial"/>
        </w:rPr>
        <w:t xml:space="preserve">level of </w:t>
      </w:r>
      <w:r>
        <w:rPr>
          <w:rFonts w:cs="Arial"/>
        </w:rPr>
        <w:t>disclosure</w:t>
      </w:r>
      <w:r w:rsidR="00B2156B">
        <w:rPr>
          <w:rFonts w:cs="Arial"/>
        </w:rPr>
        <w:t>.</w:t>
      </w:r>
      <w:r w:rsidR="00761156">
        <w:rPr>
          <w:rFonts w:cs="Arial"/>
        </w:rPr>
        <w:t xml:space="preserve"> </w:t>
      </w:r>
      <w:r w:rsidR="00B2156B">
        <w:rPr>
          <w:rFonts w:cs="Arial"/>
        </w:rPr>
        <w:t xml:space="preserve">This is particularly so in light of the discussion in paragraphs 21 -  23 of the Consultation, which suggest that, whilst  NCAs have no obligation to look beyond the prospectus, they may, at their discretion, choose to undertake further diligence on the issuer and raise comments about other information outside the prospectus which might be relevant for inclusion. We would also suggest that, </w:t>
      </w:r>
      <w:r w:rsidR="00761156">
        <w:rPr>
          <w:rFonts w:cs="Arial"/>
        </w:rPr>
        <w:t xml:space="preserve">notwithstanding the fact that the </w:t>
      </w:r>
      <w:r w:rsidR="00B2156B">
        <w:rPr>
          <w:rFonts w:cs="Arial"/>
        </w:rPr>
        <w:t xml:space="preserve">draft </w:t>
      </w:r>
      <w:r w:rsidR="00761156">
        <w:rPr>
          <w:rFonts w:cs="Arial"/>
        </w:rPr>
        <w:t xml:space="preserve">NCA "disclaimer" </w:t>
      </w:r>
      <w:r w:rsidR="00B2156B">
        <w:rPr>
          <w:rFonts w:cs="Arial"/>
        </w:rPr>
        <w:t xml:space="preserve">contained </w:t>
      </w:r>
      <w:r w:rsidR="00761156">
        <w:rPr>
          <w:rFonts w:cs="Arial"/>
        </w:rPr>
        <w:t>in the parallel ESMA Consultation on prospectus content (ESMA31-62-532) states that the NCA approval does not constitute an endorsement of the issuer (</w:t>
      </w:r>
      <w:r w:rsidR="0072393B">
        <w:rPr>
          <w:rFonts w:cs="Arial"/>
        </w:rPr>
        <w:t xml:space="preserve">e.g. </w:t>
      </w:r>
      <w:r w:rsidR="00761156">
        <w:rPr>
          <w:rFonts w:cs="Arial"/>
        </w:rPr>
        <w:t>item 1.5 in the draft Share Annex at page 41 in Consultation ESMA31-62-532)</w:t>
      </w:r>
      <w:r w:rsidR="00B2156B">
        <w:rPr>
          <w:rFonts w:cs="Arial"/>
        </w:rPr>
        <w:t xml:space="preserve">, the suggestion that NCAs have any obligation to assess the completeness or appropriateness of </w:t>
      </w:r>
      <w:proofErr w:type="gramStart"/>
      <w:r w:rsidR="00B2156B">
        <w:rPr>
          <w:rFonts w:cs="Arial"/>
        </w:rPr>
        <w:t>an  issuer's</w:t>
      </w:r>
      <w:proofErr w:type="gramEnd"/>
      <w:r w:rsidR="00B2156B">
        <w:rPr>
          <w:rFonts w:cs="Arial"/>
        </w:rPr>
        <w:t xml:space="preserve"> disclosure should be avoided</w:t>
      </w:r>
      <w:r w:rsidR="00761156">
        <w:rPr>
          <w:rFonts w:cs="Arial"/>
        </w:rPr>
        <w:t>.</w:t>
      </w:r>
    </w:p>
    <w:p w:rsidR="00BF2C1A" w:rsidRDefault="00BF2C1A" w:rsidP="005C4E0E">
      <w:pPr>
        <w:rPr>
          <w:rFonts w:cs="Arial"/>
        </w:rPr>
      </w:pPr>
    </w:p>
    <w:p w:rsidR="00BF2C1A" w:rsidRDefault="00BF2C1A" w:rsidP="005C4E0E">
      <w:pPr>
        <w:rPr>
          <w:rFonts w:cs="Arial"/>
        </w:rPr>
      </w:pPr>
      <w:r>
        <w:rPr>
          <w:rFonts w:cs="Arial"/>
        </w:rPr>
        <w:t>ICMA would advise removal of the second limb, for the reasons stated above.  Should an adapted version remain, ICMA would suggest that the reference to "</w:t>
      </w:r>
      <w:r w:rsidRPr="00BF2C1A">
        <w:rPr>
          <w:rFonts w:cs="Arial"/>
          <w:i/>
        </w:rPr>
        <w:t>all information</w:t>
      </w:r>
      <w:r>
        <w:rPr>
          <w:rFonts w:cs="Arial"/>
        </w:rPr>
        <w:t xml:space="preserve">" should be modified and restricted only to items which are pertinent to the issuer and the issue.  Again, this might perhaps suggest a judgement call on the part of the NCA if the limb remains, even with such an amendment.  </w:t>
      </w:r>
    </w:p>
    <w:p w:rsidR="00BF2C1A" w:rsidRDefault="00BF2C1A" w:rsidP="005C4E0E">
      <w:pPr>
        <w:rPr>
          <w:rFonts w:cs="Arial"/>
        </w:rPr>
      </w:pPr>
    </w:p>
    <w:p w:rsidR="00BF2C1A" w:rsidRDefault="00BF2C1A" w:rsidP="005C4E0E">
      <w:pPr>
        <w:rPr>
          <w:rFonts w:cs="Arial"/>
        </w:rPr>
      </w:pPr>
      <w:r>
        <w:rPr>
          <w:rFonts w:cs="Arial"/>
        </w:rPr>
        <w:t>ICMA does not consider that any additional criteria are necessary.</w:t>
      </w:r>
    </w:p>
    <w:permEnd w:id="2025410694"/>
    <w:p w:rsidR="005C4E0E" w:rsidRDefault="005C4E0E" w:rsidP="005C4E0E">
      <w:pPr>
        <w:rPr>
          <w:rFonts w:cs="Arial"/>
        </w:rPr>
      </w:pPr>
      <w:r>
        <w:rPr>
          <w:rFonts w:cs="Arial"/>
        </w:rPr>
        <w:t>&lt;ESMA_QUESTION_SAC_1&gt;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that NCAs should apply different criteria when assessing the comprehensibility of retail and wholesale prospectuses? If yes, do you agree with the criteria proposed in Article A(2)? Please make an alternative proposal if you do not agree with these criteria.</w:t>
      </w:r>
    </w:p>
    <w:p w:rsidR="005C4E0E" w:rsidRDefault="005C4E0E" w:rsidP="005C4E0E">
      <w:pPr>
        <w:rPr>
          <w:rFonts w:cs="Arial"/>
        </w:rPr>
      </w:pPr>
      <w:r>
        <w:rPr>
          <w:rFonts w:cs="Arial"/>
        </w:rPr>
        <w:t>&lt;ESMA_QUESTION_SAC_2&gt;</w:t>
      </w:r>
    </w:p>
    <w:p w:rsidR="003E4084" w:rsidRPr="003E4084" w:rsidRDefault="003E4084" w:rsidP="003E4084">
      <w:pPr>
        <w:rPr>
          <w:rFonts w:cs="Arial"/>
        </w:rPr>
      </w:pPr>
      <w:permStart w:id="1226909586" w:edGrp="everyone"/>
      <w:r w:rsidRPr="003E4084">
        <w:rPr>
          <w:rFonts w:cs="Arial"/>
        </w:rPr>
        <w:t xml:space="preserve">We note that the criteria for scrutiny of the comprehensibility of prospectuses at </w:t>
      </w:r>
      <w:proofErr w:type="gramStart"/>
      <w:r w:rsidRPr="003E4084">
        <w:rPr>
          <w:rFonts w:cs="Arial"/>
        </w:rPr>
        <w:t>A(</w:t>
      </w:r>
      <w:proofErr w:type="gramEnd"/>
      <w:r w:rsidRPr="003E4084">
        <w:rPr>
          <w:rFonts w:cs="Arial"/>
        </w:rPr>
        <w:t>2), on page 29 and 30, include (briefly):</w:t>
      </w:r>
    </w:p>
    <w:p w:rsidR="003E4084" w:rsidRPr="003E4084" w:rsidRDefault="003E4084" w:rsidP="003E4084">
      <w:pPr>
        <w:pStyle w:val="ListParagraph"/>
        <w:numPr>
          <w:ilvl w:val="0"/>
          <w:numId w:val="45"/>
        </w:numPr>
        <w:rPr>
          <w:rFonts w:cs="Arial"/>
        </w:rPr>
      </w:pPr>
      <w:r w:rsidRPr="003E4084">
        <w:rPr>
          <w:rFonts w:cs="Arial"/>
        </w:rPr>
        <w:t>a clear and detailed table of contents;</w:t>
      </w:r>
    </w:p>
    <w:p w:rsidR="003E4084" w:rsidRPr="003E4084" w:rsidRDefault="003E4084" w:rsidP="003E4084">
      <w:pPr>
        <w:pStyle w:val="ListParagraph"/>
        <w:numPr>
          <w:ilvl w:val="0"/>
          <w:numId w:val="45"/>
        </w:numPr>
        <w:rPr>
          <w:rFonts w:cs="Arial"/>
        </w:rPr>
      </w:pPr>
      <w:r w:rsidRPr="003E4084">
        <w:rPr>
          <w:rFonts w:cs="Arial"/>
        </w:rPr>
        <w:t>easily readable font;</w:t>
      </w:r>
    </w:p>
    <w:p w:rsidR="003E4084" w:rsidRPr="003E4084" w:rsidRDefault="003E4084" w:rsidP="003E4084">
      <w:pPr>
        <w:pStyle w:val="ListParagraph"/>
        <w:numPr>
          <w:ilvl w:val="0"/>
          <w:numId w:val="45"/>
        </w:numPr>
        <w:rPr>
          <w:rFonts w:cs="Arial"/>
        </w:rPr>
      </w:pPr>
      <w:r w:rsidRPr="003E4084">
        <w:rPr>
          <w:rFonts w:cs="Arial"/>
        </w:rPr>
        <w:t>free from unnecessary reiterations and group related information together;</w:t>
      </w:r>
    </w:p>
    <w:p w:rsidR="003E4084" w:rsidRPr="003E4084" w:rsidRDefault="003E4084" w:rsidP="003E4084">
      <w:pPr>
        <w:pStyle w:val="ListParagraph"/>
        <w:numPr>
          <w:ilvl w:val="0"/>
          <w:numId w:val="45"/>
        </w:numPr>
        <w:rPr>
          <w:rFonts w:cs="Arial"/>
        </w:rPr>
      </w:pPr>
      <w:r w:rsidRPr="003E4084">
        <w:rPr>
          <w:rFonts w:cs="Arial"/>
        </w:rPr>
        <w:t>structured to help investors understand its contents;</w:t>
      </w:r>
    </w:p>
    <w:p w:rsidR="003E4084" w:rsidRPr="003E4084" w:rsidRDefault="003E4084" w:rsidP="003E4084">
      <w:pPr>
        <w:pStyle w:val="ListParagraph"/>
        <w:numPr>
          <w:ilvl w:val="0"/>
          <w:numId w:val="45"/>
        </w:numPr>
        <w:rPr>
          <w:rFonts w:cs="Arial"/>
        </w:rPr>
      </w:pPr>
      <w:r w:rsidRPr="003E4084">
        <w:rPr>
          <w:rFonts w:cs="Arial"/>
        </w:rPr>
        <w:lastRenderedPageBreak/>
        <w:t>explain mathematical formulas and clearly describe the product structure, where applicable; and</w:t>
      </w:r>
    </w:p>
    <w:p w:rsidR="003E4084" w:rsidRPr="003E4084" w:rsidRDefault="003E4084" w:rsidP="003E4084">
      <w:pPr>
        <w:pStyle w:val="ListParagraph"/>
        <w:numPr>
          <w:ilvl w:val="0"/>
          <w:numId w:val="45"/>
        </w:numPr>
        <w:rPr>
          <w:rFonts w:cs="Arial"/>
        </w:rPr>
      </w:pPr>
      <w:r w:rsidRPr="003E4084">
        <w:rPr>
          <w:rFonts w:cs="Arial"/>
        </w:rPr>
        <w:t>in the summary, avoid technical language and explain any technical terms.</w:t>
      </w:r>
    </w:p>
    <w:p w:rsidR="003E4084" w:rsidRDefault="003E4084" w:rsidP="003E4084">
      <w:pPr>
        <w:rPr>
          <w:rFonts w:cs="Arial"/>
        </w:rPr>
      </w:pPr>
    </w:p>
    <w:p w:rsidR="003E4084" w:rsidRPr="003E4084" w:rsidRDefault="003E4084" w:rsidP="003E4084">
      <w:pPr>
        <w:rPr>
          <w:rFonts w:cs="Arial"/>
        </w:rPr>
      </w:pPr>
      <w:r w:rsidRPr="003E4084">
        <w:rPr>
          <w:rFonts w:cs="Arial"/>
        </w:rPr>
        <w:t>We also note the additional criteria for prospectuses for securities not solely available to wholesale investors:</w:t>
      </w:r>
    </w:p>
    <w:p w:rsidR="003E4084" w:rsidRPr="003E4084" w:rsidRDefault="003E4084" w:rsidP="003E4084">
      <w:pPr>
        <w:pStyle w:val="ListParagraph"/>
        <w:numPr>
          <w:ilvl w:val="0"/>
          <w:numId w:val="46"/>
        </w:numPr>
        <w:rPr>
          <w:rFonts w:cs="Arial"/>
        </w:rPr>
      </w:pPr>
      <w:r w:rsidRPr="003E4084">
        <w:rPr>
          <w:rFonts w:cs="Arial"/>
        </w:rPr>
        <w:t>written in plain language; and</w:t>
      </w:r>
    </w:p>
    <w:p w:rsidR="003E4084" w:rsidRDefault="00F71E06" w:rsidP="003E4084">
      <w:pPr>
        <w:pStyle w:val="ListParagraph"/>
        <w:numPr>
          <w:ilvl w:val="0"/>
          <w:numId w:val="46"/>
        </w:numPr>
        <w:rPr>
          <w:rFonts w:cs="Arial"/>
        </w:rPr>
      </w:pPr>
      <w:r>
        <w:rPr>
          <w:rFonts w:cs="Arial"/>
        </w:rPr>
        <w:t xml:space="preserve">clearly </w:t>
      </w:r>
      <w:r w:rsidR="003E4084" w:rsidRPr="003E4084">
        <w:rPr>
          <w:rFonts w:cs="Arial"/>
        </w:rPr>
        <w:t>descri</w:t>
      </w:r>
      <w:r>
        <w:rPr>
          <w:rFonts w:cs="Arial"/>
        </w:rPr>
        <w:t>bes</w:t>
      </w:r>
      <w:r w:rsidR="003E4084" w:rsidRPr="003E4084">
        <w:rPr>
          <w:rFonts w:cs="Arial"/>
        </w:rPr>
        <w:t xml:space="preserve"> the issuer’s operations and principal activities and explain any trade or industry specific terminology used.</w:t>
      </w:r>
    </w:p>
    <w:p w:rsidR="00B2156B" w:rsidRPr="003E4084" w:rsidRDefault="00B2156B" w:rsidP="003E4084">
      <w:pPr>
        <w:pStyle w:val="ListParagraph"/>
        <w:numPr>
          <w:ilvl w:val="0"/>
          <w:numId w:val="46"/>
        </w:numPr>
        <w:rPr>
          <w:rFonts w:cs="Arial"/>
        </w:rPr>
      </w:pPr>
    </w:p>
    <w:p w:rsidR="000822D3" w:rsidRDefault="000822D3" w:rsidP="003E4084">
      <w:pPr>
        <w:rPr>
          <w:rFonts w:cs="Arial"/>
        </w:rPr>
      </w:pPr>
      <w:r>
        <w:rPr>
          <w:rFonts w:cs="Arial"/>
        </w:rPr>
        <w:t>ICMA  endorses the approach outlined in paragraph 38 that: "</w:t>
      </w:r>
      <w:r w:rsidRPr="000822D3">
        <w:rPr>
          <w:rFonts w:cs="Arial"/>
          <w:i/>
        </w:rPr>
        <w:t>ESMA is of the view that it should be taken into account who this reader will be, or in other words whether investors in the securities at hand will be of a retail or a wholesale nature. As wholesale investors will be more familiar with investing and therefore able to digest more complex disclosure, ESMA considers that where the securities will be restricted to such investors, a less stringent approach to comprehensibility can be applied. On the other hand, when securities will be available to both retail and wholesale investors, disclosure should be adapted to retail investors and more stringent comprehensibility criteria should apply</w:t>
      </w:r>
      <w:r>
        <w:rPr>
          <w:rFonts w:cs="Arial"/>
        </w:rPr>
        <w:t>…"</w:t>
      </w:r>
    </w:p>
    <w:p w:rsidR="000822D3" w:rsidRDefault="000822D3" w:rsidP="00F3264E">
      <w:pPr>
        <w:rPr>
          <w:rFonts w:cs="Arial"/>
        </w:rPr>
      </w:pPr>
    </w:p>
    <w:p w:rsidR="00B2156B" w:rsidRDefault="000822D3" w:rsidP="005C4E0E">
      <w:pPr>
        <w:rPr>
          <w:rFonts w:cs="Arial"/>
        </w:rPr>
      </w:pPr>
      <w:r>
        <w:rPr>
          <w:rFonts w:cs="Arial"/>
        </w:rPr>
        <w:t xml:space="preserve">Accordingly, </w:t>
      </w:r>
      <w:r w:rsidR="00F3264E" w:rsidRPr="00F3264E">
        <w:rPr>
          <w:rFonts w:cs="Arial"/>
        </w:rPr>
        <w:t xml:space="preserve">ICMA supports the fact that the draft Technical Advice in item </w:t>
      </w:r>
      <w:proofErr w:type="gramStart"/>
      <w:r w:rsidR="00F3264E" w:rsidRPr="00F3264E">
        <w:rPr>
          <w:rFonts w:cs="Arial"/>
        </w:rPr>
        <w:t>A(</w:t>
      </w:r>
      <w:proofErr w:type="gramEnd"/>
      <w:r w:rsidR="00F3264E" w:rsidRPr="00F3264E">
        <w:rPr>
          <w:rFonts w:cs="Arial"/>
        </w:rPr>
        <w:t>2), at page 29 of the Consultation Paper,  requires the competent authority to take into consideration "</w:t>
      </w:r>
      <w:r w:rsidR="00F3264E" w:rsidRPr="003E4084">
        <w:rPr>
          <w:rFonts w:cs="Arial"/>
          <w:i/>
        </w:rPr>
        <w:t>the nature and circumstances of the issuer, the type of securities and the type of investors targeted</w:t>
      </w:r>
      <w:r w:rsidR="00F3264E" w:rsidRPr="00F3264E">
        <w:rPr>
          <w:rFonts w:cs="Arial"/>
        </w:rPr>
        <w:t>"</w:t>
      </w:r>
      <w:r>
        <w:rPr>
          <w:rFonts w:cs="Arial"/>
        </w:rPr>
        <w:t xml:space="preserve"> and that</w:t>
      </w:r>
      <w:r w:rsidR="00F3264E" w:rsidRPr="00F3264E">
        <w:rPr>
          <w:rFonts w:cs="Arial"/>
        </w:rPr>
        <w:t xml:space="preserve"> a distinction is made for a "wholesale" prospectus, drawn up in accordance with the wholesale debt and derivatives registration document and securities note</w:t>
      </w:r>
      <w:r>
        <w:rPr>
          <w:rFonts w:cs="Arial"/>
        </w:rPr>
        <w:t>.</w:t>
      </w:r>
    </w:p>
    <w:p w:rsidR="00B2156B" w:rsidRDefault="00B2156B" w:rsidP="005C4E0E">
      <w:pPr>
        <w:rPr>
          <w:rFonts w:cs="Arial"/>
        </w:rPr>
      </w:pPr>
    </w:p>
    <w:p w:rsidR="00BF2C1A" w:rsidRDefault="003E4084" w:rsidP="005C4E0E">
      <w:pPr>
        <w:rPr>
          <w:rFonts w:cs="Arial"/>
        </w:rPr>
      </w:pPr>
      <w:r>
        <w:rPr>
          <w:rFonts w:cs="Arial"/>
        </w:rPr>
        <w:t>For the avoidance of doubt, we would trust that this means that there will be suitable discretion in assess</w:t>
      </w:r>
      <w:r w:rsidR="00BF2C1A">
        <w:rPr>
          <w:rFonts w:cs="Arial"/>
        </w:rPr>
        <w:t>ing the</w:t>
      </w:r>
      <w:r w:rsidR="00B2156B">
        <w:rPr>
          <w:rFonts w:cs="Arial"/>
        </w:rPr>
        <w:t xml:space="preserve"> </w:t>
      </w:r>
      <w:r w:rsidR="000F5C22">
        <w:rPr>
          <w:rFonts w:cs="Arial"/>
        </w:rPr>
        <w:t>use of more technical language a wholesale prospectus.</w:t>
      </w:r>
    </w:p>
    <w:p w:rsidR="00BF2C1A" w:rsidRDefault="00BF2C1A" w:rsidP="005C4E0E">
      <w:pPr>
        <w:rPr>
          <w:rFonts w:cs="Arial"/>
        </w:rPr>
      </w:pPr>
    </w:p>
    <w:p w:rsidR="000F5C22" w:rsidRDefault="00BF2C1A" w:rsidP="005C4E0E">
      <w:pPr>
        <w:rPr>
          <w:rFonts w:cs="Arial"/>
        </w:rPr>
      </w:pPr>
      <w:r>
        <w:rPr>
          <w:rFonts w:cs="Arial"/>
        </w:rPr>
        <w:t>It would also seem appropriate to adapt item A(2)(f) for wholesale issuance by removing the need to explain mathematical formulas in a wholesale prospectus.</w:t>
      </w:r>
    </w:p>
    <w:permEnd w:id="1226909586"/>
    <w:p w:rsidR="005C4E0E" w:rsidRDefault="005C4E0E" w:rsidP="005C4E0E">
      <w:pPr>
        <w:rPr>
          <w:rFonts w:cs="Arial"/>
        </w:rPr>
      </w:pPr>
      <w:r>
        <w:rPr>
          <w:rFonts w:cs="Arial"/>
        </w:rPr>
        <w:t>&lt;ESMA_QUESTION_SAC_2&gt;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with the criteria for assessing the consistency of a prospectus proposed in Article A(3)? Do you consider that additional consistency criteria are necessary?</w:t>
      </w:r>
    </w:p>
    <w:p w:rsidR="005C4E0E" w:rsidRDefault="005C4E0E" w:rsidP="005C4E0E">
      <w:pPr>
        <w:rPr>
          <w:rFonts w:cs="Arial"/>
        </w:rPr>
      </w:pPr>
      <w:r>
        <w:rPr>
          <w:rFonts w:cs="Arial"/>
        </w:rPr>
        <w:t>&lt;ESMA_QUESTION_SAC_3&gt;</w:t>
      </w:r>
    </w:p>
    <w:p w:rsidR="00F172F8" w:rsidRPr="00F172F8" w:rsidRDefault="00F172F8" w:rsidP="00F172F8">
      <w:pPr>
        <w:rPr>
          <w:rFonts w:cs="Arial"/>
        </w:rPr>
      </w:pPr>
      <w:permStart w:id="1417038184" w:edGrp="everyone"/>
      <w:r>
        <w:rPr>
          <w:rFonts w:cs="Arial"/>
        </w:rPr>
        <w:t>We note that the ESMA has identified</w:t>
      </w:r>
      <w:r w:rsidR="000F5C22">
        <w:rPr>
          <w:rFonts w:cs="Arial"/>
        </w:rPr>
        <w:t xml:space="preserve">, in summary, </w:t>
      </w:r>
      <w:r>
        <w:rPr>
          <w:rFonts w:cs="Arial"/>
        </w:rPr>
        <w:t xml:space="preserve">the following elements for the prospectus to be </w:t>
      </w:r>
      <w:r w:rsidRPr="00F172F8">
        <w:rPr>
          <w:rFonts w:cs="Arial"/>
        </w:rPr>
        <w:t>considered consistent:</w:t>
      </w:r>
    </w:p>
    <w:p w:rsidR="00F172F8" w:rsidRPr="00F172F8" w:rsidRDefault="00F172F8" w:rsidP="002F2A9A">
      <w:pPr>
        <w:pStyle w:val="ListParagraph"/>
        <w:numPr>
          <w:ilvl w:val="0"/>
          <w:numId w:val="40"/>
        </w:numPr>
        <w:rPr>
          <w:rFonts w:cs="Arial"/>
        </w:rPr>
      </w:pPr>
      <w:r>
        <w:rPr>
          <w:rFonts w:cs="Arial"/>
        </w:rPr>
        <w:t xml:space="preserve">Risks:  </w:t>
      </w:r>
      <w:r w:rsidRPr="00F172F8">
        <w:rPr>
          <w:rFonts w:cs="Arial"/>
        </w:rPr>
        <w:t>Material and specific risks in the prospectus also inclu</w:t>
      </w:r>
      <w:r>
        <w:rPr>
          <w:rFonts w:cs="Arial"/>
        </w:rPr>
        <w:t>ded in the risk factors section;</w:t>
      </w:r>
    </w:p>
    <w:p w:rsidR="00F172F8" w:rsidRPr="00F172F8" w:rsidRDefault="00F172F8" w:rsidP="002F2A9A">
      <w:pPr>
        <w:pStyle w:val="ListParagraph"/>
        <w:numPr>
          <w:ilvl w:val="0"/>
          <w:numId w:val="40"/>
        </w:numPr>
        <w:rPr>
          <w:rFonts w:cs="Arial"/>
        </w:rPr>
      </w:pPr>
      <w:r>
        <w:rPr>
          <w:rFonts w:cs="Arial"/>
        </w:rPr>
        <w:t xml:space="preserve">Summary:  </w:t>
      </w:r>
      <w:r w:rsidRPr="00F172F8">
        <w:rPr>
          <w:rFonts w:cs="Arial"/>
        </w:rPr>
        <w:t>aligned with information elsewhere in the pro</w:t>
      </w:r>
      <w:r>
        <w:rPr>
          <w:rFonts w:cs="Arial"/>
        </w:rPr>
        <w:t>spectus;</w:t>
      </w:r>
    </w:p>
    <w:p w:rsidR="00F172F8" w:rsidRPr="00F172F8" w:rsidRDefault="00F172F8" w:rsidP="002F2A9A">
      <w:pPr>
        <w:pStyle w:val="ListParagraph"/>
        <w:numPr>
          <w:ilvl w:val="0"/>
          <w:numId w:val="40"/>
        </w:numPr>
        <w:rPr>
          <w:rFonts w:cs="Arial"/>
        </w:rPr>
      </w:pPr>
      <w:r>
        <w:rPr>
          <w:rFonts w:cs="Arial"/>
        </w:rPr>
        <w:t>"U</w:t>
      </w:r>
      <w:r w:rsidRPr="00F172F8">
        <w:rPr>
          <w:rFonts w:cs="Arial"/>
        </w:rPr>
        <w:t>se of proceeds</w:t>
      </w:r>
      <w:r>
        <w:rPr>
          <w:rFonts w:cs="Arial"/>
        </w:rPr>
        <w:t xml:space="preserve">": </w:t>
      </w:r>
      <w:r w:rsidRPr="00F172F8">
        <w:rPr>
          <w:rFonts w:cs="Arial"/>
        </w:rPr>
        <w:t xml:space="preserve"> </w:t>
      </w:r>
      <w:r>
        <w:rPr>
          <w:rFonts w:cs="Arial"/>
        </w:rPr>
        <w:t xml:space="preserve">figures </w:t>
      </w:r>
      <w:r w:rsidRPr="00F172F8">
        <w:rPr>
          <w:rFonts w:cs="Arial"/>
        </w:rPr>
        <w:t>correspond to the amount of proceeds being raised</w:t>
      </w:r>
      <w:r>
        <w:rPr>
          <w:rFonts w:cs="Arial"/>
        </w:rPr>
        <w:t xml:space="preserve">; disclosure aligned to </w:t>
      </w:r>
      <w:r w:rsidRPr="00F172F8">
        <w:rPr>
          <w:rFonts w:cs="Arial"/>
        </w:rPr>
        <w:t>disclosure of the issuer’s strategy</w:t>
      </w:r>
      <w:r>
        <w:rPr>
          <w:rFonts w:cs="Arial"/>
        </w:rPr>
        <w:t>,</w:t>
      </w:r>
      <w:r w:rsidRPr="00F172F8">
        <w:rPr>
          <w:rFonts w:cs="Arial"/>
        </w:rPr>
        <w:t xml:space="preserve"> where applicable</w:t>
      </w:r>
      <w:r>
        <w:rPr>
          <w:rFonts w:cs="Arial"/>
        </w:rPr>
        <w:t>;</w:t>
      </w:r>
    </w:p>
    <w:p w:rsidR="00F3264E" w:rsidRDefault="00F172F8" w:rsidP="002F2A9A">
      <w:pPr>
        <w:pStyle w:val="ListParagraph"/>
        <w:numPr>
          <w:ilvl w:val="0"/>
          <w:numId w:val="40"/>
        </w:numPr>
        <w:rPr>
          <w:rFonts w:cs="Arial"/>
        </w:rPr>
      </w:pPr>
      <w:r w:rsidRPr="00F172F8">
        <w:rPr>
          <w:rFonts w:cs="Arial"/>
        </w:rPr>
        <w:t>Align description of the issuer in the OFR (where required); historical financial information; description of the issue</w:t>
      </w:r>
      <w:r w:rsidR="00F3264E">
        <w:rPr>
          <w:rFonts w:cs="Arial"/>
        </w:rPr>
        <w:t>r’s activity; and risk factors;</w:t>
      </w:r>
    </w:p>
    <w:p w:rsidR="00137138" w:rsidRDefault="00F172F8" w:rsidP="00F3264E">
      <w:pPr>
        <w:pStyle w:val="ListParagraph"/>
        <w:numPr>
          <w:ilvl w:val="0"/>
          <w:numId w:val="40"/>
        </w:numPr>
        <w:rPr>
          <w:rFonts w:cs="Arial"/>
        </w:rPr>
      </w:pPr>
      <w:r w:rsidRPr="00F172F8">
        <w:rPr>
          <w:rFonts w:cs="Arial"/>
        </w:rPr>
        <w:t xml:space="preserve">Align any working capital statement </w:t>
      </w:r>
      <w:r>
        <w:rPr>
          <w:rFonts w:cs="Arial"/>
        </w:rPr>
        <w:t>with:</w:t>
      </w:r>
      <w:r w:rsidRPr="00F172F8">
        <w:rPr>
          <w:rFonts w:cs="Arial"/>
        </w:rPr>
        <w:t xml:space="preserve"> risk factors</w:t>
      </w:r>
      <w:r w:rsidR="009E1BA5">
        <w:rPr>
          <w:rFonts w:cs="Arial"/>
        </w:rPr>
        <w:t>;</w:t>
      </w:r>
      <w:r w:rsidRPr="00F172F8">
        <w:rPr>
          <w:rFonts w:cs="Arial"/>
        </w:rPr>
        <w:t xml:space="preserve"> </w:t>
      </w:r>
      <w:r w:rsidR="009E1BA5">
        <w:rPr>
          <w:rFonts w:cs="Arial"/>
        </w:rPr>
        <w:t>auditor’s report;</w:t>
      </w:r>
      <w:r w:rsidRPr="00F172F8">
        <w:rPr>
          <w:rFonts w:cs="Arial"/>
        </w:rPr>
        <w:t xml:space="preserve"> use of proceeds and, where applicable, the issuer’s strategy and how the strategy will be funded</w:t>
      </w:r>
      <w:r w:rsidR="009E1BA5">
        <w:rPr>
          <w:rFonts w:cs="Arial"/>
        </w:rPr>
        <w:t>.</w:t>
      </w:r>
    </w:p>
    <w:p w:rsidR="000F5C22" w:rsidRDefault="000F5C22" w:rsidP="000F5C22">
      <w:pPr>
        <w:ind w:left="360"/>
        <w:rPr>
          <w:rFonts w:cs="Arial"/>
        </w:rPr>
      </w:pPr>
    </w:p>
    <w:p w:rsidR="00F71E06" w:rsidRDefault="000F5C22" w:rsidP="000F5C22">
      <w:pPr>
        <w:ind w:left="360"/>
        <w:rPr>
          <w:rFonts w:cs="Arial"/>
        </w:rPr>
      </w:pPr>
      <w:r>
        <w:rPr>
          <w:rFonts w:cs="Arial"/>
        </w:rPr>
        <w:t>I</w:t>
      </w:r>
      <w:r w:rsidRPr="000F5C22">
        <w:rPr>
          <w:rFonts w:cs="Arial"/>
        </w:rPr>
        <w:t>CMA agrees with these criteria.</w:t>
      </w:r>
      <w:r>
        <w:rPr>
          <w:rFonts w:cs="Arial"/>
        </w:rPr>
        <w:t xml:space="preserve"> </w:t>
      </w:r>
    </w:p>
    <w:p w:rsidR="00F71E06" w:rsidRDefault="00F71E06" w:rsidP="00F71E06">
      <w:pPr>
        <w:ind w:firstLine="360"/>
        <w:rPr>
          <w:rFonts w:cs="Arial"/>
        </w:rPr>
      </w:pPr>
    </w:p>
    <w:p w:rsidR="00F71E06" w:rsidRDefault="00F71E06" w:rsidP="00DE4681">
      <w:pPr>
        <w:ind w:firstLine="360"/>
        <w:rPr>
          <w:rFonts w:cs="Arial"/>
        </w:rPr>
      </w:pPr>
      <w:r>
        <w:rPr>
          <w:rFonts w:cs="Arial"/>
        </w:rPr>
        <w:t>ICMA does not consider that any additional criteria are necessary.</w:t>
      </w:r>
    </w:p>
    <w:permEnd w:id="1417038184"/>
    <w:p w:rsidR="005C4E0E" w:rsidRDefault="005C4E0E" w:rsidP="005C4E0E">
      <w:pPr>
        <w:rPr>
          <w:rFonts w:cs="Arial"/>
        </w:rPr>
      </w:pPr>
      <w:r>
        <w:rPr>
          <w:rFonts w:cs="Arial"/>
        </w:rPr>
        <w:t>&lt;ESMA_QUESTION_SAC_3&gt;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 xml:space="preserve">In relation to scrutiny and review of the URD where ESMA proposes that only minimal changes be made to the generally applicable scrutiny criteria, do you </w:t>
      </w:r>
      <w:r w:rsidRPr="00282DFB">
        <w:rPr>
          <w:rFonts w:ascii="Arial" w:hAnsi="Arial" w:cs="Arial"/>
        </w:rPr>
        <w:lastRenderedPageBreak/>
        <w:t>consider there to be any further aspects where scrutiny and review of the URD need to differ from the general criteria?</w:t>
      </w:r>
      <w:r>
        <w:t xml:space="preserve"> </w:t>
      </w:r>
    </w:p>
    <w:p w:rsidR="005C4E0E" w:rsidRDefault="005C4E0E" w:rsidP="005C4E0E">
      <w:pPr>
        <w:rPr>
          <w:rFonts w:cs="Arial"/>
        </w:rPr>
      </w:pPr>
      <w:r>
        <w:rPr>
          <w:rFonts w:cs="Arial"/>
        </w:rPr>
        <w:t>&lt;ESMA_QUESTION_SAC_4&gt;</w:t>
      </w:r>
    </w:p>
    <w:p w:rsidR="005C4E0E" w:rsidRDefault="00691A91" w:rsidP="005C4E0E">
      <w:pPr>
        <w:rPr>
          <w:rFonts w:cs="Arial"/>
        </w:rPr>
      </w:pPr>
      <w:permStart w:id="2139949919" w:edGrp="everyone"/>
      <w:r>
        <w:rPr>
          <w:rFonts w:cs="Arial"/>
        </w:rPr>
        <w:t>In principle</w:t>
      </w:r>
      <w:r w:rsidR="000F5C22">
        <w:rPr>
          <w:rFonts w:cs="Arial"/>
        </w:rPr>
        <w:t>, ICMA</w:t>
      </w:r>
      <w:r>
        <w:rPr>
          <w:rFonts w:cs="Arial"/>
        </w:rPr>
        <w:t xml:space="preserve"> agree</w:t>
      </w:r>
      <w:r w:rsidR="000F5C22">
        <w:rPr>
          <w:rFonts w:cs="Arial"/>
        </w:rPr>
        <w:t>s</w:t>
      </w:r>
      <w:r>
        <w:rPr>
          <w:rFonts w:cs="Arial"/>
        </w:rPr>
        <w:t xml:space="preserve"> with ESMA</w:t>
      </w:r>
      <w:r w:rsidR="00B2156B">
        <w:rPr>
          <w:rFonts w:cs="Arial"/>
        </w:rPr>
        <w:t>'s</w:t>
      </w:r>
      <w:r>
        <w:rPr>
          <w:rFonts w:cs="Arial"/>
        </w:rPr>
        <w:t xml:space="preserve"> suggested approach.</w:t>
      </w:r>
    </w:p>
    <w:permEnd w:id="2139949919"/>
    <w:p w:rsidR="005C4E0E" w:rsidRDefault="005C4E0E" w:rsidP="005C4E0E">
      <w:pPr>
        <w:rPr>
          <w:rFonts w:cs="Arial"/>
        </w:rPr>
      </w:pPr>
      <w:r>
        <w:rPr>
          <w:rFonts w:cs="Arial"/>
        </w:rPr>
        <w:t>&lt;ESMA_QUESTION_SAC_4&gt;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that it is not necessary to address partial/repeated reviews of a URD in the technical advice?</w:t>
      </w:r>
    </w:p>
    <w:p w:rsidR="005C4E0E" w:rsidRDefault="005C4E0E" w:rsidP="005C4E0E">
      <w:pPr>
        <w:rPr>
          <w:rFonts w:cs="Arial"/>
        </w:rPr>
      </w:pPr>
      <w:r>
        <w:rPr>
          <w:rFonts w:cs="Arial"/>
        </w:rPr>
        <w:t>&lt;ESMA_QUESTION_SAC_5&gt;</w:t>
      </w:r>
    </w:p>
    <w:p w:rsidR="005C4E0E" w:rsidRDefault="00691A91" w:rsidP="005C4E0E">
      <w:pPr>
        <w:rPr>
          <w:rFonts w:cs="Arial"/>
        </w:rPr>
      </w:pPr>
      <w:permStart w:id="1791304641" w:edGrp="everyone"/>
      <w:r>
        <w:rPr>
          <w:rFonts w:cs="Arial"/>
        </w:rPr>
        <w:t xml:space="preserve">In principle, </w:t>
      </w:r>
      <w:r w:rsidR="000F5C22">
        <w:rPr>
          <w:rFonts w:cs="Arial"/>
        </w:rPr>
        <w:t>ICMA</w:t>
      </w:r>
      <w:r>
        <w:rPr>
          <w:rFonts w:cs="Arial"/>
        </w:rPr>
        <w:t xml:space="preserve"> agree</w:t>
      </w:r>
      <w:r w:rsidR="000F5C22">
        <w:rPr>
          <w:rFonts w:cs="Arial"/>
        </w:rPr>
        <w:t>s</w:t>
      </w:r>
      <w:r>
        <w:rPr>
          <w:rFonts w:cs="Arial"/>
        </w:rPr>
        <w:t xml:space="preserve"> with ESMA</w:t>
      </w:r>
      <w:r w:rsidR="00B2156B">
        <w:rPr>
          <w:rFonts w:cs="Arial"/>
        </w:rPr>
        <w:t>'s</w:t>
      </w:r>
      <w:r>
        <w:rPr>
          <w:rFonts w:cs="Arial"/>
        </w:rPr>
        <w:t xml:space="preserve"> suggested approach.</w:t>
      </w:r>
    </w:p>
    <w:permEnd w:id="1791304641"/>
    <w:p w:rsidR="005C4E0E" w:rsidRDefault="005C4E0E" w:rsidP="005C4E0E">
      <w:pPr>
        <w:rPr>
          <w:rFonts w:cs="Arial"/>
        </w:rPr>
      </w:pPr>
      <w:r>
        <w:rPr>
          <w:rFonts w:cs="Arial"/>
        </w:rPr>
        <w:t>&lt;ESMA_QUESTION_SAC_5&gt;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In order to take a proportionate approach to scrutiny and review of prospectuses, do you agree that NCAs should only be required to scrutinise information which has not already been scrutinised/reviewed/approved, as proposed in Article B(2)?</w:t>
      </w:r>
    </w:p>
    <w:p w:rsidR="005C4E0E" w:rsidRDefault="005C4E0E" w:rsidP="005C4E0E">
      <w:pPr>
        <w:rPr>
          <w:rFonts w:cs="Arial"/>
        </w:rPr>
      </w:pPr>
      <w:r>
        <w:rPr>
          <w:rFonts w:cs="Arial"/>
        </w:rPr>
        <w:t>&lt;ESMA_QUESTION_SAC_6&gt;</w:t>
      </w:r>
    </w:p>
    <w:p w:rsidR="000F5C22" w:rsidRDefault="00691A91" w:rsidP="005C4E0E">
      <w:pPr>
        <w:rPr>
          <w:rFonts w:cs="Arial"/>
        </w:rPr>
      </w:pPr>
      <w:permStart w:id="2040288454" w:edGrp="everyone"/>
      <w:r>
        <w:rPr>
          <w:rFonts w:cs="Arial"/>
        </w:rPr>
        <w:t xml:space="preserve">In principle, </w:t>
      </w:r>
      <w:r w:rsidR="000F5C22">
        <w:rPr>
          <w:rFonts w:cs="Arial"/>
        </w:rPr>
        <w:t xml:space="preserve">ICMA </w:t>
      </w:r>
      <w:r>
        <w:rPr>
          <w:rFonts w:cs="Arial"/>
        </w:rPr>
        <w:t>agree</w:t>
      </w:r>
      <w:r w:rsidR="000F5C22">
        <w:rPr>
          <w:rFonts w:cs="Arial"/>
        </w:rPr>
        <w:t>s</w:t>
      </w:r>
      <w:r w:rsidR="00B2156B">
        <w:rPr>
          <w:rFonts w:cs="Arial"/>
        </w:rPr>
        <w:t xml:space="preserve"> with </w:t>
      </w:r>
      <w:r>
        <w:rPr>
          <w:rFonts w:cs="Arial"/>
        </w:rPr>
        <w:t>ESMA</w:t>
      </w:r>
      <w:r w:rsidR="00B2156B">
        <w:rPr>
          <w:rFonts w:cs="Arial"/>
        </w:rPr>
        <w:t>'s</w:t>
      </w:r>
      <w:r>
        <w:rPr>
          <w:rFonts w:cs="Arial"/>
        </w:rPr>
        <w:t xml:space="preserve"> suggested approach.  </w:t>
      </w:r>
    </w:p>
    <w:permEnd w:id="2040288454"/>
    <w:p w:rsidR="005C4E0E" w:rsidRDefault="005C4E0E" w:rsidP="005C4E0E">
      <w:pPr>
        <w:rPr>
          <w:rFonts w:cs="Arial"/>
        </w:rPr>
      </w:pPr>
      <w:r>
        <w:rPr>
          <w:rFonts w:cs="Arial"/>
        </w:rPr>
        <w:t>&lt;ESMA_QUESTION_SAC_6&gt;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believe that application of the proposed criteria will impose additional costs on issuers, offerors or persons asking for admission to trading? If yes, please specify the type and nature of such costs, including whether they are one-off or on-going, and quantify them.</w:t>
      </w:r>
    </w:p>
    <w:p w:rsidR="005C4E0E" w:rsidRDefault="005C4E0E" w:rsidP="005C4E0E">
      <w:pPr>
        <w:rPr>
          <w:rFonts w:cs="Arial"/>
        </w:rPr>
      </w:pPr>
      <w:r>
        <w:rPr>
          <w:rFonts w:cs="Arial"/>
        </w:rPr>
        <w:t>&lt;ESMA_QUESTION_SAC_7&gt;</w:t>
      </w:r>
    </w:p>
    <w:p w:rsidR="00F71E06" w:rsidRDefault="00691A91" w:rsidP="005C4E0E">
      <w:pPr>
        <w:rPr>
          <w:rFonts w:cs="Arial"/>
        </w:rPr>
      </w:pPr>
      <w:permStart w:id="1434199274" w:edGrp="everyone"/>
      <w:r>
        <w:rPr>
          <w:rFonts w:cs="Arial"/>
        </w:rPr>
        <w:t xml:space="preserve">In general, no, we do not envisage that application of the proposed criteria will impose </w:t>
      </w:r>
      <w:r w:rsidR="00F71E06">
        <w:rPr>
          <w:rFonts w:cs="Arial"/>
        </w:rPr>
        <w:t xml:space="preserve">significant </w:t>
      </w:r>
      <w:r>
        <w:rPr>
          <w:rFonts w:cs="Arial"/>
        </w:rPr>
        <w:t>additional costs on issuers, offerors or persons as</w:t>
      </w:r>
      <w:r w:rsidR="000822D3">
        <w:rPr>
          <w:rFonts w:cs="Arial"/>
        </w:rPr>
        <w:t>king for admission to trading</w:t>
      </w:r>
      <w:r w:rsidR="00F71E06">
        <w:rPr>
          <w:rFonts w:cs="Arial"/>
        </w:rPr>
        <w:t xml:space="preserve"> – although there will inevitably be some initial costs as market participants </w:t>
      </w:r>
      <w:proofErr w:type="gramStart"/>
      <w:r w:rsidR="00F71E06">
        <w:rPr>
          <w:rFonts w:cs="Arial"/>
        </w:rPr>
        <w:t>adapt  to</w:t>
      </w:r>
      <w:proofErr w:type="gramEnd"/>
      <w:r w:rsidR="00F71E06">
        <w:rPr>
          <w:rFonts w:cs="Arial"/>
        </w:rPr>
        <w:t xml:space="preserve"> the new requirements, including in relation to "plain language" requirements" for retail issuance, depending on how it is interpreted by NCAs</w:t>
      </w:r>
      <w:r w:rsidR="000822D3">
        <w:rPr>
          <w:rFonts w:cs="Arial"/>
        </w:rPr>
        <w:t>.</w:t>
      </w:r>
    </w:p>
    <w:permEnd w:id="1434199274"/>
    <w:p w:rsidR="005C4E0E" w:rsidRDefault="005C4E0E" w:rsidP="005C4E0E">
      <w:pPr>
        <w:rPr>
          <w:rFonts w:cs="Arial"/>
        </w:rPr>
      </w:pPr>
      <w:r>
        <w:rPr>
          <w:rFonts w:cs="Arial"/>
        </w:rPr>
        <w:t>&lt;ESMA_QUESTION_SAC_7&gt;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have any further suggestions for harmonising the way in which NCAs scrutinise prospectuses? In your view, should ESMA propose more detailed or additional criteria for scrutiny/review in its technical advice?</w:t>
      </w:r>
    </w:p>
    <w:p w:rsidR="005C4E0E" w:rsidRDefault="005C4E0E" w:rsidP="005C4E0E">
      <w:pPr>
        <w:rPr>
          <w:rFonts w:cs="Arial"/>
        </w:rPr>
      </w:pPr>
      <w:r>
        <w:rPr>
          <w:rFonts w:cs="Arial"/>
        </w:rPr>
        <w:t>&lt;ESMA_QUESTION_SAC_8&gt;</w:t>
      </w:r>
    </w:p>
    <w:p w:rsidR="00C34C86" w:rsidRDefault="000F5C22" w:rsidP="005C4E0E">
      <w:pPr>
        <w:rPr>
          <w:rFonts w:cs="Arial"/>
          <w:color w:val="000000" w:themeColor="text1"/>
        </w:rPr>
      </w:pPr>
      <w:permStart w:id="1094659559" w:edGrp="everyone"/>
      <w:r>
        <w:rPr>
          <w:rFonts w:cs="Arial"/>
          <w:color w:val="000000" w:themeColor="text1"/>
        </w:rPr>
        <w:t xml:space="preserve">Although ICMA does not suggest additional criteria for scrutiny/review, it is possible that NCAs might adopt different approaches when assessing what "plain </w:t>
      </w:r>
      <w:r w:rsidR="00B2156B">
        <w:rPr>
          <w:rFonts w:cs="Arial"/>
          <w:color w:val="000000" w:themeColor="text1"/>
        </w:rPr>
        <w:t>language</w:t>
      </w:r>
      <w:r>
        <w:rPr>
          <w:rFonts w:cs="Arial"/>
          <w:color w:val="000000" w:themeColor="text1"/>
        </w:rPr>
        <w:t xml:space="preserve">" </w:t>
      </w:r>
      <w:r w:rsidR="00B2156B">
        <w:rPr>
          <w:rFonts w:cs="Arial"/>
          <w:color w:val="000000" w:themeColor="text1"/>
        </w:rPr>
        <w:t xml:space="preserve">disclosure </w:t>
      </w:r>
      <w:r>
        <w:rPr>
          <w:rFonts w:cs="Arial"/>
          <w:color w:val="000000" w:themeColor="text1"/>
        </w:rPr>
        <w:t xml:space="preserve">for retail prospectuses should entail.  This might be addressed via ESMA guidance to NCAs. </w:t>
      </w:r>
    </w:p>
    <w:p w:rsidR="00C34C86" w:rsidRDefault="00C34C86" w:rsidP="005C4E0E">
      <w:pPr>
        <w:rPr>
          <w:rFonts w:cs="Arial"/>
          <w:color w:val="000000" w:themeColor="text1"/>
        </w:rPr>
      </w:pPr>
    </w:p>
    <w:p w:rsidR="005C4E0E" w:rsidRPr="000F5C22" w:rsidRDefault="00C34C86" w:rsidP="005C4E0E">
      <w:pPr>
        <w:rPr>
          <w:rFonts w:cs="Arial"/>
          <w:color w:val="000000" w:themeColor="text1"/>
        </w:rPr>
      </w:pPr>
      <w:r>
        <w:rPr>
          <w:rFonts w:cs="Arial"/>
          <w:color w:val="000000" w:themeColor="text1"/>
        </w:rPr>
        <w:t>ICMA does not think that more detailed or additional criteria for scrutiny/review are required.</w:t>
      </w:r>
      <w:r w:rsidR="000F5C22">
        <w:rPr>
          <w:rFonts w:cs="Arial"/>
          <w:color w:val="000000" w:themeColor="text1"/>
        </w:rPr>
        <w:t xml:space="preserve"> </w:t>
      </w:r>
    </w:p>
    <w:permEnd w:id="1094659559"/>
    <w:p w:rsidR="005C4E0E" w:rsidRDefault="005C4E0E" w:rsidP="005C4E0E">
      <w:pPr>
        <w:rPr>
          <w:rFonts w:cs="Arial"/>
        </w:rPr>
      </w:pPr>
      <w:r>
        <w:rPr>
          <w:rFonts w:cs="Arial"/>
        </w:rPr>
        <w:t>&lt;ESMA_QUESTION_SAC_8&gt;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Has ESMA identified all the necessary amendments to the existing procedures for approval of the prospectus?</w:t>
      </w:r>
    </w:p>
    <w:p w:rsidR="005C4E0E" w:rsidRDefault="005C4E0E" w:rsidP="005C4E0E">
      <w:pPr>
        <w:rPr>
          <w:rFonts w:cs="Arial"/>
        </w:rPr>
      </w:pPr>
      <w:r>
        <w:rPr>
          <w:rFonts w:cs="Arial"/>
        </w:rPr>
        <w:t>&lt;ESMA_QUESTION_SAC_9&gt;</w:t>
      </w:r>
    </w:p>
    <w:p w:rsidR="00B2156B" w:rsidRDefault="00B2156B" w:rsidP="00B2156B">
      <w:pPr>
        <w:rPr>
          <w:rFonts w:cs="Arial"/>
        </w:rPr>
      </w:pPr>
      <w:permStart w:id="1987264709" w:edGrp="everyone"/>
      <w:r>
        <w:rPr>
          <w:rFonts w:cs="Arial"/>
        </w:rPr>
        <w:t>TYPE YOUR TEXT HERE</w:t>
      </w:r>
    </w:p>
    <w:permEnd w:id="1987264709"/>
    <w:p w:rsidR="005C4E0E" w:rsidRDefault="005C4E0E" w:rsidP="005C4E0E">
      <w:pPr>
        <w:rPr>
          <w:rFonts w:cs="Arial"/>
        </w:rPr>
      </w:pPr>
      <w:r>
        <w:rPr>
          <w:rFonts w:cs="Arial"/>
        </w:rPr>
        <w:t>&lt;ESMA_QUESTION_SAC_9&gt;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with the provision for providing the appendix to the registration document/URD laid down in Article C(2)(d) and (e)?</w:t>
      </w:r>
    </w:p>
    <w:p w:rsidR="005C4E0E" w:rsidRDefault="005C4E0E" w:rsidP="005C4E0E">
      <w:pPr>
        <w:rPr>
          <w:rFonts w:cs="Arial"/>
        </w:rPr>
      </w:pPr>
      <w:r>
        <w:rPr>
          <w:rFonts w:cs="Arial"/>
        </w:rPr>
        <w:t>&lt;ESMA_QUESTION_SAC_10&gt;</w:t>
      </w:r>
    </w:p>
    <w:p w:rsidR="000F5C22" w:rsidRPr="000F5C22" w:rsidRDefault="000F5C22" w:rsidP="000F5C22">
      <w:pPr>
        <w:rPr>
          <w:rFonts w:cs="Arial"/>
          <w:color w:val="000000" w:themeColor="text1"/>
        </w:rPr>
      </w:pPr>
      <w:permStart w:id="1703245400" w:edGrp="everyone"/>
      <w:r w:rsidRPr="000F5C22">
        <w:rPr>
          <w:rFonts w:cs="Arial"/>
          <w:color w:val="000000" w:themeColor="text1"/>
        </w:rPr>
        <w:t>Articles C(2)(d) and (e) state:</w:t>
      </w:r>
    </w:p>
    <w:p w:rsidR="000F5C22" w:rsidRPr="000F5C22" w:rsidRDefault="000F5C22" w:rsidP="000F5C22">
      <w:pPr>
        <w:rPr>
          <w:rFonts w:cs="Arial"/>
          <w:color w:val="000000" w:themeColor="text1"/>
        </w:rPr>
      </w:pPr>
      <w:r w:rsidRPr="000F5C22">
        <w:rPr>
          <w:rFonts w:cs="Arial"/>
          <w:color w:val="000000" w:themeColor="text1"/>
        </w:rPr>
        <w:t>"…(d) where the issuer submits for approval on a stand-alone basis a draft registration document drawn up in accordance with Annex [retail debt and derivatives] of this Regulation and intends to request the notification of this registration document pursuant to Article 26 of Regulation (EU) 2017/1129, an appendix setting out the key information on the issuer as required by Article 26(4) of that Regulation;</w:t>
      </w:r>
    </w:p>
    <w:p w:rsidR="000F5C22" w:rsidRDefault="000F5C22" w:rsidP="000F5C22">
      <w:pPr>
        <w:rPr>
          <w:rFonts w:cs="Arial"/>
          <w:color w:val="000000" w:themeColor="text1"/>
        </w:rPr>
      </w:pPr>
      <w:r w:rsidRPr="000F5C22">
        <w:rPr>
          <w:rFonts w:cs="Arial"/>
          <w:color w:val="000000" w:themeColor="text1"/>
        </w:rPr>
        <w:t>(e) where the issuer submits for approval on a stand-alone basis a draft universal registration document and intends to request the notification of this universal registration document pursuant to Article 26 of Regulation (EU) 2017/1129, an appendix setting out the key information on the issuer as required by Article 26(4) of that Regulation, unless such notification is envisaged for the purpose of an offer of non-equity securities for which no summary will be required pursuant to the second subparagraph of Article 7(1) of Regulation (EU) 2017/1129;…"</w:t>
      </w:r>
    </w:p>
    <w:p w:rsidR="000F5C22" w:rsidRDefault="000F5C22" w:rsidP="005C4E0E">
      <w:pPr>
        <w:rPr>
          <w:rFonts w:cs="Arial"/>
          <w:color w:val="000000" w:themeColor="text1"/>
        </w:rPr>
      </w:pPr>
    </w:p>
    <w:p w:rsidR="008678BE" w:rsidRDefault="00685578" w:rsidP="005C4E0E">
      <w:pPr>
        <w:rPr>
          <w:rFonts w:cs="Arial"/>
          <w:color w:val="000000" w:themeColor="text1"/>
        </w:rPr>
      </w:pPr>
      <w:r>
        <w:rPr>
          <w:rFonts w:cs="Arial"/>
          <w:color w:val="000000" w:themeColor="text1"/>
        </w:rPr>
        <w:t>T</w:t>
      </w:r>
      <w:r w:rsidR="00691A91">
        <w:rPr>
          <w:rFonts w:cs="Arial"/>
          <w:color w:val="000000" w:themeColor="text1"/>
        </w:rPr>
        <w:t>he</w:t>
      </w:r>
      <w:r w:rsidR="00691A91" w:rsidRPr="00691A91">
        <w:rPr>
          <w:rFonts w:cs="Arial"/>
          <w:color w:val="000000" w:themeColor="text1"/>
        </w:rPr>
        <w:t xml:space="preserve"> </w:t>
      </w:r>
      <w:r w:rsidR="00691A91">
        <w:rPr>
          <w:rFonts w:cs="Arial"/>
          <w:color w:val="000000" w:themeColor="text1"/>
        </w:rPr>
        <w:t>requirement for an Appendix i</w:t>
      </w:r>
      <w:r w:rsidR="00691A91" w:rsidRPr="00691A91">
        <w:rPr>
          <w:rFonts w:cs="Arial"/>
          <w:color w:val="000000" w:themeColor="text1"/>
        </w:rPr>
        <w:t>s formal</w:t>
      </w:r>
      <w:r>
        <w:rPr>
          <w:rFonts w:cs="Arial"/>
          <w:color w:val="000000" w:themeColor="text1"/>
        </w:rPr>
        <w:t>, but, as mentioned in</w:t>
      </w:r>
      <w:r w:rsidR="007D6C56">
        <w:rPr>
          <w:rFonts w:cs="Arial"/>
          <w:color w:val="000000" w:themeColor="text1"/>
        </w:rPr>
        <w:t xml:space="preserve"> paragraph 101 (page 34) is as set out in Article 26(4) of the Prospectus Regulation (</w:t>
      </w:r>
      <w:r w:rsidR="007D6C56" w:rsidRPr="007D6C56">
        <w:rPr>
          <w:rFonts w:cs="Arial"/>
          <w:i/>
          <w:color w:val="000000" w:themeColor="text1"/>
        </w:rPr>
        <w:t>Notification of registration documents or universal registration documents</w:t>
      </w:r>
      <w:r w:rsidR="007D6C56">
        <w:rPr>
          <w:rFonts w:cs="Arial"/>
          <w:color w:val="000000" w:themeColor="text1"/>
        </w:rPr>
        <w:t>):  "</w:t>
      </w:r>
      <w:r w:rsidR="007D6C56" w:rsidRPr="007D6C56">
        <w:rPr>
          <w:rFonts w:cs="Arial"/>
          <w:i/>
          <w:color w:val="000000" w:themeColor="text1"/>
        </w:rPr>
        <w:t>A registration document or a universal registration document notified pursuant to paragraph 2 shall contain an appendix setting out the key information on the issuer referred to in Article 7(6). The approval of the registration document or universal registration document shall encompass the appendix</w:t>
      </w:r>
      <w:r w:rsidR="007D6C56" w:rsidRPr="007D6C56">
        <w:rPr>
          <w:rFonts w:cs="Arial"/>
          <w:color w:val="000000" w:themeColor="text1"/>
        </w:rPr>
        <w:t>.</w:t>
      </w:r>
      <w:r w:rsidR="007D6C56">
        <w:rPr>
          <w:rFonts w:cs="Arial"/>
          <w:color w:val="000000" w:themeColor="text1"/>
        </w:rPr>
        <w:t xml:space="preserve">"    </w:t>
      </w:r>
      <w:r>
        <w:rPr>
          <w:rFonts w:cs="Arial"/>
          <w:color w:val="000000" w:themeColor="text1"/>
        </w:rPr>
        <w:t xml:space="preserve">   </w:t>
      </w:r>
      <w:r w:rsidR="007D6C56">
        <w:rPr>
          <w:rFonts w:cs="Arial"/>
          <w:color w:val="000000" w:themeColor="text1"/>
        </w:rPr>
        <w:t xml:space="preserve">ICMA therefore agrees with this proposal and the suggestions in paragraph </w:t>
      </w:r>
      <w:r w:rsidR="008678BE">
        <w:rPr>
          <w:rFonts w:cs="Arial"/>
          <w:color w:val="000000" w:themeColor="text1"/>
        </w:rPr>
        <w:t>103</w:t>
      </w:r>
      <w:r w:rsidR="007D6C56">
        <w:rPr>
          <w:rFonts w:cs="Arial"/>
          <w:color w:val="000000" w:themeColor="text1"/>
        </w:rPr>
        <w:t xml:space="preserve"> and C(2)(d) and (e).</w:t>
      </w:r>
    </w:p>
    <w:p w:rsidR="008678BE" w:rsidRDefault="008678BE" w:rsidP="005C4E0E">
      <w:pPr>
        <w:rPr>
          <w:rFonts w:cs="Arial"/>
          <w:color w:val="000000" w:themeColor="text1"/>
        </w:rPr>
      </w:pPr>
    </w:p>
    <w:p w:rsidR="00691A91" w:rsidRPr="000F5C22" w:rsidRDefault="007D6C56" w:rsidP="00691A91">
      <w:pPr>
        <w:rPr>
          <w:rFonts w:cs="Arial"/>
          <w:color w:val="000000" w:themeColor="text1"/>
        </w:rPr>
      </w:pPr>
      <w:r>
        <w:rPr>
          <w:rFonts w:cs="Arial"/>
          <w:color w:val="000000" w:themeColor="text1"/>
        </w:rPr>
        <w:t>As a practical matter, the con</w:t>
      </w:r>
      <w:r w:rsidR="008678BE">
        <w:rPr>
          <w:rFonts w:cs="Arial"/>
          <w:color w:val="000000" w:themeColor="text1"/>
        </w:rPr>
        <w:t>straints on passporting subsequently (as highlighted in paragraphs 102 and 103 of the Consultation) might cause concerns.  The default position for issuers adopting the stand-alone Registration Statement or URD route is therefore likely to become that an Appendix will be prepared as a matter of course, whenever appropriate.  It will, though, be important as a procedural matter, to ensure that all issuers are made aware of this limitation when applying for approval.</w:t>
      </w:r>
    </w:p>
    <w:permEnd w:id="1703245400"/>
    <w:p w:rsidR="005C4E0E" w:rsidRDefault="005C4E0E" w:rsidP="005C4E0E">
      <w:pPr>
        <w:rPr>
          <w:rFonts w:cs="Arial"/>
        </w:rPr>
      </w:pPr>
      <w:r>
        <w:rPr>
          <w:rFonts w:cs="Arial"/>
        </w:rPr>
        <w:t>&lt;ESMA_QUESTION_SAC_10&gt;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with the procedures for approval of the URD?</w:t>
      </w:r>
    </w:p>
    <w:p w:rsidR="005C4E0E" w:rsidRDefault="005C4E0E" w:rsidP="005C4E0E">
      <w:pPr>
        <w:rPr>
          <w:rFonts w:cs="Arial"/>
        </w:rPr>
      </w:pPr>
      <w:r>
        <w:rPr>
          <w:rFonts w:cs="Arial"/>
        </w:rPr>
        <w:t>&lt;ESMA_QUESTION_SAC_11&gt;</w:t>
      </w:r>
    </w:p>
    <w:p w:rsidR="005C4E0E" w:rsidRDefault="005C4E0E" w:rsidP="005C4E0E">
      <w:pPr>
        <w:rPr>
          <w:rFonts w:cs="Arial"/>
        </w:rPr>
      </w:pPr>
      <w:permStart w:id="498366622" w:edGrp="everyone"/>
      <w:r>
        <w:rPr>
          <w:rFonts w:cs="Arial"/>
        </w:rPr>
        <w:t>TYPE YOUR TEXT HERE</w:t>
      </w:r>
    </w:p>
    <w:permEnd w:id="498366622"/>
    <w:p w:rsidR="005C4E0E" w:rsidRDefault="005C4E0E" w:rsidP="005C4E0E">
      <w:pPr>
        <w:rPr>
          <w:rFonts w:cs="Arial"/>
        </w:rPr>
      </w:pPr>
      <w:r>
        <w:rPr>
          <w:rFonts w:cs="Arial"/>
        </w:rPr>
        <w:t>&lt;ESMA_QUESTION_SAC_11&gt;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agree with the procedures for filing of the URD? Are there any further considerations which ESMA should take into account in this regard?</w:t>
      </w:r>
      <w:r>
        <w:t xml:space="preserve"> </w:t>
      </w:r>
    </w:p>
    <w:p w:rsidR="005C4E0E" w:rsidRDefault="005C4E0E" w:rsidP="005C4E0E">
      <w:pPr>
        <w:rPr>
          <w:rFonts w:cs="Arial"/>
        </w:rPr>
      </w:pPr>
      <w:r>
        <w:rPr>
          <w:rFonts w:cs="Arial"/>
        </w:rPr>
        <w:t>&lt;ESMA_QUESTION_SAC_12&gt;</w:t>
      </w:r>
    </w:p>
    <w:p w:rsidR="005C4E0E" w:rsidRDefault="005C4E0E" w:rsidP="005C4E0E">
      <w:pPr>
        <w:rPr>
          <w:rFonts w:cs="Arial"/>
        </w:rPr>
      </w:pPr>
      <w:permStart w:id="181157835" w:edGrp="everyone"/>
      <w:r>
        <w:rPr>
          <w:rFonts w:cs="Arial"/>
        </w:rPr>
        <w:t>TYPE YOUR TEXT HERE</w:t>
      </w:r>
    </w:p>
    <w:permEnd w:id="181157835"/>
    <w:p w:rsidR="005C4E0E" w:rsidRDefault="005C4E0E" w:rsidP="005C4E0E">
      <w:pPr>
        <w:rPr>
          <w:rFonts w:cs="Arial"/>
        </w:rPr>
      </w:pPr>
      <w:r>
        <w:rPr>
          <w:rFonts w:cs="Arial"/>
        </w:rPr>
        <w:t>&lt;ESMA_QUESTION_SAC_12&gt;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believe that any of the proposed procedures for approval and filing will impose additional costs on issuers, offerors or persons asking for admission to trading? If yes, please specify the type and nature of such costs, including whether they are one-off or on-going, and quantify them.</w:t>
      </w:r>
    </w:p>
    <w:p w:rsidR="005C4E0E" w:rsidRDefault="005C4E0E" w:rsidP="005C4E0E">
      <w:pPr>
        <w:rPr>
          <w:rFonts w:cs="Arial"/>
        </w:rPr>
      </w:pPr>
      <w:r>
        <w:rPr>
          <w:rFonts w:cs="Arial"/>
        </w:rPr>
        <w:t>&lt;ESMA_QUESTION_SAC_13&gt;</w:t>
      </w:r>
    </w:p>
    <w:p w:rsidR="005C4E0E" w:rsidRDefault="000B5A31" w:rsidP="005C4E0E">
      <w:pPr>
        <w:rPr>
          <w:rFonts w:cs="Arial"/>
        </w:rPr>
      </w:pPr>
      <w:permStart w:id="1477470970" w:edGrp="everyone"/>
      <w:r>
        <w:rPr>
          <w:rFonts w:cs="Arial"/>
          <w:color w:val="FF0000"/>
        </w:rPr>
        <w:t xml:space="preserve"> </w:t>
      </w:r>
      <w:r w:rsidR="00C34C86">
        <w:rPr>
          <w:rFonts w:cs="Arial"/>
        </w:rPr>
        <w:t>As mentioned above, ICMA believes there will be some initial (though not significant) adjustment costs.</w:t>
      </w:r>
    </w:p>
    <w:permEnd w:id="1477470970"/>
    <w:p w:rsidR="005C4E0E" w:rsidRDefault="005C4E0E" w:rsidP="005C4E0E">
      <w:pPr>
        <w:rPr>
          <w:rFonts w:cs="Arial"/>
        </w:rPr>
      </w:pPr>
      <w:r>
        <w:rPr>
          <w:rFonts w:cs="Arial"/>
        </w:rPr>
        <w:t>&lt;ESMA_QUESTION_SAC_13&gt;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lastRenderedPageBreak/>
        <w:t xml:space="preserve">: </w:t>
      </w:r>
      <w:r w:rsidRPr="00282DFB">
        <w:rPr>
          <w:rFonts w:ascii="Arial" w:hAnsi="Arial" w:cs="Arial"/>
        </w:rPr>
        <w:t>Do you agree that it is not necessary at Level 2 to further specify the conditions for losing the status of frequent issuer? If no, please elaborate on how ESMA should further specify the conditions already established at Level 1.</w:t>
      </w:r>
    </w:p>
    <w:p w:rsidR="005C4E0E" w:rsidRDefault="005C4E0E" w:rsidP="005C4E0E">
      <w:pPr>
        <w:rPr>
          <w:rFonts w:cs="Arial"/>
        </w:rPr>
      </w:pPr>
      <w:r>
        <w:rPr>
          <w:rFonts w:cs="Arial"/>
        </w:rPr>
        <w:t>&lt;ESMA_QUESTION_SAC_14&gt;</w:t>
      </w:r>
    </w:p>
    <w:p w:rsidR="005C4E0E" w:rsidRDefault="00691A91" w:rsidP="005C4E0E">
      <w:pPr>
        <w:rPr>
          <w:rFonts w:cs="Arial"/>
        </w:rPr>
      </w:pPr>
      <w:permStart w:id="1887777207" w:edGrp="everyone"/>
      <w:r>
        <w:rPr>
          <w:rFonts w:cs="Arial"/>
        </w:rPr>
        <w:t>ICMA agrees that it is not necessary to specify these further at Level 2.</w:t>
      </w:r>
    </w:p>
    <w:permEnd w:id="1887777207"/>
    <w:p w:rsidR="005C4E0E" w:rsidRDefault="005C4E0E" w:rsidP="005C4E0E">
      <w:pPr>
        <w:rPr>
          <w:rFonts w:cs="Arial"/>
        </w:rPr>
      </w:pPr>
      <w:r>
        <w:rPr>
          <w:rFonts w:cs="Arial"/>
        </w:rPr>
        <w:t>&lt;ESMA_QUESTION_SAC_14&gt;</w:t>
      </w:r>
    </w:p>
    <w:p w:rsidR="005C4E0E" w:rsidRDefault="005C4E0E" w:rsidP="005C4E0E">
      <w:pPr>
        <w:rPr>
          <w:rFonts w:cs="Arial"/>
        </w:rPr>
      </w:pPr>
    </w:p>
    <w:p w:rsidR="005C4E0E" w:rsidRDefault="005C4E0E" w:rsidP="005C4E0E">
      <w:pPr>
        <w:pStyle w:val="Questionstyle"/>
        <w:numPr>
          <w:ilvl w:val="0"/>
          <w:numId w:val="43"/>
        </w:numPr>
        <w:rPr>
          <w:rFonts w:ascii="Arial" w:hAnsi="Arial" w:cs="Arial"/>
        </w:rPr>
      </w:pPr>
      <w:r>
        <w:t xml:space="preserve">: </w:t>
      </w:r>
      <w:r w:rsidRPr="00282DFB">
        <w:rPr>
          <w:rFonts w:ascii="Arial" w:hAnsi="Arial" w:cs="Arial"/>
        </w:rPr>
        <w:t>Do you have any other considerations which ESMA should be aware of when finalising the technical advice covered by this Consultation Paper?</w:t>
      </w:r>
    </w:p>
    <w:p w:rsidR="005C4E0E" w:rsidRDefault="005C4E0E" w:rsidP="005C4E0E">
      <w:pPr>
        <w:rPr>
          <w:rFonts w:cs="Arial"/>
        </w:rPr>
      </w:pPr>
      <w:r>
        <w:rPr>
          <w:rFonts w:cs="Arial"/>
        </w:rPr>
        <w:t>&lt;ESMA_QUESTION_SAC_15&gt;</w:t>
      </w:r>
    </w:p>
    <w:p w:rsidR="007D02B0" w:rsidRDefault="007D02B0" w:rsidP="005C4E0E">
      <w:pPr>
        <w:rPr>
          <w:rFonts w:cs="Arial"/>
        </w:rPr>
      </w:pPr>
      <w:permStart w:id="783121217" w:edGrp="everyone"/>
      <w:r>
        <w:rPr>
          <w:rFonts w:cs="Arial"/>
        </w:rPr>
        <w:t xml:space="preserve">TYPE YOUR TEXT HERE </w:t>
      </w:r>
    </w:p>
    <w:permEnd w:id="783121217"/>
    <w:p w:rsidR="005C4E0E" w:rsidRDefault="005C4E0E" w:rsidP="005C4E0E">
      <w:pPr>
        <w:rPr>
          <w:rFonts w:cs="Arial"/>
        </w:rPr>
      </w:pPr>
      <w:r>
        <w:rPr>
          <w:rFonts w:cs="Arial"/>
        </w:rPr>
        <w:t>&lt;ESMA_QUESTION_SAC_15&gt;</w:t>
      </w:r>
    </w:p>
    <w:p w:rsidR="008701E5" w:rsidRDefault="00EB2A3F" w:rsidP="005C4E0E">
      <w:pPr>
        <w:pStyle w:val="Questionstyle"/>
        <w:rPr>
          <w:b w:val="0"/>
        </w:rPr>
      </w:pPr>
      <w:r>
        <w:rPr>
          <w:b w:val="0"/>
        </w:rPr>
        <w:t xml:space="preserve"> </w:t>
      </w:r>
    </w:p>
    <w:sectPr w:rsidR="008701E5"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E9D" w:rsidRDefault="005B7E9D">
      <w:r>
        <w:separator/>
      </w:r>
    </w:p>
    <w:p w:rsidR="005B7E9D" w:rsidRDefault="005B7E9D"/>
  </w:endnote>
  <w:endnote w:type="continuationSeparator" w:id="0">
    <w:p w:rsidR="005B7E9D" w:rsidRDefault="005B7E9D">
      <w:r>
        <w:continuationSeparator/>
      </w:r>
    </w:p>
    <w:p w:rsidR="005B7E9D" w:rsidRDefault="005B7E9D"/>
  </w:endnote>
  <w:endnote w:type="continuationNotice" w:id="1">
    <w:p w:rsidR="005B7E9D" w:rsidRDefault="005B7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Meiryo"/>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8C" w:rsidRDefault="002D5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D568C" w:rsidRPr="00616B9B" w:rsidTr="00315E96">
      <w:trPr>
        <w:trHeight w:val="284"/>
      </w:trPr>
      <w:tc>
        <w:tcPr>
          <w:tcW w:w="8460" w:type="dxa"/>
        </w:tcPr>
        <w:p w:rsidR="002D568C" w:rsidRPr="00315E96" w:rsidRDefault="002D568C" w:rsidP="00315E96">
          <w:pPr>
            <w:pStyle w:val="00Footer"/>
            <w:rPr>
              <w:lang w:val="fr-FR"/>
            </w:rPr>
          </w:pPr>
        </w:p>
      </w:tc>
      <w:tc>
        <w:tcPr>
          <w:tcW w:w="952" w:type="dxa"/>
        </w:tcPr>
        <w:p w:rsidR="002D568C" w:rsidRPr="00616B9B" w:rsidRDefault="002E5E69" w:rsidP="002C5B2D">
          <w:pPr>
            <w:pStyle w:val="00aPagenumber"/>
            <w:rPr>
              <w:rFonts w:cs="Arial"/>
              <w:sz w:val="22"/>
              <w:szCs w:val="22"/>
            </w:rPr>
          </w:pPr>
          <w:r w:rsidRPr="00616B9B">
            <w:rPr>
              <w:rFonts w:cs="Arial"/>
              <w:sz w:val="22"/>
              <w:szCs w:val="22"/>
            </w:rPr>
            <w:fldChar w:fldCharType="begin"/>
          </w:r>
          <w:r w:rsidR="002D568C" w:rsidRPr="00616B9B">
            <w:rPr>
              <w:rFonts w:cs="Arial"/>
              <w:sz w:val="22"/>
              <w:szCs w:val="22"/>
            </w:rPr>
            <w:instrText xml:space="preserve"> PAGE </w:instrText>
          </w:r>
          <w:r w:rsidRPr="00616B9B">
            <w:rPr>
              <w:rFonts w:cs="Arial"/>
              <w:sz w:val="22"/>
              <w:szCs w:val="22"/>
            </w:rPr>
            <w:fldChar w:fldCharType="separate"/>
          </w:r>
          <w:r w:rsidR="009445E4">
            <w:rPr>
              <w:rFonts w:cs="Arial"/>
              <w:noProof/>
              <w:sz w:val="22"/>
              <w:szCs w:val="22"/>
            </w:rPr>
            <w:t>5</w:t>
          </w:r>
          <w:r w:rsidRPr="00616B9B">
            <w:rPr>
              <w:rFonts w:cs="Arial"/>
              <w:noProof/>
              <w:sz w:val="22"/>
              <w:szCs w:val="22"/>
            </w:rPr>
            <w:fldChar w:fldCharType="end"/>
          </w:r>
        </w:p>
      </w:tc>
    </w:tr>
  </w:tbl>
  <w:p w:rsidR="002D568C" w:rsidRDefault="002D5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8C" w:rsidRDefault="002D56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8C" w:rsidRDefault="002D5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E9D" w:rsidRDefault="005B7E9D">
      <w:r>
        <w:separator/>
      </w:r>
    </w:p>
    <w:p w:rsidR="005B7E9D" w:rsidRDefault="005B7E9D"/>
  </w:footnote>
  <w:footnote w:type="continuationSeparator" w:id="0">
    <w:p w:rsidR="005B7E9D" w:rsidRDefault="005B7E9D">
      <w:r>
        <w:continuationSeparator/>
      </w:r>
    </w:p>
    <w:p w:rsidR="005B7E9D" w:rsidRDefault="005B7E9D"/>
  </w:footnote>
  <w:footnote w:type="continuationNotice" w:id="1">
    <w:p w:rsidR="005B7E9D" w:rsidRDefault="005B7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8C" w:rsidRDefault="002D5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8C" w:rsidRDefault="002D568C">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5B7E9D">
      <w:rPr>
        <w:noProof/>
        <w:lang w:eastAsia="en-GB"/>
      </w:rPr>
      <w:pict>
        <v:line id="Line 16" o:spid="_x0000_s2050"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strokecolor="#283583" strokeweight="1pt">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8C" w:rsidRDefault="002D568C"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8C" w:rsidRDefault="002D56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D568C" w:rsidRPr="002F4496" w:rsidTr="000C06C9">
      <w:trPr>
        <w:trHeight w:val="284"/>
      </w:trPr>
      <w:tc>
        <w:tcPr>
          <w:tcW w:w="8460" w:type="dxa"/>
        </w:tcPr>
        <w:p w:rsidR="002D568C" w:rsidRPr="000C3B6D" w:rsidRDefault="002D568C" w:rsidP="000C06C9">
          <w:pPr>
            <w:pStyle w:val="00Footer"/>
            <w:rPr>
              <w:lang w:val="fr-FR"/>
            </w:rPr>
          </w:pPr>
        </w:p>
      </w:tc>
      <w:tc>
        <w:tcPr>
          <w:tcW w:w="952" w:type="dxa"/>
        </w:tcPr>
        <w:p w:rsidR="002D568C" w:rsidRPr="00146B34" w:rsidRDefault="002D568C" w:rsidP="000C06C9">
          <w:pPr>
            <w:pStyle w:val="00aPagenumber"/>
            <w:rPr>
              <w:lang w:val="fr-FR"/>
            </w:rPr>
          </w:pPr>
        </w:p>
      </w:tc>
    </w:tr>
  </w:tbl>
  <w:p w:rsidR="002D568C" w:rsidRPr="00DB46C3" w:rsidRDefault="002D568C">
    <w:pPr>
      <w:rPr>
        <w:lang w:val="fr-FR"/>
      </w:rPr>
    </w:pPr>
  </w:p>
  <w:p w:rsidR="002D568C" w:rsidRPr="002F4496" w:rsidRDefault="002D568C">
    <w:pPr>
      <w:pStyle w:val="Header"/>
      <w:rPr>
        <w:lang w:val="fr-FR"/>
      </w:rPr>
    </w:pPr>
  </w:p>
  <w:p w:rsidR="002D568C" w:rsidRPr="002F4496" w:rsidRDefault="002D568C" w:rsidP="000C06C9">
    <w:pPr>
      <w:pStyle w:val="Header"/>
      <w:tabs>
        <w:tab w:val="clear" w:pos="4536"/>
        <w:tab w:val="clear" w:pos="9072"/>
        <w:tab w:val="left" w:pos="8227"/>
      </w:tabs>
      <w:rPr>
        <w:lang w:val="fr-FR"/>
      </w:rPr>
    </w:pPr>
  </w:p>
  <w:p w:rsidR="002D568C" w:rsidRPr="002F4496" w:rsidRDefault="002D568C" w:rsidP="000C06C9">
    <w:pPr>
      <w:pStyle w:val="Header"/>
      <w:tabs>
        <w:tab w:val="clear" w:pos="4536"/>
        <w:tab w:val="clear" w:pos="9072"/>
        <w:tab w:val="left" w:pos="8227"/>
      </w:tabs>
      <w:rPr>
        <w:lang w:val="fr-FR"/>
      </w:rPr>
    </w:pPr>
  </w:p>
  <w:p w:rsidR="002D568C" w:rsidRPr="002F4496" w:rsidRDefault="002D568C">
    <w:pPr>
      <w:pStyle w:val="Header"/>
      <w:rPr>
        <w:lang w:val="fr-FR"/>
      </w:rPr>
    </w:pPr>
  </w:p>
  <w:p w:rsidR="002D568C" w:rsidRPr="002F4496" w:rsidRDefault="002D568C">
    <w:pPr>
      <w:pStyle w:val="Header"/>
      <w:rPr>
        <w:lang w:val="fr-FR"/>
      </w:rPr>
    </w:pPr>
  </w:p>
  <w:p w:rsidR="002D568C" w:rsidRPr="002F4496" w:rsidRDefault="002D568C">
    <w:pPr>
      <w:pStyle w:val="Header"/>
      <w:rPr>
        <w:lang w:val="fr-FR"/>
      </w:rPr>
    </w:pPr>
  </w:p>
  <w:p w:rsidR="002D568C" w:rsidRPr="002F4496" w:rsidRDefault="002D568C">
    <w:pPr>
      <w:pStyle w:val="Header"/>
      <w:rPr>
        <w:lang w:val="fr-FR"/>
      </w:rPr>
    </w:pPr>
  </w:p>
  <w:p w:rsidR="002D568C" w:rsidRPr="002F4496" w:rsidRDefault="002D568C">
    <w:pPr>
      <w:pStyle w:val="Header"/>
      <w:rPr>
        <w:highlight w:val="yellow"/>
        <w:lang w:val="fr-FR"/>
      </w:rPr>
    </w:pPr>
  </w:p>
  <w:p w:rsidR="002D568C" w:rsidRDefault="005B7E9D">
    <w:pPr>
      <w:pStyle w:val="Header"/>
    </w:pPr>
    <w:r>
      <w:rPr>
        <w:noProof/>
        <w:lang w:eastAsia="en-GB"/>
      </w:rPr>
      <w:pict>
        <v:line id="Straight Connector 138" o:spid="_x0000_s2049"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strokecolor="#283583" strokeweight="1pt">
          <w10:wrap anchorx="page" anchory="page"/>
        </v:line>
      </w:pict>
    </w:r>
    <w:r w:rsidR="002D568C">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8B51FD"/>
    <w:multiLevelType w:val="hybridMultilevel"/>
    <w:tmpl w:val="61AEE2A8"/>
    <w:lvl w:ilvl="0" w:tplc="FC3891A2">
      <w:numFmt w:val="bullet"/>
      <w:lvlText w:val="•"/>
      <w:lvlJc w:val="left"/>
      <w:pPr>
        <w:ind w:left="1068" w:hanging="708"/>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8F056F"/>
    <w:multiLevelType w:val="hybridMultilevel"/>
    <w:tmpl w:val="5B9CD8F8"/>
    <w:lvl w:ilvl="0" w:tplc="FC3891A2">
      <w:numFmt w:val="bullet"/>
      <w:lvlText w:val="•"/>
      <w:lvlJc w:val="left"/>
      <w:pPr>
        <w:ind w:left="1068" w:hanging="708"/>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964962"/>
    <w:multiLevelType w:val="hybridMultilevel"/>
    <w:tmpl w:val="D7E0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36F4F"/>
    <w:multiLevelType w:val="multilevel"/>
    <w:tmpl w:val="EBC0D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7907726"/>
    <w:multiLevelType w:val="hybridMultilevel"/>
    <w:tmpl w:val="7966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BAD259D"/>
    <w:multiLevelType w:val="hybridMultilevel"/>
    <w:tmpl w:val="3D8C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4D84E23"/>
    <w:multiLevelType w:val="hybridMultilevel"/>
    <w:tmpl w:val="98DA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A702D"/>
    <w:multiLevelType w:val="hybridMultilevel"/>
    <w:tmpl w:val="A280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7"/>
  </w:num>
  <w:num w:numId="5">
    <w:abstractNumId w:val="29"/>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4"/>
  </w:num>
  <w:num w:numId="15">
    <w:abstractNumId w:val="10"/>
  </w:num>
  <w:num w:numId="16">
    <w:abstractNumId w:val="1"/>
  </w:num>
  <w:num w:numId="17">
    <w:abstractNumId w:val="16"/>
  </w:num>
  <w:num w:numId="18">
    <w:abstractNumId w:val="17"/>
  </w:num>
  <w:num w:numId="19">
    <w:abstractNumId w:val="19"/>
  </w:num>
  <w:num w:numId="20">
    <w:abstractNumId w:val="30"/>
  </w:num>
  <w:num w:numId="21">
    <w:abstractNumId w:val="41"/>
  </w:num>
  <w:num w:numId="22">
    <w:abstractNumId w:val="28"/>
  </w:num>
  <w:num w:numId="23">
    <w:abstractNumId w:val="9"/>
  </w:num>
  <w:num w:numId="24">
    <w:abstractNumId w:val="34"/>
  </w:num>
  <w:num w:numId="25">
    <w:abstractNumId w:val="33"/>
  </w:num>
  <w:num w:numId="26">
    <w:abstractNumId w:val="21"/>
  </w:num>
  <w:num w:numId="27">
    <w:abstractNumId w:val="37"/>
  </w:num>
  <w:num w:numId="28">
    <w:abstractNumId w:val="45"/>
  </w:num>
  <w:num w:numId="29">
    <w:abstractNumId w:val="6"/>
  </w:num>
  <w:num w:numId="30">
    <w:abstractNumId w:val="3"/>
  </w:num>
  <w:num w:numId="31">
    <w:abstractNumId w:val="23"/>
  </w:num>
  <w:num w:numId="32">
    <w:abstractNumId w:val="22"/>
  </w:num>
  <w:num w:numId="33">
    <w:abstractNumId w:val="40"/>
  </w:num>
  <w:num w:numId="34">
    <w:abstractNumId w:val="39"/>
  </w:num>
  <w:num w:numId="35">
    <w:abstractNumId w:val="1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8"/>
  </w:num>
  <w:num w:numId="39">
    <w:abstractNumId w:val="42"/>
  </w:num>
  <w:num w:numId="40">
    <w:abstractNumId w:val="43"/>
  </w:num>
  <w:num w:numId="41">
    <w:abstractNumId w:val="25"/>
  </w:num>
  <w:num w:numId="42">
    <w:abstractNumId w:val="2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
  </w:num>
  <w:num w:numId="46">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7Bapipa3llZGlbe0MCipdUydhKvo/z6B4iyOkil26oeG16UQEwc23qY3rvBRSJFN1PvfU5UNEC4VGhbFD9Xw==" w:salt="cRpjVhpNDvWgMXkC5mbwhg=="/>
  <w:defaultTabStop w:val="709"/>
  <w:autoHyphenation/>
  <w:hyphenationZone w:val="567"/>
  <w:characterSpacingControl w:val="doNotCompress"/>
  <w:hdrShapeDefaults>
    <o:shapedefaults v:ext="edit" spidmax="2051">
      <o:colormru v:ext="edit" colors="#2d4491,#283583"/>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47F37"/>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2D3"/>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3AB9"/>
    <w:rsid w:val="000B55C0"/>
    <w:rsid w:val="000B5A31"/>
    <w:rsid w:val="000B5DF2"/>
    <w:rsid w:val="000C06C9"/>
    <w:rsid w:val="000C1DCC"/>
    <w:rsid w:val="000C1FBC"/>
    <w:rsid w:val="000C2B6A"/>
    <w:rsid w:val="000C2F88"/>
    <w:rsid w:val="000C55C8"/>
    <w:rsid w:val="000C57C4"/>
    <w:rsid w:val="000C5FD3"/>
    <w:rsid w:val="000C701D"/>
    <w:rsid w:val="000C7C4A"/>
    <w:rsid w:val="000D0FB4"/>
    <w:rsid w:val="000D17AA"/>
    <w:rsid w:val="000D2D0B"/>
    <w:rsid w:val="000D340A"/>
    <w:rsid w:val="000D4660"/>
    <w:rsid w:val="000D705D"/>
    <w:rsid w:val="000D7423"/>
    <w:rsid w:val="000D7EB9"/>
    <w:rsid w:val="000E0223"/>
    <w:rsid w:val="000E0CF3"/>
    <w:rsid w:val="000E18A8"/>
    <w:rsid w:val="000E1AEC"/>
    <w:rsid w:val="000E3937"/>
    <w:rsid w:val="000E4926"/>
    <w:rsid w:val="000E5F7F"/>
    <w:rsid w:val="000E7086"/>
    <w:rsid w:val="000E7C65"/>
    <w:rsid w:val="000E7DCE"/>
    <w:rsid w:val="000F04D2"/>
    <w:rsid w:val="000F55B7"/>
    <w:rsid w:val="000F5C22"/>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138"/>
    <w:rsid w:val="001372DD"/>
    <w:rsid w:val="001405BA"/>
    <w:rsid w:val="00141497"/>
    <w:rsid w:val="0014253A"/>
    <w:rsid w:val="001425C8"/>
    <w:rsid w:val="001431AE"/>
    <w:rsid w:val="0014382D"/>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25D"/>
    <w:rsid w:val="001E66EC"/>
    <w:rsid w:val="001E68C5"/>
    <w:rsid w:val="001F0F63"/>
    <w:rsid w:val="001F2AD2"/>
    <w:rsid w:val="001F3996"/>
    <w:rsid w:val="001F44A4"/>
    <w:rsid w:val="001F579D"/>
    <w:rsid w:val="001F65EF"/>
    <w:rsid w:val="001F697B"/>
    <w:rsid w:val="002005A6"/>
    <w:rsid w:val="002014C4"/>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3F1C"/>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568C"/>
    <w:rsid w:val="002D63F5"/>
    <w:rsid w:val="002D6E1A"/>
    <w:rsid w:val="002E036D"/>
    <w:rsid w:val="002E1517"/>
    <w:rsid w:val="002E1B22"/>
    <w:rsid w:val="002E387F"/>
    <w:rsid w:val="002E5E69"/>
    <w:rsid w:val="002E7113"/>
    <w:rsid w:val="002E7F4B"/>
    <w:rsid w:val="002F0C91"/>
    <w:rsid w:val="002F0E3E"/>
    <w:rsid w:val="002F1B19"/>
    <w:rsid w:val="002F1FBF"/>
    <w:rsid w:val="002F2A9A"/>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5B14"/>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4084"/>
    <w:rsid w:val="003E50EA"/>
    <w:rsid w:val="003E60D3"/>
    <w:rsid w:val="003E68C7"/>
    <w:rsid w:val="003E79B0"/>
    <w:rsid w:val="003F0403"/>
    <w:rsid w:val="003F1094"/>
    <w:rsid w:val="003F2E45"/>
    <w:rsid w:val="003F3EFE"/>
    <w:rsid w:val="003F40B8"/>
    <w:rsid w:val="003F5C06"/>
    <w:rsid w:val="00400195"/>
    <w:rsid w:val="0040075B"/>
    <w:rsid w:val="0040254B"/>
    <w:rsid w:val="004027C9"/>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334"/>
    <w:rsid w:val="00437929"/>
    <w:rsid w:val="00437A4A"/>
    <w:rsid w:val="00440541"/>
    <w:rsid w:val="0044162D"/>
    <w:rsid w:val="0044277A"/>
    <w:rsid w:val="004456DC"/>
    <w:rsid w:val="00447FBE"/>
    <w:rsid w:val="0045035E"/>
    <w:rsid w:val="0045175A"/>
    <w:rsid w:val="00451995"/>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3F9D"/>
    <w:rsid w:val="004D42C8"/>
    <w:rsid w:val="004D4F57"/>
    <w:rsid w:val="004D50F6"/>
    <w:rsid w:val="004D5A0D"/>
    <w:rsid w:val="004D71B6"/>
    <w:rsid w:val="004D7910"/>
    <w:rsid w:val="004D7DEA"/>
    <w:rsid w:val="004E0A28"/>
    <w:rsid w:val="004E1A0F"/>
    <w:rsid w:val="004E2E89"/>
    <w:rsid w:val="004E33C2"/>
    <w:rsid w:val="004E3B9A"/>
    <w:rsid w:val="004E49B0"/>
    <w:rsid w:val="004E62DE"/>
    <w:rsid w:val="004E6B05"/>
    <w:rsid w:val="004E76A1"/>
    <w:rsid w:val="004F05DE"/>
    <w:rsid w:val="004F11C9"/>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27598"/>
    <w:rsid w:val="00530652"/>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B7E9D"/>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17D5"/>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5EA"/>
    <w:rsid w:val="005F5ACF"/>
    <w:rsid w:val="005F60DC"/>
    <w:rsid w:val="005F6688"/>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29A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578"/>
    <w:rsid w:val="00685653"/>
    <w:rsid w:val="0068590D"/>
    <w:rsid w:val="00685A89"/>
    <w:rsid w:val="006861B3"/>
    <w:rsid w:val="00686FA2"/>
    <w:rsid w:val="006870C5"/>
    <w:rsid w:val="00690F0E"/>
    <w:rsid w:val="006911C0"/>
    <w:rsid w:val="00691A91"/>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707"/>
    <w:rsid w:val="006C5E96"/>
    <w:rsid w:val="006D399F"/>
    <w:rsid w:val="006D4F0C"/>
    <w:rsid w:val="006D5645"/>
    <w:rsid w:val="006D7280"/>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93B"/>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156"/>
    <w:rsid w:val="00761F4E"/>
    <w:rsid w:val="00762150"/>
    <w:rsid w:val="00762621"/>
    <w:rsid w:val="00763F36"/>
    <w:rsid w:val="007648A0"/>
    <w:rsid w:val="00765431"/>
    <w:rsid w:val="00766F4D"/>
    <w:rsid w:val="00770268"/>
    <w:rsid w:val="007706B9"/>
    <w:rsid w:val="007707ED"/>
    <w:rsid w:val="00771C3B"/>
    <w:rsid w:val="00772694"/>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276F"/>
    <w:rsid w:val="007C49C0"/>
    <w:rsid w:val="007C55C1"/>
    <w:rsid w:val="007C5738"/>
    <w:rsid w:val="007C5772"/>
    <w:rsid w:val="007C5AC3"/>
    <w:rsid w:val="007C7233"/>
    <w:rsid w:val="007D02B0"/>
    <w:rsid w:val="007D10EE"/>
    <w:rsid w:val="007D1193"/>
    <w:rsid w:val="007D11CF"/>
    <w:rsid w:val="007D21D5"/>
    <w:rsid w:val="007D3E8D"/>
    <w:rsid w:val="007D5915"/>
    <w:rsid w:val="007D5B4F"/>
    <w:rsid w:val="007D5C30"/>
    <w:rsid w:val="007D6C56"/>
    <w:rsid w:val="007E0660"/>
    <w:rsid w:val="007E1411"/>
    <w:rsid w:val="007E1882"/>
    <w:rsid w:val="007E1BB4"/>
    <w:rsid w:val="007E3514"/>
    <w:rsid w:val="007E4AAA"/>
    <w:rsid w:val="007E4BD2"/>
    <w:rsid w:val="007E4C29"/>
    <w:rsid w:val="007E5556"/>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678BE"/>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74"/>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6EA1"/>
    <w:rsid w:val="009371DC"/>
    <w:rsid w:val="0093759D"/>
    <w:rsid w:val="00940239"/>
    <w:rsid w:val="00942BD6"/>
    <w:rsid w:val="00942DED"/>
    <w:rsid w:val="00944404"/>
    <w:rsid w:val="009445E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27E"/>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17A4"/>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1F2"/>
    <w:rsid w:val="009B7658"/>
    <w:rsid w:val="009B7CD1"/>
    <w:rsid w:val="009B7E22"/>
    <w:rsid w:val="009B7E78"/>
    <w:rsid w:val="009C107A"/>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D795F"/>
    <w:rsid w:val="009E0711"/>
    <w:rsid w:val="009E1917"/>
    <w:rsid w:val="009E1BA5"/>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6667"/>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56B"/>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D61"/>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1E8E"/>
    <w:rsid w:val="00B525C0"/>
    <w:rsid w:val="00B52FAB"/>
    <w:rsid w:val="00B5319A"/>
    <w:rsid w:val="00B539F9"/>
    <w:rsid w:val="00B53E56"/>
    <w:rsid w:val="00B546C3"/>
    <w:rsid w:val="00B54BD9"/>
    <w:rsid w:val="00B5503C"/>
    <w:rsid w:val="00B55640"/>
    <w:rsid w:val="00B57107"/>
    <w:rsid w:val="00B60D27"/>
    <w:rsid w:val="00B619E4"/>
    <w:rsid w:val="00B61D0B"/>
    <w:rsid w:val="00B63BA0"/>
    <w:rsid w:val="00B6439A"/>
    <w:rsid w:val="00B6443B"/>
    <w:rsid w:val="00B6517B"/>
    <w:rsid w:val="00B65E71"/>
    <w:rsid w:val="00B66C26"/>
    <w:rsid w:val="00B705C4"/>
    <w:rsid w:val="00B70FEC"/>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2D8B"/>
    <w:rsid w:val="00BA31AA"/>
    <w:rsid w:val="00BA45D8"/>
    <w:rsid w:val="00BA5828"/>
    <w:rsid w:val="00BA64B3"/>
    <w:rsid w:val="00BA754A"/>
    <w:rsid w:val="00BA7820"/>
    <w:rsid w:val="00BA794C"/>
    <w:rsid w:val="00BB09FB"/>
    <w:rsid w:val="00BB15F2"/>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2C1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28F"/>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C86"/>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61D"/>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2C7"/>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0321"/>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C7EDA"/>
    <w:rsid w:val="00DD0444"/>
    <w:rsid w:val="00DD2D92"/>
    <w:rsid w:val="00DD3026"/>
    <w:rsid w:val="00DD31DB"/>
    <w:rsid w:val="00DD33DC"/>
    <w:rsid w:val="00DD3BB0"/>
    <w:rsid w:val="00DD61F5"/>
    <w:rsid w:val="00DE4681"/>
    <w:rsid w:val="00DE64A6"/>
    <w:rsid w:val="00DE66EB"/>
    <w:rsid w:val="00DE7035"/>
    <w:rsid w:val="00DF12E3"/>
    <w:rsid w:val="00DF3F1D"/>
    <w:rsid w:val="00DF595C"/>
    <w:rsid w:val="00DF5C2C"/>
    <w:rsid w:val="00DF7E50"/>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1802"/>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CB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19E"/>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658"/>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7035"/>
    <w:rsid w:val="00F10A54"/>
    <w:rsid w:val="00F123D0"/>
    <w:rsid w:val="00F13200"/>
    <w:rsid w:val="00F13411"/>
    <w:rsid w:val="00F143BA"/>
    <w:rsid w:val="00F14D98"/>
    <w:rsid w:val="00F172F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64E"/>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1E06"/>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54A"/>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2d4491,#283583"/>
    </o:shapedefaults>
    <o:shapelayout v:ext="edit">
      <o:idmap v:ext="edit" data="1"/>
    </o:shapelayout>
  </w:shapeDefaults>
  <w:decimalSymbol w:val="."/>
  <w:listSeparator w:val=","/>
  <w15:docId w15:val="{94346083-AE5A-46B7-862E-3B36C66A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sma.europa.eu"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www.icmagroup.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esma.europa.eu"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2909</Words>
  <Characters>16587</Characters>
  <Application>Microsoft Office Word</Application>
  <DocSecurity>8</DocSecurity>
  <Lines>138</Lines>
  <Paragraphs>38</Paragraphs>
  <ScaleCrop>false</ScaleCrop>
  <Company/>
  <LinksUpToDate>false</LinksUpToDate>
  <CharactersWithSpaces>19458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Leonie Scott</cp:lastModifiedBy>
  <cp:revision>3</cp:revision>
  <dcterms:created xsi:type="dcterms:W3CDTF">2017-09-28T10:26:00Z</dcterms:created>
  <dcterms:modified xsi:type="dcterms:W3CDTF">2017-09-28T11:07:00Z</dcterms:modified>
</cp:coreProperties>
</file>