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4D69F392" w:rsidR="00C2094B" w:rsidRPr="004E49B0" w:rsidRDefault="00357C60" w:rsidP="00357C60">
            <w:pPr>
              <w:pStyle w:val="00bDBInfo"/>
              <w:rPr>
                <w:rFonts w:cs="Arial"/>
              </w:rPr>
            </w:pPr>
            <w:r>
              <w:rPr>
                <w:rFonts w:cs="Arial"/>
              </w:rPr>
              <w:t>6</w:t>
            </w:r>
            <w:r w:rsidR="00F65811">
              <w:rPr>
                <w:rFonts w:cs="Arial"/>
              </w:rPr>
              <w:t xml:space="preserve"> </w:t>
            </w:r>
            <w:r>
              <w:rPr>
                <w:rFonts w:cs="Arial"/>
              </w:rPr>
              <w:t>July</w:t>
            </w:r>
            <w:r w:rsidR="00F65811">
              <w:rPr>
                <w:rFonts w:cs="Arial"/>
              </w:rPr>
              <w:t xml:space="preserve"> 2017</w:t>
            </w:r>
          </w:p>
        </w:tc>
      </w:tr>
    </w:tbl>
    <w:p w14:paraId="6073C368"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14:paraId="703300F6" w14:textId="77777777" w:rsidTr="006F4535">
        <w:trPr>
          <w:trHeight w:hRule="exact" w:val="1912"/>
        </w:trPr>
        <w:tc>
          <w:tcPr>
            <w:tcW w:w="9586" w:type="dxa"/>
            <w:vAlign w:val="bottom"/>
          </w:tcPr>
          <w:p w14:paraId="541C47D1" w14:textId="74B1FB0F" w:rsidR="006F4535" w:rsidRDefault="006F4535" w:rsidP="006F4535">
            <w:pPr>
              <w:pStyle w:val="01aDBTitle"/>
              <w:rPr>
                <w:rFonts w:cs="Arial"/>
                <w:sz w:val="32"/>
              </w:rPr>
            </w:pPr>
            <w:r w:rsidRPr="009A053D">
              <w:rPr>
                <w:rFonts w:cs="Arial"/>
                <w:sz w:val="32"/>
              </w:rPr>
              <w:t>Re</w:t>
            </w:r>
            <w:r w:rsidR="00A25816">
              <w:rPr>
                <w:rFonts w:cs="Arial"/>
                <w:sz w:val="32"/>
              </w:rPr>
              <w:t>sponse</w:t>
            </w:r>
            <w:r w:rsidRPr="009A053D">
              <w:rPr>
                <w:rFonts w:cs="Arial"/>
                <w:sz w:val="32"/>
              </w:rPr>
              <w:t xml:space="preserve"> form for the </w:t>
            </w:r>
            <w:r w:rsidRPr="00BF28DA">
              <w:rPr>
                <w:rFonts w:cs="Arial"/>
                <w:sz w:val="32"/>
              </w:rPr>
              <w:t xml:space="preserve">Consultation </w:t>
            </w:r>
            <w:r>
              <w:rPr>
                <w:rFonts w:cs="Arial"/>
                <w:sz w:val="32"/>
              </w:rPr>
              <w:t>Paper</w:t>
            </w:r>
            <w:r w:rsidRPr="00BF28DA">
              <w:rPr>
                <w:rFonts w:cs="Arial"/>
                <w:sz w:val="32"/>
              </w:rPr>
              <w:t xml:space="preserve"> on  </w:t>
            </w:r>
          </w:p>
          <w:p w14:paraId="427F2A9D" w14:textId="1E136FF4" w:rsidR="00EB2A3F" w:rsidRPr="00550A1A" w:rsidRDefault="0051277E" w:rsidP="00EB2A3F">
            <w:pPr>
              <w:pStyle w:val="01aDBTitle"/>
              <w:rPr>
                <w:rFonts w:cs="Arial"/>
                <w:sz w:val="32"/>
                <w:szCs w:val="32"/>
              </w:rPr>
            </w:pPr>
            <w:r w:rsidRPr="00550A1A">
              <w:rPr>
                <w:rFonts w:cs="Arial"/>
                <w:sz w:val="32"/>
                <w:szCs w:val="32"/>
              </w:rPr>
              <w:t>scrutiny and approval</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F4535">
        <w:trPr>
          <w:trHeight w:hRule="exact" w:val="956"/>
        </w:trPr>
        <w:tc>
          <w:tcPr>
            <w:tcW w:w="958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79D27F8E" w:rsidR="00620D7C" w:rsidRPr="004E49B0" w:rsidRDefault="00620D7C" w:rsidP="00357C60">
            <w:pPr>
              <w:pStyle w:val="02Date"/>
              <w:rPr>
                <w:rFonts w:cs="Arial"/>
              </w:rPr>
            </w:pPr>
            <w:r w:rsidRPr="004E49B0">
              <w:rPr>
                <w:rFonts w:cs="Arial"/>
              </w:rPr>
              <w:lastRenderedPageBreak/>
              <w:t xml:space="preserve">Date: </w:t>
            </w:r>
            <w:r w:rsidR="00357C60">
              <w:rPr>
                <w:rFonts w:cs="Arial"/>
              </w:rPr>
              <w:t>6 July</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BF7B2B6" w14:textId="77777777" w:rsidR="0051277E" w:rsidRPr="00550A1A" w:rsidRDefault="0051277E" w:rsidP="0051277E">
      <w:pPr>
        <w:spacing w:after="240"/>
        <w:jc w:val="both"/>
        <w:rPr>
          <w:rStyle w:val="SchwacheHervorhebung"/>
          <w:b w:val="0"/>
          <w:sz w:val="22"/>
        </w:rPr>
      </w:pPr>
      <w:r w:rsidRPr="00550A1A">
        <w:rPr>
          <w:rStyle w:val="SchwacheHervorhebung"/>
          <w:b w:val="0"/>
          <w:sz w:val="22"/>
        </w:rPr>
        <w:t>ESMA invites responses to the questions set out throughout this Consultation Paper. Responses are most helpful if they:</w:t>
      </w:r>
    </w:p>
    <w:p w14:paraId="388FB86C" w14:textId="77777777" w:rsidR="0051277E" w:rsidRPr="00550A1A" w:rsidRDefault="0051277E" w:rsidP="0051277E">
      <w:pPr>
        <w:pStyle w:val="Listenabsatz"/>
        <w:numPr>
          <w:ilvl w:val="0"/>
          <w:numId w:val="56"/>
        </w:numPr>
        <w:spacing w:after="240" w:line="276" w:lineRule="auto"/>
        <w:ind w:left="567" w:hanging="567"/>
        <w:contextualSpacing w:val="0"/>
        <w:jc w:val="both"/>
        <w:rPr>
          <w:rStyle w:val="SchwacheHervorhebung"/>
          <w:b w:val="0"/>
          <w:sz w:val="22"/>
        </w:rPr>
      </w:pPr>
      <w:r w:rsidRPr="00550A1A">
        <w:rPr>
          <w:rStyle w:val="SchwacheHervorhebung"/>
          <w:b w:val="0"/>
          <w:sz w:val="22"/>
        </w:rPr>
        <w:t>respond to the question stated;</w:t>
      </w:r>
    </w:p>
    <w:p w14:paraId="7CA2EBEF" w14:textId="77777777" w:rsidR="0051277E" w:rsidRPr="00550A1A" w:rsidRDefault="0051277E" w:rsidP="0051277E">
      <w:pPr>
        <w:pStyle w:val="Listenabsatz"/>
        <w:numPr>
          <w:ilvl w:val="0"/>
          <w:numId w:val="56"/>
        </w:numPr>
        <w:spacing w:after="240" w:line="276" w:lineRule="auto"/>
        <w:ind w:left="567" w:hanging="567"/>
        <w:contextualSpacing w:val="0"/>
        <w:jc w:val="both"/>
        <w:rPr>
          <w:rStyle w:val="SchwacheHervorhebung"/>
          <w:b w:val="0"/>
          <w:sz w:val="22"/>
        </w:rPr>
      </w:pPr>
      <w:r w:rsidRPr="00550A1A">
        <w:rPr>
          <w:rStyle w:val="SchwacheHervorhebung"/>
          <w:b w:val="0"/>
          <w:sz w:val="22"/>
        </w:rPr>
        <w:t>contain a clear rationale; and</w:t>
      </w:r>
    </w:p>
    <w:p w14:paraId="114234D3" w14:textId="77777777" w:rsidR="0051277E" w:rsidRPr="00550A1A" w:rsidRDefault="0051277E" w:rsidP="0051277E">
      <w:pPr>
        <w:pStyle w:val="Listenabsatz"/>
        <w:numPr>
          <w:ilvl w:val="0"/>
          <w:numId w:val="56"/>
        </w:numPr>
        <w:spacing w:after="240" w:line="276" w:lineRule="auto"/>
        <w:ind w:left="567" w:hanging="567"/>
        <w:contextualSpacing w:val="0"/>
        <w:jc w:val="both"/>
        <w:rPr>
          <w:rStyle w:val="SchwacheHervorhebung"/>
          <w:b w:val="0"/>
          <w:sz w:val="22"/>
        </w:rPr>
      </w:pPr>
      <w:r w:rsidRPr="00550A1A">
        <w:rPr>
          <w:rStyle w:val="SchwacheHervorhebung"/>
          <w:b w:val="0"/>
          <w:sz w:val="22"/>
        </w:rPr>
        <w:t>describe any alternatives ESMA should consider.</w:t>
      </w:r>
    </w:p>
    <w:p w14:paraId="33F14604" w14:textId="77777777" w:rsidR="0051277E" w:rsidRPr="00550A1A" w:rsidRDefault="0051277E" w:rsidP="0051277E">
      <w:pPr>
        <w:spacing w:after="240"/>
        <w:jc w:val="both"/>
        <w:rPr>
          <w:rStyle w:val="SchwacheHervorhebung"/>
          <w:b w:val="0"/>
          <w:sz w:val="22"/>
        </w:rPr>
      </w:pPr>
      <w:r w:rsidRPr="00550A1A">
        <w:rPr>
          <w:rStyle w:val="SchwacheHervorhebung"/>
          <w:b w:val="0"/>
          <w:sz w:val="22"/>
        </w:rPr>
        <w:t>ESMA will consider all responses received by 28 September 2017.</w:t>
      </w:r>
    </w:p>
    <w:p w14:paraId="4A17C63E" w14:textId="77777777" w:rsidR="0051277E" w:rsidRPr="00550A1A" w:rsidRDefault="0051277E" w:rsidP="0051277E">
      <w:pPr>
        <w:spacing w:after="120"/>
        <w:jc w:val="both"/>
        <w:rPr>
          <w:rStyle w:val="SchwacheHervorhebung"/>
          <w:sz w:val="22"/>
        </w:rPr>
      </w:pPr>
      <w:r w:rsidRPr="00550A1A">
        <w:rPr>
          <w:rStyle w:val="SchwacheHervorhebung"/>
          <w:sz w:val="22"/>
        </w:rPr>
        <w:t>Instructions</w:t>
      </w:r>
    </w:p>
    <w:p w14:paraId="0D1D1A9C" w14:textId="77777777" w:rsidR="0051277E" w:rsidRPr="00550A1A" w:rsidRDefault="0051277E" w:rsidP="0051277E">
      <w:pPr>
        <w:spacing w:after="240"/>
        <w:jc w:val="both"/>
        <w:rPr>
          <w:rStyle w:val="SchwacheHervorhebung"/>
          <w:b w:val="0"/>
          <w:sz w:val="22"/>
        </w:rPr>
      </w:pPr>
      <w:r w:rsidRPr="00550A1A">
        <w:rPr>
          <w:rStyle w:val="SchwacheHervorhebung"/>
          <w:b w:val="0"/>
          <w:sz w:val="22"/>
        </w:rPr>
        <w:t>In order to facilitate analysis of responses to the Consultation Paper, respondents are requested to follow the below steps when preparing and submitting their response:</w:t>
      </w:r>
    </w:p>
    <w:p w14:paraId="30927D3B" w14:textId="77777777" w:rsidR="0051277E" w:rsidRPr="00550A1A" w:rsidRDefault="0051277E" w:rsidP="0051277E">
      <w:pPr>
        <w:pStyle w:val="Listenabsatz"/>
        <w:numPr>
          <w:ilvl w:val="0"/>
          <w:numId w:val="56"/>
        </w:numPr>
        <w:spacing w:after="240" w:line="276" w:lineRule="auto"/>
        <w:ind w:left="567" w:hanging="567"/>
        <w:contextualSpacing w:val="0"/>
        <w:jc w:val="both"/>
        <w:rPr>
          <w:rStyle w:val="SchwacheHervorhebung"/>
          <w:b w:val="0"/>
          <w:sz w:val="22"/>
        </w:rPr>
      </w:pPr>
      <w:r w:rsidRPr="00550A1A">
        <w:rPr>
          <w:rStyle w:val="SchwacheHervorhebung"/>
          <w:b w:val="0"/>
          <w:sz w:val="22"/>
        </w:rPr>
        <w:t>Insert your responses to the questions in the Consultation Paper in the form “Response form_Consultation Paper on scrutiny and approval”, available on ESMA’s website alongside the present Consultation Paper (</w:t>
      </w:r>
      <w:hyperlink r:id="rId16" w:history="1">
        <w:r w:rsidRPr="00550A1A">
          <w:rPr>
            <w:rStyle w:val="Hyperlink"/>
            <w:rFonts w:cs="Arial"/>
            <w:sz w:val="22"/>
          </w:rPr>
          <w:t>www.esma.europa.eu</w:t>
        </w:r>
      </w:hyperlink>
      <w:r w:rsidRPr="00550A1A">
        <w:rPr>
          <w:rStyle w:val="SchwacheHervorhebung"/>
          <w:b w:val="0"/>
          <w:sz w:val="22"/>
        </w:rPr>
        <w:t xml:space="preserve"> </w:t>
      </w:r>
      <w:r w:rsidRPr="00550A1A">
        <w:rPr>
          <w:rStyle w:val="SchwacheHervorhebung"/>
          <w:b w:val="0"/>
          <w:sz w:val="22"/>
        </w:rPr>
        <w:sym w:font="Wingdings" w:char="F0E0"/>
      </w:r>
      <w:r w:rsidRPr="00550A1A">
        <w:rPr>
          <w:rStyle w:val="SchwacheHervorhebung"/>
          <w:b w:val="0"/>
          <w:sz w:val="22"/>
        </w:rPr>
        <w:t xml:space="preserve"> ‘Your input – Open consultations’ </w:t>
      </w:r>
      <w:r w:rsidRPr="00550A1A">
        <w:rPr>
          <w:rStyle w:val="SchwacheHervorhebung"/>
          <w:b w:val="0"/>
          <w:sz w:val="22"/>
        </w:rPr>
        <w:sym w:font="Wingdings" w:char="F0E0"/>
      </w:r>
      <w:r w:rsidRPr="00550A1A">
        <w:rPr>
          <w:rStyle w:val="SchwacheHervorhebung"/>
          <w:b w:val="0"/>
          <w:sz w:val="22"/>
        </w:rPr>
        <w:t xml:space="preserve"> ‘Consultation on technical advice under the new Prospectus Regulation’).</w:t>
      </w:r>
    </w:p>
    <w:p w14:paraId="7EDB20DD" w14:textId="77777777" w:rsidR="0051277E" w:rsidRPr="00550A1A" w:rsidRDefault="0051277E" w:rsidP="0051277E">
      <w:pPr>
        <w:pStyle w:val="Listenabsatz"/>
        <w:numPr>
          <w:ilvl w:val="0"/>
          <w:numId w:val="56"/>
        </w:numPr>
        <w:spacing w:after="240" w:line="276" w:lineRule="auto"/>
        <w:ind w:left="567" w:hanging="567"/>
        <w:contextualSpacing w:val="0"/>
        <w:jc w:val="both"/>
        <w:rPr>
          <w:rStyle w:val="SchwacheHervorhebung"/>
          <w:b w:val="0"/>
          <w:sz w:val="22"/>
        </w:rPr>
      </w:pPr>
      <w:r w:rsidRPr="00550A1A">
        <w:rPr>
          <w:rStyle w:val="SchwacheHervorhebung"/>
          <w:b w:val="0"/>
          <w:sz w:val="22"/>
        </w:rPr>
        <w:t>Please do not remove tags of the type &lt;ESMA_QUESTION_SAC_1&gt;. Your response to each question has to be framed by the two tags corresponding to the question.</w:t>
      </w:r>
    </w:p>
    <w:p w14:paraId="3788B5B9" w14:textId="77777777" w:rsidR="0051277E" w:rsidRPr="00550A1A" w:rsidRDefault="0051277E" w:rsidP="0051277E">
      <w:pPr>
        <w:pStyle w:val="Listenabsatz"/>
        <w:numPr>
          <w:ilvl w:val="0"/>
          <w:numId w:val="56"/>
        </w:numPr>
        <w:spacing w:after="240" w:line="276" w:lineRule="auto"/>
        <w:ind w:left="567" w:hanging="567"/>
        <w:contextualSpacing w:val="0"/>
        <w:jc w:val="both"/>
        <w:rPr>
          <w:rStyle w:val="SchwacheHervorhebung"/>
          <w:b w:val="0"/>
          <w:sz w:val="22"/>
        </w:rPr>
      </w:pPr>
      <w:r w:rsidRPr="00550A1A">
        <w:rPr>
          <w:rStyle w:val="SchwacheHervorhebung"/>
          <w:b w:val="0"/>
          <w:sz w:val="22"/>
        </w:rPr>
        <w:t>If you do not wish to respond to a given question, please do not delete it but simply leave the text “TYPE YOUR TEXT HERE” between the tags.</w:t>
      </w:r>
    </w:p>
    <w:p w14:paraId="12B0425E" w14:textId="77777777" w:rsidR="0051277E" w:rsidRPr="00550A1A" w:rsidRDefault="0051277E" w:rsidP="0051277E">
      <w:pPr>
        <w:pStyle w:val="Listenabsatz"/>
        <w:numPr>
          <w:ilvl w:val="0"/>
          <w:numId w:val="56"/>
        </w:numPr>
        <w:spacing w:after="240" w:line="276" w:lineRule="auto"/>
        <w:ind w:left="567" w:hanging="567"/>
        <w:contextualSpacing w:val="0"/>
        <w:jc w:val="both"/>
        <w:rPr>
          <w:rStyle w:val="SchwacheHervorhebung"/>
          <w:b w:val="0"/>
          <w:sz w:val="22"/>
        </w:rPr>
      </w:pPr>
      <w:r w:rsidRPr="00550A1A">
        <w:rPr>
          <w:rStyle w:val="SchwacheHervorhebung"/>
          <w:b w:val="0"/>
          <w:sz w:val="22"/>
        </w:rPr>
        <w:t xml:space="preserve">When you have drafted your response, name your response form according to the following convention: </w:t>
      </w:r>
      <w:bookmarkStart w:id="1" w:name="_GoBack"/>
      <w:r w:rsidRPr="00550A1A">
        <w:rPr>
          <w:rStyle w:val="SchwacheHervorhebung"/>
          <w:b w:val="0"/>
          <w:sz w:val="22"/>
        </w:rPr>
        <w:t>ESMA_SAC_nameofrespondent_RESPONSEFORM</w:t>
      </w:r>
      <w:bookmarkEnd w:id="1"/>
      <w:r w:rsidRPr="00550A1A">
        <w:rPr>
          <w:rStyle w:val="SchwacheHervorhebung"/>
          <w:b w:val="0"/>
          <w:sz w:val="22"/>
        </w:rPr>
        <w:t>. For example, for a respondent named ABCD, the response form would be entitled ESMA_SAC_ABCD_RESPONSEFORM.</w:t>
      </w:r>
    </w:p>
    <w:p w14:paraId="0EEEC08E" w14:textId="77777777" w:rsidR="0051277E" w:rsidRPr="00550A1A" w:rsidRDefault="0051277E" w:rsidP="0051277E">
      <w:pPr>
        <w:pStyle w:val="Listenabsatz"/>
        <w:numPr>
          <w:ilvl w:val="0"/>
          <w:numId w:val="56"/>
        </w:numPr>
        <w:spacing w:after="240" w:line="276" w:lineRule="auto"/>
        <w:ind w:left="567" w:hanging="567"/>
        <w:contextualSpacing w:val="0"/>
        <w:jc w:val="both"/>
        <w:rPr>
          <w:rStyle w:val="SchwacheHervorhebung"/>
          <w:b w:val="0"/>
          <w:sz w:val="22"/>
        </w:rPr>
      </w:pPr>
      <w:r w:rsidRPr="00550A1A">
        <w:rPr>
          <w:rStyle w:val="SchwacheHervorhebung"/>
          <w:b w:val="0"/>
          <w:sz w:val="22"/>
        </w:rPr>
        <w:t xml:space="preserve">Upload the form containing your responses, </w:t>
      </w:r>
      <w:r w:rsidRPr="00550A1A">
        <w:rPr>
          <w:rStyle w:val="SchwacheHervorhebung"/>
          <w:b w:val="0"/>
          <w:sz w:val="22"/>
          <w:u w:val="single"/>
        </w:rPr>
        <w:t>in Word format</w:t>
      </w:r>
      <w:r w:rsidRPr="00550A1A">
        <w:rPr>
          <w:rStyle w:val="SchwacheHervorhebung"/>
          <w:b w:val="0"/>
          <w:sz w:val="22"/>
        </w:rPr>
        <w:t>, to ESMA’s website (</w:t>
      </w:r>
      <w:hyperlink r:id="rId17" w:history="1">
        <w:r w:rsidRPr="00550A1A">
          <w:rPr>
            <w:rStyle w:val="Hyperlink"/>
            <w:rFonts w:cs="Arial"/>
            <w:sz w:val="22"/>
          </w:rPr>
          <w:t>www.esma.europa.eu</w:t>
        </w:r>
      </w:hyperlink>
      <w:r w:rsidRPr="00550A1A">
        <w:rPr>
          <w:rStyle w:val="SchwacheHervorhebung"/>
          <w:b w:val="0"/>
          <w:sz w:val="22"/>
        </w:rPr>
        <w:t xml:space="preserve"> under the heading ‘Your input – Open consultations’ </w:t>
      </w:r>
      <w:r w:rsidRPr="00550A1A">
        <w:rPr>
          <w:rStyle w:val="SchwacheHervorhebung"/>
          <w:b w:val="0"/>
          <w:sz w:val="22"/>
        </w:rPr>
        <w:sym w:font="Wingdings" w:char="F0E0"/>
      </w:r>
      <w:r w:rsidRPr="00550A1A">
        <w:rPr>
          <w:rStyle w:val="SchwacheHervorhebung"/>
          <w:b w:val="0"/>
          <w:sz w:val="22"/>
        </w:rPr>
        <w:t xml:space="preserve"> ‘Consultation on technical advice under the new Prospectus Regulation’).</w:t>
      </w:r>
    </w:p>
    <w:p w14:paraId="785DC819" w14:textId="77777777" w:rsidR="0051277E" w:rsidRPr="00550A1A" w:rsidRDefault="0051277E" w:rsidP="0051277E">
      <w:pPr>
        <w:spacing w:after="120"/>
        <w:jc w:val="both"/>
        <w:rPr>
          <w:rStyle w:val="SchwacheHervorhebung"/>
          <w:sz w:val="22"/>
          <w:lang w:eastAsia="en-GB"/>
        </w:rPr>
      </w:pPr>
      <w:r w:rsidRPr="00550A1A">
        <w:rPr>
          <w:rStyle w:val="SchwacheHervorhebung"/>
          <w:sz w:val="22"/>
          <w:lang w:eastAsia="en-GB"/>
        </w:rPr>
        <w:t>Publication of responses</w:t>
      </w:r>
    </w:p>
    <w:p w14:paraId="40D24FFB" w14:textId="77777777" w:rsidR="0051277E" w:rsidRPr="00550A1A" w:rsidRDefault="0051277E" w:rsidP="0051277E">
      <w:pPr>
        <w:spacing w:after="240"/>
        <w:jc w:val="both"/>
        <w:rPr>
          <w:rStyle w:val="SchwacheHervorhebung"/>
          <w:b w:val="0"/>
          <w:sz w:val="22"/>
          <w:lang w:eastAsia="en-GB"/>
        </w:rPr>
      </w:pPr>
      <w:r w:rsidRPr="00550A1A">
        <w:rPr>
          <w:rStyle w:val="SchwacheHervorhebung"/>
          <w:b w:val="0"/>
          <w:sz w:val="22"/>
          <w:lang w:eastAsia="en-GB"/>
        </w:rPr>
        <w:t xml:space="preserve">All contributions received will be published following the close of the consultation, unless you request otherwise. </w:t>
      </w:r>
      <w:r w:rsidRPr="00550A1A">
        <w:rPr>
          <w:rStyle w:val="SchwacheHervorhebung"/>
          <w:b w:val="0"/>
          <w:sz w:val="22"/>
          <w:u w:val="single"/>
          <w:lang w:eastAsia="en-GB"/>
        </w:rPr>
        <w:t>Please clearly indicate by ticking the appropriate checkbox on the website submission page if you do not wish your contribution to be publicly disclosed.</w:t>
      </w:r>
      <w:r w:rsidRPr="00550A1A">
        <w:rPr>
          <w:rStyle w:val="SchwacheHervorhebung"/>
          <w:b w:val="0"/>
          <w:sz w:val="22"/>
          <w:lang w:eastAsia="en-GB"/>
        </w:rPr>
        <w:t xml:space="preserve"> A standard confidentiality statement in an email message will not be treated as a request for non-disclosure. A confi</w:t>
      </w:r>
      <w:r w:rsidRPr="00550A1A">
        <w:rPr>
          <w:rStyle w:val="SchwacheHervorhebung"/>
          <w:b w:val="0"/>
          <w:sz w:val="22"/>
          <w:lang w:eastAsia="en-GB"/>
        </w:rPr>
        <w:lastRenderedPageBreak/>
        <w:t>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F533569" w14:textId="77777777" w:rsidR="0051277E" w:rsidRPr="00550A1A" w:rsidRDefault="0051277E" w:rsidP="0051277E">
      <w:pPr>
        <w:spacing w:after="120"/>
        <w:jc w:val="both"/>
        <w:rPr>
          <w:rStyle w:val="SchwacheHervorhebung"/>
          <w:sz w:val="22"/>
          <w:lang w:eastAsia="en-GB"/>
        </w:rPr>
      </w:pPr>
      <w:r w:rsidRPr="00550A1A">
        <w:rPr>
          <w:rStyle w:val="SchwacheHervorhebung"/>
          <w:sz w:val="22"/>
          <w:lang w:eastAsia="en-GB"/>
        </w:rPr>
        <w:t>Data protection</w:t>
      </w:r>
    </w:p>
    <w:p w14:paraId="1634E632" w14:textId="77777777" w:rsidR="0051277E" w:rsidRPr="00550A1A" w:rsidRDefault="0051277E" w:rsidP="0051277E">
      <w:pPr>
        <w:spacing w:after="240"/>
        <w:jc w:val="both"/>
        <w:rPr>
          <w:rStyle w:val="SchwacheHervorhebung"/>
          <w:b w:val="0"/>
          <w:sz w:val="22"/>
          <w:lang w:eastAsia="en-GB"/>
        </w:rPr>
      </w:pPr>
      <w:r w:rsidRPr="00550A1A">
        <w:rPr>
          <w:rStyle w:val="SchwacheHervorhebung"/>
          <w:b w:val="0"/>
          <w:sz w:val="22"/>
          <w:lang w:eastAsia="en-GB"/>
        </w:rPr>
        <w:t xml:space="preserve">Information on data protection can be found at </w:t>
      </w:r>
      <w:hyperlink r:id="rId18" w:history="1">
        <w:r w:rsidRPr="00550A1A">
          <w:rPr>
            <w:rStyle w:val="Hyperlink"/>
            <w:rFonts w:cs="Arial"/>
            <w:sz w:val="22"/>
            <w:lang w:eastAsia="en-GB"/>
          </w:rPr>
          <w:t>www.esma.europa.eu</w:t>
        </w:r>
      </w:hyperlink>
      <w:r w:rsidRPr="00550A1A">
        <w:rPr>
          <w:rStyle w:val="SchwacheHervorhebung"/>
          <w:b w:val="0"/>
          <w:sz w:val="22"/>
          <w:lang w:eastAsia="en-GB"/>
        </w:rPr>
        <w:t xml:space="preserve"> under the heading ‘Data  protection’.</w:t>
      </w:r>
    </w:p>
    <w:p w14:paraId="066FD8F8" w14:textId="77777777" w:rsidR="0051277E" w:rsidRPr="00550A1A" w:rsidRDefault="0051277E" w:rsidP="0051277E">
      <w:pPr>
        <w:spacing w:after="120"/>
        <w:jc w:val="both"/>
        <w:rPr>
          <w:rStyle w:val="SchwacheHervorhebung"/>
          <w:sz w:val="22"/>
          <w:lang w:eastAsia="en-GB"/>
        </w:rPr>
      </w:pPr>
      <w:r w:rsidRPr="00550A1A">
        <w:rPr>
          <w:rStyle w:val="SchwacheHervorhebung"/>
          <w:sz w:val="22"/>
          <w:lang w:eastAsia="en-GB"/>
        </w:rPr>
        <w:t>Who should read this Consultation Paper</w:t>
      </w:r>
    </w:p>
    <w:p w14:paraId="3C46B179" w14:textId="5336A48F" w:rsidR="00F574D0" w:rsidRPr="00550A1A" w:rsidRDefault="0051277E" w:rsidP="00F574D0">
      <w:pPr>
        <w:autoSpaceDE w:val="0"/>
        <w:autoSpaceDN w:val="0"/>
        <w:adjustRightInd w:val="0"/>
        <w:spacing w:before="120" w:after="120" w:line="276" w:lineRule="auto"/>
        <w:jc w:val="both"/>
        <w:rPr>
          <w:rFonts w:cs="Arial"/>
          <w:sz w:val="22"/>
          <w:szCs w:val="20"/>
        </w:rPr>
      </w:pPr>
      <w:r w:rsidRPr="00550A1A">
        <w:rPr>
          <w:rStyle w:val="SchwacheHervorhebung"/>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participant who is affected by the new Prospectus Regulation.</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berschrift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550A1A" w:rsidRDefault="00B327E9" w:rsidP="00F136AD">
            <w:pPr>
              <w:rPr>
                <w:rFonts w:cs="Arial"/>
                <w:sz w:val="22"/>
              </w:rPr>
            </w:pPr>
            <w:permStart w:id="584150857" w:edGrp="everyone" w:colFirst="1" w:colLast="1"/>
            <w:r w:rsidRPr="00550A1A">
              <w:rPr>
                <w:rFonts w:cs="Arial"/>
                <w:sz w:val="22"/>
              </w:rPr>
              <w:t>Name of the company / organisation</w:t>
            </w:r>
          </w:p>
        </w:tc>
        <w:sdt>
          <w:sdtPr>
            <w:rPr>
              <w:rStyle w:val="Platzhaltertext"/>
              <w:rFonts w:cs="Arial"/>
            </w:rPr>
            <w:id w:val="-1905066999"/>
            <w:text/>
          </w:sdtPr>
          <w:sdtEndPr>
            <w:rPr>
              <w:rStyle w:val="Platzhaltertext"/>
            </w:rPr>
          </w:sdtEndPr>
          <w:sdtContent>
            <w:tc>
              <w:tcPr>
                <w:tcW w:w="5595" w:type="dxa"/>
                <w:shd w:val="clear" w:color="auto" w:fill="auto"/>
              </w:tcPr>
              <w:p w14:paraId="1D2AEFF4" w14:textId="2DEE5F18" w:rsidR="00B327E9" w:rsidRPr="00AB6D88" w:rsidRDefault="00BF1B2B" w:rsidP="00BF1B2B">
                <w:pPr>
                  <w:rPr>
                    <w:rStyle w:val="Platzhaltertext"/>
                    <w:rFonts w:cs="Arial"/>
                  </w:rPr>
                </w:pPr>
                <w:r>
                  <w:rPr>
                    <w:rStyle w:val="Platzhaltertext"/>
                    <w:rFonts w:cs="Arial"/>
                  </w:rPr>
                  <w:t>Die Deutsche Kreditwirtschaft</w:t>
                </w:r>
              </w:p>
            </w:tc>
          </w:sdtContent>
        </w:sdt>
      </w:tr>
      <w:tr w:rsidR="00B327E9" w:rsidRPr="00AB6D88" w14:paraId="08FFF92A" w14:textId="77777777" w:rsidTr="00F136AD">
        <w:tc>
          <w:tcPr>
            <w:tcW w:w="3929" w:type="dxa"/>
            <w:shd w:val="clear" w:color="auto" w:fill="auto"/>
          </w:tcPr>
          <w:p w14:paraId="388AB0CD" w14:textId="77777777" w:rsidR="00B327E9" w:rsidRPr="00550A1A" w:rsidRDefault="00B327E9" w:rsidP="00F136AD">
            <w:pPr>
              <w:rPr>
                <w:rFonts w:cs="Arial"/>
                <w:sz w:val="22"/>
              </w:rPr>
            </w:pPr>
            <w:permStart w:id="192116617" w:edGrp="everyone" w:colFirst="1" w:colLast="1"/>
            <w:permEnd w:id="584150857"/>
            <w:r w:rsidRPr="00550A1A">
              <w:rPr>
                <w:rFonts w:cs="Arial"/>
                <w:sz w:val="22"/>
              </w:rPr>
              <w:t>Activity</w:t>
            </w:r>
          </w:p>
        </w:tc>
        <w:tc>
          <w:tcPr>
            <w:tcW w:w="5595" w:type="dxa"/>
            <w:shd w:val="clear" w:color="auto" w:fill="auto"/>
          </w:tcPr>
          <w:p w14:paraId="3BAD78CC" w14:textId="345349D1" w:rsidR="00B327E9" w:rsidRPr="00AB6D88" w:rsidRDefault="00DE08E6"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F1B2B">
                  <w:rPr>
                    <w:rFonts w:cs="Arial"/>
                  </w:rPr>
                  <w:t>Banking sector</w:t>
                </w:r>
              </w:sdtContent>
            </w:sdt>
          </w:p>
        </w:tc>
      </w:tr>
      <w:tr w:rsidR="00B327E9" w:rsidRPr="00AB6D88" w14:paraId="509F0A26" w14:textId="77777777" w:rsidTr="00F136AD">
        <w:tc>
          <w:tcPr>
            <w:tcW w:w="3929" w:type="dxa"/>
            <w:shd w:val="clear" w:color="auto" w:fill="auto"/>
          </w:tcPr>
          <w:p w14:paraId="5F066592" w14:textId="77777777" w:rsidR="00B327E9" w:rsidRPr="00550A1A" w:rsidRDefault="00B327E9" w:rsidP="00F136AD">
            <w:pPr>
              <w:rPr>
                <w:rFonts w:cs="Arial"/>
                <w:sz w:val="22"/>
              </w:rPr>
            </w:pPr>
            <w:permStart w:id="250764791" w:edGrp="everyone" w:colFirst="1" w:colLast="1"/>
            <w:permEnd w:id="192116617"/>
            <w:r w:rsidRPr="00550A1A">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13737D6A" w14:textId="71A4A33F" w:rsidR="00B327E9" w:rsidRPr="00AB6D88" w:rsidRDefault="00BF1B2B"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550A1A" w:rsidRDefault="00B327E9" w:rsidP="00F136AD">
            <w:pPr>
              <w:rPr>
                <w:rFonts w:cs="Arial"/>
                <w:sz w:val="22"/>
              </w:rPr>
            </w:pPr>
            <w:permStart w:id="74910740" w:edGrp="everyone" w:colFirst="1" w:colLast="1"/>
            <w:permEnd w:id="250764791"/>
            <w:r w:rsidRPr="00550A1A">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5ACFC172" w:rsidR="00B327E9" w:rsidRPr="00AB6D88" w:rsidRDefault="00BF1B2B" w:rsidP="00F136AD">
                <w:pPr>
                  <w:rPr>
                    <w:rFonts w:cs="Arial"/>
                  </w:rPr>
                </w:pPr>
                <w:r>
                  <w:rPr>
                    <w:rFonts w:cs="Arial"/>
                  </w:rPr>
                  <w:t>Germany</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berschrift1"/>
        <w:numPr>
          <w:ilvl w:val="0"/>
          <w:numId w:val="0"/>
        </w:numPr>
        <w:ind w:left="431" w:hanging="431"/>
      </w:pPr>
      <w:r>
        <w:t>Introduction</w:t>
      </w:r>
    </w:p>
    <w:p w14:paraId="5B55F0E0" w14:textId="77777777" w:rsidR="00B327E9" w:rsidRPr="001D47A5" w:rsidRDefault="00B327E9" w:rsidP="00B327E9">
      <w:pPr>
        <w:rPr>
          <w:rStyle w:val="IntensiveHervorhebung"/>
        </w:rPr>
      </w:pPr>
      <w:r w:rsidRPr="00550A1A">
        <w:rPr>
          <w:rStyle w:val="IntensiveHervorhebung"/>
          <w:sz w:val="22"/>
        </w:rPr>
        <w:t>Please make your introductory comments below, if any:</w:t>
      </w:r>
    </w:p>
    <w:p w14:paraId="0B06A88E" w14:textId="77777777" w:rsidR="00B327E9" w:rsidRPr="00BF28DA" w:rsidRDefault="00B327E9" w:rsidP="00B327E9"/>
    <w:p w14:paraId="197D07A3" w14:textId="4939FFB4" w:rsidR="00B327E9" w:rsidRPr="006F4535" w:rsidRDefault="00B327E9" w:rsidP="00B327E9">
      <w:r w:rsidRPr="006F4535">
        <w:t>&lt;ESMA_COMMENT_</w:t>
      </w:r>
      <w:r w:rsidR="005C4E0E">
        <w:t>SA</w:t>
      </w:r>
      <w:r w:rsidR="00357C60">
        <w:t>C</w:t>
      </w:r>
      <w:r w:rsidRPr="006F4535">
        <w:t>_1&gt;</w:t>
      </w:r>
    </w:p>
    <w:p w14:paraId="02987262" w14:textId="32149A86" w:rsidR="00BF1B2B" w:rsidRDefault="00BF1B2B" w:rsidP="00B327E9">
      <w:pPr>
        <w:rPr>
          <w:lang w:val="en-US"/>
        </w:rPr>
      </w:pPr>
      <w:permStart w:id="1937050393" w:edGrp="everyone"/>
      <w:r w:rsidRPr="00A5041D">
        <w:rPr>
          <w:highlight w:val="yellow"/>
          <w:lang w:val="en-US"/>
        </w:rPr>
        <w:t>We respond with the understanding that the proposed criteria for the scrutiny and approval of prospectuses intend to describe the current practice of the NCAs, setting out expressly and in more detail the rules already applied. Therefore, we assume that a prospectus approved today could also receiv</w:t>
      </w:r>
      <w:r>
        <w:rPr>
          <w:highlight w:val="yellow"/>
          <w:lang w:val="en-US"/>
        </w:rPr>
        <w:t>e approval under the new rules.</w:t>
      </w:r>
      <w:r w:rsidRPr="00A5041D">
        <w:rPr>
          <w:highlight w:val="yellow"/>
          <w:lang w:val="en-US"/>
        </w:rPr>
        <w:t xml:space="preserve"> A recital to that effect could help mitigate the temptation to read new requirements from the new wording.</w:t>
      </w:r>
    </w:p>
    <w:permEnd w:id="1937050393"/>
    <w:p w14:paraId="03F5FFC5" w14:textId="0F2E69AB" w:rsidR="00B327E9" w:rsidRPr="00BF28DA" w:rsidRDefault="00B327E9" w:rsidP="00B327E9">
      <w:r w:rsidRPr="00BF28DA">
        <w:t>&lt;ESMA_COMMENT_</w:t>
      </w:r>
      <w:r w:rsidR="005C4E0E">
        <w:rPr>
          <w:rFonts w:cs="Arial"/>
        </w:rPr>
        <w:t>S</w:t>
      </w:r>
      <w:r w:rsidR="00357C60">
        <w:rPr>
          <w:rFonts w:cs="Arial"/>
        </w:rPr>
        <w:t>AC</w:t>
      </w:r>
      <w:r w:rsidRPr="00BF28DA">
        <w:t>_1&gt;</w:t>
      </w:r>
    </w:p>
    <w:p w14:paraId="2AC9A34C" w14:textId="028F2E1A" w:rsidR="002E7113" w:rsidRDefault="002E7113" w:rsidP="002E7113">
      <w:pPr>
        <w:pStyle w:val="berschrift1"/>
        <w:numPr>
          <w:ilvl w:val="0"/>
          <w:numId w:val="0"/>
        </w:numPr>
      </w:pPr>
    </w:p>
    <w:p w14:paraId="6E441FCE" w14:textId="77777777" w:rsidR="00F31E57" w:rsidRPr="00BF28DA" w:rsidRDefault="00F31E57" w:rsidP="00D34282"/>
    <w:p w14:paraId="06FD6EBD" w14:textId="77777777" w:rsidR="005C4E0E" w:rsidRPr="00282DFB" w:rsidRDefault="00F31E57" w:rsidP="005C4E0E">
      <w:pPr>
        <w:pStyle w:val="Questionstyle"/>
        <w:numPr>
          <w:ilvl w:val="0"/>
          <w:numId w:val="55"/>
        </w:numPr>
        <w:rPr>
          <w:rFonts w:ascii="Arial" w:hAnsi="Arial" w:cs="Arial"/>
          <w:szCs w:val="22"/>
        </w:rPr>
      </w:pPr>
      <w:r w:rsidRPr="0075015C">
        <w:br w:type="page"/>
      </w:r>
      <w:r w:rsidR="005C4E0E">
        <w:lastRenderedPageBreak/>
        <w:t xml:space="preserve">: </w:t>
      </w:r>
      <w:r w:rsidR="005C4E0E" w:rsidRPr="00282DFB">
        <w:rPr>
          <w:rFonts w:ascii="Arial" w:hAnsi="Arial" w:cs="Arial"/>
        </w:rPr>
        <w:t>Do you agree with the criteria for determining whether a prospectus is complete (Article A(1))? Do you consider that additional completeness criteria are necessary?</w:t>
      </w:r>
    </w:p>
    <w:p w14:paraId="438DF192" w14:textId="77777777" w:rsidR="005C4E0E" w:rsidRDefault="005C4E0E" w:rsidP="005C4E0E">
      <w:pPr>
        <w:rPr>
          <w:rFonts w:cs="Arial"/>
        </w:rPr>
      </w:pPr>
      <w:r>
        <w:rPr>
          <w:rFonts w:cs="Arial"/>
        </w:rPr>
        <w:t>&lt;ESMA_QUESTION_SAC_1&gt;</w:t>
      </w:r>
    </w:p>
    <w:p w14:paraId="1E855CF9" w14:textId="77777777" w:rsidR="00BF1B2B" w:rsidRDefault="00BF1B2B" w:rsidP="005C4E0E">
      <w:pPr>
        <w:rPr>
          <w:rFonts w:cs="Arial"/>
          <w:lang w:val="en-US"/>
        </w:rPr>
      </w:pPr>
      <w:permStart w:id="785596874" w:edGrp="everyone"/>
      <w:r w:rsidRPr="00B97AEC">
        <w:rPr>
          <w:rFonts w:cs="Arial"/>
          <w:lang w:val="en-US"/>
        </w:rPr>
        <w:t xml:space="preserve">Besides the criteria mentioned no </w:t>
      </w:r>
      <w:r>
        <w:rPr>
          <w:rFonts w:cs="Arial"/>
          <w:lang w:val="en-US"/>
        </w:rPr>
        <w:t>additional</w:t>
      </w:r>
      <w:r w:rsidRPr="00B97AEC">
        <w:rPr>
          <w:rFonts w:cs="Arial"/>
          <w:lang w:val="en-US"/>
        </w:rPr>
        <w:t xml:space="preserve"> criteria are required for determining </w:t>
      </w:r>
      <w:r>
        <w:rPr>
          <w:rFonts w:cs="Arial"/>
          <w:lang w:val="en-US"/>
        </w:rPr>
        <w:t>whether</w:t>
      </w:r>
      <w:r w:rsidRPr="00B97AEC">
        <w:rPr>
          <w:rFonts w:cs="Arial"/>
          <w:lang w:val="en-US"/>
        </w:rPr>
        <w:t xml:space="preserve"> the prospectus is complete.</w:t>
      </w:r>
    </w:p>
    <w:permEnd w:id="785596874"/>
    <w:p w14:paraId="43CA08C5" w14:textId="2708FAAC" w:rsidR="005C4E0E" w:rsidRDefault="005C4E0E" w:rsidP="005C4E0E">
      <w:pPr>
        <w:rPr>
          <w:rFonts w:cs="Arial"/>
        </w:rPr>
      </w:pPr>
      <w:r>
        <w:rPr>
          <w:rFonts w:cs="Arial"/>
        </w:rPr>
        <w:t>&lt;ESMA_QUESTION_SAC_1&gt;</w:t>
      </w:r>
    </w:p>
    <w:p w14:paraId="38BF53B2" w14:textId="77777777" w:rsidR="005C4E0E" w:rsidRDefault="005C4E0E" w:rsidP="005C4E0E">
      <w:pPr>
        <w:rPr>
          <w:rFonts w:cs="Arial"/>
        </w:rPr>
      </w:pPr>
    </w:p>
    <w:p w14:paraId="1EFA9D3F" w14:textId="77777777" w:rsidR="005C4E0E" w:rsidRDefault="005C4E0E" w:rsidP="005C4E0E">
      <w:pPr>
        <w:pStyle w:val="Questionstyle"/>
        <w:numPr>
          <w:ilvl w:val="0"/>
          <w:numId w:val="55"/>
        </w:numPr>
        <w:rPr>
          <w:rFonts w:ascii="Arial" w:hAnsi="Arial" w:cs="Arial"/>
        </w:rPr>
      </w:pPr>
      <w:r>
        <w:t xml:space="preserve">: </w:t>
      </w:r>
      <w:r w:rsidRPr="00282DFB">
        <w:rPr>
          <w:rFonts w:ascii="Arial" w:hAnsi="Arial" w:cs="Arial"/>
        </w:rPr>
        <w:t>Do you agree that NCAs should apply different criteria when assessing the comprehensibility of retail and wholesale prospectuses? If yes, do you agree with the criteria proposed in Article A(2)? Please make an alternative proposal if you do not agree with these criteria.</w:t>
      </w:r>
    </w:p>
    <w:p w14:paraId="0F6F3B9A" w14:textId="77777777" w:rsidR="005C4E0E" w:rsidRDefault="005C4E0E" w:rsidP="005C4E0E">
      <w:pPr>
        <w:rPr>
          <w:rFonts w:cs="Arial"/>
        </w:rPr>
      </w:pPr>
      <w:r>
        <w:rPr>
          <w:rFonts w:cs="Arial"/>
        </w:rPr>
        <w:t>&lt;ESMA_QUESTION_SAC_2&gt;</w:t>
      </w:r>
    </w:p>
    <w:p w14:paraId="5397CC5B" w14:textId="77777777" w:rsidR="00BF1B2B" w:rsidRPr="00B97AEC" w:rsidRDefault="00BF1B2B" w:rsidP="00A5041D">
      <w:pPr>
        <w:rPr>
          <w:rFonts w:cs="Arial"/>
          <w:lang w:val="en-US"/>
        </w:rPr>
      </w:pPr>
      <w:permStart w:id="576718158" w:edGrp="everyone"/>
      <w:r w:rsidRPr="00B97AEC">
        <w:rPr>
          <w:rFonts w:cs="Arial"/>
          <w:lang w:val="en-US"/>
        </w:rPr>
        <w:t>We agree with the proposed differentiation according to the type of investor.</w:t>
      </w:r>
    </w:p>
    <w:p w14:paraId="01879023" w14:textId="77777777" w:rsidR="00BF1B2B" w:rsidRPr="00B97AEC" w:rsidRDefault="00BF1B2B" w:rsidP="00A5041D">
      <w:pPr>
        <w:rPr>
          <w:rFonts w:cs="Arial"/>
          <w:lang w:val="en-US"/>
        </w:rPr>
      </w:pPr>
      <w:r w:rsidRPr="00B97AEC">
        <w:rPr>
          <w:rFonts w:cs="Arial"/>
          <w:lang w:val="en-US"/>
        </w:rPr>
        <w:t xml:space="preserve">However, we do not fully agree with the list of criteria proposed in Article A(2). In two points - (f) and (h), product structure / issuer’s operations and its principal activities – the list repeats content requirements from the schedules, the scrutiny part of which is already covered by the requirement </w:t>
      </w:r>
      <w:r>
        <w:rPr>
          <w:rFonts w:cs="Arial"/>
          <w:lang w:val="en-US"/>
        </w:rPr>
        <w:t xml:space="preserve">for </w:t>
      </w:r>
      <w:r w:rsidRPr="00B97AEC">
        <w:rPr>
          <w:rFonts w:cs="Arial"/>
          <w:lang w:val="en-US"/>
        </w:rPr>
        <w:t xml:space="preserve">general comprehensibility and, more specifically, </w:t>
      </w:r>
      <w:r>
        <w:rPr>
          <w:rFonts w:cs="Arial"/>
          <w:lang w:val="en-US"/>
        </w:rPr>
        <w:t>for</w:t>
      </w:r>
      <w:r w:rsidRPr="00B97AEC">
        <w:rPr>
          <w:rFonts w:cs="Arial"/>
          <w:lang w:val="en-US"/>
        </w:rPr>
        <w:t xml:space="preserve"> “plain language”, however worded (see below). Accordingly, these points should be deleted from the list. Also, the requirement to explain formulas should be restricted by adding the following words “where necessary according to the nature of the formula and the type of investors targeted”. Otherwise, this requirement would not be proportional, as formulas can also appear outside the determination of what investors are entitled to under the securities in question, can be very easy to understand (“a + b”), and can in any case be understandable to more sophisticated investors without explanation. </w:t>
      </w:r>
    </w:p>
    <w:p w14:paraId="1731DE39" w14:textId="77777777" w:rsidR="00BF1B2B" w:rsidRDefault="00BF1B2B" w:rsidP="005C4E0E">
      <w:pPr>
        <w:rPr>
          <w:rFonts w:cs="Arial"/>
          <w:lang w:val="en-US"/>
        </w:rPr>
      </w:pPr>
      <w:r w:rsidRPr="00B97AEC">
        <w:rPr>
          <w:rFonts w:cs="Arial"/>
          <w:lang w:val="en-US"/>
        </w:rPr>
        <w:t xml:space="preserve">We also question the “plain language” requirement </w:t>
      </w:r>
      <w:r>
        <w:rPr>
          <w:rFonts w:cs="Arial"/>
          <w:lang w:val="en-US"/>
        </w:rPr>
        <w:t>in the</w:t>
      </w:r>
      <w:r w:rsidRPr="00B97AEC">
        <w:rPr>
          <w:rFonts w:cs="Arial"/>
          <w:lang w:val="en-US"/>
        </w:rPr>
        <w:t xml:space="preserve"> proposed Art. A (2)(g). It </w:t>
      </w:r>
      <w:r>
        <w:rPr>
          <w:rFonts w:cs="Arial"/>
          <w:lang w:val="en-US"/>
        </w:rPr>
        <w:t>allows</w:t>
      </w:r>
      <w:r w:rsidRPr="00B97AEC">
        <w:rPr>
          <w:rFonts w:cs="Arial"/>
          <w:lang w:val="en-US"/>
        </w:rPr>
        <w:t xml:space="preserve"> too much </w:t>
      </w:r>
      <w:r w:rsidRPr="00BB5D6A">
        <w:rPr>
          <w:rFonts w:cs="Arial"/>
          <w:highlight w:val="yellow"/>
          <w:lang w:val="en-US"/>
        </w:rPr>
        <w:t>space</w:t>
      </w:r>
      <w:r w:rsidRPr="00B97AEC">
        <w:rPr>
          <w:rFonts w:cs="Arial"/>
          <w:lang w:val="en-US"/>
        </w:rPr>
        <w:t xml:space="preserve"> for differing interpretation. </w:t>
      </w:r>
      <w:r>
        <w:rPr>
          <w:rFonts w:cs="Arial"/>
          <w:lang w:val="en-US"/>
        </w:rPr>
        <w:t>T</w:t>
      </w:r>
      <w:r w:rsidRPr="00B97AEC">
        <w:rPr>
          <w:rFonts w:cs="Arial"/>
          <w:lang w:val="en-US"/>
        </w:rPr>
        <w:t xml:space="preserve">his requirement </w:t>
      </w:r>
      <w:r>
        <w:rPr>
          <w:rFonts w:cs="Arial"/>
          <w:lang w:val="en-US"/>
        </w:rPr>
        <w:t>could be</w:t>
      </w:r>
      <w:r w:rsidRPr="00B97AEC">
        <w:rPr>
          <w:rFonts w:cs="Arial"/>
          <w:lang w:val="en-US"/>
        </w:rPr>
        <w:t xml:space="preserve"> intended to </w:t>
      </w:r>
      <w:r>
        <w:rPr>
          <w:rFonts w:cs="Arial"/>
          <w:lang w:val="en-US"/>
        </w:rPr>
        <w:t>clarify</w:t>
      </w:r>
      <w:r w:rsidRPr="00B97AEC">
        <w:rPr>
          <w:rFonts w:cs="Arial"/>
          <w:lang w:val="en-US"/>
        </w:rPr>
        <w:t xml:space="preserve"> current scrutiny practice. This would seem the appropriate approach given that a modification of the comprehensibility standard regarding prospectuses is not intended on Level 1. The term “plain language” would, however, not appear to be best suited </w:t>
      </w:r>
      <w:r>
        <w:rPr>
          <w:rFonts w:cs="Arial"/>
          <w:lang w:val="en-US"/>
        </w:rPr>
        <w:t>for</w:t>
      </w:r>
      <w:r w:rsidRPr="00B97AEC">
        <w:rPr>
          <w:rFonts w:cs="Arial"/>
          <w:lang w:val="en-US"/>
        </w:rPr>
        <w:t xml:space="preserve"> describ</w:t>
      </w:r>
      <w:r>
        <w:rPr>
          <w:rFonts w:cs="Arial"/>
          <w:lang w:val="en-US"/>
        </w:rPr>
        <w:t>ing</w:t>
      </w:r>
      <w:r w:rsidRPr="00B97AEC">
        <w:rPr>
          <w:rFonts w:cs="Arial"/>
          <w:lang w:val="en-US"/>
        </w:rPr>
        <w:t xml:space="preserve"> this continuing practice, but rather allow NCAs to request different language than before, causing the complete rewriting of all base prospectuses for existing issuance</w:t>
      </w:r>
      <w:r w:rsidRPr="00BB5D6A">
        <w:rPr>
          <w:rFonts w:cs="Arial"/>
        </w:rPr>
        <w:t xml:space="preserve"> programmes</w:t>
      </w:r>
      <w:r w:rsidRPr="00B97AEC">
        <w:rPr>
          <w:rFonts w:cs="Arial"/>
          <w:lang w:val="en-US"/>
        </w:rPr>
        <w:t xml:space="preserve"> with the corresponding cost for issuers. </w:t>
      </w:r>
      <w:r>
        <w:rPr>
          <w:rFonts w:cs="Arial"/>
          <w:lang w:val="en-US"/>
        </w:rPr>
        <w:t>Alternatively,</w:t>
      </w:r>
      <w:r w:rsidRPr="00B97AEC">
        <w:rPr>
          <w:rFonts w:cs="Arial"/>
          <w:lang w:val="en-US"/>
        </w:rPr>
        <w:t xml:space="preserve"> the requirement </w:t>
      </w:r>
      <w:r>
        <w:rPr>
          <w:rFonts w:cs="Arial"/>
          <w:lang w:val="en-US"/>
        </w:rPr>
        <w:t>could be</w:t>
      </w:r>
      <w:r w:rsidRPr="00B97AEC">
        <w:rPr>
          <w:rFonts w:cs="Arial"/>
          <w:lang w:val="en-US"/>
        </w:rPr>
        <w:t xml:space="preserve"> intended </w:t>
      </w:r>
      <w:r>
        <w:rPr>
          <w:rFonts w:cs="Arial"/>
          <w:lang w:val="en-US"/>
        </w:rPr>
        <w:t>for</w:t>
      </w:r>
      <w:r w:rsidRPr="00B97AEC">
        <w:rPr>
          <w:rFonts w:cs="Arial"/>
          <w:lang w:val="en-US"/>
        </w:rPr>
        <w:t xml:space="preserve"> introduc</w:t>
      </w:r>
      <w:r>
        <w:rPr>
          <w:rFonts w:cs="Arial"/>
          <w:lang w:val="en-US"/>
        </w:rPr>
        <w:t>ing</w:t>
      </w:r>
      <w:r w:rsidRPr="00B97AEC">
        <w:rPr>
          <w:rFonts w:cs="Arial"/>
          <w:lang w:val="en-US"/>
        </w:rPr>
        <w:t xml:space="preserve"> a new standard for simpler language than</w:t>
      </w:r>
      <w:r>
        <w:rPr>
          <w:rFonts w:cs="Arial"/>
          <w:lang w:val="en-US"/>
        </w:rPr>
        <w:t xml:space="preserve"> that</w:t>
      </w:r>
      <w:r w:rsidRPr="00B97AEC">
        <w:rPr>
          <w:rFonts w:cs="Arial"/>
          <w:lang w:val="en-US"/>
        </w:rPr>
        <w:t xml:space="preserve"> currently applied and approved. This would appear to contradict Level 1 and to be reserved </w:t>
      </w:r>
      <w:r>
        <w:rPr>
          <w:rFonts w:cs="Arial"/>
          <w:lang w:val="en-US"/>
        </w:rPr>
        <w:t>for</w:t>
      </w:r>
      <w:r w:rsidRPr="00B97AEC">
        <w:rPr>
          <w:rFonts w:cs="Arial"/>
          <w:lang w:val="en-US"/>
        </w:rPr>
        <w:t xml:space="preserve"> the co-legislators. We also caution against the belief that plainer language necessarily leads to better comprehensibility, in particular for structured products. To avoid these issues, we propose </w:t>
      </w:r>
      <w:r>
        <w:rPr>
          <w:rFonts w:cs="Arial"/>
          <w:lang w:val="en-US"/>
        </w:rPr>
        <w:t>that</w:t>
      </w:r>
      <w:r w:rsidRPr="00B97AEC">
        <w:rPr>
          <w:rFonts w:cs="Arial"/>
          <w:lang w:val="en-US"/>
        </w:rPr>
        <w:t xml:space="preserve"> the requirement </w:t>
      </w:r>
      <w:r>
        <w:rPr>
          <w:rFonts w:cs="Arial"/>
          <w:lang w:val="en-US"/>
        </w:rPr>
        <w:t xml:space="preserve">should be deleted </w:t>
      </w:r>
      <w:r w:rsidRPr="00B97AEC">
        <w:rPr>
          <w:rFonts w:cs="Arial"/>
          <w:lang w:val="en-US"/>
        </w:rPr>
        <w:t xml:space="preserve">or the term “clear language” </w:t>
      </w:r>
      <w:r>
        <w:rPr>
          <w:rFonts w:cs="Arial"/>
          <w:lang w:val="en-US"/>
        </w:rPr>
        <w:t xml:space="preserve">is used </w:t>
      </w:r>
      <w:r w:rsidRPr="00B97AEC">
        <w:rPr>
          <w:rFonts w:cs="Arial"/>
          <w:lang w:val="en-US"/>
        </w:rPr>
        <w:t>instead.</w:t>
      </w:r>
    </w:p>
    <w:permEnd w:id="576718158"/>
    <w:p w14:paraId="0A426B1F" w14:textId="38DD271A" w:rsidR="005C4E0E" w:rsidRDefault="005C4E0E" w:rsidP="005C4E0E">
      <w:pPr>
        <w:rPr>
          <w:rFonts w:cs="Arial"/>
        </w:rPr>
      </w:pPr>
      <w:r>
        <w:rPr>
          <w:rFonts w:cs="Arial"/>
        </w:rPr>
        <w:t>&lt;ESMA_QUESTION_SAC_2&gt;</w:t>
      </w:r>
    </w:p>
    <w:p w14:paraId="31144CF2" w14:textId="77777777" w:rsidR="005C4E0E" w:rsidRDefault="005C4E0E" w:rsidP="005C4E0E">
      <w:pPr>
        <w:rPr>
          <w:rFonts w:cs="Arial"/>
        </w:rPr>
      </w:pPr>
    </w:p>
    <w:p w14:paraId="72D89ABB" w14:textId="77777777" w:rsidR="005C4E0E" w:rsidRDefault="005C4E0E" w:rsidP="005C4E0E">
      <w:pPr>
        <w:pStyle w:val="Questionstyle"/>
        <w:numPr>
          <w:ilvl w:val="0"/>
          <w:numId w:val="55"/>
        </w:numPr>
        <w:rPr>
          <w:rFonts w:ascii="Arial" w:hAnsi="Arial" w:cs="Arial"/>
        </w:rPr>
      </w:pPr>
      <w:r>
        <w:t xml:space="preserve">: </w:t>
      </w:r>
      <w:r w:rsidRPr="00282DFB">
        <w:rPr>
          <w:rFonts w:ascii="Arial" w:hAnsi="Arial" w:cs="Arial"/>
        </w:rPr>
        <w:t>Do you agree with the criteria for assessing the consistency of a prospectus proposed in Article A(3)? Do you consider that additional consistency criteria are necessary?</w:t>
      </w:r>
    </w:p>
    <w:p w14:paraId="7AB4E853" w14:textId="77777777" w:rsidR="005C4E0E" w:rsidRDefault="005C4E0E" w:rsidP="005C4E0E">
      <w:pPr>
        <w:rPr>
          <w:rFonts w:cs="Arial"/>
        </w:rPr>
      </w:pPr>
      <w:r>
        <w:rPr>
          <w:rFonts w:cs="Arial"/>
        </w:rPr>
        <w:t>&lt;ESMA_QUESTION_SAC_3&gt;</w:t>
      </w:r>
    </w:p>
    <w:p w14:paraId="0941A3AE" w14:textId="40190B73" w:rsidR="005C4E0E" w:rsidRDefault="00BF1B2B" w:rsidP="005C4E0E">
      <w:pPr>
        <w:rPr>
          <w:rFonts w:cs="Arial"/>
        </w:rPr>
      </w:pPr>
      <w:permStart w:id="705496705" w:edGrp="everyone"/>
      <w:r w:rsidRPr="00B97AEC">
        <w:rPr>
          <w:rFonts w:cs="Arial"/>
          <w:lang w:val="en-US"/>
        </w:rPr>
        <w:t xml:space="preserve">Besides the criteria mentioned no </w:t>
      </w:r>
      <w:r>
        <w:rPr>
          <w:rFonts w:cs="Arial"/>
          <w:lang w:val="en-US"/>
        </w:rPr>
        <w:t>additional</w:t>
      </w:r>
      <w:r w:rsidRPr="00B97AEC">
        <w:rPr>
          <w:rFonts w:cs="Arial"/>
          <w:lang w:val="en-US"/>
        </w:rPr>
        <w:t xml:space="preserve"> criteria are required for assessing the consistency of a prospectus.</w:t>
      </w:r>
    </w:p>
    <w:permEnd w:id="705496705"/>
    <w:p w14:paraId="3630F080" w14:textId="77777777" w:rsidR="005C4E0E" w:rsidRDefault="005C4E0E" w:rsidP="005C4E0E">
      <w:pPr>
        <w:rPr>
          <w:rFonts w:cs="Arial"/>
        </w:rPr>
      </w:pPr>
      <w:r>
        <w:rPr>
          <w:rFonts w:cs="Arial"/>
        </w:rPr>
        <w:t>&lt;ESMA_QUESTION_SAC_3&gt;</w:t>
      </w:r>
    </w:p>
    <w:p w14:paraId="0E873160" w14:textId="77777777" w:rsidR="005C4E0E" w:rsidRDefault="005C4E0E" w:rsidP="005C4E0E">
      <w:pPr>
        <w:rPr>
          <w:rFonts w:cs="Arial"/>
        </w:rPr>
      </w:pPr>
    </w:p>
    <w:p w14:paraId="737DDF4D" w14:textId="77777777" w:rsidR="005C4E0E" w:rsidRDefault="005C4E0E" w:rsidP="005C4E0E">
      <w:pPr>
        <w:pStyle w:val="Questionstyle"/>
        <w:numPr>
          <w:ilvl w:val="0"/>
          <w:numId w:val="55"/>
        </w:numPr>
        <w:rPr>
          <w:rFonts w:ascii="Arial" w:hAnsi="Arial" w:cs="Arial"/>
        </w:rPr>
      </w:pPr>
      <w:r>
        <w:t xml:space="preserve">: </w:t>
      </w:r>
      <w:r w:rsidRPr="00282DFB">
        <w:rPr>
          <w:rFonts w:ascii="Arial" w:hAnsi="Arial" w:cs="Arial"/>
        </w:rPr>
        <w:t>In relation to scrutiny and review of the URD where ESMA proposes that only minimal changes be made to the generally applicable scrutiny criteria, do you consider there to be any further aspects where scrutiny and review of the URD need to differ from the general criteria?</w:t>
      </w:r>
      <w:r>
        <w:t xml:space="preserve"> </w:t>
      </w:r>
    </w:p>
    <w:p w14:paraId="3EEC8C5A" w14:textId="77777777" w:rsidR="005C4E0E" w:rsidRDefault="005C4E0E" w:rsidP="005C4E0E">
      <w:pPr>
        <w:rPr>
          <w:rFonts w:cs="Arial"/>
        </w:rPr>
      </w:pPr>
      <w:r>
        <w:rPr>
          <w:rFonts w:cs="Arial"/>
        </w:rPr>
        <w:lastRenderedPageBreak/>
        <w:t>&lt;ESMA_QUESTION_SAC_4&gt;</w:t>
      </w:r>
    </w:p>
    <w:p w14:paraId="3FB93B68" w14:textId="77777777" w:rsidR="00BF1B2B" w:rsidRDefault="00BF1B2B" w:rsidP="005C4E0E">
      <w:pPr>
        <w:rPr>
          <w:rFonts w:cs="Arial"/>
          <w:lang w:val="en-US"/>
        </w:rPr>
      </w:pPr>
      <w:permStart w:id="1374644636" w:edGrp="everyone"/>
      <w:r w:rsidRPr="00B97AEC">
        <w:rPr>
          <w:rFonts w:cs="Arial"/>
          <w:lang w:val="en-US"/>
        </w:rPr>
        <w:t>No, we agree with ESMA’s proposal.</w:t>
      </w:r>
    </w:p>
    <w:permEnd w:id="1374644636"/>
    <w:p w14:paraId="5A561168" w14:textId="07F0E621" w:rsidR="005C4E0E" w:rsidRDefault="005C4E0E" w:rsidP="005C4E0E">
      <w:pPr>
        <w:rPr>
          <w:rFonts w:cs="Arial"/>
        </w:rPr>
      </w:pPr>
      <w:r>
        <w:rPr>
          <w:rFonts w:cs="Arial"/>
        </w:rPr>
        <w:t>&lt;ESMA_QUESTION_SAC_4&gt;</w:t>
      </w:r>
    </w:p>
    <w:p w14:paraId="32E6B340" w14:textId="77777777" w:rsidR="005C4E0E" w:rsidRDefault="005C4E0E" w:rsidP="005C4E0E">
      <w:pPr>
        <w:rPr>
          <w:rFonts w:cs="Arial"/>
        </w:rPr>
      </w:pPr>
    </w:p>
    <w:p w14:paraId="57776A60" w14:textId="77777777" w:rsidR="005C4E0E" w:rsidRDefault="005C4E0E" w:rsidP="005C4E0E">
      <w:pPr>
        <w:pStyle w:val="Questionstyle"/>
        <w:numPr>
          <w:ilvl w:val="0"/>
          <w:numId w:val="55"/>
        </w:numPr>
        <w:rPr>
          <w:rFonts w:ascii="Arial" w:hAnsi="Arial" w:cs="Arial"/>
        </w:rPr>
      </w:pPr>
      <w:r>
        <w:t xml:space="preserve">: </w:t>
      </w:r>
      <w:r w:rsidRPr="00282DFB">
        <w:rPr>
          <w:rFonts w:ascii="Arial" w:hAnsi="Arial" w:cs="Arial"/>
        </w:rPr>
        <w:t>Do you agree that it is not necessary to address partial/repeated reviews of a URD in the technical advice?</w:t>
      </w:r>
    </w:p>
    <w:p w14:paraId="1B38D3B2" w14:textId="77777777" w:rsidR="005C4E0E" w:rsidRDefault="005C4E0E" w:rsidP="005C4E0E">
      <w:pPr>
        <w:rPr>
          <w:rFonts w:cs="Arial"/>
        </w:rPr>
      </w:pPr>
      <w:r>
        <w:rPr>
          <w:rFonts w:cs="Arial"/>
        </w:rPr>
        <w:t>&lt;ESMA_QUESTION_SAC_5&gt;</w:t>
      </w:r>
    </w:p>
    <w:p w14:paraId="3DCC8C1F" w14:textId="77777777" w:rsidR="00BF1B2B" w:rsidRDefault="00BF1B2B" w:rsidP="005C4E0E">
      <w:pPr>
        <w:rPr>
          <w:rFonts w:cs="Arial"/>
          <w:lang w:val="en-US"/>
        </w:rPr>
      </w:pPr>
      <w:permStart w:id="1459582772" w:edGrp="everyone"/>
      <w:r w:rsidRPr="00B97AEC">
        <w:rPr>
          <w:rFonts w:cs="Arial"/>
          <w:lang w:val="en-US"/>
        </w:rPr>
        <w:t xml:space="preserve">We agree. </w:t>
      </w:r>
      <w:r>
        <w:rPr>
          <w:rFonts w:cs="Arial"/>
          <w:lang w:val="en-US"/>
        </w:rPr>
        <w:t xml:space="preserve">It is clear from </w:t>
      </w:r>
      <w:r w:rsidRPr="00B97AEC">
        <w:rPr>
          <w:rFonts w:cs="Arial"/>
          <w:lang w:val="en-US"/>
        </w:rPr>
        <w:t>Art. 9 (8) of the Prospectus Regulation that the NCA may at any time review the content of the URD and th</w:t>
      </w:r>
      <w:r>
        <w:rPr>
          <w:rFonts w:cs="Arial"/>
          <w:lang w:val="en-US"/>
        </w:rPr>
        <w:t>is</w:t>
      </w:r>
      <w:r w:rsidRPr="00B97AEC">
        <w:rPr>
          <w:rFonts w:cs="Arial"/>
          <w:lang w:val="en-US"/>
        </w:rPr>
        <w:t xml:space="preserve"> includes partial and repeated reviews.</w:t>
      </w:r>
    </w:p>
    <w:permEnd w:id="1459582772"/>
    <w:p w14:paraId="14BC36F2" w14:textId="1506B7F9" w:rsidR="005C4E0E" w:rsidRDefault="005C4E0E" w:rsidP="005C4E0E">
      <w:pPr>
        <w:rPr>
          <w:rFonts w:cs="Arial"/>
        </w:rPr>
      </w:pPr>
      <w:r>
        <w:rPr>
          <w:rFonts w:cs="Arial"/>
        </w:rPr>
        <w:t>&lt;ESMA_QUESTION_SAC_5&gt;</w:t>
      </w:r>
    </w:p>
    <w:p w14:paraId="1394A607" w14:textId="77777777" w:rsidR="005C4E0E" w:rsidRDefault="005C4E0E" w:rsidP="005C4E0E">
      <w:pPr>
        <w:rPr>
          <w:rFonts w:cs="Arial"/>
        </w:rPr>
      </w:pPr>
    </w:p>
    <w:p w14:paraId="48B2124A" w14:textId="77777777" w:rsidR="005C4E0E" w:rsidRDefault="005C4E0E" w:rsidP="005C4E0E">
      <w:pPr>
        <w:pStyle w:val="Questionstyle"/>
        <w:numPr>
          <w:ilvl w:val="0"/>
          <w:numId w:val="55"/>
        </w:numPr>
        <w:rPr>
          <w:rFonts w:ascii="Arial" w:hAnsi="Arial" w:cs="Arial"/>
        </w:rPr>
      </w:pPr>
      <w:r>
        <w:t xml:space="preserve">: </w:t>
      </w:r>
      <w:r w:rsidRPr="00282DFB">
        <w:rPr>
          <w:rFonts w:ascii="Arial" w:hAnsi="Arial" w:cs="Arial"/>
        </w:rPr>
        <w:t>In order to take a proportionate approach to scrutiny and review of prospectuses, do you agree that NCAs should only be required to scrutinise information which has not already been scrutinised/reviewed/approved, as proposed in Article B(2)?</w:t>
      </w:r>
    </w:p>
    <w:p w14:paraId="7274801D" w14:textId="77777777" w:rsidR="005C4E0E" w:rsidRDefault="005C4E0E" w:rsidP="005C4E0E">
      <w:pPr>
        <w:rPr>
          <w:rFonts w:cs="Arial"/>
        </w:rPr>
      </w:pPr>
      <w:r>
        <w:rPr>
          <w:rFonts w:cs="Arial"/>
        </w:rPr>
        <w:t>&lt;ESMA_QUESTION_SAC_6&gt;</w:t>
      </w:r>
    </w:p>
    <w:p w14:paraId="17737889" w14:textId="77777777" w:rsidR="00BF1B2B" w:rsidRDefault="00BF1B2B" w:rsidP="005C4E0E">
      <w:pPr>
        <w:rPr>
          <w:rFonts w:cs="Arial"/>
          <w:lang w:val="en-US"/>
        </w:rPr>
      </w:pPr>
      <w:permStart w:id="609044088" w:edGrp="everyone"/>
      <w:r w:rsidRPr="00B97AEC">
        <w:rPr>
          <w:rFonts w:cs="Arial"/>
          <w:lang w:val="en-US"/>
        </w:rPr>
        <w:t xml:space="preserve">Yes. Otherwise the approval processes would be more complicated and unnecessarily long. In many situations, issuers need clarity for certain points (e.g. for certain processes) and such clarity would be </w:t>
      </w:r>
      <w:r>
        <w:rPr>
          <w:rFonts w:cs="Arial"/>
          <w:lang w:val="en-US"/>
        </w:rPr>
        <w:t>lacking</w:t>
      </w:r>
      <w:r w:rsidRPr="00B97AEC">
        <w:rPr>
          <w:rFonts w:cs="Arial"/>
          <w:lang w:val="en-US"/>
        </w:rPr>
        <w:t xml:space="preserve"> if the NCA </w:t>
      </w:r>
      <w:r>
        <w:rPr>
          <w:rFonts w:cs="Arial"/>
          <w:lang w:val="en-US"/>
        </w:rPr>
        <w:t>were</w:t>
      </w:r>
      <w:r w:rsidRPr="00B97AEC">
        <w:rPr>
          <w:rFonts w:cs="Arial"/>
          <w:lang w:val="en-US"/>
        </w:rPr>
        <w:t xml:space="preserve"> required to comment again on parts of the prospectus which it had already</w:t>
      </w:r>
      <w:r w:rsidRPr="00BB5D6A">
        <w:rPr>
          <w:rFonts w:cs="Arial"/>
        </w:rPr>
        <w:t xml:space="preserve"> scrutinised</w:t>
      </w:r>
      <w:r w:rsidRPr="00B97AEC">
        <w:rPr>
          <w:rFonts w:cs="Arial"/>
          <w:lang w:val="en-US"/>
        </w:rPr>
        <w:t>.</w:t>
      </w:r>
    </w:p>
    <w:permEnd w:id="609044088"/>
    <w:p w14:paraId="62B84567" w14:textId="57775136" w:rsidR="005C4E0E" w:rsidRDefault="005C4E0E" w:rsidP="005C4E0E">
      <w:pPr>
        <w:rPr>
          <w:rFonts w:cs="Arial"/>
        </w:rPr>
      </w:pPr>
      <w:r>
        <w:rPr>
          <w:rFonts w:cs="Arial"/>
        </w:rPr>
        <w:t>&lt;ESMA_QUESTION_SAC_6&gt;</w:t>
      </w:r>
    </w:p>
    <w:p w14:paraId="524B77A1" w14:textId="77777777" w:rsidR="005C4E0E" w:rsidRDefault="005C4E0E" w:rsidP="005C4E0E">
      <w:pPr>
        <w:rPr>
          <w:rFonts w:cs="Arial"/>
        </w:rPr>
      </w:pPr>
    </w:p>
    <w:p w14:paraId="343934F4" w14:textId="77777777" w:rsidR="005C4E0E" w:rsidRDefault="005C4E0E" w:rsidP="005C4E0E">
      <w:pPr>
        <w:pStyle w:val="Questionstyle"/>
        <w:numPr>
          <w:ilvl w:val="0"/>
          <w:numId w:val="55"/>
        </w:numPr>
        <w:rPr>
          <w:rFonts w:ascii="Arial" w:hAnsi="Arial" w:cs="Arial"/>
        </w:rPr>
      </w:pPr>
      <w:r>
        <w:t xml:space="preserve">: </w:t>
      </w:r>
      <w:r w:rsidRPr="00282DFB">
        <w:rPr>
          <w:rFonts w:ascii="Arial" w:hAnsi="Arial" w:cs="Arial"/>
        </w:rPr>
        <w:t>Do you believe that application of the proposed criteria will impose additional costs on issuers, offerors or persons asking for admission to trading? If yes, please specify the type and nature of such costs, including whether they are one-off or on-going, and quantify them.</w:t>
      </w:r>
    </w:p>
    <w:p w14:paraId="11B149D6" w14:textId="77777777" w:rsidR="005C4E0E" w:rsidRDefault="005C4E0E" w:rsidP="005C4E0E">
      <w:pPr>
        <w:rPr>
          <w:rFonts w:cs="Arial"/>
        </w:rPr>
      </w:pPr>
      <w:r>
        <w:rPr>
          <w:rFonts w:cs="Arial"/>
        </w:rPr>
        <w:t>&lt;ESMA_QUESTION_SAC_7&gt;</w:t>
      </w:r>
    </w:p>
    <w:p w14:paraId="01BFF975" w14:textId="77777777" w:rsidR="00BF1B2B" w:rsidRDefault="00BF1B2B" w:rsidP="005C4E0E">
      <w:pPr>
        <w:rPr>
          <w:rFonts w:cs="Arial"/>
          <w:lang w:val="en-US"/>
        </w:rPr>
      </w:pPr>
      <w:permStart w:id="1296385457" w:edGrp="everyone"/>
      <w:r w:rsidRPr="00B97AEC">
        <w:rPr>
          <w:rFonts w:cs="Arial"/>
          <w:lang w:val="en-US"/>
        </w:rPr>
        <w:t xml:space="preserve">Since the criteria of completeness, consistency and comprehensibility have </w:t>
      </w:r>
      <w:r>
        <w:rPr>
          <w:rFonts w:cs="Arial"/>
          <w:lang w:val="en-US"/>
        </w:rPr>
        <w:t xml:space="preserve">already </w:t>
      </w:r>
      <w:r w:rsidRPr="00B97AEC">
        <w:rPr>
          <w:rFonts w:cs="Arial"/>
          <w:lang w:val="en-US"/>
        </w:rPr>
        <w:t xml:space="preserve">been part of the scrutiny and approval process </w:t>
      </w:r>
      <w:r>
        <w:rPr>
          <w:rFonts w:cs="Arial"/>
          <w:lang w:val="en-US"/>
        </w:rPr>
        <w:t>for some</w:t>
      </w:r>
      <w:r w:rsidRPr="00B97AEC">
        <w:rPr>
          <w:rFonts w:cs="Arial"/>
          <w:lang w:val="en-US"/>
        </w:rPr>
        <w:t xml:space="preserve"> years, issuers are already aware of them and have included them in their drafting process. Therefore it seems unlikely that the proposed criteria will create additional costs.</w:t>
      </w:r>
    </w:p>
    <w:permEnd w:id="1296385457"/>
    <w:p w14:paraId="60B3553A" w14:textId="28167CD7" w:rsidR="005C4E0E" w:rsidRDefault="005C4E0E" w:rsidP="005C4E0E">
      <w:pPr>
        <w:rPr>
          <w:rFonts w:cs="Arial"/>
        </w:rPr>
      </w:pPr>
      <w:r>
        <w:rPr>
          <w:rFonts w:cs="Arial"/>
        </w:rPr>
        <w:t>&lt;ESMA_QUESTION_SAC_7&gt;</w:t>
      </w:r>
    </w:p>
    <w:p w14:paraId="5AD96F6E" w14:textId="77777777" w:rsidR="005C4E0E" w:rsidRDefault="005C4E0E" w:rsidP="005C4E0E">
      <w:pPr>
        <w:rPr>
          <w:rFonts w:cs="Arial"/>
        </w:rPr>
      </w:pPr>
    </w:p>
    <w:p w14:paraId="6294B53C" w14:textId="77777777" w:rsidR="005C4E0E" w:rsidRDefault="005C4E0E" w:rsidP="005C4E0E">
      <w:pPr>
        <w:pStyle w:val="Questionstyle"/>
        <w:numPr>
          <w:ilvl w:val="0"/>
          <w:numId w:val="55"/>
        </w:numPr>
        <w:rPr>
          <w:rFonts w:ascii="Arial" w:hAnsi="Arial" w:cs="Arial"/>
        </w:rPr>
      </w:pPr>
      <w:r>
        <w:t xml:space="preserve">: </w:t>
      </w:r>
      <w:r w:rsidRPr="00282DFB">
        <w:rPr>
          <w:rFonts w:ascii="Arial" w:hAnsi="Arial" w:cs="Arial"/>
        </w:rPr>
        <w:t>Do you have any further suggestions for harmonising the way in which NCAs scrutinise prospectuses? In your view, should ESMA propose more detailed or additional criteria for scrutiny/review in its technical advice?</w:t>
      </w:r>
    </w:p>
    <w:p w14:paraId="7DF9BCAC" w14:textId="77777777" w:rsidR="005C4E0E" w:rsidRDefault="005C4E0E" w:rsidP="005C4E0E">
      <w:pPr>
        <w:rPr>
          <w:rFonts w:cs="Arial"/>
        </w:rPr>
      </w:pPr>
      <w:r>
        <w:rPr>
          <w:rFonts w:cs="Arial"/>
        </w:rPr>
        <w:t>&lt;ESMA_QUESTION_SAC_8&gt;</w:t>
      </w:r>
    </w:p>
    <w:p w14:paraId="1A3956CC" w14:textId="77777777" w:rsidR="00BF1B2B" w:rsidRDefault="00BF1B2B" w:rsidP="005C4E0E">
      <w:pPr>
        <w:rPr>
          <w:rFonts w:cs="Arial"/>
          <w:lang w:val="en-US"/>
        </w:rPr>
      </w:pPr>
      <w:permStart w:id="1666980614" w:edGrp="everyone"/>
      <w:r w:rsidRPr="00B97AEC">
        <w:rPr>
          <w:rFonts w:cs="Arial"/>
          <w:lang w:val="en-US"/>
        </w:rPr>
        <w:t>No. We don´t have any further suggestions.</w:t>
      </w:r>
    </w:p>
    <w:permEnd w:id="1666980614"/>
    <w:p w14:paraId="4767B157" w14:textId="4EF7F9DC" w:rsidR="005C4E0E" w:rsidRDefault="005C4E0E" w:rsidP="005C4E0E">
      <w:pPr>
        <w:rPr>
          <w:rFonts w:cs="Arial"/>
        </w:rPr>
      </w:pPr>
      <w:r>
        <w:rPr>
          <w:rFonts w:cs="Arial"/>
        </w:rPr>
        <w:t>&lt;ESMA_QUESTION_SAC_8&gt;</w:t>
      </w:r>
    </w:p>
    <w:p w14:paraId="700B2042" w14:textId="77777777" w:rsidR="005C4E0E" w:rsidRDefault="005C4E0E" w:rsidP="005C4E0E">
      <w:pPr>
        <w:rPr>
          <w:rFonts w:cs="Arial"/>
        </w:rPr>
      </w:pPr>
    </w:p>
    <w:p w14:paraId="75E17304" w14:textId="77777777" w:rsidR="005C4E0E" w:rsidRDefault="005C4E0E" w:rsidP="005C4E0E">
      <w:pPr>
        <w:pStyle w:val="Questionstyle"/>
        <w:numPr>
          <w:ilvl w:val="0"/>
          <w:numId w:val="55"/>
        </w:numPr>
        <w:rPr>
          <w:rFonts w:ascii="Arial" w:hAnsi="Arial" w:cs="Arial"/>
        </w:rPr>
      </w:pPr>
      <w:r>
        <w:t xml:space="preserve">: </w:t>
      </w:r>
      <w:r w:rsidRPr="00282DFB">
        <w:rPr>
          <w:rFonts w:ascii="Arial" w:hAnsi="Arial" w:cs="Arial"/>
        </w:rPr>
        <w:t>Has ESMA identified all the necessary amendments to the existing procedures for approval of the prospectus?</w:t>
      </w:r>
    </w:p>
    <w:p w14:paraId="65066825" w14:textId="77777777" w:rsidR="005C4E0E" w:rsidRDefault="005C4E0E" w:rsidP="005C4E0E">
      <w:pPr>
        <w:rPr>
          <w:rFonts w:cs="Arial"/>
        </w:rPr>
      </w:pPr>
      <w:r>
        <w:rPr>
          <w:rFonts w:cs="Arial"/>
        </w:rPr>
        <w:t>&lt;ESMA_QUESTION_SAC_9&gt;</w:t>
      </w:r>
    </w:p>
    <w:p w14:paraId="52903F02" w14:textId="77777777" w:rsidR="00BF1B2B" w:rsidRDefault="00BF1B2B" w:rsidP="005C4E0E">
      <w:pPr>
        <w:rPr>
          <w:rFonts w:cs="Arial"/>
          <w:lang w:val="en-US"/>
        </w:rPr>
      </w:pPr>
      <w:permStart w:id="826869611" w:edGrp="everyone"/>
      <w:r w:rsidRPr="00B97AEC">
        <w:rPr>
          <w:rFonts w:cs="Arial"/>
          <w:lang w:val="en-US"/>
        </w:rPr>
        <w:t>From our point of view, yes.</w:t>
      </w:r>
    </w:p>
    <w:permEnd w:id="826869611"/>
    <w:p w14:paraId="560EB5B7" w14:textId="71BF4A3F" w:rsidR="005C4E0E" w:rsidRDefault="005C4E0E" w:rsidP="005C4E0E">
      <w:pPr>
        <w:rPr>
          <w:rFonts w:cs="Arial"/>
        </w:rPr>
      </w:pPr>
      <w:r>
        <w:rPr>
          <w:rFonts w:cs="Arial"/>
        </w:rPr>
        <w:t>&lt;ESMA_QUESTION_SAC_9&gt;</w:t>
      </w:r>
    </w:p>
    <w:p w14:paraId="0D5E1D0D" w14:textId="77777777" w:rsidR="005C4E0E" w:rsidRDefault="005C4E0E" w:rsidP="005C4E0E">
      <w:pPr>
        <w:rPr>
          <w:rFonts w:cs="Arial"/>
        </w:rPr>
      </w:pPr>
    </w:p>
    <w:p w14:paraId="6E8D40F4" w14:textId="77777777" w:rsidR="005C4E0E" w:rsidRDefault="005C4E0E" w:rsidP="005C4E0E">
      <w:pPr>
        <w:pStyle w:val="Questionstyle"/>
        <w:numPr>
          <w:ilvl w:val="0"/>
          <w:numId w:val="55"/>
        </w:numPr>
        <w:rPr>
          <w:rFonts w:ascii="Arial" w:hAnsi="Arial" w:cs="Arial"/>
        </w:rPr>
      </w:pPr>
      <w:r>
        <w:t xml:space="preserve">: </w:t>
      </w:r>
      <w:r w:rsidRPr="00282DFB">
        <w:rPr>
          <w:rFonts w:ascii="Arial" w:hAnsi="Arial" w:cs="Arial"/>
        </w:rPr>
        <w:t>Do you agree with the provision for providing the appendix to the registration document/URD laid down in Article C(2)(d) and (e)?</w:t>
      </w:r>
    </w:p>
    <w:p w14:paraId="3C01CA8D" w14:textId="77777777" w:rsidR="005C4E0E" w:rsidRDefault="005C4E0E" w:rsidP="005C4E0E">
      <w:pPr>
        <w:rPr>
          <w:rFonts w:cs="Arial"/>
        </w:rPr>
      </w:pPr>
      <w:r>
        <w:rPr>
          <w:rFonts w:cs="Arial"/>
        </w:rPr>
        <w:lastRenderedPageBreak/>
        <w:t>&lt;ESMA_QUESTION_SAC_10&gt;</w:t>
      </w:r>
    </w:p>
    <w:p w14:paraId="590FD4D9" w14:textId="77777777" w:rsidR="00BF1B2B" w:rsidRDefault="00BF1B2B" w:rsidP="005C4E0E">
      <w:pPr>
        <w:rPr>
          <w:rFonts w:cs="Arial"/>
          <w:lang w:val="en-US"/>
        </w:rPr>
      </w:pPr>
      <w:permStart w:id="1152481179" w:edGrp="everyone"/>
      <w:r w:rsidRPr="00B97AEC">
        <w:rPr>
          <w:rFonts w:cs="Arial"/>
          <w:lang w:val="en-US"/>
        </w:rPr>
        <w:t>Yes, this is how it probably needs to work.</w:t>
      </w:r>
    </w:p>
    <w:permEnd w:id="1152481179"/>
    <w:p w14:paraId="24811F86" w14:textId="41BBB4B1" w:rsidR="005C4E0E" w:rsidRDefault="005C4E0E" w:rsidP="005C4E0E">
      <w:pPr>
        <w:rPr>
          <w:rFonts w:cs="Arial"/>
        </w:rPr>
      </w:pPr>
      <w:r>
        <w:rPr>
          <w:rFonts w:cs="Arial"/>
        </w:rPr>
        <w:t>&lt;ESMA_QUESTION_SAC_10&gt;</w:t>
      </w:r>
    </w:p>
    <w:p w14:paraId="08A328AE" w14:textId="77777777" w:rsidR="005C4E0E" w:rsidRDefault="005C4E0E" w:rsidP="005C4E0E">
      <w:pPr>
        <w:rPr>
          <w:rFonts w:cs="Arial"/>
        </w:rPr>
      </w:pPr>
    </w:p>
    <w:p w14:paraId="765C5C3F" w14:textId="77777777" w:rsidR="005C4E0E" w:rsidRDefault="005C4E0E" w:rsidP="005C4E0E">
      <w:pPr>
        <w:pStyle w:val="Questionstyle"/>
        <w:numPr>
          <w:ilvl w:val="0"/>
          <w:numId w:val="55"/>
        </w:numPr>
        <w:rPr>
          <w:rFonts w:ascii="Arial" w:hAnsi="Arial" w:cs="Arial"/>
        </w:rPr>
      </w:pPr>
      <w:r>
        <w:t xml:space="preserve">: </w:t>
      </w:r>
      <w:r w:rsidRPr="00282DFB">
        <w:rPr>
          <w:rFonts w:ascii="Arial" w:hAnsi="Arial" w:cs="Arial"/>
        </w:rPr>
        <w:t>Do you agree with the procedures for approval of the URD?</w:t>
      </w:r>
    </w:p>
    <w:p w14:paraId="504BD033" w14:textId="77777777" w:rsidR="005C4E0E" w:rsidRDefault="005C4E0E" w:rsidP="005C4E0E">
      <w:pPr>
        <w:rPr>
          <w:rFonts w:cs="Arial"/>
        </w:rPr>
      </w:pPr>
      <w:r>
        <w:rPr>
          <w:rFonts w:cs="Arial"/>
        </w:rPr>
        <w:t>&lt;ESMA_QUESTION_SAC_11&gt;</w:t>
      </w:r>
    </w:p>
    <w:p w14:paraId="6D0A144F" w14:textId="77777777" w:rsidR="00BF1B2B" w:rsidRPr="00B97AEC" w:rsidRDefault="00BF1B2B" w:rsidP="00BF1B2B">
      <w:pPr>
        <w:rPr>
          <w:rFonts w:cs="Arial"/>
          <w:lang w:val="en-US"/>
        </w:rPr>
      </w:pPr>
      <w:permStart w:id="1068134702" w:edGrp="everyone"/>
      <w:r w:rsidRPr="00B97AEC">
        <w:rPr>
          <w:rFonts w:cs="Arial"/>
          <w:lang w:val="en-US"/>
        </w:rPr>
        <w:t>Yes, we agree.</w:t>
      </w:r>
    </w:p>
    <w:permEnd w:id="1068134702"/>
    <w:p w14:paraId="337BD99C" w14:textId="77777777" w:rsidR="005C4E0E" w:rsidRDefault="005C4E0E" w:rsidP="005C4E0E">
      <w:pPr>
        <w:rPr>
          <w:rFonts w:cs="Arial"/>
        </w:rPr>
      </w:pPr>
      <w:r>
        <w:rPr>
          <w:rFonts w:cs="Arial"/>
        </w:rPr>
        <w:t>&lt;ESMA_QUESTION_SAC_11&gt;</w:t>
      </w:r>
    </w:p>
    <w:p w14:paraId="31580C11" w14:textId="77777777" w:rsidR="005C4E0E" w:rsidRDefault="005C4E0E" w:rsidP="005C4E0E">
      <w:pPr>
        <w:rPr>
          <w:rFonts w:cs="Arial"/>
        </w:rPr>
      </w:pPr>
    </w:p>
    <w:p w14:paraId="19D3AC37" w14:textId="77777777" w:rsidR="005C4E0E" w:rsidRDefault="005C4E0E" w:rsidP="005C4E0E">
      <w:pPr>
        <w:pStyle w:val="Questionstyle"/>
        <w:numPr>
          <w:ilvl w:val="0"/>
          <w:numId w:val="55"/>
        </w:numPr>
        <w:rPr>
          <w:rFonts w:ascii="Arial" w:hAnsi="Arial" w:cs="Arial"/>
        </w:rPr>
      </w:pPr>
      <w:r>
        <w:t xml:space="preserve">: </w:t>
      </w:r>
      <w:r w:rsidRPr="00282DFB">
        <w:rPr>
          <w:rFonts w:ascii="Arial" w:hAnsi="Arial" w:cs="Arial"/>
        </w:rPr>
        <w:t>Do you agree with the procedures for filing of the URD? Are there any further considerations which ESMA should take into account in this regard?</w:t>
      </w:r>
      <w:r>
        <w:t xml:space="preserve"> </w:t>
      </w:r>
    </w:p>
    <w:p w14:paraId="68826AC2" w14:textId="77777777" w:rsidR="005C4E0E" w:rsidRDefault="005C4E0E" w:rsidP="005C4E0E">
      <w:pPr>
        <w:rPr>
          <w:rFonts w:cs="Arial"/>
        </w:rPr>
      </w:pPr>
      <w:r>
        <w:rPr>
          <w:rFonts w:cs="Arial"/>
        </w:rPr>
        <w:t>&lt;ESMA_QUESTION_SAC_12&gt;</w:t>
      </w:r>
    </w:p>
    <w:p w14:paraId="11F64B46" w14:textId="77777777" w:rsidR="00BF1B2B" w:rsidRPr="00B97AEC" w:rsidRDefault="00BF1B2B" w:rsidP="00A5041D">
      <w:pPr>
        <w:rPr>
          <w:rFonts w:cs="Arial"/>
          <w:lang w:val="en-US"/>
        </w:rPr>
      </w:pPr>
      <w:permStart w:id="233974503" w:edGrp="everyone"/>
      <w:r w:rsidRPr="00B97AEC">
        <w:rPr>
          <w:rFonts w:cs="Arial"/>
          <w:lang w:val="en-US"/>
        </w:rPr>
        <w:t xml:space="preserve">Yes, we agree. </w:t>
      </w:r>
    </w:p>
    <w:p w14:paraId="1B756901" w14:textId="77777777" w:rsidR="00BF1B2B" w:rsidRDefault="00BF1B2B" w:rsidP="005C4E0E">
      <w:pPr>
        <w:rPr>
          <w:rFonts w:cs="Arial"/>
          <w:lang w:val="en-US"/>
        </w:rPr>
      </w:pPr>
      <w:r w:rsidRPr="00B97AEC">
        <w:rPr>
          <w:rFonts w:cs="Arial"/>
          <w:lang w:val="en-US"/>
        </w:rPr>
        <w:t>To render the URD concept useful for frequent issuers, further changes would be necessary at Level 1. The filing option comes without the attractive main feature, as the URD and amendments to it still need to be approved upfront when used in a prospectus. Without the ability to use the filed only (and reviewed</w:t>
      </w:r>
      <w:r>
        <w:rPr>
          <w:rFonts w:cs="Arial"/>
          <w:lang w:val="en-US"/>
        </w:rPr>
        <w:t xml:space="preserve"> subsequently</w:t>
      </w:r>
      <w:r w:rsidRPr="00B97AEC">
        <w:rPr>
          <w:rFonts w:cs="Arial"/>
          <w:lang w:val="en-US"/>
        </w:rPr>
        <w:t>) URD for prospectuses, little is gained for a frequent issuer. As Level 1 stands, though, the procedures set out in the consultation paper make sense.</w:t>
      </w:r>
    </w:p>
    <w:permEnd w:id="233974503"/>
    <w:p w14:paraId="206FFAAD" w14:textId="0D5F48B8" w:rsidR="005C4E0E" w:rsidRDefault="005C4E0E" w:rsidP="005C4E0E">
      <w:pPr>
        <w:rPr>
          <w:rFonts w:cs="Arial"/>
        </w:rPr>
      </w:pPr>
      <w:r>
        <w:rPr>
          <w:rFonts w:cs="Arial"/>
        </w:rPr>
        <w:t>&lt;ESMA_QUESTION_SAC_12&gt;</w:t>
      </w:r>
    </w:p>
    <w:p w14:paraId="02F07FAA" w14:textId="77777777" w:rsidR="005C4E0E" w:rsidRDefault="005C4E0E" w:rsidP="005C4E0E">
      <w:pPr>
        <w:rPr>
          <w:rFonts w:cs="Arial"/>
        </w:rPr>
      </w:pPr>
    </w:p>
    <w:p w14:paraId="5F5E54CD" w14:textId="77777777" w:rsidR="005C4E0E" w:rsidRDefault="005C4E0E" w:rsidP="005C4E0E">
      <w:pPr>
        <w:pStyle w:val="Questionstyle"/>
        <w:numPr>
          <w:ilvl w:val="0"/>
          <w:numId w:val="55"/>
        </w:numPr>
        <w:rPr>
          <w:rFonts w:ascii="Arial" w:hAnsi="Arial" w:cs="Arial"/>
        </w:rPr>
      </w:pPr>
      <w:r>
        <w:t xml:space="preserve">: </w:t>
      </w:r>
      <w:r w:rsidRPr="00282DFB">
        <w:rPr>
          <w:rFonts w:ascii="Arial" w:hAnsi="Arial" w:cs="Arial"/>
        </w:rPr>
        <w:t>Do you believe that any of the proposed procedures for approval and filing will impose additional costs on issuers, offerors or persons asking for admission to trading? If yes, please specify the type and nature of such costs, including whether they are one-off or on-going, and quantify them.</w:t>
      </w:r>
    </w:p>
    <w:p w14:paraId="40E83795" w14:textId="77777777" w:rsidR="005C4E0E" w:rsidRDefault="005C4E0E" w:rsidP="005C4E0E">
      <w:pPr>
        <w:rPr>
          <w:rFonts w:cs="Arial"/>
        </w:rPr>
      </w:pPr>
      <w:r>
        <w:rPr>
          <w:rFonts w:cs="Arial"/>
        </w:rPr>
        <w:t>&lt;ESMA_QUESTION_SAC_13&gt;</w:t>
      </w:r>
    </w:p>
    <w:p w14:paraId="39623CDF" w14:textId="77777777" w:rsidR="00BF1B2B" w:rsidRDefault="00BF1B2B" w:rsidP="005C4E0E">
      <w:pPr>
        <w:rPr>
          <w:rFonts w:cs="Arial"/>
          <w:lang w:val="en-US"/>
        </w:rPr>
      </w:pPr>
      <w:permStart w:id="871047471" w:edGrp="everyone"/>
      <w:r w:rsidRPr="00B97AEC">
        <w:rPr>
          <w:rFonts w:cs="Arial"/>
          <w:lang w:val="en-US"/>
        </w:rPr>
        <w:t>No, as the proposed procedures appear to be largely in line with current practice.</w:t>
      </w:r>
    </w:p>
    <w:permEnd w:id="871047471"/>
    <w:p w14:paraId="1FC94171" w14:textId="488F37F3" w:rsidR="005C4E0E" w:rsidRDefault="005C4E0E" w:rsidP="005C4E0E">
      <w:pPr>
        <w:rPr>
          <w:rFonts w:cs="Arial"/>
        </w:rPr>
      </w:pPr>
      <w:r>
        <w:rPr>
          <w:rFonts w:cs="Arial"/>
        </w:rPr>
        <w:t>&lt;ESMA_QUESTION_SAC_13&gt;</w:t>
      </w:r>
    </w:p>
    <w:p w14:paraId="06E041A1" w14:textId="77777777" w:rsidR="005C4E0E" w:rsidRDefault="005C4E0E" w:rsidP="005C4E0E">
      <w:pPr>
        <w:rPr>
          <w:rFonts w:cs="Arial"/>
        </w:rPr>
      </w:pPr>
    </w:p>
    <w:p w14:paraId="64426C17" w14:textId="77777777" w:rsidR="005C4E0E" w:rsidRDefault="005C4E0E" w:rsidP="005C4E0E">
      <w:pPr>
        <w:pStyle w:val="Questionstyle"/>
        <w:numPr>
          <w:ilvl w:val="0"/>
          <w:numId w:val="55"/>
        </w:numPr>
        <w:rPr>
          <w:rFonts w:ascii="Arial" w:hAnsi="Arial" w:cs="Arial"/>
        </w:rPr>
      </w:pPr>
      <w:r>
        <w:t xml:space="preserve">: </w:t>
      </w:r>
      <w:r w:rsidRPr="00282DFB">
        <w:rPr>
          <w:rFonts w:ascii="Arial" w:hAnsi="Arial" w:cs="Arial"/>
        </w:rPr>
        <w:t>Do you agree that it is not necessary at Level 2 to further specify the conditions for losing the status of frequent issuer? If no, please elaborate on how ESMA should further specify the conditions already established at Level 1.</w:t>
      </w:r>
    </w:p>
    <w:p w14:paraId="6339ADCF" w14:textId="77777777" w:rsidR="005C4E0E" w:rsidRDefault="005C4E0E" w:rsidP="005C4E0E">
      <w:pPr>
        <w:rPr>
          <w:rFonts w:cs="Arial"/>
        </w:rPr>
      </w:pPr>
      <w:r>
        <w:rPr>
          <w:rFonts w:cs="Arial"/>
        </w:rPr>
        <w:t>&lt;ESMA_QUESTION_SAC_14&gt;</w:t>
      </w:r>
    </w:p>
    <w:p w14:paraId="52CEF257" w14:textId="77777777" w:rsidR="00304643" w:rsidRDefault="00BF1B2B" w:rsidP="005C4E0E">
      <w:pPr>
        <w:rPr>
          <w:rFonts w:cs="Arial"/>
          <w:lang w:val="en-US"/>
        </w:rPr>
      </w:pPr>
      <w:permStart w:id="527529602" w:edGrp="everyone"/>
      <w:r w:rsidRPr="00B97AEC">
        <w:rPr>
          <w:rFonts w:cs="Arial"/>
          <w:lang w:val="en-US"/>
        </w:rPr>
        <w:t>Yes, we agree</w:t>
      </w:r>
      <w:r>
        <w:rPr>
          <w:rFonts w:cs="Arial"/>
          <w:lang w:val="en-US"/>
        </w:rPr>
        <w:t>.</w:t>
      </w:r>
    </w:p>
    <w:permEnd w:id="527529602"/>
    <w:p w14:paraId="0CEF0B3F" w14:textId="34AC5894" w:rsidR="005C4E0E" w:rsidRDefault="005C4E0E" w:rsidP="005C4E0E">
      <w:pPr>
        <w:rPr>
          <w:rFonts w:cs="Arial"/>
        </w:rPr>
      </w:pPr>
      <w:r>
        <w:rPr>
          <w:rFonts w:cs="Arial"/>
        </w:rPr>
        <w:t>&lt;ESMA_QUESTION_SAC_14&gt;</w:t>
      </w:r>
    </w:p>
    <w:p w14:paraId="498F3A5D" w14:textId="77777777" w:rsidR="005C4E0E" w:rsidRDefault="005C4E0E" w:rsidP="005C4E0E">
      <w:pPr>
        <w:rPr>
          <w:rFonts w:cs="Arial"/>
        </w:rPr>
      </w:pPr>
    </w:p>
    <w:p w14:paraId="16BEF0C2" w14:textId="77777777" w:rsidR="005C4E0E" w:rsidRDefault="005C4E0E" w:rsidP="005C4E0E">
      <w:pPr>
        <w:pStyle w:val="Questionstyle"/>
        <w:numPr>
          <w:ilvl w:val="0"/>
          <w:numId w:val="55"/>
        </w:numPr>
        <w:rPr>
          <w:rFonts w:ascii="Arial" w:hAnsi="Arial" w:cs="Arial"/>
        </w:rPr>
      </w:pPr>
      <w:r>
        <w:t xml:space="preserve">: </w:t>
      </w:r>
      <w:r w:rsidRPr="00282DFB">
        <w:rPr>
          <w:rFonts w:ascii="Arial" w:hAnsi="Arial" w:cs="Arial"/>
        </w:rPr>
        <w:t>Do you have any other considerations which ESMA should be aware of when finalising the technical advice covered by this Consultation Paper?</w:t>
      </w:r>
    </w:p>
    <w:p w14:paraId="3626F654" w14:textId="77777777" w:rsidR="005C4E0E" w:rsidRDefault="005C4E0E" w:rsidP="005C4E0E">
      <w:pPr>
        <w:rPr>
          <w:rFonts w:cs="Arial"/>
        </w:rPr>
      </w:pPr>
      <w:r>
        <w:rPr>
          <w:rFonts w:cs="Arial"/>
        </w:rPr>
        <w:t>&lt;ESMA_QUESTION_SAC_15&gt;</w:t>
      </w:r>
    </w:p>
    <w:p w14:paraId="51B3FDCA" w14:textId="77777777" w:rsidR="00304643" w:rsidRDefault="00304643" w:rsidP="005C4E0E">
      <w:pPr>
        <w:rPr>
          <w:rFonts w:cs="Arial"/>
          <w:lang w:val="en-US"/>
        </w:rPr>
      </w:pPr>
      <w:permStart w:id="885944318" w:edGrp="everyone"/>
      <w:r w:rsidRPr="00B97AEC">
        <w:rPr>
          <w:rFonts w:cs="Arial"/>
          <w:lang w:val="en-US"/>
        </w:rPr>
        <w:t>We don´t have any further considerations.</w:t>
      </w:r>
    </w:p>
    <w:permEnd w:id="885944318"/>
    <w:p w14:paraId="0A6CDEE9" w14:textId="3BA55B7F" w:rsidR="005C4E0E" w:rsidRDefault="005C4E0E" w:rsidP="005C4E0E">
      <w:pPr>
        <w:rPr>
          <w:rFonts w:cs="Arial"/>
        </w:rPr>
      </w:pPr>
      <w:r>
        <w:rPr>
          <w:rFonts w:cs="Arial"/>
        </w:rPr>
        <w:t>&lt;ESMA_QUESTION_SAC_15&gt;</w:t>
      </w:r>
    </w:p>
    <w:p w14:paraId="0603DE9D" w14:textId="0B298B51" w:rsidR="008701E5" w:rsidRDefault="00EB2A3F" w:rsidP="005C4E0E">
      <w:pPr>
        <w:pStyle w:val="Questionstyle"/>
        <w:rPr>
          <w:b w:val="0"/>
        </w:rPr>
      </w:pPr>
      <w:r>
        <w:rPr>
          <w:b w:val="0"/>
        </w:rPr>
        <w:t xml:space="preserve"> </w:t>
      </w:r>
    </w:p>
    <w:sectPr w:rsidR="008701E5"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CA689" w14:textId="77777777" w:rsidR="00DE08E6" w:rsidRDefault="00DE08E6">
      <w:r>
        <w:separator/>
      </w:r>
    </w:p>
    <w:p w14:paraId="10FD8294" w14:textId="77777777" w:rsidR="00DE08E6" w:rsidRDefault="00DE08E6"/>
  </w:endnote>
  <w:endnote w:type="continuationSeparator" w:id="0">
    <w:p w14:paraId="25BF0212" w14:textId="77777777" w:rsidR="00DE08E6" w:rsidRDefault="00DE08E6">
      <w:r>
        <w:continuationSeparator/>
      </w:r>
    </w:p>
    <w:p w14:paraId="2BBF3FC9" w14:textId="77777777" w:rsidR="00DE08E6" w:rsidRDefault="00DE08E6"/>
  </w:endnote>
  <w:endnote w:type="continuationNotice" w:id="1">
    <w:p w14:paraId="652305A7" w14:textId="77777777" w:rsidR="00DE08E6" w:rsidRDefault="00DE0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52799346"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E7087">
            <w:rPr>
              <w:rFonts w:cs="Arial"/>
              <w:noProof/>
              <w:sz w:val="22"/>
              <w:szCs w:val="22"/>
            </w:rPr>
            <w:t>3</w:t>
          </w:r>
          <w:r w:rsidRPr="00616B9B">
            <w:rPr>
              <w:rFonts w:cs="Arial"/>
              <w:noProof/>
              <w:sz w:val="22"/>
              <w:szCs w:val="22"/>
            </w:rPr>
            <w:fldChar w:fldCharType="end"/>
          </w:r>
        </w:p>
      </w:tc>
    </w:tr>
  </w:tbl>
  <w:p w14:paraId="3F8E2998" w14:textId="77777777" w:rsidR="00811EDA" w:rsidRDefault="00811E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C8D16" w14:textId="77777777" w:rsidR="00811EDA" w:rsidRDefault="00811E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C5BA2" w14:textId="77777777" w:rsidR="00DE08E6" w:rsidRDefault="00DE08E6">
      <w:r>
        <w:separator/>
      </w:r>
    </w:p>
    <w:p w14:paraId="104412D9" w14:textId="77777777" w:rsidR="00DE08E6" w:rsidRDefault="00DE08E6"/>
  </w:footnote>
  <w:footnote w:type="continuationSeparator" w:id="0">
    <w:p w14:paraId="24BD6BF1" w14:textId="77777777" w:rsidR="00DE08E6" w:rsidRDefault="00DE08E6">
      <w:r>
        <w:continuationSeparator/>
      </w:r>
    </w:p>
    <w:p w14:paraId="11E2D3FF" w14:textId="77777777" w:rsidR="00DE08E6" w:rsidRDefault="00DE08E6"/>
  </w:footnote>
  <w:footnote w:type="continuationNotice" w:id="1">
    <w:p w14:paraId="790578E3" w14:textId="77777777" w:rsidR="00DE08E6" w:rsidRDefault="00DE08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2CB8" w14:textId="77777777" w:rsidR="00811EDA" w:rsidRDefault="00DE66EB">
    <w:pPr>
      <w:pStyle w:val="Kopfzeile"/>
    </w:pPr>
    <w:r>
      <w:rPr>
        <w:noProof/>
        <w:lang w:val="de-DE"/>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8D59" w14:textId="77777777" w:rsidR="00811EDA" w:rsidRDefault="00DE66EB" w:rsidP="00013CCE">
    <w:pPr>
      <w:pStyle w:val="Kopfzeile"/>
      <w:jc w:val="right"/>
    </w:pPr>
    <w:r>
      <w:rPr>
        <w:noProof/>
        <w:lang w:val="de-DE"/>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41B96"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Kopfzeile"/>
      <w:rPr>
        <w:lang w:val="fr-FR"/>
      </w:rPr>
    </w:pPr>
  </w:p>
  <w:p w14:paraId="7D075F96" w14:textId="77777777" w:rsidR="00811EDA" w:rsidRPr="002F4496" w:rsidRDefault="00811EDA" w:rsidP="000C06C9">
    <w:pPr>
      <w:pStyle w:val="Kopfzeile"/>
      <w:tabs>
        <w:tab w:val="clear" w:pos="4536"/>
        <w:tab w:val="clear" w:pos="9072"/>
        <w:tab w:val="left" w:pos="8227"/>
      </w:tabs>
      <w:rPr>
        <w:lang w:val="fr-FR"/>
      </w:rPr>
    </w:pPr>
  </w:p>
  <w:p w14:paraId="1EEAF2AF" w14:textId="77777777" w:rsidR="00811EDA" w:rsidRPr="002F4496" w:rsidRDefault="00811EDA" w:rsidP="000C06C9">
    <w:pPr>
      <w:pStyle w:val="Kopfzeile"/>
      <w:tabs>
        <w:tab w:val="clear" w:pos="4536"/>
        <w:tab w:val="clear" w:pos="9072"/>
        <w:tab w:val="left" w:pos="8227"/>
      </w:tabs>
      <w:rPr>
        <w:lang w:val="fr-FR"/>
      </w:rPr>
    </w:pPr>
  </w:p>
  <w:p w14:paraId="366CDA59" w14:textId="77777777" w:rsidR="00811EDA" w:rsidRPr="002F4496" w:rsidRDefault="00811EDA">
    <w:pPr>
      <w:pStyle w:val="Kopfzeile"/>
      <w:rPr>
        <w:lang w:val="fr-FR"/>
      </w:rPr>
    </w:pPr>
  </w:p>
  <w:p w14:paraId="090159B5" w14:textId="77777777" w:rsidR="00811EDA" w:rsidRPr="002F4496" w:rsidRDefault="00811EDA">
    <w:pPr>
      <w:pStyle w:val="Kopfzeile"/>
      <w:rPr>
        <w:lang w:val="fr-FR"/>
      </w:rPr>
    </w:pPr>
  </w:p>
  <w:p w14:paraId="13DB3246" w14:textId="77777777" w:rsidR="00811EDA" w:rsidRPr="002F4496" w:rsidRDefault="00811EDA">
    <w:pPr>
      <w:pStyle w:val="Kopfzeile"/>
      <w:rPr>
        <w:lang w:val="fr-FR"/>
      </w:rPr>
    </w:pPr>
  </w:p>
  <w:p w14:paraId="5B245FC6" w14:textId="77777777" w:rsidR="00811EDA" w:rsidRPr="002F4496" w:rsidRDefault="00811EDA">
    <w:pPr>
      <w:pStyle w:val="Kopfzeile"/>
      <w:rPr>
        <w:lang w:val="fr-FR"/>
      </w:rPr>
    </w:pPr>
  </w:p>
  <w:p w14:paraId="1D7B1F8D" w14:textId="77777777" w:rsidR="00811EDA" w:rsidRPr="002F4496" w:rsidRDefault="00811EDA">
    <w:pPr>
      <w:pStyle w:val="Kopfzeile"/>
      <w:rPr>
        <w:highlight w:val="yellow"/>
        <w:lang w:val="fr-FR"/>
      </w:rPr>
    </w:pPr>
  </w:p>
  <w:p w14:paraId="177617ED" w14:textId="77777777" w:rsidR="00811EDA" w:rsidRDefault="00DE66EB">
    <w:pPr>
      <w:pStyle w:val="Kopfzeile"/>
    </w:pPr>
    <w:r>
      <w:rPr>
        <w:noProof/>
        <w:lang w:val="de-DE"/>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4"/>
  </w:num>
  <w:num w:numId="4">
    <w:abstractNumId w:val="26"/>
  </w:num>
  <w:num w:numId="5">
    <w:abstractNumId w:val="28"/>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5"/>
  </w:num>
  <w:num w:numId="15">
    <w:abstractNumId w:val="11"/>
  </w:num>
  <w:num w:numId="16">
    <w:abstractNumId w:val="1"/>
  </w:num>
  <w:num w:numId="17">
    <w:abstractNumId w:val="17"/>
  </w:num>
  <w:num w:numId="18">
    <w:abstractNumId w:val="18"/>
  </w:num>
  <w:num w:numId="19">
    <w:abstractNumId w:val="20"/>
  </w:num>
  <w:num w:numId="20">
    <w:abstractNumId w:val="29"/>
  </w:num>
  <w:num w:numId="21">
    <w:abstractNumId w:val="40"/>
  </w:num>
  <w:num w:numId="22">
    <w:abstractNumId w:val="27"/>
  </w:num>
  <w:num w:numId="23">
    <w:abstractNumId w:val="10"/>
  </w:num>
  <w:num w:numId="24">
    <w:abstractNumId w:val="34"/>
  </w:num>
  <w:num w:numId="25">
    <w:abstractNumId w:val="33"/>
  </w:num>
  <w:num w:numId="26">
    <w:abstractNumId w:val="22"/>
  </w:num>
  <w:num w:numId="27">
    <w:abstractNumId w:val="37"/>
  </w:num>
  <w:num w:numId="28">
    <w:abstractNumId w:val="42"/>
  </w:num>
  <w:num w:numId="29">
    <w:abstractNumId w:val="8"/>
  </w:num>
  <w:num w:numId="30">
    <w:abstractNumId w:val="3"/>
  </w:num>
  <w:num w:numId="31">
    <w:abstractNumId w:val="24"/>
  </w:num>
  <w:num w:numId="32">
    <w:abstractNumId w:val="2"/>
  </w:num>
  <w:num w:numId="33">
    <w:abstractNumId w:val="7"/>
  </w:num>
  <w:num w:numId="34">
    <w:abstractNumId w:val="23"/>
  </w:num>
  <w:num w:numId="35">
    <w:abstractNumId w:val="39"/>
  </w:num>
  <w:num w:numId="36">
    <w:abstractNumId w:val="39"/>
    <w:lvlOverride w:ilvl="0">
      <w:startOverride w:val="1"/>
    </w:lvlOverride>
  </w:num>
  <w:num w:numId="37">
    <w:abstractNumId w:val="39"/>
    <w:lvlOverride w:ilvl="0">
      <w:startOverride w:val="1"/>
    </w:lvlOverride>
  </w:num>
  <w:num w:numId="38">
    <w:abstractNumId w:val="39"/>
    <w:lvlOverride w:ilvl="0">
      <w:startOverride w:val="1"/>
    </w:lvlOverride>
  </w:num>
  <w:num w:numId="39">
    <w:abstractNumId w:val="39"/>
    <w:lvlOverride w:ilvl="0">
      <w:startOverride w:val="1"/>
    </w:lvlOverride>
  </w:num>
  <w:num w:numId="40">
    <w:abstractNumId w:val="39"/>
    <w:lvlOverride w:ilvl="0">
      <w:startOverride w:val="1"/>
    </w:lvlOverride>
  </w:num>
  <w:num w:numId="41">
    <w:abstractNumId w:val="39"/>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39"/>
    <w:lvlOverride w:ilvl="0">
      <w:startOverride w:val="1"/>
    </w:lvlOverride>
  </w:num>
  <w:num w:numId="47">
    <w:abstractNumId w:val="38"/>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2"/>
  </w:num>
  <w:num w:numId="54">
    <w:abstractNumId w:val="15"/>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JI7Bapipa3llZGlbe0MCipdUydhKvo/z6B4iyOkil26oeG16UQEwc23qY3rvBRSJFN1PvfU5UNEC4VGhbFD9Xw==" w:salt="cRpjVhpNDvWgMXkC5mbwh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113"/>
    <w:rsid w:val="002E7F4B"/>
    <w:rsid w:val="002F0C91"/>
    <w:rsid w:val="002F0E3E"/>
    <w:rsid w:val="002F1B19"/>
    <w:rsid w:val="002F1FBF"/>
    <w:rsid w:val="002F4139"/>
    <w:rsid w:val="00300624"/>
    <w:rsid w:val="00300F56"/>
    <w:rsid w:val="00301006"/>
    <w:rsid w:val="00303565"/>
    <w:rsid w:val="00304643"/>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277E"/>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A1A"/>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18EE"/>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780"/>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816"/>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E7087"/>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1B2B"/>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2653B"/>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08E6"/>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Emphase pâle,Diskret betoning"/>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CA86DF17-23C0-4736-9B6F-BE56549D8347}">
  <ds:schemaRefs>
    <ds:schemaRef ds:uri="http://schemas.openxmlformats.org/officeDocument/2006/bibliography"/>
  </ds:schemaRefs>
</ds:datastoreItem>
</file>

<file path=customXml/itemProps6.xml><?xml version="1.0" encoding="utf-8"?>
<ds:datastoreItem xmlns:ds="http://schemas.openxmlformats.org/officeDocument/2006/customXml" ds:itemID="{109BD505-AAF6-498F-B97C-0D4E83A9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94879CE3.dotm</Template>
  <TotalTime>0</TotalTime>
  <Pages>7</Pages>
  <Words>1556</Words>
  <Characters>9809</Characters>
  <Application>Microsoft Office Word</Application>
  <DocSecurity>8</DocSecurity>
  <Lines>81</Lines>
  <Paragraphs>22</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11343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AH_Recht</cp:lastModifiedBy>
  <cp:revision>2</cp:revision>
  <cp:lastPrinted>2015-02-18T11:01:00Z</cp:lastPrinted>
  <dcterms:created xsi:type="dcterms:W3CDTF">2017-09-28T09:49:00Z</dcterms:created>
  <dcterms:modified xsi:type="dcterms:W3CDTF">2017-09-28T09:49:00Z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