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Emphaseple"/>
          <w:b w:val="0"/>
          <w:sz w:val="22"/>
        </w:rPr>
      </w:pPr>
      <w:r w:rsidRPr="00550A1A">
        <w:rPr>
          <w:rStyle w:val="Emphaseple"/>
          <w:b w:val="0"/>
          <w:sz w:val="22"/>
        </w:rPr>
        <w:t>ESMA invites responses to the questions set out throughout this Consultation Paper. Responses are most helpful if they:</w:t>
      </w:r>
    </w:p>
    <w:p w14:paraId="388FB86C"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respond to the question stated;</w:t>
      </w:r>
    </w:p>
    <w:p w14:paraId="7CA2EBEF"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contain a clear rationale; and</w:t>
      </w:r>
    </w:p>
    <w:p w14:paraId="114234D3"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describe any alternatives ESMA should consider.</w:t>
      </w:r>
    </w:p>
    <w:p w14:paraId="33F14604" w14:textId="77777777" w:rsidR="0051277E" w:rsidRPr="00550A1A" w:rsidRDefault="0051277E" w:rsidP="0051277E">
      <w:pPr>
        <w:spacing w:after="240"/>
        <w:jc w:val="both"/>
        <w:rPr>
          <w:rStyle w:val="Emphaseple"/>
          <w:b w:val="0"/>
          <w:sz w:val="22"/>
        </w:rPr>
      </w:pPr>
      <w:r w:rsidRPr="00550A1A">
        <w:rPr>
          <w:rStyle w:val="Emphaseple"/>
          <w:b w:val="0"/>
          <w:sz w:val="22"/>
        </w:rPr>
        <w:t>ESMA will consider all responses received by 28 September 2017.</w:t>
      </w:r>
    </w:p>
    <w:p w14:paraId="4A17C63E" w14:textId="77777777" w:rsidR="0051277E" w:rsidRPr="00550A1A" w:rsidRDefault="0051277E" w:rsidP="0051277E">
      <w:pPr>
        <w:spacing w:after="120"/>
        <w:jc w:val="both"/>
        <w:rPr>
          <w:rStyle w:val="Emphaseple"/>
          <w:sz w:val="22"/>
        </w:rPr>
      </w:pPr>
      <w:r w:rsidRPr="00550A1A">
        <w:rPr>
          <w:rStyle w:val="Emphaseple"/>
          <w:sz w:val="22"/>
        </w:rPr>
        <w:t>Instructions</w:t>
      </w:r>
    </w:p>
    <w:p w14:paraId="0D1D1A9C" w14:textId="77777777" w:rsidR="0051277E" w:rsidRPr="00550A1A" w:rsidRDefault="0051277E" w:rsidP="0051277E">
      <w:pPr>
        <w:spacing w:after="240"/>
        <w:jc w:val="both"/>
        <w:rPr>
          <w:rStyle w:val="Emphaseple"/>
          <w:b w:val="0"/>
          <w:sz w:val="22"/>
        </w:rPr>
      </w:pPr>
      <w:r w:rsidRPr="00550A1A">
        <w:rPr>
          <w:rStyle w:val="Emphaseple"/>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Lienhypertexte"/>
            <w:rFonts w:cs="Arial"/>
            <w:sz w:val="22"/>
          </w:rPr>
          <w:t>www.esma.europa.eu</w:t>
        </w:r>
      </w:hyperlink>
      <w:r w:rsidRPr="00550A1A">
        <w:rPr>
          <w:rStyle w:val="Emphaseple"/>
          <w:b w:val="0"/>
          <w:sz w:val="22"/>
        </w:rPr>
        <w:t xml:space="preserve"> </w:t>
      </w:r>
      <w:r w:rsidRPr="00550A1A">
        <w:rPr>
          <w:rStyle w:val="Emphaseple"/>
          <w:b w:val="0"/>
          <w:sz w:val="22"/>
        </w:rPr>
        <w:sym w:font="Wingdings" w:char="F0E0"/>
      </w:r>
      <w:r w:rsidRPr="00550A1A">
        <w:rPr>
          <w:rStyle w:val="Emphaseple"/>
          <w:b w:val="0"/>
          <w:sz w:val="22"/>
        </w:rPr>
        <w:t xml:space="preserve"> ‘Your input – Open consultations’ </w:t>
      </w:r>
      <w:r w:rsidRPr="00550A1A">
        <w:rPr>
          <w:rStyle w:val="Emphaseple"/>
          <w:b w:val="0"/>
          <w:sz w:val="22"/>
        </w:rPr>
        <w:sym w:font="Wingdings" w:char="F0E0"/>
      </w:r>
      <w:r w:rsidRPr="00550A1A">
        <w:rPr>
          <w:rStyle w:val="Emphaseple"/>
          <w:b w:val="0"/>
          <w:sz w:val="22"/>
        </w:rPr>
        <w:t xml:space="preserve"> ‘Consultation on technical advice under the new Prospectus Regulation’).</w:t>
      </w:r>
    </w:p>
    <w:p w14:paraId="7EDB20DD"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14:paraId="0EEEC08E" w14:textId="77777777" w:rsidR="0051277E" w:rsidRPr="00550A1A" w:rsidRDefault="0051277E" w:rsidP="0051277E">
      <w:pPr>
        <w:pStyle w:val="Paragraphedeliste"/>
        <w:numPr>
          <w:ilvl w:val="0"/>
          <w:numId w:val="38"/>
        </w:numPr>
        <w:spacing w:after="240" w:line="276" w:lineRule="auto"/>
        <w:ind w:left="567" w:hanging="567"/>
        <w:contextualSpacing w:val="0"/>
        <w:jc w:val="both"/>
        <w:rPr>
          <w:rStyle w:val="Emphaseple"/>
          <w:b w:val="0"/>
          <w:sz w:val="22"/>
        </w:rPr>
      </w:pPr>
      <w:r w:rsidRPr="00550A1A">
        <w:rPr>
          <w:rStyle w:val="Emphaseple"/>
          <w:b w:val="0"/>
          <w:sz w:val="22"/>
        </w:rPr>
        <w:t xml:space="preserve">Upload the form containing your responses, </w:t>
      </w:r>
      <w:r w:rsidRPr="00550A1A">
        <w:rPr>
          <w:rStyle w:val="Emphaseple"/>
          <w:b w:val="0"/>
          <w:sz w:val="22"/>
          <w:u w:val="single"/>
        </w:rPr>
        <w:t>in Word format</w:t>
      </w:r>
      <w:r w:rsidRPr="00550A1A">
        <w:rPr>
          <w:rStyle w:val="Emphaseple"/>
          <w:b w:val="0"/>
          <w:sz w:val="22"/>
        </w:rPr>
        <w:t>, to ESMA’s website (</w:t>
      </w:r>
      <w:hyperlink r:id="rId17" w:history="1">
        <w:r w:rsidRPr="00550A1A">
          <w:rPr>
            <w:rStyle w:val="Lienhypertexte"/>
            <w:rFonts w:cs="Arial"/>
            <w:sz w:val="22"/>
          </w:rPr>
          <w:t>www.esma.europa.eu</w:t>
        </w:r>
      </w:hyperlink>
      <w:r w:rsidRPr="00550A1A">
        <w:rPr>
          <w:rStyle w:val="Emphaseple"/>
          <w:b w:val="0"/>
          <w:sz w:val="22"/>
        </w:rPr>
        <w:t xml:space="preserve"> under the heading ‘Your input – Open consultations’ </w:t>
      </w:r>
      <w:r w:rsidRPr="00550A1A">
        <w:rPr>
          <w:rStyle w:val="Emphaseple"/>
          <w:b w:val="0"/>
          <w:sz w:val="22"/>
        </w:rPr>
        <w:sym w:font="Wingdings" w:char="F0E0"/>
      </w:r>
      <w:r w:rsidRPr="00550A1A">
        <w:rPr>
          <w:rStyle w:val="Emphaseple"/>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Emphaseple"/>
          <w:sz w:val="22"/>
          <w:lang w:eastAsia="en-GB"/>
        </w:rPr>
      </w:pPr>
      <w:r w:rsidRPr="00550A1A">
        <w:rPr>
          <w:rStyle w:val="Emphaseple"/>
          <w:sz w:val="22"/>
          <w:lang w:eastAsia="en-GB"/>
        </w:rPr>
        <w:t>Publication of responses</w:t>
      </w:r>
    </w:p>
    <w:p w14:paraId="40D24FFB" w14:textId="77777777" w:rsidR="0051277E" w:rsidRPr="00550A1A" w:rsidRDefault="0051277E" w:rsidP="0051277E">
      <w:pPr>
        <w:spacing w:after="240"/>
        <w:jc w:val="both"/>
        <w:rPr>
          <w:rStyle w:val="Emphaseple"/>
          <w:b w:val="0"/>
          <w:sz w:val="22"/>
          <w:lang w:eastAsia="en-GB"/>
        </w:rPr>
      </w:pPr>
      <w:r w:rsidRPr="00550A1A">
        <w:rPr>
          <w:rStyle w:val="Emphaseple"/>
          <w:b w:val="0"/>
          <w:sz w:val="22"/>
          <w:lang w:eastAsia="en-GB"/>
        </w:rPr>
        <w:t xml:space="preserve">All contributions received will be published following the close of the consultation, unless you request otherwise. </w:t>
      </w:r>
      <w:r w:rsidRPr="00550A1A">
        <w:rPr>
          <w:rStyle w:val="Emphaseple"/>
          <w:b w:val="0"/>
          <w:sz w:val="22"/>
          <w:u w:val="single"/>
          <w:lang w:eastAsia="en-GB"/>
        </w:rPr>
        <w:t>Please clearly indicate by ticking the appropriate checkbox on the website submission page if you do not wish your contribution to be publicly disclosed.</w:t>
      </w:r>
      <w:r w:rsidRPr="00550A1A">
        <w:rPr>
          <w:rStyle w:val="Emphaseple"/>
          <w:b w:val="0"/>
          <w:sz w:val="22"/>
          <w:lang w:eastAsia="en-GB"/>
        </w:rPr>
        <w:t xml:space="preserve"> A standard confidentiality statement in an email message will not be treated as a request for non-disclosure. A confi</w:t>
      </w:r>
      <w:r w:rsidRPr="00550A1A">
        <w:rPr>
          <w:rStyle w:val="Emphaseple"/>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Emphaseple"/>
          <w:sz w:val="22"/>
          <w:lang w:eastAsia="en-GB"/>
        </w:rPr>
      </w:pPr>
      <w:r w:rsidRPr="00550A1A">
        <w:rPr>
          <w:rStyle w:val="Emphaseple"/>
          <w:sz w:val="22"/>
          <w:lang w:eastAsia="en-GB"/>
        </w:rPr>
        <w:t>Data protection</w:t>
      </w:r>
    </w:p>
    <w:p w14:paraId="1634E632" w14:textId="77777777" w:rsidR="0051277E" w:rsidRPr="00550A1A" w:rsidRDefault="0051277E" w:rsidP="0051277E">
      <w:pPr>
        <w:spacing w:after="240"/>
        <w:jc w:val="both"/>
        <w:rPr>
          <w:rStyle w:val="Emphaseple"/>
          <w:b w:val="0"/>
          <w:sz w:val="22"/>
          <w:lang w:eastAsia="en-GB"/>
        </w:rPr>
      </w:pPr>
      <w:r w:rsidRPr="00550A1A">
        <w:rPr>
          <w:rStyle w:val="Emphaseple"/>
          <w:b w:val="0"/>
          <w:sz w:val="22"/>
          <w:lang w:eastAsia="en-GB"/>
        </w:rPr>
        <w:t xml:space="preserve">Information on data protection can be found at </w:t>
      </w:r>
      <w:hyperlink r:id="rId18" w:history="1">
        <w:r w:rsidRPr="00550A1A">
          <w:rPr>
            <w:rStyle w:val="Lienhypertexte"/>
            <w:rFonts w:cs="Arial"/>
            <w:sz w:val="22"/>
            <w:lang w:eastAsia="en-GB"/>
          </w:rPr>
          <w:t>www.esma.europa.eu</w:t>
        </w:r>
      </w:hyperlink>
      <w:r w:rsidRPr="00550A1A">
        <w:rPr>
          <w:rStyle w:val="Emphaseple"/>
          <w:b w:val="0"/>
          <w:sz w:val="22"/>
          <w:lang w:eastAsia="en-GB"/>
        </w:rPr>
        <w:t xml:space="preserve"> under the heading ‘Data  protection’.</w:t>
      </w:r>
    </w:p>
    <w:p w14:paraId="066FD8F8" w14:textId="77777777" w:rsidR="0051277E" w:rsidRPr="00550A1A" w:rsidRDefault="0051277E" w:rsidP="0051277E">
      <w:pPr>
        <w:spacing w:after="120"/>
        <w:jc w:val="both"/>
        <w:rPr>
          <w:rStyle w:val="Emphaseple"/>
          <w:sz w:val="22"/>
          <w:lang w:eastAsia="en-GB"/>
        </w:rPr>
      </w:pPr>
      <w:r w:rsidRPr="00550A1A">
        <w:rPr>
          <w:rStyle w:val="Emphaseple"/>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625926">
        <w:tc>
          <w:tcPr>
            <w:tcW w:w="3929" w:type="dxa"/>
            <w:shd w:val="clear" w:color="auto" w:fill="auto"/>
          </w:tcPr>
          <w:p w14:paraId="6A42BBC9" w14:textId="77777777" w:rsidR="00B327E9" w:rsidRPr="00550A1A" w:rsidRDefault="00B327E9" w:rsidP="00625926">
            <w:pPr>
              <w:rPr>
                <w:rFonts w:cs="Arial"/>
                <w:sz w:val="22"/>
              </w:rPr>
            </w:pPr>
            <w:permStart w:id="584150857" w:edGrp="everyone" w:colFirst="1" w:colLast="1"/>
            <w:r w:rsidRPr="00550A1A">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7482201E" w:rsidR="00B327E9" w:rsidRPr="00AB6D88" w:rsidRDefault="00370D75" w:rsidP="00625926">
                <w:pPr>
                  <w:rPr>
                    <w:rStyle w:val="Textedelespacerserv"/>
                    <w:rFonts w:cs="Arial"/>
                  </w:rPr>
                </w:pPr>
                <w:r>
                  <w:rPr>
                    <w:rStyle w:val="Textedelespacerserv"/>
                    <w:rFonts w:cs="Arial"/>
                  </w:rPr>
                  <w:t>Afep</w:t>
                </w:r>
              </w:p>
            </w:tc>
          </w:sdtContent>
        </w:sdt>
      </w:tr>
      <w:tr w:rsidR="00B327E9" w:rsidRPr="00AB6D88" w14:paraId="08FFF92A" w14:textId="77777777" w:rsidTr="00625926">
        <w:tc>
          <w:tcPr>
            <w:tcW w:w="3929" w:type="dxa"/>
            <w:shd w:val="clear" w:color="auto" w:fill="auto"/>
          </w:tcPr>
          <w:p w14:paraId="388AB0CD" w14:textId="77777777" w:rsidR="00B327E9" w:rsidRPr="00550A1A" w:rsidRDefault="00B327E9" w:rsidP="00625926">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1C1DEDB4" w:rsidR="00B327E9" w:rsidRPr="00AB6D88" w:rsidRDefault="00E12158" w:rsidP="00625926">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32131">
                  <w:rPr>
                    <w:rFonts w:cs="Arial"/>
                  </w:rPr>
                  <w:t>Non-financial counterparty</w:t>
                </w:r>
              </w:sdtContent>
            </w:sdt>
          </w:p>
        </w:tc>
      </w:tr>
      <w:tr w:rsidR="00B327E9" w:rsidRPr="00AB6D88" w14:paraId="509F0A26" w14:textId="77777777" w:rsidTr="00625926">
        <w:tc>
          <w:tcPr>
            <w:tcW w:w="3929" w:type="dxa"/>
            <w:shd w:val="clear" w:color="auto" w:fill="auto"/>
          </w:tcPr>
          <w:p w14:paraId="5F066592" w14:textId="77777777" w:rsidR="00B327E9" w:rsidRPr="00550A1A" w:rsidRDefault="00B327E9" w:rsidP="00625926">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F833114" w:rsidR="00B327E9" w:rsidRPr="00AB6D88" w:rsidRDefault="00370D75" w:rsidP="00625926">
                <w:pPr>
                  <w:rPr>
                    <w:rFonts w:cs="Arial"/>
                  </w:rPr>
                </w:pPr>
                <w:r>
                  <w:rPr>
                    <w:rFonts w:ascii="MS Gothic" w:eastAsia="MS Gothic" w:hAnsi="MS Gothic" w:cs="Arial" w:hint="eastAsia"/>
                  </w:rPr>
                  <w:t>☒</w:t>
                </w:r>
              </w:p>
            </w:tc>
          </w:sdtContent>
        </w:sdt>
      </w:tr>
      <w:tr w:rsidR="00B327E9" w:rsidRPr="00AB6D88" w14:paraId="059BC4BD" w14:textId="77777777" w:rsidTr="00625926">
        <w:tc>
          <w:tcPr>
            <w:tcW w:w="3929" w:type="dxa"/>
            <w:shd w:val="clear" w:color="auto" w:fill="auto"/>
          </w:tcPr>
          <w:p w14:paraId="005527F4" w14:textId="77777777" w:rsidR="00B327E9" w:rsidRPr="00550A1A" w:rsidRDefault="00B327E9" w:rsidP="00625926">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B137C47" w:rsidR="00B327E9" w:rsidRPr="00AB6D88" w:rsidRDefault="00370D75" w:rsidP="00625926">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Emphaseintense"/>
        </w:rPr>
      </w:pPr>
      <w:r w:rsidRPr="00550A1A">
        <w:rPr>
          <w:rStyle w:val="Emphaseintense"/>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048F2118" w14:textId="283C70D0" w:rsidR="00370D75" w:rsidRPr="005B01CA" w:rsidRDefault="00370D75" w:rsidP="00775730">
      <w:pPr>
        <w:pStyle w:val="Normalcentr"/>
        <w:spacing w:line="240" w:lineRule="auto"/>
        <w:ind w:left="0" w:right="0"/>
        <w:jc w:val="both"/>
        <w:rPr>
          <w:rFonts w:ascii="Arial" w:hAnsi="Arial" w:cs="Arial"/>
          <w:b w:val="0"/>
          <w:sz w:val="20"/>
          <w:szCs w:val="20"/>
          <w:lang w:val="en-GB" w:eastAsia="fr-FR"/>
        </w:rPr>
      </w:pPr>
      <w:permStart w:id="1937050393" w:edGrp="everyone"/>
      <w:r w:rsidRPr="005B01CA">
        <w:rPr>
          <w:rFonts w:ascii="Arial" w:hAnsi="Arial" w:cs="Arial"/>
          <w:b w:val="0"/>
          <w:sz w:val="20"/>
          <w:szCs w:val="20"/>
          <w:lang w:val="en-GB" w:eastAsia="fr-FR"/>
        </w:rPr>
        <w:t xml:space="preserve">Since 1982, </w:t>
      </w:r>
      <w:r w:rsidRPr="005B01CA">
        <w:rPr>
          <w:rFonts w:ascii="Arial" w:hAnsi="Arial" w:cs="Arial"/>
          <w:sz w:val="20"/>
          <w:szCs w:val="20"/>
          <w:lang w:val="en-GB" w:eastAsia="fr-FR"/>
        </w:rPr>
        <w:t>Afep</w:t>
      </w:r>
      <w:r w:rsidRPr="005B01CA">
        <w:rPr>
          <w:rFonts w:ascii="Arial" w:hAnsi="Arial" w:cs="Arial"/>
          <w:b w:val="0"/>
          <w:sz w:val="20"/>
          <w:szCs w:val="20"/>
          <w:lang w:val="en-GB" w:eastAsia="fr-FR"/>
        </w:rPr>
        <w:t xml:space="preserve"> (Association </w:t>
      </w:r>
      <w:proofErr w:type="spellStart"/>
      <w:r w:rsidRPr="005B01CA">
        <w:rPr>
          <w:rFonts w:ascii="Arial" w:hAnsi="Arial" w:cs="Arial"/>
          <w:b w:val="0"/>
          <w:sz w:val="20"/>
          <w:szCs w:val="20"/>
          <w:lang w:val="en-GB" w:eastAsia="fr-FR"/>
        </w:rPr>
        <w:t>française</w:t>
      </w:r>
      <w:proofErr w:type="spellEnd"/>
      <w:r w:rsidRPr="005B01CA">
        <w:rPr>
          <w:rFonts w:ascii="Arial" w:hAnsi="Arial" w:cs="Arial"/>
          <w:b w:val="0"/>
          <w:sz w:val="20"/>
          <w:szCs w:val="20"/>
          <w:lang w:val="en-GB" w:eastAsia="fr-FR"/>
        </w:rPr>
        <w:t xml:space="preserve"> des </w:t>
      </w:r>
      <w:proofErr w:type="spellStart"/>
      <w:r w:rsidRPr="005B01CA">
        <w:rPr>
          <w:rFonts w:ascii="Arial" w:hAnsi="Arial" w:cs="Arial"/>
          <w:b w:val="0"/>
          <w:sz w:val="20"/>
          <w:szCs w:val="20"/>
          <w:lang w:val="en-GB" w:eastAsia="fr-FR"/>
        </w:rPr>
        <w:t>entreprises</w:t>
      </w:r>
      <w:proofErr w:type="spellEnd"/>
      <w:r w:rsidRPr="005B01CA">
        <w:rPr>
          <w:rFonts w:ascii="Arial" w:hAnsi="Arial" w:cs="Arial"/>
          <w:b w:val="0"/>
          <w:sz w:val="20"/>
          <w:szCs w:val="20"/>
          <w:lang w:val="en-GB" w:eastAsia="fr-FR"/>
        </w:rPr>
        <w:t xml:space="preserve"> </w:t>
      </w:r>
      <w:proofErr w:type="spellStart"/>
      <w:r w:rsidRPr="005B01CA">
        <w:rPr>
          <w:rFonts w:ascii="Arial" w:hAnsi="Arial" w:cs="Arial"/>
          <w:b w:val="0"/>
          <w:sz w:val="20"/>
          <w:szCs w:val="20"/>
          <w:lang w:val="en-GB" w:eastAsia="fr-FR"/>
        </w:rPr>
        <w:t>privées</w:t>
      </w:r>
      <w:proofErr w:type="spellEnd"/>
      <w:r w:rsidRPr="005B01CA">
        <w:rPr>
          <w:rFonts w:ascii="Arial" w:hAnsi="Arial" w:cs="Arial"/>
          <w:b w:val="0"/>
          <w:sz w:val="20"/>
          <w:szCs w:val="20"/>
          <w:lang w:val="en-GB" w:eastAsia="fr-FR"/>
        </w:rPr>
        <w:t xml:space="preserve">) is the association which brings together French large companies and companies operating in France. </w:t>
      </w:r>
      <w:r w:rsidR="00B64459" w:rsidRPr="005B01CA">
        <w:rPr>
          <w:rFonts w:ascii="Arial" w:hAnsi="Arial" w:cs="Arial"/>
          <w:b w:val="0"/>
          <w:sz w:val="20"/>
          <w:szCs w:val="20"/>
          <w:lang w:val="en-GB" w:eastAsia="fr-FR"/>
        </w:rPr>
        <w:t>Based in Paris and Brussels,</w:t>
      </w:r>
      <w:r w:rsidRPr="005B01CA">
        <w:rPr>
          <w:rFonts w:ascii="Arial" w:hAnsi="Arial" w:cs="Arial"/>
          <w:b w:val="0"/>
          <w:sz w:val="20"/>
          <w:szCs w:val="20"/>
          <w:lang w:val="en-GB" w:eastAsia="fr-FR"/>
        </w:rPr>
        <w:t xml:space="preserve"> Afep aims to foster a business-friendly environment and to present its members’ vision to French public authorities, European institutions and international organisations. Restoring business competitiveness to achieve growth and sustainable employment in Europe and tackle the challenges of globalisation are </w:t>
      </w:r>
      <w:proofErr w:type="spellStart"/>
      <w:r w:rsidRPr="005B01CA">
        <w:rPr>
          <w:rFonts w:ascii="Arial" w:hAnsi="Arial" w:cs="Arial"/>
          <w:b w:val="0"/>
          <w:sz w:val="20"/>
          <w:szCs w:val="20"/>
          <w:lang w:val="en-GB" w:eastAsia="fr-FR"/>
        </w:rPr>
        <w:t>Afep’s</w:t>
      </w:r>
      <w:proofErr w:type="spellEnd"/>
      <w:r w:rsidRPr="005B01CA">
        <w:rPr>
          <w:rFonts w:ascii="Arial" w:hAnsi="Arial" w:cs="Arial"/>
          <w:b w:val="0"/>
          <w:sz w:val="20"/>
          <w:szCs w:val="20"/>
          <w:lang w:val="en-GB" w:eastAsia="fr-FR"/>
        </w:rPr>
        <w:t xml:space="preserve"> core priorities. Afep has around 120 members and is involved in drafting cross-sectoral legislation, at French and European level, in the following areas: economy, taxation, company law and corporate governance, corporate finance and financial markets, competition, intellectual property and consumer affairs, labour law and social protection, environment and energy, corporate social responsibility.</w:t>
      </w:r>
    </w:p>
    <w:p w14:paraId="2C78882B" w14:textId="668B4313" w:rsidR="00370D75" w:rsidRPr="005B01CA" w:rsidRDefault="00370D75" w:rsidP="00775730">
      <w:pPr>
        <w:pStyle w:val="Normalcentr"/>
        <w:spacing w:line="240" w:lineRule="auto"/>
        <w:ind w:left="0" w:right="0"/>
        <w:jc w:val="both"/>
        <w:rPr>
          <w:rFonts w:ascii="Arial" w:hAnsi="Arial" w:cs="Arial"/>
          <w:b w:val="0"/>
          <w:sz w:val="20"/>
          <w:szCs w:val="20"/>
          <w:lang w:val="en-GB"/>
        </w:rPr>
      </w:pPr>
    </w:p>
    <w:p w14:paraId="0F6E1A9E" w14:textId="094FA5C6" w:rsidR="00370D75" w:rsidRPr="005B01CA" w:rsidRDefault="00370D75" w:rsidP="00370D75">
      <w:pPr>
        <w:jc w:val="both"/>
        <w:rPr>
          <w:rFonts w:cs="Arial"/>
          <w:b/>
          <w:color w:val="333333"/>
          <w:szCs w:val="20"/>
          <w:lang w:val="en" w:eastAsia="fr-FR"/>
        </w:rPr>
      </w:pPr>
      <w:r w:rsidRPr="005B01CA">
        <w:rPr>
          <w:rFonts w:cs="Arial"/>
          <w:color w:val="333333"/>
          <w:szCs w:val="20"/>
          <w:lang w:val="en" w:eastAsia="fr-FR"/>
        </w:rPr>
        <w:t xml:space="preserve">We welcome ESMA’s consultation on the level 2 measures of the new Prospectus Regulation adopted on 30 June 2017 (the </w:t>
      </w:r>
      <w:r w:rsidRPr="005B01CA">
        <w:rPr>
          <w:rFonts w:cs="Arial"/>
          <w:b/>
          <w:color w:val="333333"/>
          <w:szCs w:val="20"/>
          <w:lang w:val="en" w:eastAsia="fr-FR"/>
        </w:rPr>
        <w:t>Regulation</w:t>
      </w:r>
      <w:r w:rsidRPr="005B01CA">
        <w:rPr>
          <w:rFonts w:cs="Arial"/>
          <w:color w:val="333333"/>
          <w:szCs w:val="20"/>
          <w:lang w:val="en" w:eastAsia="fr-FR"/>
        </w:rPr>
        <w:t xml:space="preserve">). The proposals put forward by ESMA bring some </w:t>
      </w:r>
      <w:r w:rsidR="00E34DA7" w:rsidRPr="005B01CA">
        <w:rPr>
          <w:rFonts w:cs="Arial"/>
          <w:color w:val="333333"/>
          <w:szCs w:val="20"/>
          <w:lang w:val="en" w:eastAsia="fr-FR"/>
        </w:rPr>
        <w:t xml:space="preserve">clarity in the review and scrutiny of prospectuses and registration documents and the approval process. </w:t>
      </w:r>
      <w:r w:rsidRPr="005B01CA">
        <w:rPr>
          <w:rFonts w:cs="Arial"/>
          <w:b/>
          <w:color w:val="333333"/>
          <w:szCs w:val="20"/>
          <w:lang w:val="en" w:eastAsia="fr-FR"/>
        </w:rPr>
        <w:t>However, we are concerned by the following issue</w:t>
      </w:r>
      <w:r w:rsidR="00C563FD" w:rsidRPr="005B01CA">
        <w:rPr>
          <w:rFonts w:cs="Arial"/>
          <w:b/>
          <w:color w:val="333333"/>
          <w:szCs w:val="20"/>
          <w:lang w:val="en" w:eastAsia="fr-FR"/>
        </w:rPr>
        <w:t>.</w:t>
      </w:r>
    </w:p>
    <w:p w14:paraId="6A5DEA7C" w14:textId="77777777" w:rsidR="00663B7F" w:rsidRPr="005B01CA" w:rsidRDefault="00663B7F" w:rsidP="00775730">
      <w:pPr>
        <w:pStyle w:val="Normalcentr"/>
        <w:spacing w:line="240" w:lineRule="auto"/>
        <w:ind w:left="0" w:right="0"/>
        <w:jc w:val="both"/>
        <w:rPr>
          <w:rFonts w:ascii="Arial" w:hAnsi="Arial" w:cs="Arial"/>
          <w:b w:val="0"/>
          <w:sz w:val="20"/>
          <w:szCs w:val="20"/>
          <w:lang w:val="en-GB"/>
        </w:rPr>
      </w:pPr>
    </w:p>
    <w:p w14:paraId="6D1F3866" w14:textId="181C14AC" w:rsidR="000D44A4" w:rsidRDefault="00C563FD" w:rsidP="00B64459">
      <w:pPr>
        <w:pStyle w:val="Normalcentr"/>
        <w:spacing w:line="240" w:lineRule="auto"/>
        <w:ind w:left="0" w:right="0"/>
        <w:jc w:val="both"/>
        <w:rPr>
          <w:rFonts w:ascii="Arial" w:hAnsi="Arial" w:cs="Arial"/>
          <w:b w:val="0"/>
          <w:sz w:val="20"/>
          <w:szCs w:val="20"/>
          <w:lang w:val="en-GB"/>
        </w:rPr>
      </w:pPr>
      <w:r w:rsidRPr="005B01CA">
        <w:rPr>
          <w:rFonts w:ascii="Arial" w:hAnsi="Arial" w:cs="Arial"/>
          <w:b w:val="0"/>
          <w:sz w:val="20"/>
          <w:szCs w:val="20"/>
          <w:lang w:val="en-GB"/>
        </w:rPr>
        <w:t>For</w:t>
      </w:r>
      <w:r w:rsidR="00663B7F" w:rsidRPr="005B01CA">
        <w:rPr>
          <w:rFonts w:ascii="Arial" w:hAnsi="Arial" w:cs="Arial"/>
          <w:b w:val="0"/>
          <w:sz w:val="20"/>
          <w:szCs w:val="20"/>
          <w:lang w:val="en-GB"/>
        </w:rPr>
        <w:t xml:space="preserve"> the approval of the prospectus for </w:t>
      </w:r>
      <w:r w:rsidR="00663B7F" w:rsidRPr="005B01CA">
        <w:rPr>
          <w:rFonts w:ascii="Arial" w:hAnsi="Arial" w:cs="Arial"/>
          <w:sz w:val="20"/>
          <w:szCs w:val="20"/>
          <w:lang w:val="en-GB"/>
        </w:rPr>
        <w:t>secondary issuances</w:t>
      </w:r>
      <w:r w:rsidR="00663B7F" w:rsidRPr="005B01CA">
        <w:rPr>
          <w:rFonts w:ascii="Arial" w:hAnsi="Arial" w:cs="Arial"/>
          <w:b w:val="0"/>
          <w:sz w:val="20"/>
          <w:szCs w:val="20"/>
          <w:lang w:val="en-GB"/>
        </w:rPr>
        <w:t xml:space="preserve"> </w:t>
      </w:r>
      <w:r w:rsidR="004C39F0" w:rsidRPr="005B01CA">
        <w:rPr>
          <w:rFonts w:ascii="Arial" w:hAnsi="Arial" w:cs="Arial"/>
          <w:b w:val="0"/>
          <w:sz w:val="20"/>
          <w:szCs w:val="20"/>
          <w:lang w:val="en-GB"/>
        </w:rPr>
        <w:t xml:space="preserve">and the filing of an </w:t>
      </w:r>
      <w:r w:rsidR="004C39F0" w:rsidRPr="005B01CA">
        <w:rPr>
          <w:rFonts w:ascii="Arial" w:hAnsi="Arial" w:cs="Arial"/>
          <w:sz w:val="20"/>
          <w:szCs w:val="20"/>
          <w:lang w:val="en-GB"/>
        </w:rPr>
        <w:t xml:space="preserve">URD </w:t>
      </w:r>
      <w:r w:rsidR="00663B7F" w:rsidRPr="005B01CA">
        <w:rPr>
          <w:rFonts w:ascii="Arial" w:hAnsi="Arial" w:cs="Arial"/>
          <w:b w:val="0"/>
          <w:sz w:val="20"/>
          <w:szCs w:val="20"/>
          <w:lang w:val="en-GB"/>
        </w:rPr>
        <w:t>(para</w:t>
      </w:r>
      <w:r w:rsidR="004C39F0" w:rsidRPr="005B01CA">
        <w:rPr>
          <w:rFonts w:ascii="Arial" w:hAnsi="Arial" w:cs="Arial"/>
          <w:b w:val="0"/>
          <w:sz w:val="20"/>
          <w:szCs w:val="20"/>
          <w:lang w:val="en-GB"/>
        </w:rPr>
        <w:t>graph</w:t>
      </w:r>
      <w:r w:rsidR="00625926" w:rsidRPr="005B01CA">
        <w:rPr>
          <w:rFonts w:ascii="Arial" w:hAnsi="Arial" w:cs="Arial"/>
          <w:b w:val="0"/>
          <w:sz w:val="20"/>
          <w:szCs w:val="20"/>
          <w:lang w:val="en-GB"/>
        </w:rPr>
        <w:t>s</w:t>
      </w:r>
      <w:r w:rsidR="000D44A4">
        <w:rPr>
          <w:rFonts w:ascii="Arial" w:hAnsi="Arial" w:cs="Arial"/>
          <w:b w:val="0"/>
          <w:sz w:val="20"/>
          <w:szCs w:val="20"/>
          <w:lang w:val="en-GB"/>
        </w:rPr>
        <w:t xml:space="preserve"> 106-107 of the c</w:t>
      </w:r>
      <w:r w:rsidR="00625926" w:rsidRPr="005B01CA">
        <w:rPr>
          <w:rFonts w:ascii="Arial" w:hAnsi="Arial" w:cs="Arial"/>
          <w:b w:val="0"/>
          <w:sz w:val="20"/>
          <w:szCs w:val="20"/>
          <w:lang w:val="en-GB"/>
        </w:rPr>
        <w:t xml:space="preserve">onsultation </w:t>
      </w:r>
      <w:r w:rsidR="000D44A4">
        <w:rPr>
          <w:rFonts w:ascii="Arial" w:hAnsi="Arial" w:cs="Arial"/>
          <w:b w:val="0"/>
          <w:sz w:val="20"/>
          <w:szCs w:val="20"/>
          <w:lang w:val="en-GB"/>
        </w:rPr>
        <w:t>p</w:t>
      </w:r>
      <w:r w:rsidR="00625926" w:rsidRPr="005B01CA">
        <w:rPr>
          <w:rFonts w:ascii="Arial" w:hAnsi="Arial" w:cs="Arial"/>
          <w:b w:val="0"/>
          <w:sz w:val="20"/>
          <w:szCs w:val="20"/>
          <w:lang w:val="en-GB"/>
        </w:rPr>
        <w:t>aper</w:t>
      </w:r>
      <w:r w:rsidR="00663B7F" w:rsidRPr="005B01CA">
        <w:rPr>
          <w:rFonts w:ascii="Arial" w:hAnsi="Arial" w:cs="Arial"/>
          <w:b w:val="0"/>
          <w:sz w:val="20"/>
          <w:szCs w:val="20"/>
          <w:lang w:val="en-GB"/>
        </w:rPr>
        <w:t xml:space="preserve">), ESMA </w:t>
      </w:r>
      <w:r w:rsidR="008A473C" w:rsidRPr="005B01CA">
        <w:rPr>
          <w:rFonts w:ascii="Arial" w:hAnsi="Arial" w:cs="Arial"/>
          <w:b w:val="0"/>
          <w:sz w:val="20"/>
          <w:szCs w:val="20"/>
          <w:lang w:val="en-GB"/>
        </w:rPr>
        <w:t xml:space="preserve">is proposing to </w:t>
      </w:r>
      <w:r w:rsidR="00663B7F" w:rsidRPr="005B01CA">
        <w:rPr>
          <w:rFonts w:ascii="Arial" w:hAnsi="Arial" w:cs="Arial"/>
          <w:b w:val="0"/>
          <w:sz w:val="20"/>
          <w:szCs w:val="20"/>
          <w:lang w:val="en-GB"/>
        </w:rPr>
        <w:t xml:space="preserve">require a </w:t>
      </w:r>
      <w:r w:rsidR="00663B7F" w:rsidRPr="005B01CA">
        <w:rPr>
          <w:rFonts w:ascii="Arial" w:hAnsi="Arial" w:cs="Arial"/>
          <w:sz w:val="20"/>
          <w:szCs w:val="20"/>
          <w:lang w:val="en-GB"/>
        </w:rPr>
        <w:t xml:space="preserve">written statement </w:t>
      </w:r>
      <w:r w:rsidR="00663B7F" w:rsidRPr="005B01CA">
        <w:rPr>
          <w:rFonts w:ascii="Arial" w:hAnsi="Arial" w:cs="Arial"/>
          <w:b w:val="0"/>
          <w:sz w:val="20"/>
          <w:szCs w:val="20"/>
          <w:lang w:val="en-GB"/>
        </w:rPr>
        <w:t xml:space="preserve">provided by the issuer </w:t>
      </w:r>
      <w:r w:rsidR="008A473C" w:rsidRPr="005B01CA">
        <w:rPr>
          <w:rFonts w:ascii="Arial" w:hAnsi="Arial" w:cs="Arial"/>
          <w:b w:val="0"/>
          <w:sz w:val="20"/>
          <w:szCs w:val="20"/>
          <w:lang w:val="en-GB"/>
        </w:rPr>
        <w:t xml:space="preserve">and </w:t>
      </w:r>
      <w:r w:rsidR="00663B7F" w:rsidRPr="005B01CA">
        <w:rPr>
          <w:rFonts w:ascii="Arial" w:hAnsi="Arial" w:cs="Arial"/>
          <w:b w:val="0"/>
          <w:sz w:val="20"/>
          <w:szCs w:val="20"/>
          <w:lang w:val="en-GB"/>
        </w:rPr>
        <w:t xml:space="preserve">confirming that the issuer has complied with its obligation to disclose regulated information under </w:t>
      </w:r>
      <w:r w:rsidR="00532131">
        <w:rPr>
          <w:rFonts w:ascii="Arial" w:hAnsi="Arial" w:cs="Arial"/>
          <w:b w:val="0"/>
          <w:sz w:val="20"/>
          <w:szCs w:val="20"/>
          <w:lang w:val="en-GB"/>
        </w:rPr>
        <w:t xml:space="preserve">the </w:t>
      </w:r>
      <w:r w:rsidR="00532131" w:rsidRPr="005B01CA">
        <w:rPr>
          <w:rFonts w:ascii="Arial" w:hAnsi="Arial" w:cs="Arial"/>
          <w:b w:val="0"/>
          <w:sz w:val="20"/>
          <w:szCs w:val="20"/>
          <w:lang w:val="en-GB"/>
        </w:rPr>
        <w:t>T</w:t>
      </w:r>
      <w:r w:rsidR="00532131">
        <w:rPr>
          <w:rFonts w:ascii="Arial" w:hAnsi="Arial" w:cs="Arial"/>
          <w:b w:val="0"/>
          <w:sz w:val="20"/>
          <w:szCs w:val="20"/>
          <w:lang w:val="en-GB"/>
        </w:rPr>
        <w:t xml:space="preserve">ransparency </w:t>
      </w:r>
      <w:r w:rsidR="00532131" w:rsidRPr="005B01CA">
        <w:rPr>
          <w:rFonts w:ascii="Arial" w:hAnsi="Arial" w:cs="Arial"/>
          <w:b w:val="0"/>
          <w:sz w:val="20"/>
          <w:szCs w:val="20"/>
          <w:lang w:val="en-GB"/>
        </w:rPr>
        <w:t>D</w:t>
      </w:r>
      <w:r w:rsidR="00532131">
        <w:rPr>
          <w:rFonts w:ascii="Arial" w:hAnsi="Arial" w:cs="Arial"/>
          <w:b w:val="0"/>
          <w:sz w:val="20"/>
          <w:szCs w:val="20"/>
          <w:lang w:val="en-GB"/>
        </w:rPr>
        <w:t>irective (</w:t>
      </w:r>
      <w:r w:rsidR="00663B7F" w:rsidRPr="005B01CA">
        <w:rPr>
          <w:rFonts w:ascii="Arial" w:hAnsi="Arial" w:cs="Arial"/>
          <w:b w:val="0"/>
          <w:sz w:val="20"/>
          <w:szCs w:val="20"/>
          <w:lang w:val="en-GB"/>
        </w:rPr>
        <w:t>TD</w:t>
      </w:r>
      <w:r w:rsidR="00532131">
        <w:rPr>
          <w:rFonts w:ascii="Arial" w:hAnsi="Arial" w:cs="Arial"/>
          <w:b w:val="0"/>
          <w:sz w:val="20"/>
          <w:szCs w:val="20"/>
          <w:lang w:val="en-GB"/>
        </w:rPr>
        <w:t>)</w:t>
      </w:r>
      <w:r w:rsidR="00663B7F" w:rsidRPr="005B01CA">
        <w:rPr>
          <w:rFonts w:ascii="Arial" w:hAnsi="Arial" w:cs="Arial"/>
          <w:b w:val="0"/>
          <w:sz w:val="20"/>
          <w:szCs w:val="20"/>
          <w:lang w:val="en-GB"/>
        </w:rPr>
        <w:t xml:space="preserve"> and </w:t>
      </w:r>
      <w:r w:rsidR="00532131" w:rsidRPr="005B01CA">
        <w:rPr>
          <w:rFonts w:ascii="Arial" w:hAnsi="Arial" w:cs="Arial"/>
          <w:b w:val="0"/>
          <w:sz w:val="20"/>
          <w:szCs w:val="20"/>
          <w:lang w:val="en-GB"/>
        </w:rPr>
        <w:t>M</w:t>
      </w:r>
      <w:r w:rsidR="00532131">
        <w:rPr>
          <w:rFonts w:ascii="Arial" w:hAnsi="Arial" w:cs="Arial"/>
          <w:b w:val="0"/>
          <w:sz w:val="20"/>
          <w:szCs w:val="20"/>
          <w:lang w:val="en-GB"/>
        </w:rPr>
        <w:t xml:space="preserve">arket </w:t>
      </w:r>
      <w:r w:rsidR="00532131" w:rsidRPr="005B01CA">
        <w:rPr>
          <w:rFonts w:ascii="Arial" w:hAnsi="Arial" w:cs="Arial"/>
          <w:b w:val="0"/>
          <w:sz w:val="20"/>
          <w:szCs w:val="20"/>
          <w:lang w:val="en-GB"/>
        </w:rPr>
        <w:t>A</w:t>
      </w:r>
      <w:r w:rsidR="00532131">
        <w:rPr>
          <w:rFonts w:ascii="Arial" w:hAnsi="Arial" w:cs="Arial"/>
          <w:b w:val="0"/>
          <w:sz w:val="20"/>
          <w:szCs w:val="20"/>
          <w:lang w:val="en-GB"/>
        </w:rPr>
        <w:t xml:space="preserve">buse </w:t>
      </w:r>
      <w:r w:rsidR="00532131" w:rsidRPr="005B01CA">
        <w:rPr>
          <w:rFonts w:ascii="Arial" w:hAnsi="Arial" w:cs="Arial"/>
          <w:b w:val="0"/>
          <w:sz w:val="20"/>
          <w:szCs w:val="20"/>
          <w:lang w:val="en-GB"/>
        </w:rPr>
        <w:t>R</w:t>
      </w:r>
      <w:r w:rsidR="00532131">
        <w:rPr>
          <w:rFonts w:ascii="Arial" w:hAnsi="Arial" w:cs="Arial"/>
          <w:b w:val="0"/>
          <w:sz w:val="20"/>
          <w:szCs w:val="20"/>
          <w:lang w:val="en-GB"/>
        </w:rPr>
        <w:t>egulation</w:t>
      </w:r>
      <w:r w:rsidR="00532131" w:rsidRPr="005B01CA">
        <w:rPr>
          <w:rFonts w:ascii="Arial" w:hAnsi="Arial" w:cs="Arial"/>
          <w:b w:val="0"/>
          <w:sz w:val="20"/>
          <w:szCs w:val="20"/>
          <w:lang w:val="en-GB"/>
        </w:rPr>
        <w:t xml:space="preserve"> </w:t>
      </w:r>
      <w:r w:rsidR="00532131">
        <w:rPr>
          <w:rFonts w:ascii="Arial" w:hAnsi="Arial" w:cs="Arial"/>
          <w:b w:val="0"/>
          <w:sz w:val="20"/>
          <w:szCs w:val="20"/>
          <w:lang w:val="en-GB"/>
        </w:rPr>
        <w:t>(</w:t>
      </w:r>
      <w:r w:rsidR="00663B7F" w:rsidRPr="005B01CA">
        <w:rPr>
          <w:rFonts w:ascii="Arial" w:hAnsi="Arial" w:cs="Arial"/>
          <w:b w:val="0"/>
          <w:sz w:val="20"/>
          <w:szCs w:val="20"/>
          <w:lang w:val="en-GB"/>
        </w:rPr>
        <w:t>MAR</w:t>
      </w:r>
      <w:r w:rsidR="00532131">
        <w:rPr>
          <w:rFonts w:ascii="Arial" w:hAnsi="Arial" w:cs="Arial"/>
          <w:b w:val="0"/>
          <w:sz w:val="20"/>
          <w:szCs w:val="20"/>
          <w:lang w:val="en-GB"/>
        </w:rPr>
        <w:t>)</w:t>
      </w:r>
      <w:r w:rsidR="008A473C" w:rsidRPr="005B01CA">
        <w:rPr>
          <w:rFonts w:ascii="Arial" w:hAnsi="Arial" w:cs="Arial"/>
          <w:b w:val="0"/>
          <w:sz w:val="20"/>
          <w:szCs w:val="20"/>
          <w:lang w:val="en-GB"/>
        </w:rPr>
        <w:t>.</w:t>
      </w:r>
      <w:r w:rsidR="00B64459" w:rsidRPr="005B01CA">
        <w:rPr>
          <w:rFonts w:ascii="Arial" w:hAnsi="Arial" w:cs="Arial"/>
          <w:b w:val="0"/>
          <w:sz w:val="20"/>
          <w:szCs w:val="20"/>
          <w:lang w:val="en-GB"/>
        </w:rPr>
        <w:t xml:space="preserve"> </w:t>
      </w:r>
      <w:r w:rsidR="001A0D38" w:rsidRPr="005B01CA">
        <w:rPr>
          <w:rFonts w:ascii="Arial" w:hAnsi="Arial" w:cs="Arial"/>
          <w:b w:val="0"/>
          <w:sz w:val="20"/>
          <w:szCs w:val="20"/>
          <w:lang w:val="en-GB"/>
        </w:rPr>
        <w:t>This requirement is included in art</w:t>
      </w:r>
      <w:r w:rsidR="00625926" w:rsidRPr="005B01CA">
        <w:rPr>
          <w:rFonts w:ascii="Arial" w:hAnsi="Arial" w:cs="Arial"/>
          <w:b w:val="0"/>
          <w:sz w:val="20"/>
          <w:szCs w:val="20"/>
          <w:lang w:val="en-GB"/>
        </w:rPr>
        <w:t>icle</w:t>
      </w:r>
      <w:r w:rsidR="001A0D38" w:rsidRPr="005B01CA">
        <w:rPr>
          <w:rFonts w:ascii="Arial" w:hAnsi="Arial" w:cs="Arial"/>
          <w:b w:val="0"/>
          <w:sz w:val="20"/>
          <w:szCs w:val="20"/>
          <w:lang w:val="en-GB"/>
        </w:rPr>
        <w:t xml:space="preserve"> C. 2. g) of </w:t>
      </w:r>
      <w:r w:rsidR="00625926" w:rsidRPr="005B01CA">
        <w:rPr>
          <w:rFonts w:ascii="Arial" w:hAnsi="Arial" w:cs="Arial"/>
          <w:b w:val="0"/>
          <w:sz w:val="20"/>
          <w:szCs w:val="20"/>
          <w:lang w:val="en-GB"/>
        </w:rPr>
        <w:t xml:space="preserve">ESMA’s </w:t>
      </w:r>
      <w:r w:rsidR="001A0D38" w:rsidRPr="005B01CA">
        <w:rPr>
          <w:rFonts w:ascii="Arial" w:hAnsi="Arial" w:cs="Arial"/>
          <w:b w:val="0"/>
          <w:sz w:val="20"/>
          <w:szCs w:val="20"/>
          <w:lang w:val="en-GB"/>
        </w:rPr>
        <w:t>draft technical advice</w:t>
      </w:r>
      <w:r w:rsidR="00625926" w:rsidRPr="005B01CA">
        <w:rPr>
          <w:rFonts w:ascii="Arial" w:hAnsi="Arial" w:cs="Arial"/>
          <w:b w:val="0"/>
          <w:sz w:val="20"/>
          <w:szCs w:val="20"/>
          <w:lang w:val="en-GB"/>
        </w:rPr>
        <w:t xml:space="preserve"> and reads as follows : “</w:t>
      </w:r>
      <w:r w:rsidR="00625926" w:rsidRPr="005B01CA">
        <w:rPr>
          <w:rFonts w:ascii="Arial" w:hAnsi="Arial" w:cs="Arial"/>
          <w:b w:val="0"/>
          <w:i/>
          <w:sz w:val="20"/>
          <w:szCs w:val="20"/>
          <w:lang w:val="en-GB"/>
        </w:rPr>
        <w:t>where the issuer is submitting for approval a draft prospectus drawn up under the secondary issuance regime or a draft universal registration document or filing a universal registration document without prior approval, confirmation that, to the best of its knowledge, all regulated information which it was required to disclose  under Directive 2004/109/EC, if applicable, and under Regulation (EU) No 596/2014 has been filed and published in accordance with those acts over the last 18 months or over the period since the obligation  to  disclose regulated information commenced, whichever is the shorter;</w:t>
      </w:r>
      <w:r w:rsidR="00625926" w:rsidRPr="005B01CA">
        <w:rPr>
          <w:rFonts w:ascii="Arial" w:hAnsi="Arial" w:cs="Arial"/>
          <w:b w:val="0"/>
          <w:sz w:val="20"/>
          <w:szCs w:val="20"/>
          <w:lang w:val="en-GB"/>
        </w:rPr>
        <w:t>”.</w:t>
      </w:r>
    </w:p>
    <w:p w14:paraId="580A85E3" w14:textId="77777777" w:rsidR="000D44A4" w:rsidRDefault="000D44A4" w:rsidP="00B64459">
      <w:pPr>
        <w:pStyle w:val="Normalcentr"/>
        <w:spacing w:line="240" w:lineRule="auto"/>
        <w:ind w:left="0" w:right="0"/>
        <w:jc w:val="both"/>
        <w:rPr>
          <w:rFonts w:ascii="Arial" w:hAnsi="Arial" w:cs="Arial"/>
          <w:b w:val="0"/>
          <w:sz w:val="20"/>
          <w:szCs w:val="20"/>
          <w:lang w:val="en-GB"/>
        </w:rPr>
      </w:pPr>
    </w:p>
    <w:p w14:paraId="3C7FD182" w14:textId="153E0810" w:rsidR="00625926" w:rsidRPr="005B01CA" w:rsidRDefault="00625926" w:rsidP="00B64459">
      <w:pPr>
        <w:pStyle w:val="Normalcentr"/>
        <w:spacing w:line="240" w:lineRule="auto"/>
        <w:ind w:left="0" w:right="0"/>
        <w:jc w:val="both"/>
        <w:rPr>
          <w:rFonts w:ascii="Arial" w:hAnsi="Arial" w:cs="Arial"/>
          <w:b w:val="0"/>
          <w:sz w:val="20"/>
          <w:szCs w:val="20"/>
          <w:lang w:val="en-GB"/>
        </w:rPr>
      </w:pPr>
      <w:r w:rsidRPr="005B01CA">
        <w:rPr>
          <w:rFonts w:ascii="Arial" w:hAnsi="Arial" w:cs="Arial"/>
          <w:b w:val="0"/>
          <w:sz w:val="20"/>
          <w:szCs w:val="20"/>
          <w:lang w:val="en-GB"/>
        </w:rPr>
        <w:t xml:space="preserve">The rationale put forward by ESMA is that the availability of information disclosed under </w:t>
      </w:r>
      <w:r w:rsidR="00532131">
        <w:rPr>
          <w:rFonts w:ascii="Arial" w:hAnsi="Arial" w:cs="Arial"/>
          <w:b w:val="0"/>
          <w:sz w:val="20"/>
          <w:szCs w:val="20"/>
          <w:lang w:val="en-GB"/>
        </w:rPr>
        <w:t xml:space="preserve">TD </w:t>
      </w:r>
      <w:r w:rsidRPr="005B01CA">
        <w:rPr>
          <w:rFonts w:ascii="Arial" w:hAnsi="Arial" w:cs="Arial"/>
          <w:b w:val="0"/>
          <w:sz w:val="20"/>
          <w:szCs w:val="20"/>
          <w:lang w:val="en-GB"/>
        </w:rPr>
        <w:t xml:space="preserve">and </w:t>
      </w:r>
      <w:r w:rsidR="00532131">
        <w:rPr>
          <w:rFonts w:ascii="Arial" w:hAnsi="Arial" w:cs="Arial"/>
          <w:b w:val="0"/>
          <w:sz w:val="20"/>
          <w:szCs w:val="20"/>
          <w:lang w:val="en-GB"/>
        </w:rPr>
        <w:t>MAR</w:t>
      </w:r>
      <w:r w:rsidRPr="005B01CA">
        <w:rPr>
          <w:rFonts w:ascii="Arial" w:hAnsi="Arial" w:cs="Arial"/>
          <w:b w:val="0"/>
          <w:sz w:val="20"/>
          <w:szCs w:val="20"/>
          <w:lang w:val="en-GB"/>
        </w:rPr>
        <w:t xml:space="preserve"> </w:t>
      </w:r>
      <w:r w:rsidR="00B64459" w:rsidRPr="005B01CA">
        <w:rPr>
          <w:rFonts w:ascii="Arial" w:hAnsi="Arial" w:cs="Arial"/>
          <w:b w:val="0"/>
          <w:sz w:val="20"/>
          <w:szCs w:val="20"/>
          <w:lang w:val="en-GB"/>
        </w:rPr>
        <w:t>is an</w:t>
      </w:r>
      <w:r w:rsidRPr="005B01CA">
        <w:rPr>
          <w:rFonts w:ascii="Arial" w:hAnsi="Arial" w:cs="Arial"/>
          <w:b w:val="0"/>
          <w:sz w:val="20"/>
          <w:szCs w:val="20"/>
          <w:lang w:val="en-GB"/>
        </w:rPr>
        <w:t xml:space="preserve"> important prerequisite for the correct functioning of the secondary issuance regime and ESMA considers that “</w:t>
      </w:r>
      <w:r w:rsidRPr="005B01CA">
        <w:rPr>
          <w:rFonts w:ascii="Arial" w:hAnsi="Arial" w:cs="Arial"/>
          <w:b w:val="0"/>
          <w:i/>
          <w:sz w:val="20"/>
          <w:szCs w:val="20"/>
          <w:lang w:val="en-GB"/>
        </w:rPr>
        <w:t>it should as such be a condition for an issuer’s use of the</w:t>
      </w:r>
      <w:r w:rsidRPr="005B01CA">
        <w:rPr>
          <w:rFonts w:ascii="Arial" w:hAnsi="Arial" w:cs="Arial"/>
          <w:b w:val="0"/>
          <w:sz w:val="20"/>
          <w:szCs w:val="20"/>
          <w:lang w:val="en-GB"/>
        </w:rPr>
        <w:t xml:space="preserve"> [secondary issuance] </w:t>
      </w:r>
      <w:r w:rsidRPr="005B01CA">
        <w:rPr>
          <w:rFonts w:ascii="Arial" w:hAnsi="Arial" w:cs="Arial"/>
          <w:b w:val="0"/>
          <w:i/>
          <w:sz w:val="20"/>
          <w:szCs w:val="20"/>
          <w:lang w:val="en-GB"/>
        </w:rPr>
        <w:t>regime</w:t>
      </w:r>
      <w:r w:rsidRPr="005B01CA">
        <w:rPr>
          <w:rFonts w:ascii="Arial" w:hAnsi="Arial" w:cs="Arial"/>
          <w:b w:val="0"/>
          <w:sz w:val="20"/>
          <w:szCs w:val="20"/>
          <w:lang w:val="en-GB"/>
        </w:rPr>
        <w:t>.”</w:t>
      </w:r>
      <w:r w:rsidR="00C563FD" w:rsidRPr="005B01CA">
        <w:rPr>
          <w:rFonts w:ascii="Arial" w:hAnsi="Arial" w:cs="Arial"/>
          <w:b w:val="0"/>
          <w:sz w:val="20"/>
          <w:szCs w:val="20"/>
          <w:lang w:val="en-GB"/>
        </w:rPr>
        <w:t xml:space="preserve"> ESMA does not provide any rationale for requiring a compliance statement for the filing of an URD.</w:t>
      </w:r>
    </w:p>
    <w:p w14:paraId="1844632D" w14:textId="39BC877B" w:rsidR="00B64459" w:rsidRPr="005B01CA" w:rsidRDefault="00B64459" w:rsidP="00B64459">
      <w:pPr>
        <w:pStyle w:val="Normalcentr"/>
        <w:spacing w:line="240" w:lineRule="auto"/>
        <w:ind w:left="0" w:right="0"/>
        <w:jc w:val="both"/>
        <w:rPr>
          <w:rFonts w:ascii="Arial" w:hAnsi="Arial" w:cs="Arial"/>
          <w:b w:val="0"/>
          <w:sz w:val="20"/>
          <w:szCs w:val="20"/>
          <w:lang w:val="en-GB"/>
        </w:rPr>
      </w:pPr>
    </w:p>
    <w:p w14:paraId="10A64C08" w14:textId="07A7DE63" w:rsidR="00B64459" w:rsidRPr="005B01CA" w:rsidRDefault="00B64459" w:rsidP="00B64459">
      <w:pPr>
        <w:pStyle w:val="Normalcentr"/>
        <w:spacing w:line="240" w:lineRule="auto"/>
        <w:ind w:left="0" w:right="0"/>
        <w:jc w:val="both"/>
        <w:rPr>
          <w:rFonts w:ascii="Arial" w:hAnsi="Arial" w:cs="Arial"/>
          <w:b w:val="0"/>
          <w:sz w:val="20"/>
          <w:szCs w:val="20"/>
          <w:lang w:val="en-GB"/>
        </w:rPr>
      </w:pPr>
      <w:r w:rsidRPr="005B01CA">
        <w:rPr>
          <w:rFonts w:ascii="Arial" w:hAnsi="Arial" w:cs="Arial"/>
          <w:b w:val="0"/>
          <w:sz w:val="20"/>
          <w:szCs w:val="20"/>
          <w:lang w:val="en-GB"/>
        </w:rPr>
        <w:t xml:space="preserve">We agree with ESMA that the basis for allowing listed issuers to benefit from a lighter </w:t>
      </w:r>
      <w:r w:rsidR="00C563FD" w:rsidRPr="005B01CA">
        <w:rPr>
          <w:rFonts w:ascii="Arial" w:hAnsi="Arial" w:cs="Arial"/>
          <w:b w:val="0"/>
          <w:sz w:val="20"/>
          <w:szCs w:val="20"/>
          <w:lang w:val="en-GB"/>
        </w:rPr>
        <w:t>disclosure</w:t>
      </w:r>
      <w:r w:rsidRPr="005B01CA">
        <w:rPr>
          <w:rFonts w:ascii="Arial" w:hAnsi="Arial" w:cs="Arial"/>
          <w:b w:val="0"/>
          <w:sz w:val="20"/>
          <w:szCs w:val="20"/>
          <w:lang w:val="en-GB"/>
        </w:rPr>
        <w:t xml:space="preserve"> regime is that they have to comply with </w:t>
      </w:r>
      <w:r w:rsidR="00C563FD" w:rsidRPr="005B01CA">
        <w:rPr>
          <w:rFonts w:ascii="Arial" w:hAnsi="Arial" w:cs="Arial"/>
          <w:b w:val="0"/>
          <w:sz w:val="20"/>
          <w:szCs w:val="20"/>
          <w:lang w:val="en-GB"/>
        </w:rPr>
        <w:t xml:space="preserve">periodic and ongoing </w:t>
      </w:r>
      <w:r w:rsidRPr="005B01CA">
        <w:rPr>
          <w:rFonts w:ascii="Arial" w:hAnsi="Arial" w:cs="Arial"/>
          <w:b w:val="0"/>
          <w:sz w:val="20"/>
          <w:szCs w:val="20"/>
          <w:lang w:val="en-GB"/>
        </w:rPr>
        <w:t xml:space="preserve">disclosure obligations under TD and MAR. However, </w:t>
      </w:r>
      <w:r w:rsidRPr="005B01CA">
        <w:rPr>
          <w:rFonts w:ascii="Arial" w:hAnsi="Arial" w:cs="Arial"/>
          <w:sz w:val="20"/>
          <w:szCs w:val="20"/>
          <w:lang w:val="en-GB"/>
        </w:rPr>
        <w:t xml:space="preserve">the conditions to benefit from the secondary issuance regime and regarding the filing of URDs are precisely set in the </w:t>
      </w:r>
      <w:proofErr w:type="gramStart"/>
      <w:r w:rsidRPr="005B01CA">
        <w:rPr>
          <w:rFonts w:ascii="Arial" w:hAnsi="Arial" w:cs="Arial"/>
          <w:sz w:val="20"/>
          <w:szCs w:val="20"/>
          <w:lang w:val="en-GB"/>
        </w:rPr>
        <w:t xml:space="preserve">Regulation </w:t>
      </w:r>
      <w:r w:rsidRPr="005B01CA">
        <w:rPr>
          <w:rFonts w:ascii="Arial" w:hAnsi="Arial" w:cs="Arial"/>
          <w:b w:val="0"/>
          <w:sz w:val="20"/>
          <w:szCs w:val="20"/>
          <w:lang w:val="en-GB"/>
        </w:rPr>
        <w:t>:</w:t>
      </w:r>
      <w:proofErr w:type="gramEnd"/>
    </w:p>
    <w:p w14:paraId="41CE5287" w14:textId="430C861E" w:rsidR="00B64459" w:rsidRPr="005B01CA" w:rsidRDefault="00B64459" w:rsidP="00B64459">
      <w:pPr>
        <w:pStyle w:val="Normalcentr"/>
        <w:numPr>
          <w:ilvl w:val="0"/>
          <w:numId w:val="45"/>
        </w:numPr>
        <w:spacing w:line="240" w:lineRule="auto"/>
        <w:ind w:right="0"/>
        <w:jc w:val="both"/>
        <w:rPr>
          <w:rFonts w:ascii="Arial" w:hAnsi="Arial" w:cs="Arial"/>
          <w:b w:val="0"/>
          <w:sz w:val="20"/>
          <w:szCs w:val="20"/>
          <w:lang w:val="en-GB"/>
        </w:rPr>
      </w:pPr>
      <w:r w:rsidRPr="005B01CA">
        <w:rPr>
          <w:rFonts w:ascii="Arial" w:hAnsi="Arial" w:cs="Arial"/>
          <w:b w:val="0"/>
          <w:sz w:val="20"/>
          <w:szCs w:val="20"/>
          <w:lang w:val="en-GB"/>
        </w:rPr>
        <w:t xml:space="preserve">as regards </w:t>
      </w:r>
      <w:r w:rsidRPr="005B01CA">
        <w:rPr>
          <w:rFonts w:ascii="Arial" w:hAnsi="Arial" w:cs="Arial"/>
          <w:sz w:val="20"/>
          <w:szCs w:val="20"/>
          <w:lang w:val="en-GB"/>
        </w:rPr>
        <w:t>the secondary issuance regime</w:t>
      </w:r>
      <w:r w:rsidRPr="005B01CA">
        <w:rPr>
          <w:rFonts w:ascii="Arial" w:hAnsi="Arial" w:cs="Arial"/>
          <w:b w:val="0"/>
          <w:sz w:val="20"/>
          <w:szCs w:val="20"/>
          <w:lang w:val="en-GB"/>
        </w:rPr>
        <w:t xml:space="preserve">, the conditions are laid down in article 14.1 </w:t>
      </w:r>
      <w:r w:rsidR="00C563FD" w:rsidRPr="005B01CA">
        <w:rPr>
          <w:rFonts w:ascii="Arial" w:hAnsi="Arial" w:cs="Arial"/>
          <w:b w:val="0"/>
          <w:sz w:val="20"/>
          <w:szCs w:val="20"/>
          <w:lang w:val="en-GB"/>
        </w:rPr>
        <w:t xml:space="preserve">of the Regulation </w:t>
      </w:r>
      <w:r w:rsidRPr="005B01CA">
        <w:rPr>
          <w:rFonts w:ascii="Arial" w:hAnsi="Arial" w:cs="Arial"/>
          <w:b w:val="0"/>
          <w:sz w:val="20"/>
          <w:szCs w:val="20"/>
          <w:lang w:val="en-GB"/>
        </w:rPr>
        <w:t xml:space="preserve">and include the </w:t>
      </w:r>
      <w:proofErr w:type="gramStart"/>
      <w:r w:rsidR="00C563FD" w:rsidRPr="005B01CA">
        <w:rPr>
          <w:rFonts w:ascii="Arial" w:hAnsi="Arial" w:cs="Arial"/>
          <w:b w:val="0"/>
          <w:sz w:val="20"/>
          <w:szCs w:val="20"/>
          <w:lang w:val="en-GB"/>
        </w:rPr>
        <w:t>following</w:t>
      </w:r>
      <w:r w:rsidRPr="005B01CA">
        <w:rPr>
          <w:rFonts w:ascii="Arial" w:hAnsi="Arial" w:cs="Arial"/>
          <w:b w:val="0"/>
          <w:sz w:val="20"/>
          <w:szCs w:val="20"/>
          <w:lang w:val="en-GB"/>
        </w:rPr>
        <w:t xml:space="preserve"> :</w:t>
      </w:r>
      <w:proofErr w:type="gramEnd"/>
    </w:p>
    <w:p w14:paraId="0EADBA73" w14:textId="6E47F1B8" w:rsidR="00B64459" w:rsidRPr="005B01CA" w:rsidRDefault="00B64459" w:rsidP="00737EAD">
      <w:pPr>
        <w:pStyle w:val="Normalcentr"/>
        <w:numPr>
          <w:ilvl w:val="1"/>
          <w:numId w:val="45"/>
        </w:numPr>
        <w:spacing w:line="240" w:lineRule="auto"/>
        <w:jc w:val="both"/>
        <w:rPr>
          <w:rFonts w:ascii="Arial" w:hAnsi="Arial" w:cs="Arial"/>
          <w:b w:val="0"/>
          <w:sz w:val="20"/>
          <w:szCs w:val="20"/>
          <w:lang w:val="en-GB"/>
        </w:rPr>
      </w:pPr>
      <w:r w:rsidRPr="005B01CA">
        <w:rPr>
          <w:rFonts w:ascii="Arial" w:hAnsi="Arial" w:cs="Arial"/>
          <w:b w:val="0"/>
          <w:sz w:val="20"/>
          <w:szCs w:val="20"/>
          <w:lang w:val="en-GB"/>
        </w:rPr>
        <w:t>issuers whose securities have been admitted to trading on a regulated market or an SME growth market continuously for at least the last 18 months and who issue securities fungible with existing securities which have been previously issued;</w:t>
      </w:r>
    </w:p>
    <w:p w14:paraId="7606C253" w14:textId="6906F939" w:rsidR="00B64459" w:rsidRPr="005B01CA" w:rsidRDefault="00B64459" w:rsidP="00737EAD">
      <w:pPr>
        <w:pStyle w:val="Normalcentr"/>
        <w:numPr>
          <w:ilvl w:val="1"/>
          <w:numId w:val="45"/>
        </w:numPr>
        <w:spacing w:line="240" w:lineRule="auto"/>
        <w:jc w:val="both"/>
        <w:rPr>
          <w:rFonts w:ascii="Arial" w:hAnsi="Arial" w:cs="Arial"/>
          <w:b w:val="0"/>
          <w:sz w:val="20"/>
          <w:szCs w:val="20"/>
          <w:lang w:val="en-GB"/>
        </w:rPr>
      </w:pPr>
      <w:proofErr w:type="gramStart"/>
      <w:r w:rsidRPr="005B01CA">
        <w:rPr>
          <w:rFonts w:ascii="Arial" w:hAnsi="Arial" w:cs="Arial"/>
          <w:b w:val="0"/>
          <w:sz w:val="20"/>
          <w:szCs w:val="20"/>
          <w:lang w:val="en-GB"/>
        </w:rPr>
        <w:lastRenderedPageBreak/>
        <w:t>issuers  whose</w:t>
      </w:r>
      <w:proofErr w:type="gramEnd"/>
      <w:r w:rsidRPr="005B01CA">
        <w:rPr>
          <w:rFonts w:ascii="Arial" w:hAnsi="Arial" w:cs="Arial"/>
          <w:b w:val="0"/>
          <w:sz w:val="20"/>
          <w:szCs w:val="20"/>
          <w:lang w:val="en-GB"/>
        </w:rPr>
        <w:t xml:space="preserve">  equity  securities  have  been  admitted  to  trading  on  a  regulated  market  or an SME growth  market continuously for at least the last 18 months and who issue non-equity securities;</w:t>
      </w:r>
    </w:p>
    <w:p w14:paraId="48558DF6" w14:textId="34F115A7" w:rsidR="00B64459" w:rsidRPr="005B01CA" w:rsidRDefault="00B64459" w:rsidP="00737EAD">
      <w:pPr>
        <w:pStyle w:val="Normalcentr"/>
        <w:numPr>
          <w:ilvl w:val="1"/>
          <w:numId w:val="45"/>
        </w:numPr>
        <w:spacing w:line="240" w:lineRule="auto"/>
        <w:ind w:right="0"/>
        <w:jc w:val="both"/>
        <w:rPr>
          <w:rFonts w:ascii="Arial" w:hAnsi="Arial" w:cs="Arial"/>
          <w:b w:val="0"/>
          <w:sz w:val="20"/>
          <w:szCs w:val="20"/>
          <w:lang w:val="en-GB"/>
        </w:rPr>
      </w:pPr>
      <w:r w:rsidRPr="005B01CA">
        <w:rPr>
          <w:rFonts w:ascii="Arial" w:hAnsi="Arial" w:cs="Arial"/>
          <w:b w:val="0"/>
          <w:sz w:val="20"/>
          <w:szCs w:val="20"/>
          <w:lang w:val="en-GB"/>
        </w:rPr>
        <w:t>offerors of securities admitted to trading on a regulated market or an SME growth market continuously for at least the last 18 months.</w:t>
      </w:r>
    </w:p>
    <w:p w14:paraId="40F6953F" w14:textId="3F0DA460" w:rsidR="00625926" w:rsidRPr="005B01CA" w:rsidRDefault="00737EAD" w:rsidP="00737EAD">
      <w:pPr>
        <w:pStyle w:val="Normalcentr"/>
        <w:numPr>
          <w:ilvl w:val="0"/>
          <w:numId w:val="45"/>
        </w:numPr>
        <w:spacing w:line="240" w:lineRule="auto"/>
        <w:jc w:val="both"/>
        <w:rPr>
          <w:rFonts w:ascii="Arial" w:hAnsi="Arial" w:cs="Arial"/>
          <w:b w:val="0"/>
          <w:sz w:val="20"/>
          <w:szCs w:val="20"/>
          <w:lang w:val="en-GB"/>
        </w:rPr>
      </w:pPr>
      <w:r w:rsidRPr="005B01CA">
        <w:rPr>
          <w:rFonts w:ascii="Arial" w:hAnsi="Arial" w:cs="Arial"/>
          <w:b w:val="0"/>
          <w:sz w:val="20"/>
          <w:szCs w:val="20"/>
          <w:lang w:val="en-GB"/>
        </w:rPr>
        <w:t xml:space="preserve">as regards </w:t>
      </w:r>
      <w:r w:rsidRPr="005B01CA">
        <w:rPr>
          <w:rFonts w:ascii="Arial" w:hAnsi="Arial" w:cs="Arial"/>
          <w:sz w:val="20"/>
          <w:szCs w:val="20"/>
          <w:lang w:val="en-GB"/>
        </w:rPr>
        <w:t>the filing of an URD</w:t>
      </w:r>
      <w:r w:rsidRPr="005B01CA">
        <w:rPr>
          <w:rFonts w:ascii="Arial" w:hAnsi="Arial" w:cs="Arial"/>
          <w:b w:val="0"/>
          <w:sz w:val="20"/>
          <w:szCs w:val="20"/>
          <w:lang w:val="en-GB"/>
        </w:rPr>
        <w:t xml:space="preserve">, the Regulation does not establish any specific condition and the filing of a </w:t>
      </w:r>
      <w:r w:rsidR="00532131">
        <w:rPr>
          <w:rFonts w:ascii="Arial" w:hAnsi="Arial" w:cs="Arial"/>
          <w:b w:val="0"/>
          <w:sz w:val="20"/>
          <w:szCs w:val="20"/>
          <w:lang w:val="en-GB"/>
        </w:rPr>
        <w:t xml:space="preserve">written </w:t>
      </w:r>
      <w:r w:rsidR="000D44A4">
        <w:rPr>
          <w:rFonts w:ascii="Arial" w:hAnsi="Arial" w:cs="Arial"/>
          <w:b w:val="0"/>
          <w:sz w:val="20"/>
          <w:szCs w:val="20"/>
          <w:lang w:val="en-GB"/>
        </w:rPr>
        <w:t xml:space="preserve">confirmation </w:t>
      </w:r>
      <w:r w:rsidRPr="005B01CA">
        <w:rPr>
          <w:rFonts w:ascii="Arial" w:hAnsi="Arial" w:cs="Arial"/>
          <w:b w:val="0"/>
          <w:sz w:val="20"/>
          <w:szCs w:val="20"/>
          <w:lang w:val="en-GB"/>
        </w:rPr>
        <w:t xml:space="preserve">is only mentioned in article 9.11 </w:t>
      </w:r>
      <w:r w:rsidR="000D44A4">
        <w:rPr>
          <w:rFonts w:ascii="Arial" w:hAnsi="Arial" w:cs="Arial"/>
          <w:b w:val="0"/>
          <w:sz w:val="20"/>
          <w:szCs w:val="20"/>
          <w:lang w:val="en-GB"/>
        </w:rPr>
        <w:t xml:space="preserve">of the Regulation </w:t>
      </w:r>
      <w:r w:rsidRPr="005B01CA">
        <w:rPr>
          <w:rFonts w:ascii="Arial" w:hAnsi="Arial" w:cs="Arial"/>
          <w:b w:val="0"/>
          <w:sz w:val="20"/>
          <w:szCs w:val="20"/>
          <w:lang w:val="en-GB"/>
        </w:rPr>
        <w:t xml:space="preserve">regarding the status of frequent issuer and the faster approval </w:t>
      </w:r>
      <w:proofErr w:type="gramStart"/>
      <w:r w:rsidRPr="005B01CA">
        <w:rPr>
          <w:rFonts w:ascii="Arial" w:hAnsi="Arial" w:cs="Arial"/>
          <w:b w:val="0"/>
          <w:sz w:val="20"/>
          <w:szCs w:val="20"/>
          <w:lang w:val="en-GB"/>
        </w:rPr>
        <w:t>process :</w:t>
      </w:r>
      <w:proofErr w:type="gramEnd"/>
      <w:r w:rsidRPr="005B01CA">
        <w:rPr>
          <w:rFonts w:ascii="Arial" w:hAnsi="Arial" w:cs="Arial"/>
          <w:b w:val="0"/>
          <w:sz w:val="20"/>
          <w:szCs w:val="20"/>
          <w:lang w:val="en-GB"/>
        </w:rPr>
        <w:t xml:space="preserve"> the </w:t>
      </w:r>
      <w:r w:rsidR="00532131">
        <w:rPr>
          <w:rFonts w:ascii="Arial" w:hAnsi="Arial" w:cs="Arial"/>
          <w:b w:val="0"/>
          <w:sz w:val="20"/>
          <w:szCs w:val="20"/>
          <w:lang w:val="en-GB"/>
        </w:rPr>
        <w:t>confirmation</w:t>
      </w:r>
      <w:r w:rsidR="00C563FD" w:rsidRPr="005B01CA">
        <w:rPr>
          <w:rFonts w:ascii="Arial" w:hAnsi="Arial" w:cs="Arial"/>
          <w:b w:val="0"/>
          <w:sz w:val="20"/>
          <w:szCs w:val="20"/>
          <w:lang w:val="en-GB"/>
        </w:rPr>
        <w:t xml:space="preserve"> is only </w:t>
      </w:r>
      <w:r w:rsidRPr="005B01CA">
        <w:rPr>
          <w:rFonts w:ascii="Arial" w:hAnsi="Arial" w:cs="Arial"/>
          <w:b w:val="0"/>
          <w:sz w:val="20"/>
          <w:szCs w:val="20"/>
          <w:lang w:val="en-GB"/>
        </w:rPr>
        <w:t>required in order to benefit from the status of frequent issuer.</w:t>
      </w:r>
    </w:p>
    <w:p w14:paraId="3B75A7B8" w14:textId="718FD643" w:rsidR="00737EAD" w:rsidRPr="005B01CA" w:rsidRDefault="00737EAD" w:rsidP="00B64459">
      <w:pPr>
        <w:pStyle w:val="Normalcentr"/>
        <w:spacing w:line="240" w:lineRule="auto"/>
        <w:ind w:left="0"/>
        <w:jc w:val="both"/>
        <w:rPr>
          <w:rFonts w:ascii="Arial" w:hAnsi="Arial" w:cs="Arial"/>
          <w:b w:val="0"/>
          <w:sz w:val="20"/>
          <w:szCs w:val="20"/>
          <w:lang w:val="en-GB"/>
        </w:rPr>
      </w:pPr>
    </w:p>
    <w:p w14:paraId="361BB9EF" w14:textId="16C77C01" w:rsidR="00737EAD" w:rsidRPr="005B01CA" w:rsidRDefault="00737EAD" w:rsidP="00B64459">
      <w:pPr>
        <w:pStyle w:val="Normalcentr"/>
        <w:spacing w:line="240" w:lineRule="auto"/>
        <w:ind w:left="0"/>
        <w:jc w:val="both"/>
        <w:rPr>
          <w:rFonts w:ascii="Arial" w:hAnsi="Arial" w:cs="Arial"/>
          <w:b w:val="0"/>
          <w:sz w:val="20"/>
          <w:szCs w:val="20"/>
          <w:lang w:val="en-GB"/>
        </w:rPr>
      </w:pPr>
      <w:r w:rsidRPr="005B01CA">
        <w:rPr>
          <w:rFonts w:ascii="Arial" w:hAnsi="Arial" w:cs="Arial"/>
          <w:b w:val="0"/>
          <w:sz w:val="20"/>
          <w:szCs w:val="20"/>
          <w:lang w:val="en-GB"/>
        </w:rPr>
        <w:t xml:space="preserve">If the EU co-legislators had considered that providing a </w:t>
      </w:r>
      <w:r w:rsidR="00532131">
        <w:rPr>
          <w:rFonts w:ascii="Arial" w:hAnsi="Arial" w:cs="Arial"/>
          <w:b w:val="0"/>
          <w:sz w:val="20"/>
          <w:szCs w:val="20"/>
          <w:lang w:val="en-GB"/>
        </w:rPr>
        <w:t>written confirmation</w:t>
      </w:r>
      <w:r w:rsidRPr="005B01CA">
        <w:rPr>
          <w:rFonts w:ascii="Arial" w:hAnsi="Arial" w:cs="Arial"/>
          <w:b w:val="0"/>
          <w:sz w:val="20"/>
          <w:szCs w:val="20"/>
          <w:lang w:val="en-GB"/>
        </w:rPr>
        <w:t xml:space="preserve"> was an essential condition to benefit from the secondary issuance regime</w:t>
      </w:r>
      <w:r w:rsidR="00C563FD" w:rsidRPr="005B01CA">
        <w:rPr>
          <w:rFonts w:ascii="Arial" w:hAnsi="Arial" w:cs="Arial"/>
          <w:b w:val="0"/>
          <w:sz w:val="20"/>
          <w:szCs w:val="20"/>
          <w:lang w:val="en-GB"/>
        </w:rPr>
        <w:t>,</w:t>
      </w:r>
      <w:r w:rsidRPr="005B01CA">
        <w:rPr>
          <w:rFonts w:ascii="Arial" w:hAnsi="Arial" w:cs="Arial"/>
          <w:b w:val="0"/>
          <w:sz w:val="20"/>
          <w:szCs w:val="20"/>
          <w:lang w:val="en-GB"/>
        </w:rPr>
        <w:t xml:space="preserve"> or to be able to file an URD, </w:t>
      </w:r>
      <w:r w:rsidR="008200E8" w:rsidRPr="005B01CA">
        <w:rPr>
          <w:rFonts w:ascii="Arial" w:hAnsi="Arial" w:cs="Arial"/>
          <w:b w:val="0"/>
          <w:sz w:val="20"/>
          <w:szCs w:val="20"/>
          <w:lang w:val="en-GB"/>
        </w:rPr>
        <w:t>such a condition</w:t>
      </w:r>
      <w:r w:rsidR="00F83DC7" w:rsidRPr="005B01CA">
        <w:rPr>
          <w:rFonts w:ascii="Arial" w:hAnsi="Arial" w:cs="Arial"/>
          <w:b w:val="0"/>
          <w:sz w:val="20"/>
          <w:szCs w:val="20"/>
          <w:lang w:val="en-GB"/>
        </w:rPr>
        <w:t xml:space="preserve"> </w:t>
      </w:r>
      <w:r w:rsidRPr="005B01CA">
        <w:rPr>
          <w:rFonts w:ascii="Arial" w:hAnsi="Arial" w:cs="Arial"/>
          <w:b w:val="0"/>
          <w:sz w:val="20"/>
          <w:szCs w:val="20"/>
          <w:lang w:val="en-GB"/>
        </w:rPr>
        <w:t>would have been laid down in</w:t>
      </w:r>
      <w:r w:rsidR="000D44A4">
        <w:rPr>
          <w:rFonts w:ascii="Arial" w:hAnsi="Arial" w:cs="Arial"/>
          <w:b w:val="0"/>
          <w:sz w:val="20"/>
          <w:szCs w:val="20"/>
          <w:lang w:val="en-GB"/>
        </w:rPr>
        <w:t xml:space="preserve"> L</w:t>
      </w:r>
      <w:r w:rsidRPr="005B01CA">
        <w:rPr>
          <w:rFonts w:ascii="Arial" w:hAnsi="Arial" w:cs="Arial"/>
          <w:b w:val="0"/>
          <w:sz w:val="20"/>
          <w:szCs w:val="20"/>
          <w:lang w:val="en-GB"/>
        </w:rPr>
        <w:t xml:space="preserve">evel 1 Legislation. </w:t>
      </w:r>
      <w:r w:rsidRPr="005B01CA">
        <w:rPr>
          <w:rFonts w:ascii="Arial" w:hAnsi="Arial" w:cs="Arial"/>
          <w:sz w:val="20"/>
          <w:szCs w:val="20"/>
          <w:lang w:val="en-GB"/>
        </w:rPr>
        <w:t xml:space="preserve">Therefore ESMA </w:t>
      </w:r>
      <w:r w:rsidR="00F83DC7" w:rsidRPr="005B01CA">
        <w:rPr>
          <w:rFonts w:ascii="Arial" w:hAnsi="Arial" w:cs="Arial"/>
          <w:sz w:val="20"/>
          <w:szCs w:val="20"/>
          <w:lang w:val="en-GB"/>
        </w:rPr>
        <w:t>cannot add any additional requirement</w:t>
      </w:r>
      <w:r w:rsidR="00F83DC7" w:rsidRPr="005B01CA">
        <w:rPr>
          <w:rFonts w:ascii="Arial" w:hAnsi="Arial" w:cs="Arial"/>
          <w:b w:val="0"/>
          <w:sz w:val="20"/>
          <w:szCs w:val="20"/>
          <w:lang w:val="en-GB"/>
        </w:rPr>
        <w:t xml:space="preserve"> and article C.2.g) of the draft technical advice should be </w:t>
      </w:r>
      <w:proofErr w:type="gramStart"/>
      <w:r w:rsidR="00F83DC7" w:rsidRPr="005B01CA">
        <w:rPr>
          <w:rFonts w:ascii="Arial" w:hAnsi="Arial" w:cs="Arial"/>
          <w:b w:val="0"/>
          <w:sz w:val="20"/>
          <w:szCs w:val="20"/>
          <w:lang w:val="en-GB"/>
        </w:rPr>
        <w:t>deleted :</w:t>
      </w:r>
      <w:proofErr w:type="gramEnd"/>
    </w:p>
    <w:p w14:paraId="753F4A70" w14:textId="77777777" w:rsidR="00737EAD" w:rsidRPr="005B01CA" w:rsidRDefault="00737EAD" w:rsidP="00B64459">
      <w:pPr>
        <w:pStyle w:val="Normalcentr"/>
        <w:spacing w:line="240" w:lineRule="auto"/>
        <w:ind w:left="0"/>
        <w:jc w:val="both"/>
        <w:rPr>
          <w:rFonts w:ascii="Arial" w:hAnsi="Arial" w:cs="Arial"/>
          <w:b w:val="0"/>
          <w:sz w:val="20"/>
          <w:szCs w:val="20"/>
          <w:lang w:val="en-GB"/>
        </w:rPr>
      </w:pPr>
    </w:p>
    <w:p w14:paraId="6E2C6201" w14:textId="25864264" w:rsidR="00775730" w:rsidRPr="005B01CA" w:rsidRDefault="00F83DC7" w:rsidP="00F83DC7">
      <w:pPr>
        <w:pStyle w:val="Corpsdetexte2"/>
        <w:spacing w:after="0" w:line="240" w:lineRule="auto"/>
        <w:ind w:left="284"/>
        <w:jc w:val="both"/>
        <w:rPr>
          <w:rFonts w:cs="Arial"/>
          <w:b/>
          <w:szCs w:val="20"/>
        </w:rPr>
      </w:pPr>
      <w:r w:rsidRPr="005B01CA">
        <w:rPr>
          <w:rFonts w:cs="Arial"/>
          <w:b/>
          <w:szCs w:val="20"/>
        </w:rPr>
        <w:t>“</w:t>
      </w:r>
      <w:r w:rsidR="00775730" w:rsidRPr="005B01CA">
        <w:rPr>
          <w:rFonts w:cs="Arial"/>
          <w:b/>
          <w:szCs w:val="20"/>
        </w:rPr>
        <w:t>Article C: Submission of an application for approval of a draft prospectus or filing of a universal registration document and amendments to a universal registration document</w:t>
      </w:r>
    </w:p>
    <w:p w14:paraId="37B8AEE2" w14:textId="77777777" w:rsidR="00775730" w:rsidRPr="005B01CA" w:rsidRDefault="00775730" w:rsidP="00F83DC7">
      <w:pPr>
        <w:pStyle w:val="Corpsdetexte2"/>
        <w:spacing w:after="0" w:line="240" w:lineRule="auto"/>
        <w:ind w:left="284"/>
        <w:jc w:val="both"/>
        <w:rPr>
          <w:rFonts w:cs="Arial"/>
          <w:szCs w:val="20"/>
        </w:rPr>
      </w:pPr>
      <w:r w:rsidRPr="005B01CA">
        <w:rPr>
          <w:rFonts w:cs="Arial"/>
          <w:szCs w:val="20"/>
        </w:rPr>
        <w:t>(…)</w:t>
      </w:r>
    </w:p>
    <w:p w14:paraId="4319EAF2" w14:textId="183767A6" w:rsidR="00775730" w:rsidRPr="005B01CA" w:rsidRDefault="00775730" w:rsidP="00F83DC7">
      <w:pPr>
        <w:pStyle w:val="Corpsdetexte2"/>
        <w:numPr>
          <w:ilvl w:val="0"/>
          <w:numId w:val="46"/>
        </w:numPr>
        <w:spacing w:after="0" w:line="240" w:lineRule="auto"/>
        <w:ind w:left="567" w:hanging="283"/>
        <w:jc w:val="both"/>
        <w:rPr>
          <w:rFonts w:cs="Arial"/>
          <w:szCs w:val="20"/>
        </w:rPr>
      </w:pPr>
      <w:proofErr w:type="gramStart"/>
      <w:r w:rsidRPr="005B01CA">
        <w:rPr>
          <w:rFonts w:cs="Arial"/>
          <w:szCs w:val="20"/>
        </w:rPr>
        <w:t>The  issuer</w:t>
      </w:r>
      <w:proofErr w:type="gramEnd"/>
      <w:r w:rsidRPr="005B01CA">
        <w:rPr>
          <w:rFonts w:cs="Arial"/>
          <w:szCs w:val="20"/>
        </w:rPr>
        <w:t>,  offeror  or  person  asking  for  admission  to  trading  on  a  regulated market shall also submit exclusively in searchable electronic format via electronic means to the competent authority:</w:t>
      </w:r>
    </w:p>
    <w:p w14:paraId="54570D65" w14:textId="77777777" w:rsidR="00775730" w:rsidRPr="005B01CA" w:rsidRDefault="00775730" w:rsidP="00F83DC7">
      <w:pPr>
        <w:pStyle w:val="Corpsdetexte2"/>
        <w:spacing w:after="0" w:line="240" w:lineRule="auto"/>
        <w:ind w:left="284"/>
        <w:jc w:val="both"/>
        <w:rPr>
          <w:rFonts w:cs="Arial"/>
          <w:szCs w:val="20"/>
        </w:rPr>
      </w:pPr>
      <w:r w:rsidRPr="005B01CA">
        <w:rPr>
          <w:rFonts w:cs="Arial"/>
          <w:szCs w:val="20"/>
        </w:rPr>
        <w:t>(…)</w:t>
      </w:r>
    </w:p>
    <w:p w14:paraId="2AA9C079" w14:textId="4E55DD66" w:rsidR="00775730" w:rsidRPr="005B01CA" w:rsidRDefault="00775730" w:rsidP="00F83DC7">
      <w:pPr>
        <w:pStyle w:val="Corpsdetexte2"/>
        <w:spacing w:after="0" w:line="240" w:lineRule="auto"/>
        <w:ind w:left="284"/>
        <w:jc w:val="both"/>
        <w:rPr>
          <w:rFonts w:cs="Arial"/>
          <w:strike/>
          <w:szCs w:val="20"/>
        </w:rPr>
      </w:pPr>
      <w:r w:rsidRPr="005B01CA">
        <w:rPr>
          <w:rFonts w:cs="Arial"/>
          <w:strike/>
          <w:szCs w:val="20"/>
        </w:rPr>
        <w:t>(g)  where the issuer is submitting for approval a draft prospectus drawn up under the secondary issuance regime  or a draft universal registration document  or  filing  a  universal  registration  document  without  prior approval, confirmation that, to the best of its knowledge, all regulated information  which  it  was  required  to  disclose  under  Directive 2004/109/EC, if applicable, and under Regulation (EU) No 596/2014 has been filed and published in accordance with those acts over the last 18 months  or  over  the  period  since  the  obligation  to  disclose  regulated information commenced, whichever is the shorter;</w:t>
      </w:r>
      <w:r w:rsidR="00F83DC7" w:rsidRPr="005B01CA">
        <w:rPr>
          <w:rFonts w:cs="Arial"/>
          <w:szCs w:val="20"/>
        </w:rPr>
        <w:t>”</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39"/>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14:paraId="438DF192" w14:textId="77777777" w:rsidR="005C4E0E" w:rsidRDefault="005C4E0E" w:rsidP="005C4E0E">
      <w:pPr>
        <w:rPr>
          <w:rFonts w:cs="Arial"/>
        </w:rPr>
      </w:pPr>
      <w:r>
        <w:rPr>
          <w:rFonts w:cs="Arial"/>
        </w:rPr>
        <w:t>&lt;ESMA_QUESTION_SAC_1&gt;</w:t>
      </w:r>
    </w:p>
    <w:p w14:paraId="43CA08C5" w14:textId="36272782" w:rsidR="005C4E0E" w:rsidRDefault="00775730" w:rsidP="005C4E0E">
      <w:pPr>
        <w:rPr>
          <w:rFonts w:cs="Arial"/>
        </w:rPr>
      </w:pPr>
      <w:permStart w:id="785596874" w:edGrp="everyone"/>
      <w:r w:rsidRPr="000D44A4">
        <w:rPr>
          <w:rFonts w:cs="Arial"/>
          <w:b/>
          <w:szCs w:val="20"/>
        </w:rPr>
        <w:t>We agree with the criteria proposed by ESMA</w:t>
      </w:r>
      <w:r w:rsidRPr="005B01CA">
        <w:rPr>
          <w:rFonts w:cs="Arial"/>
          <w:szCs w:val="20"/>
        </w:rPr>
        <w:t xml:space="preserve"> to check the completeness of prospectuses. We don’t consider that additional criteria are necessary.</w:t>
      </w:r>
      <w:r>
        <w:rPr>
          <w:rFonts w:ascii="Calibri" w:hAnsi="Calibri" w:cs="Calibri"/>
          <w:sz w:val="22"/>
          <w:szCs w:val="22"/>
        </w:rPr>
        <w:t xml:space="preserve"> </w:t>
      </w:r>
      <w:permEnd w:id="785596874"/>
      <w:r w:rsidR="005C4E0E">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06435D97" w14:textId="77777777" w:rsidR="00775730" w:rsidRPr="005B01CA" w:rsidRDefault="00775730" w:rsidP="00775730">
      <w:pPr>
        <w:pStyle w:val="Normalcentr"/>
        <w:spacing w:line="240" w:lineRule="auto"/>
        <w:ind w:left="0" w:right="0"/>
        <w:jc w:val="both"/>
        <w:rPr>
          <w:rFonts w:ascii="Arial" w:hAnsi="Arial" w:cs="Arial"/>
          <w:b w:val="0"/>
          <w:sz w:val="20"/>
          <w:szCs w:val="20"/>
          <w:lang w:val="en-GB"/>
        </w:rPr>
      </w:pPr>
      <w:permStart w:id="576718158" w:edGrp="everyone"/>
      <w:r w:rsidRPr="000D44A4">
        <w:rPr>
          <w:rFonts w:ascii="Arial" w:hAnsi="Arial" w:cs="Arial"/>
          <w:sz w:val="20"/>
          <w:szCs w:val="20"/>
          <w:lang w:val="en-GB"/>
        </w:rPr>
        <w:t>We agree with the criteria proposed by ESMA</w:t>
      </w:r>
      <w:r w:rsidRPr="005B01CA">
        <w:rPr>
          <w:rFonts w:ascii="Arial" w:hAnsi="Arial" w:cs="Arial"/>
          <w:b w:val="0"/>
          <w:sz w:val="20"/>
          <w:szCs w:val="20"/>
          <w:lang w:val="en-GB"/>
        </w:rPr>
        <w:t xml:space="preserve"> to check the comprehensibility of prospectuses.</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2324BF73" w14:textId="0CF7213C" w:rsidR="00775730" w:rsidRDefault="009D0735" w:rsidP="005B01CA">
      <w:pPr>
        <w:pStyle w:val="Normalcentr"/>
        <w:spacing w:line="240" w:lineRule="auto"/>
        <w:ind w:left="0" w:right="0"/>
        <w:jc w:val="both"/>
        <w:rPr>
          <w:rFonts w:ascii="Arial" w:hAnsi="Arial" w:cs="Arial"/>
          <w:b w:val="0"/>
          <w:sz w:val="20"/>
          <w:szCs w:val="20"/>
          <w:lang w:val="en-GB"/>
        </w:rPr>
      </w:pPr>
      <w:permStart w:id="705496705" w:edGrp="everyone"/>
      <w:r w:rsidRPr="000D44A4">
        <w:rPr>
          <w:rFonts w:ascii="Arial" w:hAnsi="Arial" w:cs="Arial"/>
          <w:sz w:val="20"/>
          <w:szCs w:val="20"/>
          <w:lang w:val="en-GB"/>
        </w:rPr>
        <w:t>We agree with the criteria put forward by ESMA</w:t>
      </w:r>
      <w:r w:rsidRPr="005B01CA">
        <w:rPr>
          <w:rFonts w:ascii="Arial" w:hAnsi="Arial" w:cs="Arial"/>
          <w:b w:val="0"/>
          <w:sz w:val="20"/>
          <w:szCs w:val="20"/>
          <w:lang w:val="en-GB"/>
        </w:rPr>
        <w:t xml:space="preserve"> for assessing the consistency of prospectuses. </w:t>
      </w:r>
      <w:proofErr w:type="gramStart"/>
      <w:r w:rsidRPr="005B01CA">
        <w:rPr>
          <w:rFonts w:ascii="Arial" w:hAnsi="Arial" w:cs="Arial"/>
          <w:b w:val="0"/>
          <w:sz w:val="20"/>
          <w:szCs w:val="20"/>
          <w:lang w:val="en-GB"/>
        </w:rPr>
        <w:t>However</w:t>
      </w:r>
      <w:proofErr w:type="gramEnd"/>
      <w:r w:rsidRPr="005B01CA">
        <w:rPr>
          <w:rFonts w:ascii="Arial" w:hAnsi="Arial" w:cs="Arial"/>
          <w:b w:val="0"/>
          <w:sz w:val="20"/>
          <w:szCs w:val="20"/>
          <w:lang w:val="en-GB"/>
        </w:rPr>
        <w:t xml:space="preserve"> </w:t>
      </w:r>
      <w:r w:rsidRPr="000D44A4">
        <w:rPr>
          <w:rFonts w:ascii="Arial" w:hAnsi="Arial" w:cs="Arial"/>
          <w:sz w:val="20"/>
          <w:szCs w:val="20"/>
          <w:lang w:val="en-GB"/>
        </w:rPr>
        <w:t xml:space="preserve">we doubt whether </w:t>
      </w:r>
      <w:r w:rsidR="00775730" w:rsidRPr="000D44A4">
        <w:rPr>
          <w:rFonts w:ascii="Arial" w:hAnsi="Arial" w:cs="Arial"/>
          <w:sz w:val="20"/>
          <w:szCs w:val="20"/>
          <w:lang w:val="en-GB"/>
        </w:rPr>
        <w:t>the term “aligned”</w:t>
      </w:r>
      <w:r w:rsidRPr="000D44A4">
        <w:rPr>
          <w:rFonts w:ascii="Arial" w:hAnsi="Arial" w:cs="Arial"/>
          <w:sz w:val="20"/>
          <w:szCs w:val="20"/>
          <w:lang w:val="en-GB"/>
        </w:rPr>
        <w:t>,</w:t>
      </w:r>
      <w:r w:rsidR="00775730" w:rsidRPr="000D44A4">
        <w:rPr>
          <w:rFonts w:ascii="Arial" w:hAnsi="Arial" w:cs="Arial"/>
          <w:sz w:val="20"/>
          <w:szCs w:val="20"/>
          <w:lang w:val="en-GB"/>
        </w:rPr>
        <w:t xml:space="preserve"> mentioned in A(3)(b)(c)(d)(e), </w:t>
      </w:r>
      <w:r w:rsidRPr="000D44A4">
        <w:rPr>
          <w:rFonts w:ascii="Arial" w:hAnsi="Arial" w:cs="Arial"/>
          <w:sz w:val="20"/>
          <w:szCs w:val="20"/>
          <w:lang w:val="en-GB"/>
        </w:rPr>
        <w:t>is appropriate</w:t>
      </w:r>
      <w:r w:rsidRPr="005B01CA">
        <w:rPr>
          <w:rFonts w:ascii="Arial" w:hAnsi="Arial" w:cs="Arial"/>
          <w:b w:val="0"/>
          <w:sz w:val="20"/>
          <w:szCs w:val="20"/>
          <w:lang w:val="en-GB"/>
        </w:rPr>
        <w:t xml:space="preserve">. Generally speaking, we consider that the term “consistent” is clear and does not need to be explained. </w:t>
      </w:r>
      <w:proofErr w:type="gramStart"/>
      <w:r w:rsidRPr="005B01CA">
        <w:rPr>
          <w:rFonts w:ascii="Arial" w:hAnsi="Arial" w:cs="Arial"/>
          <w:b w:val="0"/>
          <w:sz w:val="20"/>
          <w:szCs w:val="20"/>
          <w:lang w:val="en-GB"/>
        </w:rPr>
        <w:t>Furthermore</w:t>
      </w:r>
      <w:proofErr w:type="gramEnd"/>
      <w:r w:rsidRPr="005B01CA">
        <w:rPr>
          <w:rFonts w:ascii="Arial" w:hAnsi="Arial" w:cs="Arial"/>
          <w:b w:val="0"/>
          <w:sz w:val="20"/>
          <w:szCs w:val="20"/>
          <w:lang w:val="en-GB"/>
        </w:rPr>
        <w:t xml:space="preserve"> we are not in favour of introducing at Level 2, notions not mentioned in Level 1 legislation. Therefore we suggest the following amendments to article A.3 of the draft technical </w:t>
      </w:r>
      <w:proofErr w:type="gramStart"/>
      <w:r w:rsidRPr="005B01CA">
        <w:rPr>
          <w:rFonts w:ascii="Arial" w:hAnsi="Arial" w:cs="Arial"/>
          <w:b w:val="0"/>
          <w:sz w:val="20"/>
          <w:szCs w:val="20"/>
          <w:lang w:val="en-GB"/>
        </w:rPr>
        <w:t>advice :</w:t>
      </w:r>
      <w:proofErr w:type="gramEnd"/>
    </w:p>
    <w:p w14:paraId="61C8E646" w14:textId="77777777" w:rsidR="005B01CA" w:rsidRPr="005B01CA" w:rsidRDefault="005B01CA" w:rsidP="005B01CA">
      <w:pPr>
        <w:pStyle w:val="Normalcentr"/>
        <w:spacing w:line="240" w:lineRule="auto"/>
        <w:ind w:left="0" w:right="0"/>
        <w:jc w:val="both"/>
        <w:rPr>
          <w:rFonts w:ascii="Arial" w:hAnsi="Arial" w:cs="Arial"/>
          <w:b w:val="0"/>
          <w:sz w:val="20"/>
          <w:szCs w:val="20"/>
          <w:lang w:val="en-GB"/>
        </w:rPr>
      </w:pPr>
    </w:p>
    <w:p w14:paraId="432B54C2" w14:textId="4FFD161D" w:rsidR="009D0735" w:rsidRPr="005B01CA" w:rsidRDefault="009D0735" w:rsidP="005B01CA">
      <w:pPr>
        <w:ind w:left="709"/>
        <w:jc w:val="both"/>
        <w:rPr>
          <w:rFonts w:cs="Arial"/>
          <w:szCs w:val="20"/>
        </w:rPr>
      </w:pPr>
      <w:r w:rsidRPr="005B01CA">
        <w:rPr>
          <w:rFonts w:cs="Arial"/>
          <w:szCs w:val="20"/>
        </w:rPr>
        <w:t xml:space="preserve">“3.  When scrutinising or reviewing the consistency of the information given in the draft prospectus, the competent authority shall consider whether the draft prospectus is free of material discrepancies between the different pieces of information provided in the draft prospectus, including any information incorporated by reference. </w:t>
      </w:r>
    </w:p>
    <w:p w14:paraId="17988E48" w14:textId="388A7B76" w:rsidR="009D0735" w:rsidRPr="005B01CA" w:rsidRDefault="009D0735" w:rsidP="005B01CA">
      <w:pPr>
        <w:ind w:left="709"/>
        <w:jc w:val="both"/>
        <w:rPr>
          <w:rFonts w:cs="Arial"/>
          <w:szCs w:val="20"/>
        </w:rPr>
      </w:pPr>
      <w:r w:rsidRPr="005B01CA">
        <w:rPr>
          <w:rFonts w:cs="Arial"/>
          <w:szCs w:val="20"/>
        </w:rPr>
        <w:t xml:space="preserve">To this end, the competent authority shall consider in particular whether the draft prospectus meets the following criteria: </w:t>
      </w:r>
    </w:p>
    <w:p w14:paraId="0C6556A9" w14:textId="6E8A2137" w:rsidR="009D0735" w:rsidRPr="005B01CA" w:rsidRDefault="009D0735" w:rsidP="005B01CA">
      <w:pPr>
        <w:ind w:left="709"/>
        <w:jc w:val="both"/>
        <w:rPr>
          <w:rFonts w:cs="Arial"/>
          <w:szCs w:val="20"/>
        </w:rPr>
      </w:pPr>
      <w:r w:rsidRPr="005B01CA">
        <w:rPr>
          <w:rFonts w:cs="Arial"/>
          <w:szCs w:val="20"/>
        </w:rPr>
        <w:t xml:space="preserve">(a)  </w:t>
      </w:r>
      <w:proofErr w:type="gramStart"/>
      <w:r w:rsidRPr="005B01CA">
        <w:rPr>
          <w:rFonts w:cs="Arial"/>
          <w:szCs w:val="20"/>
        </w:rPr>
        <w:t>Any  material</w:t>
      </w:r>
      <w:proofErr w:type="gramEnd"/>
      <w:r w:rsidRPr="005B01CA">
        <w:rPr>
          <w:rFonts w:cs="Arial"/>
          <w:szCs w:val="20"/>
        </w:rPr>
        <w:t xml:space="preserve">  and  specific  risks  disclosed  elsewhere  in  the  draft prospectus are included in the risk factors section; </w:t>
      </w:r>
    </w:p>
    <w:p w14:paraId="53302DD6" w14:textId="38195D16" w:rsidR="009D0735" w:rsidRPr="005B01CA" w:rsidRDefault="009D0735" w:rsidP="005B01CA">
      <w:pPr>
        <w:ind w:left="709"/>
        <w:jc w:val="both"/>
        <w:rPr>
          <w:rFonts w:cs="Arial"/>
          <w:szCs w:val="20"/>
        </w:rPr>
      </w:pPr>
      <w:r w:rsidRPr="005B01CA">
        <w:rPr>
          <w:rFonts w:cs="Arial"/>
          <w:szCs w:val="20"/>
        </w:rPr>
        <w:t xml:space="preserve">(b)  </w:t>
      </w:r>
      <w:proofErr w:type="gramStart"/>
      <w:r w:rsidRPr="005B01CA">
        <w:rPr>
          <w:rFonts w:cs="Arial"/>
          <w:szCs w:val="20"/>
        </w:rPr>
        <w:t>The  information</w:t>
      </w:r>
      <w:proofErr w:type="gramEnd"/>
      <w:r w:rsidRPr="005B01CA">
        <w:rPr>
          <w:rFonts w:cs="Arial"/>
          <w:szCs w:val="20"/>
        </w:rPr>
        <w:t xml:space="preserve">  contained  in  the  summary  is </w:t>
      </w:r>
      <w:r w:rsidRPr="005B01CA">
        <w:rPr>
          <w:rFonts w:cs="Arial"/>
          <w:strike/>
          <w:szCs w:val="20"/>
        </w:rPr>
        <w:t xml:space="preserve"> aligned</w:t>
      </w:r>
      <w:r w:rsidRPr="005B01CA">
        <w:rPr>
          <w:rFonts w:cs="Arial"/>
          <w:szCs w:val="20"/>
        </w:rPr>
        <w:t xml:space="preserve">  </w:t>
      </w:r>
      <w:r w:rsidR="005B01CA" w:rsidRPr="005B01CA">
        <w:rPr>
          <w:rFonts w:cs="Arial"/>
          <w:b/>
          <w:szCs w:val="20"/>
        </w:rPr>
        <w:t>consistent</w:t>
      </w:r>
      <w:r w:rsidR="005B01CA" w:rsidRPr="005B01CA">
        <w:rPr>
          <w:rFonts w:cs="Arial"/>
          <w:szCs w:val="20"/>
        </w:rPr>
        <w:t xml:space="preserve"> </w:t>
      </w:r>
      <w:r w:rsidRPr="005B01CA">
        <w:rPr>
          <w:rFonts w:cs="Arial"/>
          <w:szCs w:val="20"/>
        </w:rPr>
        <w:t xml:space="preserve">with  information contained elsewhere in the draft prospectus; </w:t>
      </w:r>
    </w:p>
    <w:p w14:paraId="354EC406" w14:textId="3A4D0640" w:rsidR="009D0735" w:rsidRPr="005B01CA" w:rsidRDefault="009D0735" w:rsidP="005B01CA">
      <w:pPr>
        <w:ind w:left="709"/>
        <w:jc w:val="both"/>
        <w:rPr>
          <w:rFonts w:cs="Arial"/>
          <w:szCs w:val="20"/>
        </w:rPr>
      </w:pPr>
      <w:r w:rsidRPr="005B01CA">
        <w:rPr>
          <w:rFonts w:cs="Arial"/>
          <w:szCs w:val="20"/>
        </w:rPr>
        <w:t xml:space="preserve">(c)  The figures in the use of proceeds section correspond to the amount of proceeds being raised and, where applicable, the disclosure of the use of proceeds is </w:t>
      </w:r>
      <w:proofErr w:type="gramStart"/>
      <w:r w:rsidR="005B01CA" w:rsidRPr="005B01CA">
        <w:rPr>
          <w:rFonts w:cs="Arial"/>
          <w:strike/>
          <w:szCs w:val="20"/>
        </w:rPr>
        <w:t>aligned</w:t>
      </w:r>
      <w:r w:rsidR="005B01CA" w:rsidRPr="005B01CA">
        <w:rPr>
          <w:rFonts w:cs="Arial"/>
          <w:szCs w:val="20"/>
        </w:rPr>
        <w:t xml:space="preserve">  </w:t>
      </w:r>
      <w:r w:rsidR="005B01CA" w:rsidRPr="005B01CA">
        <w:rPr>
          <w:rFonts w:cs="Arial"/>
          <w:b/>
          <w:szCs w:val="20"/>
        </w:rPr>
        <w:t>consistent</w:t>
      </w:r>
      <w:proofErr w:type="gramEnd"/>
      <w:r w:rsidRPr="005B01CA">
        <w:rPr>
          <w:rFonts w:cs="Arial"/>
          <w:szCs w:val="20"/>
        </w:rPr>
        <w:t xml:space="preserve"> with the disclosure of the issuer’s strategy; </w:t>
      </w:r>
    </w:p>
    <w:p w14:paraId="22EA216A" w14:textId="4C9B9E1B" w:rsidR="009D0735" w:rsidRPr="005B01CA" w:rsidRDefault="009D0735" w:rsidP="005B01CA">
      <w:pPr>
        <w:ind w:left="709"/>
        <w:jc w:val="both"/>
        <w:rPr>
          <w:rFonts w:cs="Arial"/>
          <w:szCs w:val="20"/>
        </w:rPr>
      </w:pPr>
      <w:r w:rsidRPr="005B01CA">
        <w:rPr>
          <w:rFonts w:cs="Arial"/>
          <w:szCs w:val="20"/>
        </w:rPr>
        <w:t xml:space="preserve">(d)  The description of the issuer in the operating and financial review, where required, the historical financial information, the description of the issuer’s activity and the risk factors are </w:t>
      </w:r>
      <w:proofErr w:type="gramStart"/>
      <w:r w:rsidR="005B01CA" w:rsidRPr="005B01CA">
        <w:rPr>
          <w:rFonts w:cs="Arial"/>
          <w:strike/>
          <w:szCs w:val="20"/>
        </w:rPr>
        <w:t>aligned</w:t>
      </w:r>
      <w:r w:rsidR="005B01CA" w:rsidRPr="005B01CA">
        <w:rPr>
          <w:rFonts w:cs="Arial"/>
          <w:szCs w:val="20"/>
        </w:rPr>
        <w:t xml:space="preserve">  </w:t>
      </w:r>
      <w:r w:rsidR="005B01CA" w:rsidRPr="005B01CA">
        <w:rPr>
          <w:rFonts w:cs="Arial"/>
          <w:b/>
          <w:szCs w:val="20"/>
        </w:rPr>
        <w:t>consistent</w:t>
      </w:r>
      <w:proofErr w:type="gramEnd"/>
      <w:r w:rsidRPr="005B01CA">
        <w:rPr>
          <w:rFonts w:cs="Arial"/>
          <w:szCs w:val="20"/>
        </w:rPr>
        <w:t xml:space="preserve">; </w:t>
      </w:r>
    </w:p>
    <w:p w14:paraId="506B334E" w14:textId="3C4F1809" w:rsidR="009D0735" w:rsidRPr="005B01CA" w:rsidRDefault="009D0735" w:rsidP="005B01CA">
      <w:pPr>
        <w:ind w:left="709"/>
        <w:jc w:val="both"/>
        <w:rPr>
          <w:rFonts w:cs="Arial"/>
          <w:szCs w:val="20"/>
        </w:rPr>
      </w:pPr>
      <w:r w:rsidRPr="005B01CA">
        <w:rPr>
          <w:rFonts w:cs="Arial"/>
          <w:szCs w:val="20"/>
        </w:rPr>
        <w:t xml:space="preserve">(e)  In case a working capital statement is required, this is </w:t>
      </w:r>
      <w:proofErr w:type="gramStart"/>
      <w:r w:rsidR="005B01CA" w:rsidRPr="005B01CA">
        <w:rPr>
          <w:rFonts w:cs="Arial"/>
          <w:strike/>
          <w:szCs w:val="20"/>
        </w:rPr>
        <w:t>aligned</w:t>
      </w:r>
      <w:r w:rsidR="005B01CA" w:rsidRPr="005B01CA">
        <w:rPr>
          <w:rFonts w:cs="Arial"/>
          <w:szCs w:val="20"/>
        </w:rPr>
        <w:t xml:space="preserve">  </w:t>
      </w:r>
      <w:r w:rsidR="005B01CA" w:rsidRPr="005B01CA">
        <w:rPr>
          <w:rFonts w:cs="Arial"/>
          <w:b/>
          <w:szCs w:val="20"/>
        </w:rPr>
        <w:t>consistent</w:t>
      </w:r>
      <w:proofErr w:type="gramEnd"/>
      <w:r w:rsidRPr="005B01CA">
        <w:rPr>
          <w:rFonts w:cs="Arial"/>
          <w:szCs w:val="20"/>
        </w:rPr>
        <w:t xml:space="preserve"> with the risk factors, the auditor’s report, the use of proceeds and, where applicable, the disclosure of the issuer’s strategy and how the strategy will be funded.”</w:t>
      </w:r>
    </w:p>
    <w:p w14:paraId="52924979" w14:textId="77777777" w:rsidR="009D0735" w:rsidRPr="005B01CA" w:rsidRDefault="009D0735" w:rsidP="009D0735">
      <w:pPr>
        <w:ind w:left="709"/>
        <w:rPr>
          <w:rFonts w:cs="Arial"/>
          <w:szCs w:val="20"/>
        </w:rPr>
      </w:pPr>
    </w:p>
    <w:p w14:paraId="3630F080" w14:textId="373D9433" w:rsidR="005C4E0E" w:rsidRDefault="00775730" w:rsidP="005C4E0E">
      <w:pPr>
        <w:rPr>
          <w:rFonts w:cs="Arial"/>
        </w:rPr>
      </w:pPr>
      <w:r w:rsidRPr="005B01CA">
        <w:rPr>
          <w:rFonts w:cs="Arial"/>
          <w:szCs w:val="20"/>
        </w:rPr>
        <w:t>Finally, to ensure comprehensibility and to allow issuers to draft prospectuses with “</w:t>
      </w:r>
      <w:r w:rsidRPr="005B01CA">
        <w:rPr>
          <w:rFonts w:cs="Arial"/>
          <w:i/>
          <w:szCs w:val="20"/>
        </w:rPr>
        <w:t>a structure that helps the investor understand their contents</w:t>
      </w:r>
      <w:r w:rsidRPr="005B01CA">
        <w:rPr>
          <w:rFonts w:cs="Arial"/>
          <w:szCs w:val="20"/>
        </w:rPr>
        <w:t xml:space="preserve">”, </w:t>
      </w:r>
      <w:r w:rsidRPr="000D44A4">
        <w:rPr>
          <w:rFonts w:cs="Arial"/>
          <w:b/>
          <w:szCs w:val="20"/>
        </w:rPr>
        <w:t>maximum flexibility should be given to issuers to choose</w:t>
      </w:r>
      <w:r w:rsidRPr="000D44A4">
        <w:rPr>
          <w:rFonts w:ascii="Calibri" w:hAnsi="Calibri" w:cs="Calibri"/>
          <w:b/>
          <w:sz w:val="22"/>
          <w:szCs w:val="22"/>
        </w:rPr>
        <w:t xml:space="preserve"> </w:t>
      </w:r>
      <w:r w:rsidRPr="00E12158">
        <w:rPr>
          <w:rFonts w:cs="Arial"/>
          <w:b/>
          <w:szCs w:val="20"/>
        </w:rPr>
        <w:t xml:space="preserve">the order </w:t>
      </w:r>
      <w:r w:rsidRPr="000D44A4">
        <w:rPr>
          <w:rFonts w:cs="Arial"/>
          <w:b/>
          <w:szCs w:val="20"/>
        </w:rPr>
        <w:t>of the sections</w:t>
      </w:r>
      <w:r w:rsidRPr="005B01CA">
        <w:rPr>
          <w:rFonts w:cs="Arial"/>
          <w:szCs w:val="20"/>
        </w:rPr>
        <w:t>. This is contradictory with the objective of ESMA to impose a mandatory order and allow</w:t>
      </w:r>
      <w:r w:rsidRPr="009D0735">
        <w:rPr>
          <w:rFonts w:ascii="Calibri" w:hAnsi="Calibri" w:cs="Calibri"/>
          <w:sz w:val="22"/>
          <w:szCs w:val="22"/>
        </w:rPr>
        <w:t xml:space="preserve"> </w:t>
      </w:r>
      <w:r w:rsidRPr="005B01CA">
        <w:rPr>
          <w:rFonts w:cs="Arial"/>
          <w:szCs w:val="20"/>
        </w:rPr>
        <w:t xml:space="preserve">for flexibility only within each </w:t>
      </w:r>
      <w:proofErr w:type="gramStart"/>
      <w:r w:rsidRPr="005B01CA">
        <w:rPr>
          <w:rFonts w:cs="Arial"/>
          <w:szCs w:val="20"/>
        </w:rPr>
        <w:t>section</w:t>
      </w:r>
      <w:r w:rsidRPr="009D0735">
        <w:rPr>
          <w:rFonts w:ascii="Calibri" w:hAnsi="Calibri" w:cs="Calibri"/>
          <w:sz w:val="22"/>
          <w:szCs w:val="22"/>
        </w:rPr>
        <w:t>.</w:t>
      </w:r>
      <w:permEnd w:id="705496705"/>
      <w:r w:rsidR="005C4E0E">
        <w:rPr>
          <w:rFonts w:cs="Arial"/>
        </w:rPr>
        <w:t>&lt;</w:t>
      </w:r>
      <w:proofErr w:type="gramEnd"/>
      <w:r w:rsidR="005C4E0E">
        <w:rPr>
          <w:rFonts w:cs="Arial"/>
        </w:rPr>
        <w: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39"/>
        </w:numPr>
        <w:rPr>
          <w:rFonts w:ascii="Arial" w:hAnsi="Arial" w:cs="Arial"/>
        </w:rPr>
      </w:pPr>
      <w:r>
        <w:lastRenderedPageBreak/>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143232CB" w:rsidR="005C4E0E" w:rsidRDefault="005B01CA" w:rsidP="005C4E0E">
      <w:pPr>
        <w:rPr>
          <w:rFonts w:cs="Arial"/>
        </w:rPr>
      </w:pPr>
      <w:permStart w:id="1374644636" w:edGrp="everyone"/>
      <w:r w:rsidRPr="000D44A4">
        <w:rPr>
          <w:rFonts w:cs="Arial"/>
          <w:b/>
        </w:rPr>
        <w:t>No</w:t>
      </w:r>
      <w:r>
        <w:rPr>
          <w:rFonts w:cs="Arial"/>
        </w:rPr>
        <w:t>, we do not consider that there should be further aspects where scrutiny and review of the URD should differ from the general criteria.</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34D42834" w14:textId="0279E564" w:rsidR="008200E8" w:rsidRDefault="00F36928" w:rsidP="008200E8">
      <w:pPr>
        <w:rPr>
          <w:rFonts w:cs="Arial"/>
        </w:rPr>
      </w:pPr>
      <w:permStart w:id="1459582772" w:edGrp="everyone"/>
      <w:r w:rsidRPr="000D44A4">
        <w:rPr>
          <w:rFonts w:cs="Arial"/>
          <w:b/>
        </w:rPr>
        <w:t>Yes, we agree with ESMA’s statement</w:t>
      </w:r>
      <w:r>
        <w:rPr>
          <w:rFonts w:cs="Arial"/>
        </w:rPr>
        <w:t xml:space="preserve"> that it is not necessary to address partial/repeated reviews of a URD in the technical advice.</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461C4330" w14:textId="23384610" w:rsidR="008200E8" w:rsidRPr="000D44A4" w:rsidRDefault="00A0385B" w:rsidP="008200E8">
      <w:pPr>
        <w:rPr>
          <w:rFonts w:cs="Arial"/>
          <w:b/>
        </w:rPr>
      </w:pPr>
      <w:permStart w:id="609044088" w:edGrp="everyone"/>
      <w:r w:rsidRPr="000D44A4">
        <w:rPr>
          <w:rFonts w:cs="Arial"/>
          <w:b/>
        </w:rPr>
        <w:t>Yes</w:t>
      </w:r>
      <w:r w:rsidR="005B01CA" w:rsidRPr="000D44A4">
        <w:rPr>
          <w:rFonts w:cs="Arial"/>
          <w:b/>
        </w:rPr>
        <w:t>, we agree with this approach</w:t>
      </w:r>
      <w:r w:rsidRPr="000D44A4">
        <w:rPr>
          <w:rFonts w:cs="Arial"/>
          <w:b/>
        </w:rPr>
        <w:t>.</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12032E9D" w14:textId="4AD22B95" w:rsidR="00775730" w:rsidRPr="005B01CA" w:rsidRDefault="00775730" w:rsidP="00775730">
      <w:pPr>
        <w:pStyle w:val="Normalcentr"/>
        <w:spacing w:line="240" w:lineRule="auto"/>
        <w:ind w:left="0" w:right="0"/>
        <w:jc w:val="both"/>
        <w:rPr>
          <w:rFonts w:ascii="Arial" w:hAnsi="Arial" w:cs="Arial"/>
          <w:b w:val="0"/>
          <w:sz w:val="20"/>
          <w:szCs w:val="20"/>
          <w:lang w:val="en-GB"/>
        </w:rPr>
      </w:pPr>
      <w:permStart w:id="1666980614" w:edGrp="everyone"/>
      <w:r w:rsidRPr="000D44A4">
        <w:rPr>
          <w:rFonts w:ascii="Arial" w:hAnsi="Arial" w:cs="Arial"/>
          <w:sz w:val="20"/>
          <w:szCs w:val="20"/>
          <w:lang w:val="en-GB"/>
        </w:rPr>
        <w:t>We don’t consider that ESMA should propose more detailed or additional criteria in its technical advice.</w:t>
      </w:r>
      <w:r w:rsidRPr="005B01CA">
        <w:rPr>
          <w:rFonts w:ascii="Arial" w:hAnsi="Arial" w:cs="Arial"/>
          <w:b w:val="0"/>
          <w:sz w:val="20"/>
          <w:szCs w:val="20"/>
          <w:lang w:val="en-GB"/>
        </w:rPr>
        <w:t xml:space="preserve"> The best and most effective way to harmonise practices among NCAs is not </w:t>
      </w:r>
      <w:r w:rsidR="000D44A4">
        <w:rPr>
          <w:rFonts w:ascii="Arial" w:hAnsi="Arial" w:cs="Arial"/>
          <w:b w:val="0"/>
          <w:sz w:val="20"/>
          <w:szCs w:val="20"/>
          <w:lang w:val="en-GB"/>
        </w:rPr>
        <w:t>necessarily through additional L</w:t>
      </w:r>
      <w:r w:rsidRPr="005B01CA">
        <w:rPr>
          <w:rFonts w:ascii="Arial" w:hAnsi="Arial" w:cs="Arial"/>
          <w:b w:val="0"/>
          <w:sz w:val="20"/>
          <w:szCs w:val="20"/>
          <w:lang w:val="en-GB"/>
        </w:rPr>
        <w:t xml:space="preserve">evel 2 measures but rather </w:t>
      </w:r>
      <w:r w:rsidR="005B01CA" w:rsidRPr="005B01CA">
        <w:rPr>
          <w:rFonts w:ascii="Arial" w:hAnsi="Arial" w:cs="Arial"/>
          <w:b w:val="0"/>
          <w:sz w:val="20"/>
          <w:szCs w:val="20"/>
          <w:lang w:val="en-GB"/>
        </w:rPr>
        <w:t xml:space="preserve">by </w:t>
      </w:r>
      <w:r w:rsidRPr="005B01CA">
        <w:rPr>
          <w:rFonts w:ascii="Arial" w:hAnsi="Arial" w:cs="Arial"/>
          <w:b w:val="0"/>
          <w:sz w:val="20"/>
          <w:szCs w:val="20"/>
          <w:lang w:val="en-GB"/>
        </w:rPr>
        <w:t>using other tools such as guidelines and recommendations addressed to NCAs and Peer Reviews.</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41D651D8" w14:textId="77777777" w:rsidR="005C4E0E" w:rsidRDefault="005C4E0E" w:rsidP="005C4E0E">
      <w:pPr>
        <w:rPr>
          <w:rFonts w:cs="Arial"/>
        </w:rPr>
      </w:pPr>
      <w:permStart w:id="826869611" w:edGrp="everyone"/>
      <w:r>
        <w:rPr>
          <w:rFonts w:cs="Arial"/>
        </w:rPr>
        <w:t>TYPE YOUR TEXT HERE</w:t>
      </w:r>
    </w:p>
    <w:permEnd w:id="826869611"/>
    <w:p w14:paraId="560EB5B7" w14:textId="77777777" w:rsidR="005C4E0E" w:rsidRDefault="005C4E0E" w:rsidP="005C4E0E">
      <w:pPr>
        <w:rPr>
          <w:rFonts w:cs="Arial"/>
        </w:rPr>
      </w:pPr>
      <w:r>
        <w:rPr>
          <w:rFonts w:cs="Arial"/>
        </w:rPr>
        <w:lastRenderedPageBreak/>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1BC07B86" w14:textId="52BE4101" w:rsidR="00A62009" w:rsidRPr="00205303" w:rsidRDefault="00A62009" w:rsidP="000D44A4">
      <w:pPr>
        <w:jc w:val="both"/>
        <w:rPr>
          <w:rFonts w:cs="Arial"/>
          <w:szCs w:val="20"/>
        </w:rPr>
      </w:pPr>
      <w:permStart w:id="1152481179" w:edGrp="everyone"/>
      <w:r w:rsidRPr="00205303">
        <w:rPr>
          <w:rFonts w:cs="Arial"/>
          <w:szCs w:val="20"/>
        </w:rPr>
        <w:t xml:space="preserve">Article 26.4 of the Regulation defines 2 conditions in order to notify an URD </w:t>
      </w:r>
      <w:r w:rsidR="005C4B21" w:rsidRPr="00205303">
        <w:rPr>
          <w:rFonts w:cs="Arial"/>
          <w:szCs w:val="20"/>
        </w:rPr>
        <w:t xml:space="preserve">or RD </w:t>
      </w:r>
      <w:r w:rsidR="00205303">
        <w:rPr>
          <w:rFonts w:cs="Arial"/>
          <w:szCs w:val="20"/>
        </w:rPr>
        <w:t xml:space="preserve">related to an issue of non-equity securities or drafted by a Third-country issuer </w:t>
      </w:r>
      <w:r w:rsidRPr="00205303">
        <w:rPr>
          <w:rFonts w:cs="Arial"/>
          <w:szCs w:val="20"/>
        </w:rPr>
        <w:t>to a Host Competent Authority:</w:t>
      </w:r>
    </w:p>
    <w:p w14:paraId="65ECEDAB" w14:textId="404CD52B" w:rsidR="00A62009" w:rsidRPr="00205303" w:rsidRDefault="00A62009" w:rsidP="00EC23D1">
      <w:pPr>
        <w:pStyle w:val="Paragraphedeliste"/>
        <w:numPr>
          <w:ilvl w:val="0"/>
          <w:numId w:val="47"/>
        </w:numPr>
        <w:jc w:val="both"/>
        <w:rPr>
          <w:rFonts w:cs="Arial"/>
          <w:szCs w:val="20"/>
        </w:rPr>
      </w:pPr>
      <w:r w:rsidRPr="00205303">
        <w:rPr>
          <w:rFonts w:cs="Arial"/>
          <w:szCs w:val="20"/>
        </w:rPr>
        <w:t>The URD or RD shall contain an appendix;</w:t>
      </w:r>
    </w:p>
    <w:p w14:paraId="5E9A9EAC" w14:textId="4D33A9D2" w:rsidR="00A62009" w:rsidRPr="00205303" w:rsidRDefault="00A62009" w:rsidP="00EC23D1">
      <w:pPr>
        <w:pStyle w:val="Paragraphedeliste"/>
        <w:numPr>
          <w:ilvl w:val="0"/>
          <w:numId w:val="47"/>
        </w:numPr>
        <w:jc w:val="both"/>
        <w:rPr>
          <w:rFonts w:cs="Arial"/>
          <w:szCs w:val="20"/>
        </w:rPr>
      </w:pPr>
      <w:r w:rsidRPr="00205303">
        <w:rPr>
          <w:rFonts w:cs="Arial"/>
          <w:szCs w:val="20"/>
        </w:rPr>
        <w:t>The approval of the URD or RD shall encompass this appendix.</w:t>
      </w:r>
    </w:p>
    <w:p w14:paraId="1CBC04C8" w14:textId="77777777" w:rsidR="00205303" w:rsidRDefault="00205303" w:rsidP="00EC23D1">
      <w:pPr>
        <w:jc w:val="both"/>
        <w:rPr>
          <w:rFonts w:cs="Arial"/>
          <w:szCs w:val="20"/>
        </w:rPr>
      </w:pPr>
    </w:p>
    <w:p w14:paraId="0E4258C0" w14:textId="61192562" w:rsidR="005C4B21" w:rsidRPr="00205303" w:rsidRDefault="00A62009" w:rsidP="00EC23D1">
      <w:pPr>
        <w:jc w:val="both"/>
        <w:rPr>
          <w:rFonts w:cs="Arial"/>
          <w:szCs w:val="20"/>
        </w:rPr>
      </w:pPr>
      <w:r w:rsidRPr="00205303">
        <w:rPr>
          <w:rFonts w:cs="Arial"/>
          <w:szCs w:val="20"/>
        </w:rPr>
        <w:t xml:space="preserve">The approval is defined by the </w:t>
      </w:r>
      <w:r w:rsidR="005C4B21" w:rsidRPr="00205303">
        <w:rPr>
          <w:rFonts w:cs="Arial"/>
          <w:szCs w:val="20"/>
        </w:rPr>
        <w:t>R</w:t>
      </w:r>
      <w:r w:rsidRPr="00205303">
        <w:rPr>
          <w:rFonts w:cs="Arial"/>
          <w:szCs w:val="20"/>
        </w:rPr>
        <w:t>egulation as “</w:t>
      </w:r>
      <w:r w:rsidRPr="00205303">
        <w:rPr>
          <w:rFonts w:cs="Arial"/>
          <w:i/>
          <w:szCs w:val="20"/>
        </w:rPr>
        <w:t xml:space="preserve">the positive act at the outcome of the scrutiny </w:t>
      </w:r>
      <w:r w:rsidR="005C4B21" w:rsidRPr="00205303">
        <w:rPr>
          <w:rFonts w:cs="Arial"/>
          <w:i/>
          <w:szCs w:val="20"/>
        </w:rPr>
        <w:t>by the home Member State’s competent authority of the completeness, the consistency and the comprehensibility of the information given in the</w:t>
      </w:r>
      <w:r w:rsidR="005C4B21" w:rsidRPr="00205303">
        <w:rPr>
          <w:rFonts w:cs="Arial"/>
          <w:szCs w:val="20"/>
        </w:rPr>
        <w:t xml:space="preserve"> [URD / RD]”</w:t>
      </w:r>
    </w:p>
    <w:p w14:paraId="1C5DC096" w14:textId="77777777" w:rsidR="00205303" w:rsidRDefault="00205303" w:rsidP="00EC23D1">
      <w:pPr>
        <w:jc w:val="both"/>
        <w:rPr>
          <w:rFonts w:cs="Arial"/>
          <w:szCs w:val="20"/>
        </w:rPr>
      </w:pPr>
    </w:p>
    <w:p w14:paraId="29ADC501" w14:textId="74C06B0A" w:rsidR="00EC23D1" w:rsidRDefault="005C4B21" w:rsidP="000D44A4">
      <w:pPr>
        <w:jc w:val="both"/>
        <w:rPr>
          <w:rFonts w:cs="Arial"/>
          <w:szCs w:val="20"/>
        </w:rPr>
      </w:pPr>
      <w:r w:rsidRPr="00205303">
        <w:rPr>
          <w:rFonts w:cs="Arial"/>
          <w:szCs w:val="20"/>
        </w:rPr>
        <w:t>A first reading of this article could lead to the conclusion that the approval of the URD/RD and of the appendix must take place at the same time, although there is no explicit reference to a timeline</w:t>
      </w:r>
      <w:r w:rsidR="00205303">
        <w:rPr>
          <w:rFonts w:cs="Arial"/>
          <w:szCs w:val="20"/>
        </w:rPr>
        <w:t xml:space="preserve"> in article 26.4 of the Regulation</w:t>
      </w:r>
      <w:r w:rsidRPr="00205303">
        <w:rPr>
          <w:rFonts w:cs="Arial"/>
          <w:szCs w:val="20"/>
        </w:rPr>
        <w:t xml:space="preserve">. </w:t>
      </w:r>
      <w:r w:rsidR="00AD20F3" w:rsidRPr="00205303">
        <w:rPr>
          <w:rFonts w:cs="Arial"/>
          <w:szCs w:val="20"/>
        </w:rPr>
        <w:t>A different interpretation would be that</w:t>
      </w:r>
      <w:r w:rsidR="00205303">
        <w:rPr>
          <w:rFonts w:cs="Arial"/>
          <w:szCs w:val="20"/>
        </w:rPr>
        <w:t>,</w:t>
      </w:r>
      <w:r w:rsidR="00AD20F3" w:rsidRPr="00205303">
        <w:rPr>
          <w:rFonts w:cs="Arial"/>
          <w:szCs w:val="20"/>
        </w:rPr>
        <w:t xml:space="preserve"> </w:t>
      </w:r>
      <w:r w:rsidR="00AD20F3" w:rsidRPr="00E12158">
        <w:rPr>
          <w:rFonts w:cs="Arial"/>
          <w:b/>
          <w:szCs w:val="20"/>
        </w:rPr>
        <w:t xml:space="preserve">at the time of the notification </w:t>
      </w:r>
      <w:r w:rsidR="00205303" w:rsidRPr="00E12158">
        <w:rPr>
          <w:rFonts w:cs="Arial"/>
          <w:b/>
          <w:szCs w:val="20"/>
        </w:rPr>
        <w:t xml:space="preserve">to a Host Competent Authority, </w:t>
      </w:r>
      <w:r w:rsidR="00AD20F3" w:rsidRPr="00E12158">
        <w:rPr>
          <w:rFonts w:cs="Arial"/>
          <w:b/>
          <w:szCs w:val="20"/>
        </w:rPr>
        <w:t>the verification of the 3 Cs (completeness, consistency and comprehensibility) must have been performed on both the URD/RD and the appendix</w:t>
      </w:r>
      <w:r w:rsidR="00AD20F3" w:rsidRPr="00205303">
        <w:rPr>
          <w:rFonts w:cs="Arial"/>
          <w:szCs w:val="20"/>
        </w:rPr>
        <w:t xml:space="preserve">. </w:t>
      </w:r>
    </w:p>
    <w:p w14:paraId="14D76774" w14:textId="77777777" w:rsidR="000D44A4" w:rsidRDefault="000D44A4" w:rsidP="005C4E0E">
      <w:pPr>
        <w:rPr>
          <w:rFonts w:cs="Arial"/>
          <w:szCs w:val="20"/>
        </w:rPr>
      </w:pPr>
    </w:p>
    <w:p w14:paraId="76D00275" w14:textId="77777777" w:rsidR="00532131" w:rsidRDefault="00AD20F3" w:rsidP="00E12158">
      <w:pPr>
        <w:jc w:val="both"/>
        <w:rPr>
          <w:rFonts w:cs="Arial"/>
          <w:b/>
          <w:szCs w:val="20"/>
        </w:rPr>
      </w:pPr>
      <w:r w:rsidRPr="00205303">
        <w:rPr>
          <w:rFonts w:cs="Arial"/>
          <w:szCs w:val="20"/>
        </w:rPr>
        <w:t xml:space="preserve">The first interpretation would impose an additional constraint on a new provision designed to alleviate administrative burden and </w:t>
      </w:r>
      <w:r w:rsidR="00205303">
        <w:rPr>
          <w:rFonts w:cs="Arial"/>
          <w:szCs w:val="20"/>
        </w:rPr>
        <w:t xml:space="preserve">allow issuers </w:t>
      </w:r>
      <w:r w:rsidR="00B94AB8">
        <w:rPr>
          <w:rFonts w:cs="Arial"/>
          <w:szCs w:val="20"/>
        </w:rPr>
        <w:t>to passport URD/RD</w:t>
      </w:r>
      <w:r w:rsidRPr="00205303">
        <w:rPr>
          <w:rFonts w:cs="Arial"/>
          <w:szCs w:val="20"/>
        </w:rPr>
        <w:t xml:space="preserve">. </w:t>
      </w:r>
      <w:r w:rsidR="00EC23D1">
        <w:rPr>
          <w:rFonts w:cs="Arial"/>
          <w:szCs w:val="20"/>
        </w:rPr>
        <w:t xml:space="preserve">The second interpretation is in line with the objective of the co-legislators to introduce a notification system between competent authorities to </w:t>
      </w:r>
      <w:r w:rsidR="000D44A4">
        <w:rPr>
          <w:rFonts w:cs="Arial"/>
          <w:szCs w:val="20"/>
        </w:rPr>
        <w:t>ensure</w:t>
      </w:r>
      <w:r w:rsidR="00EC23D1">
        <w:rPr>
          <w:rFonts w:cs="Arial"/>
          <w:szCs w:val="20"/>
        </w:rPr>
        <w:t xml:space="preserve"> that, in case of a passporting of a URD/RD already approved, the registration document “</w:t>
      </w:r>
      <w:r w:rsidR="00EC23D1" w:rsidRPr="00EC23D1">
        <w:rPr>
          <w:rFonts w:cs="Arial"/>
          <w:i/>
          <w:szCs w:val="20"/>
        </w:rPr>
        <w:t>is not subject to a scrutiny or approval by the competent authority approving the prospectus</w:t>
      </w:r>
      <w:r w:rsidR="00EC23D1">
        <w:rPr>
          <w:rFonts w:cs="Arial"/>
          <w:i/>
          <w:szCs w:val="20"/>
        </w:rPr>
        <w:t xml:space="preserve">” </w:t>
      </w:r>
      <w:r w:rsidR="00EC23D1" w:rsidRPr="00EC23D1">
        <w:rPr>
          <w:rFonts w:cs="Arial"/>
          <w:szCs w:val="20"/>
        </w:rPr>
        <w:t>(</w:t>
      </w:r>
      <w:r w:rsidR="00EC23D1">
        <w:rPr>
          <w:rFonts w:cs="Arial"/>
          <w:szCs w:val="20"/>
        </w:rPr>
        <w:t xml:space="preserve">recital (69) of the Regulation). </w:t>
      </w:r>
      <w:r w:rsidR="00EC23D1" w:rsidRPr="00EC23D1">
        <w:rPr>
          <w:rFonts w:cs="Arial"/>
          <w:szCs w:val="20"/>
        </w:rPr>
        <w:t xml:space="preserve"> </w:t>
      </w:r>
      <w:r w:rsidR="00AA299D">
        <w:rPr>
          <w:rFonts w:cs="Arial"/>
          <w:szCs w:val="20"/>
        </w:rPr>
        <w:t xml:space="preserve">As a matter of fact, many recurring non-equity issuers have complained that, when passporting base prospectuses, some host Competent Authorities would review and comment on their registration documents incorporated by reference. </w:t>
      </w:r>
      <w:r w:rsidRPr="000D44A4">
        <w:rPr>
          <w:rFonts w:cs="Arial"/>
          <w:b/>
          <w:szCs w:val="20"/>
        </w:rPr>
        <w:t>We therefore advocate for a more practical approach that would offer more opportunities to issuers to use this new mechanism</w:t>
      </w:r>
      <w:r w:rsidR="00B94AB8">
        <w:rPr>
          <w:rFonts w:cs="Arial"/>
          <w:szCs w:val="20"/>
        </w:rPr>
        <w:t xml:space="preserve"> </w:t>
      </w:r>
      <w:r w:rsidR="00AA299D">
        <w:rPr>
          <w:rFonts w:cs="Arial"/>
          <w:szCs w:val="20"/>
        </w:rPr>
        <w:t xml:space="preserve">to realize cross-border issuances </w:t>
      </w:r>
      <w:r w:rsidR="00B94AB8">
        <w:rPr>
          <w:rFonts w:cs="Arial"/>
          <w:szCs w:val="20"/>
        </w:rPr>
        <w:t>and contribute to the building of a Capital Market Union</w:t>
      </w:r>
      <w:r w:rsidRPr="00205303">
        <w:rPr>
          <w:rFonts w:cs="Arial"/>
          <w:szCs w:val="20"/>
        </w:rPr>
        <w:t>.</w:t>
      </w:r>
      <w:r w:rsidR="00B94AB8">
        <w:rPr>
          <w:rFonts w:cs="Arial"/>
          <w:szCs w:val="20"/>
        </w:rPr>
        <w:t xml:space="preserve"> </w:t>
      </w:r>
      <w:r w:rsidR="00EC23D1">
        <w:rPr>
          <w:rFonts w:cs="Arial"/>
          <w:szCs w:val="20"/>
        </w:rPr>
        <w:t xml:space="preserve">The key issue here, </w:t>
      </w:r>
      <w:r w:rsidR="00EC23D1" w:rsidRPr="00205303">
        <w:rPr>
          <w:rFonts w:cs="Arial"/>
          <w:szCs w:val="20"/>
        </w:rPr>
        <w:t xml:space="preserve">as mentioned by ESMA, </w:t>
      </w:r>
      <w:r w:rsidR="00EC23D1">
        <w:rPr>
          <w:rFonts w:cs="Arial"/>
          <w:szCs w:val="20"/>
        </w:rPr>
        <w:t xml:space="preserve">is </w:t>
      </w:r>
      <w:r w:rsidR="00EC23D1" w:rsidRPr="00205303">
        <w:rPr>
          <w:rFonts w:cs="Arial"/>
          <w:szCs w:val="20"/>
        </w:rPr>
        <w:t>to allow the host Competent Authority to approve the part of the summary relating to the issuer</w:t>
      </w:r>
      <w:r w:rsidR="00AA299D">
        <w:rPr>
          <w:rFonts w:cs="Arial"/>
          <w:szCs w:val="20"/>
        </w:rPr>
        <w:t>. T</w:t>
      </w:r>
      <w:r w:rsidR="00EC23D1">
        <w:rPr>
          <w:rFonts w:cs="Arial"/>
          <w:szCs w:val="20"/>
        </w:rPr>
        <w:t>his objective will be achieved if the host Authorit</w:t>
      </w:r>
      <w:r w:rsidR="00AA299D">
        <w:rPr>
          <w:rFonts w:cs="Arial"/>
          <w:szCs w:val="20"/>
        </w:rPr>
        <w:t>ies</w:t>
      </w:r>
      <w:r w:rsidR="00EC23D1">
        <w:rPr>
          <w:rFonts w:cs="Arial"/>
          <w:szCs w:val="20"/>
        </w:rPr>
        <w:t xml:space="preserve"> </w:t>
      </w:r>
      <w:r w:rsidR="00AA299D">
        <w:rPr>
          <w:rFonts w:cs="Arial"/>
          <w:szCs w:val="20"/>
        </w:rPr>
        <w:t>are</w:t>
      </w:r>
      <w:r w:rsidR="00EC23D1">
        <w:rPr>
          <w:rFonts w:cs="Arial"/>
          <w:szCs w:val="20"/>
        </w:rPr>
        <w:t xml:space="preserve"> notified with an approved URD/RD and an approved appendix irrespective of the date of approval of each of these elements</w:t>
      </w:r>
      <w:r w:rsidR="00B94AB8">
        <w:rPr>
          <w:rFonts w:cs="Arial"/>
          <w:szCs w:val="20"/>
        </w:rPr>
        <w:t>.</w:t>
      </w:r>
      <w:r w:rsidR="00F46166">
        <w:rPr>
          <w:rFonts w:cs="Arial"/>
          <w:szCs w:val="20"/>
        </w:rPr>
        <w:t xml:space="preserve"> </w:t>
      </w:r>
      <w:r w:rsidR="00F46166" w:rsidRPr="00532131">
        <w:rPr>
          <w:rFonts w:cs="Arial"/>
          <w:b/>
          <w:szCs w:val="20"/>
        </w:rPr>
        <w:t>Paragraphs (d) and (e) of article C.2 of the draft technical standard could therefore be deleted since we don’t consider that there is a need for level 2 measures regarding this specific point.</w:t>
      </w:r>
    </w:p>
    <w:permEnd w:id="1152481179"/>
    <w:p w14:paraId="24811F86" w14:textId="41EB3153"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489AA13C" w14:textId="175A303F" w:rsidR="00F46166" w:rsidRDefault="00DE5094" w:rsidP="000D44A4">
      <w:pPr>
        <w:jc w:val="both"/>
        <w:rPr>
          <w:rFonts w:cs="Arial"/>
        </w:rPr>
      </w:pPr>
      <w:permStart w:id="1068134702" w:edGrp="everyone"/>
      <w:r w:rsidRPr="000D44A4">
        <w:rPr>
          <w:rFonts w:cs="Arial"/>
          <w:b/>
        </w:rPr>
        <w:t>We do not agree with ESMA’s proposal to require issuers that want to benefit from the status of frequent issuer to re-submit the confirmation</w:t>
      </w:r>
      <w:r>
        <w:rPr>
          <w:rFonts w:cs="Arial"/>
        </w:rPr>
        <w:t xml:space="preserve"> mentioned in article 9.11 (a) at the time of the approval of the </w:t>
      </w:r>
      <w:r w:rsidR="00F46166">
        <w:rPr>
          <w:rFonts w:cs="Arial"/>
        </w:rPr>
        <w:t>URD.</w:t>
      </w:r>
      <w:r w:rsidR="00E12158">
        <w:rPr>
          <w:rFonts w:cs="Arial"/>
        </w:rPr>
        <w:t xml:space="preserve"> </w:t>
      </w:r>
      <w:bookmarkStart w:id="1" w:name="_GoBack"/>
      <w:bookmarkEnd w:id="1"/>
      <w:r w:rsidR="00E12158">
        <w:rPr>
          <w:rFonts w:cs="Arial"/>
        </w:rPr>
        <w:t>T</w:t>
      </w:r>
      <w:r w:rsidR="00F46166">
        <w:rPr>
          <w:rFonts w:cs="Arial"/>
        </w:rPr>
        <w:t xml:space="preserve">he Regulation clearly states that a confirmation shall only be provided once upon the filing or submission for approval of a URD. There is no leeway for ESMA to require an update of this confirmation.  </w:t>
      </w:r>
    </w:p>
    <w:permEnd w:id="1068134702"/>
    <w:p w14:paraId="337BD99C" w14:textId="17741A0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21236491" w14:textId="753108A9" w:rsidR="00205303" w:rsidRPr="005B01CA" w:rsidRDefault="00205303" w:rsidP="00AA299D">
      <w:pPr>
        <w:pStyle w:val="Normalcentr"/>
        <w:spacing w:line="240" w:lineRule="auto"/>
        <w:ind w:left="0" w:right="0"/>
        <w:jc w:val="both"/>
        <w:rPr>
          <w:rFonts w:ascii="Arial" w:hAnsi="Arial" w:cs="Arial"/>
          <w:b w:val="0"/>
          <w:sz w:val="20"/>
          <w:szCs w:val="20"/>
          <w:lang w:val="en-GB"/>
        </w:rPr>
      </w:pPr>
      <w:permStart w:id="233974503" w:edGrp="everyone"/>
      <w:r>
        <w:rPr>
          <w:rFonts w:ascii="Arial" w:hAnsi="Arial" w:cs="Arial"/>
          <w:sz w:val="20"/>
          <w:szCs w:val="20"/>
          <w:lang w:val="en-GB"/>
        </w:rPr>
        <w:t>T</w:t>
      </w:r>
      <w:r w:rsidRPr="005B01CA">
        <w:rPr>
          <w:rFonts w:ascii="Arial" w:hAnsi="Arial" w:cs="Arial"/>
          <w:sz w:val="20"/>
          <w:szCs w:val="20"/>
          <w:lang w:val="en-GB"/>
        </w:rPr>
        <w:t xml:space="preserve">he conditions to benefit from the secondary issuance regime and regarding the filing of URDs are precisely set in the </w:t>
      </w:r>
      <w:proofErr w:type="gramStart"/>
      <w:r w:rsidRPr="005B01CA">
        <w:rPr>
          <w:rFonts w:ascii="Arial" w:hAnsi="Arial" w:cs="Arial"/>
          <w:sz w:val="20"/>
          <w:szCs w:val="20"/>
          <w:lang w:val="en-GB"/>
        </w:rPr>
        <w:t xml:space="preserve">Regulation </w:t>
      </w:r>
      <w:r w:rsidRPr="005B01CA">
        <w:rPr>
          <w:rFonts w:ascii="Arial" w:hAnsi="Arial" w:cs="Arial"/>
          <w:b w:val="0"/>
          <w:sz w:val="20"/>
          <w:szCs w:val="20"/>
          <w:lang w:val="en-GB"/>
        </w:rPr>
        <w:t>:</w:t>
      </w:r>
      <w:proofErr w:type="gramEnd"/>
    </w:p>
    <w:p w14:paraId="65D5DB2D" w14:textId="77777777" w:rsidR="00205303" w:rsidRPr="005B01CA" w:rsidRDefault="00205303" w:rsidP="00AA299D">
      <w:pPr>
        <w:pStyle w:val="Normalcentr"/>
        <w:numPr>
          <w:ilvl w:val="0"/>
          <w:numId w:val="45"/>
        </w:numPr>
        <w:spacing w:line="240" w:lineRule="auto"/>
        <w:ind w:right="0"/>
        <w:jc w:val="both"/>
        <w:rPr>
          <w:rFonts w:ascii="Arial" w:hAnsi="Arial" w:cs="Arial"/>
          <w:b w:val="0"/>
          <w:sz w:val="20"/>
          <w:szCs w:val="20"/>
          <w:lang w:val="en-GB"/>
        </w:rPr>
      </w:pPr>
      <w:r w:rsidRPr="005B01CA">
        <w:rPr>
          <w:rFonts w:ascii="Arial" w:hAnsi="Arial" w:cs="Arial"/>
          <w:b w:val="0"/>
          <w:sz w:val="20"/>
          <w:szCs w:val="20"/>
          <w:lang w:val="en-GB"/>
        </w:rPr>
        <w:t xml:space="preserve">as regards </w:t>
      </w:r>
      <w:r w:rsidRPr="005B01CA">
        <w:rPr>
          <w:rFonts w:ascii="Arial" w:hAnsi="Arial" w:cs="Arial"/>
          <w:sz w:val="20"/>
          <w:szCs w:val="20"/>
          <w:lang w:val="en-GB"/>
        </w:rPr>
        <w:t>the secondary issuance regime</w:t>
      </w:r>
      <w:r w:rsidRPr="005B01CA">
        <w:rPr>
          <w:rFonts w:ascii="Arial" w:hAnsi="Arial" w:cs="Arial"/>
          <w:b w:val="0"/>
          <w:sz w:val="20"/>
          <w:szCs w:val="20"/>
          <w:lang w:val="en-GB"/>
        </w:rPr>
        <w:t xml:space="preserve">, the conditions are laid down in article 14.1 of the Regulation and include the </w:t>
      </w:r>
      <w:proofErr w:type="gramStart"/>
      <w:r w:rsidRPr="005B01CA">
        <w:rPr>
          <w:rFonts w:ascii="Arial" w:hAnsi="Arial" w:cs="Arial"/>
          <w:b w:val="0"/>
          <w:sz w:val="20"/>
          <w:szCs w:val="20"/>
          <w:lang w:val="en-GB"/>
        </w:rPr>
        <w:t>following :</w:t>
      </w:r>
      <w:proofErr w:type="gramEnd"/>
    </w:p>
    <w:p w14:paraId="584638A5" w14:textId="77777777" w:rsidR="00205303" w:rsidRPr="005B01CA" w:rsidRDefault="00205303" w:rsidP="00AA299D">
      <w:pPr>
        <w:pStyle w:val="Normalcentr"/>
        <w:numPr>
          <w:ilvl w:val="1"/>
          <w:numId w:val="45"/>
        </w:numPr>
        <w:spacing w:line="240" w:lineRule="auto"/>
        <w:jc w:val="both"/>
        <w:rPr>
          <w:rFonts w:ascii="Arial" w:hAnsi="Arial" w:cs="Arial"/>
          <w:b w:val="0"/>
          <w:sz w:val="20"/>
          <w:szCs w:val="20"/>
          <w:lang w:val="en-GB"/>
        </w:rPr>
      </w:pPr>
      <w:r w:rsidRPr="005B01CA">
        <w:rPr>
          <w:rFonts w:ascii="Arial" w:hAnsi="Arial" w:cs="Arial"/>
          <w:b w:val="0"/>
          <w:sz w:val="20"/>
          <w:szCs w:val="20"/>
          <w:lang w:val="en-GB"/>
        </w:rPr>
        <w:lastRenderedPageBreak/>
        <w:t>issuers whose securities have been admitted to trading on a regulated market or an SME growth market continuously for at least the last 18 months and who issue securities fungible with existing securities which have been previously issued;</w:t>
      </w:r>
    </w:p>
    <w:p w14:paraId="18F7EFFB" w14:textId="77777777" w:rsidR="00205303" w:rsidRPr="005B01CA" w:rsidRDefault="00205303" w:rsidP="00AA299D">
      <w:pPr>
        <w:pStyle w:val="Normalcentr"/>
        <w:numPr>
          <w:ilvl w:val="1"/>
          <w:numId w:val="45"/>
        </w:numPr>
        <w:spacing w:line="240" w:lineRule="auto"/>
        <w:jc w:val="both"/>
        <w:rPr>
          <w:rFonts w:ascii="Arial" w:hAnsi="Arial" w:cs="Arial"/>
          <w:b w:val="0"/>
          <w:sz w:val="20"/>
          <w:szCs w:val="20"/>
          <w:lang w:val="en-GB"/>
        </w:rPr>
      </w:pPr>
      <w:proofErr w:type="gramStart"/>
      <w:r w:rsidRPr="005B01CA">
        <w:rPr>
          <w:rFonts w:ascii="Arial" w:hAnsi="Arial" w:cs="Arial"/>
          <w:b w:val="0"/>
          <w:sz w:val="20"/>
          <w:szCs w:val="20"/>
          <w:lang w:val="en-GB"/>
        </w:rPr>
        <w:t>issuers  whose</w:t>
      </w:r>
      <w:proofErr w:type="gramEnd"/>
      <w:r w:rsidRPr="005B01CA">
        <w:rPr>
          <w:rFonts w:ascii="Arial" w:hAnsi="Arial" w:cs="Arial"/>
          <w:b w:val="0"/>
          <w:sz w:val="20"/>
          <w:szCs w:val="20"/>
          <w:lang w:val="en-GB"/>
        </w:rPr>
        <w:t xml:space="preserve">  equity  securities  have  been  admitted  to  trading  on  a  regulated  market  or an SME growth  market continuously for at least the last 18 months and who issue non-equity securities;</w:t>
      </w:r>
    </w:p>
    <w:p w14:paraId="7ABE2215" w14:textId="77777777" w:rsidR="00205303" w:rsidRPr="005B01CA" w:rsidRDefault="00205303" w:rsidP="00AA299D">
      <w:pPr>
        <w:pStyle w:val="Normalcentr"/>
        <w:numPr>
          <w:ilvl w:val="1"/>
          <w:numId w:val="45"/>
        </w:numPr>
        <w:spacing w:line="240" w:lineRule="auto"/>
        <w:ind w:right="0"/>
        <w:jc w:val="both"/>
        <w:rPr>
          <w:rFonts w:ascii="Arial" w:hAnsi="Arial" w:cs="Arial"/>
          <w:b w:val="0"/>
          <w:sz w:val="20"/>
          <w:szCs w:val="20"/>
          <w:lang w:val="en-GB"/>
        </w:rPr>
      </w:pPr>
      <w:r w:rsidRPr="005B01CA">
        <w:rPr>
          <w:rFonts w:ascii="Arial" w:hAnsi="Arial" w:cs="Arial"/>
          <w:b w:val="0"/>
          <w:sz w:val="20"/>
          <w:szCs w:val="20"/>
          <w:lang w:val="en-GB"/>
        </w:rPr>
        <w:t>offerors of securities admitted to trading on a regulated market or an SME growth market continuously for at least the last 18 months.</w:t>
      </w:r>
    </w:p>
    <w:p w14:paraId="6B2E7EC8" w14:textId="568930E5" w:rsidR="00205303" w:rsidRPr="005B01CA" w:rsidRDefault="00205303" w:rsidP="00AA299D">
      <w:pPr>
        <w:pStyle w:val="Normalcentr"/>
        <w:numPr>
          <w:ilvl w:val="0"/>
          <w:numId w:val="45"/>
        </w:numPr>
        <w:spacing w:line="240" w:lineRule="auto"/>
        <w:jc w:val="both"/>
        <w:rPr>
          <w:rFonts w:ascii="Arial" w:hAnsi="Arial" w:cs="Arial"/>
          <w:b w:val="0"/>
          <w:sz w:val="20"/>
          <w:szCs w:val="20"/>
          <w:lang w:val="en-GB"/>
        </w:rPr>
      </w:pPr>
      <w:r w:rsidRPr="005B01CA">
        <w:rPr>
          <w:rFonts w:ascii="Arial" w:hAnsi="Arial" w:cs="Arial"/>
          <w:b w:val="0"/>
          <w:sz w:val="20"/>
          <w:szCs w:val="20"/>
          <w:lang w:val="en-GB"/>
        </w:rPr>
        <w:t xml:space="preserve">as regards </w:t>
      </w:r>
      <w:r w:rsidRPr="005B01CA">
        <w:rPr>
          <w:rFonts w:ascii="Arial" w:hAnsi="Arial" w:cs="Arial"/>
          <w:sz w:val="20"/>
          <w:szCs w:val="20"/>
          <w:lang w:val="en-GB"/>
        </w:rPr>
        <w:t>the filing of an URD</w:t>
      </w:r>
      <w:r w:rsidRPr="005B01CA">
        <w:rPr>
          <w:rFonts w:ascii="Arial" w:hAnsi="Arial" w:cs="Arial"/>
          <w:b w:val="0"/>
          <w:sz w:val="20"/>
          <w:szCs w:val="20"/>
          <w:lang w:val="en-GB"/>
        </w:rPr>
        <w:t xml:space="preserve">, the Regulation does not establish any specific condition and the filing of a </w:t>
      </w:r>
      <w:r w:rsidR="00532131">
        <w:rPr>
          <w:rFonts w:ascii="Arial" w:hAnsi="Arial" w:cs="Arial"/>
          <w:b w:val="0"/>
          <w:sz w:val="20"/>
          <w:szCs w:val="20"/>
          <w:lang w:val="en-GB"/>
        </w:rPr>
        <w:t>written confirmation</w:t>
      </w:r>
      <w:r w:rsidRPr="005B01CA">
        <w:rPr>
          <w:rFonts w:ascii="Arial" w:hAnsi="Arial" w:cs="Arial"/>
          <w:b w:val="0"/>
          <w:sz w:val="20"/>
          <w:szCs w:val="20"/>
          <w:lang w:val="en-GB"/>
        </w:rPr>
        <w:t xml:space="preserve"> is only mentioned in article 9.11 regarding the status of frequent issuer and the faster approval </w:t>
      </w:r>
      <w:proofErr w:type="gramStart"/>
      <w:r w:rsidRPr="005B01CA">
        <w:rPr>
          <w:rFonts w:ascii="Arial" w:hAnsi="Arial" w:cs="Arial"/>
          <w:b w:val="0"/>
          <w:sz w:val="20"/>
          <w:szCs w:val="20"/>
          <w:lang w:val="en-GB"/>
        </w:rPr>
        <w:t>process :</w:t>
      </w:r>
      <w:proofErr w:type="gramEnd"/>
      <w:r w:rsidRPr="005B01CA">
        <w:rPr>
          <w:rFonts w:ascii="Arial" w:hAnsi="Arial" w:cs="Arial"/>
          <w:b w:val="0"/>
          <w:sz w:val="20"/>
          <w:szCs w:val="20"/>
          <w:lang w:val="en-GB"/>
        </w:rPr>
        <w:t xml:space="preserve"> the </w:t>
      </w:r>
      <w:r w:rsidR="00532131">
        <w:rPr>
          <w:rFonts w:ascii="Arial" w:hAnsi="Arial" w:cs="Arial"/>
          <w:b w:val="0"/>
          <w:sz w:val="20"/>
          <w:szCs w:val="20"/>
          <w:lang w:val="en-GB"/>
        </w:rPr>
        <w:t>confirmation</w:t>
      </w:r>
      <w:r w:rsidRPr="005B01CA">
        <w:rPr>
          <w:rFonts w:ascii="Arial" w:hAnsi="Arial" w:cs="Arial"/>
          <w:b w:val="0"/>
          <w:sz w:val="20"/>
          <w:szCs w:val="20"/>
          <w:lang w:val="en-GB"/>
        </w:rPr>
        <w:t xml:space="preserve"> is only required in order to benefit from the status of frequent issuer.</w:t>
      </w:r>
    </w:p>
    <w:p w14:paraId="71C2A1EF" w14:textId="77777777" w:rsidR="00205303" w:rsidRPr="005B01CA" w:rsidRDefault="00205303" w:rsidP="00AA299D">
      <w:pPr>
        <w:pStyle w:val="Normalcentr"/>
        <w:spacing w:line="240" w:lineRule="auto"/>
        <w:ind w:left="0"/>
        <w:jc w:val="both"/>
        <w:rPr>
          <w:rFonts w:ascii="Arial" w:hAnsi="Arial" w:cs="Arial"/>
          <w:b w:val="0"/>
          <w:sz w:val="20"/>
          <w:szCs w:val="20"/>
          <w:lang w:val="en-GB"/>
        </w:rPr>
      </w:pPr>
    </w:p>
    <w:p w14:paraId="52CB4196" w14:textId="3166CD13" w:rsidR="00205303" w:rsidRPr="005B01CA" w:rsidRDefault="00205303" w:rsidP="00AA299D">
      <w:pPr>
        <w:pStyle w:val="Normalcentr"/>
        <w:spacing w:line="240" w:lineRule="auto"/>
        <w:ind w:left="0"/>
        <w:jc w:val="both"/>
        <w:rPr>
          <w:rFonts w:ascii="Arial" w:hAnsi="Arial" w:cs="Arial"/>
          <w:b w:val="0"/>
          <w:sz w:val="20"/>
          <w:szCs w:val="20"/>
          <w:lang w:val="en-GB"/>
        </w:rPr>
      </w:pPr>
      <w:r w:rsidRPr="005B01CA">
        <w:rPr>
          <w:rFonts w:ascii="Arial" w:hAnsi="Arial" w:cs="Arial"/>
          <w:b w:val="0"/>
          <w:sz w:val="20"/>
          <w:szCs w:val="20"/>
          <w:lang w:val="en-GB"/>
        </w:rPr>
        <w:t xml:space="preserve">If the EU co-legislators had considered that providing a </w:t>
      </w:r>
      <w:r w:rsidR="00243146">
        <w:rPr>
          <w:rFonts w:ascii="Arial" w:hAnsi="Arial" w:cs="Arial"/>
          <w:b w:val="0"/>
          <w:sz w:val="20"/>
          <w:szCs w:val="20"/>
          <w:lang w:val="en-GB"/>
        </w:rPr>
        <w:t>written confirmation</w:t>
      </w:r>
      <w:r w:rsidRPr="005B01CA">
        <w:rPr>
          <w:rFonts w:ascii="Arial" w:hAnsi="Arial" w:cs="Arial"/>
          <w:b w:val="0"/>
          <w:sz w:val="20"/>
          <w:szCs w:val="20"/>
          <w:lang w:val="en-GB"/>
        </w:rPr>
        <w:t xml:space="preserve"> </w:t>
      </w:r>
      <w:r>
        <w:rPr>
          <w:rFonts w:ascii="Arial" w:hAnsi="Arial" w:cs="Arial"/>
          <w:b w:val="0"/>
          <w:sz w:val="20"/>
          <w:szCs w:val="20"/>
          <w:lang w:val="en-GB"/>
        </w:rPr>
        <w:t xml:space="preserve">with the disclosure obligations under TD and MAR </w:t>
      </w:r>
      <w:r w:rsidRPr="005B01CA">
        <w:rPr>
          <w:rFonts w:ascii="Arial" w:hAnsi="Arial" w:cs="Arial"/>
          <w:b w:val="0"/>
          <w:sz w:val="20"/>
          <w:szCs w:val="20"/>
          <w:lang w:val="en-GB"/>
        </w:rPr>
        <w:t xml:space="preserve">was an essential condition to benefit from the secondary issuance regime, or to be able to file an URD, such a condition would have been laid down in level 1 Legislation. </w:t>
      </w:r>
      <w:r w:rsidRPr="005B01CA">
        <w:rPr>
          <w:rFonts w:ascii="Arial" w:hAnsi="Arial" w:cs="Arial"/>
          <w:sz w:val="20"/>
          <w:szCs w:val="20"/>
          <w:lang w:val="en-GB"/>
        </w:rPr>
        <w:t>Therefore ESMA cannot add any additional requirement</w:t>
      </w:r>
      <w:r w:rsidRPr="005B01CA">
        <w:rPr>
          <w:rFonts w:ascii="Arial" w:hAnsi="Arial" w:cs="Arial"/>
          <w:b w:val="0"/>
          <w:sz w:val="20"/>
          <w:szCs w:val="20"/>
          <w:lang w:val="en-GB"/>
        </w:rPr>
        <w:t xml:space="preserve"> and article C.2.g) of the draft technical advice should be </w:t>
      </w:r>
      <w:proofErr w:type="gramStart"/>
      <w:r w:rsidRPr="005B01CA">
        <w:rPr>
          <w:rFonts w:ascii="Arial" w:hAnsi="Arial" w:cs="Arial"/>
          <w:b w:val="0"/>
          <w:sz w:val="20"/>
          <w:szCs w:val="20"/>
          <w:lang w:val="en-GB"/>
        </w:rPr>
        <w:t>deleted :</w:t>
      </w:r>
      <w:proofErr w:type="gramEnd"/>
    </w:p>
    <w:p w14:paraId="5AA009C2" w14:textId="77777777" w:rsidR="00205303" w:rsidRPr="005B01CA" w:rsidRDefault="00205303" w:rsidP="00AA299D">
      <w:pPr>
        <w:pStyle w:val="Normalcentr"/>
        <w:spacing w:line="240" w:lineRule="auto"/>
        <w:ind w:left="0"/>
        <w:jc w:val="both"/>
        <w:rPr>
          <w:rFonts w:ascii="Arial" w:hAnsi="Arial" w:cs="Arial"/>
          <w:b w:val="0"/>
          <w:sz w:val="20"/>
          <w:szCs w:val="20"/>
          <w:lang w:val="en-GB"/>
        </w:rPr>
      </w:pPr>
    </w:p>
    <w:p w14:paraId="48A33164" w14:textId="77777777" w:rsidR="00205303" w:rsidRPr="005B01CA" w:rsidRDefault="00205303" w:rsidP="00AA299D">
      <w:pPr>
        <w:pStyle w:val="Corpsdetexte2"/>
        <w:spacing w:after="0" w:line="240" w:lineRule="auto"/>
        <w:ind w:left="284"/>
        <w:jc w:val="both"/>
        <w:rPr>
          <w:rFonts w:cs="Arial"/>
          <w:b/>
          <w:szCs w:val="20"/>
        </w:rPr>
      </w:pPr>
      <w:r w:rsidRPr="005B01CA">
        <w:rPr>
          <w:rFonts w:cs="Arial"/>
          <w:b/>
          <w:szCs w:val="20"/>
        </w:rPr>
        <w:t>“Article C: Submission of an application for approval of a draft prospectus or filing of a universal registration document and amendments to a universal registration document</w:t>
      </w:r>
    </w:p>
    <w:p w14:paraId="37AAA1F8" w14:textId="77777777" w:rsidR="00205303" w:rsidRPr="005B01CA" w:rsidRDefault="00205303" w:rsidP="00AA299D">
      <w:pPr>
        <w:pStyle w:val="Corpsdetexte2"/>
        <w:spacing w:after="0" w:line="240" w:lineRule="auto"/>
        <w:ind w:left="284"/>
        <w:jc w:val="both"/>
        <w:rPr>
          <w:rFonts w:cs="Arial"/>
          <w:szCs w:val="20"/>
        </w:rPr>
      </w:pPr>
      <w:r w:rsidRPr="005B01CA">
        <w:rPr>
          <w:rFonts w:cs="Arial"/>
          <w:szCs w:val="20"/>
        </w:rPr>
        <w:t>(…)</w:t>
      </w:r>
    </w:p>
    <w:p w14:paraId="28147C5D" w14:textId="77777777" w:rsidR="00205303" w:rsidRPr="005B01CA" w:rsidRDefault="00205303" w:rsidP="00AA299D">
      <w:pPr>
        <w:pStyle w:val="Corpsdetexte2"/>
        <w:numPr>
          <w:ilvl w:val="0"/>
          <w:numId w:val="46"/>
        </w:numPr>
        <w:spacing w:after="0" w:line="240" w:lineRule="auto"/>
        <w:ind w:left="567" w:hanging="283"/>
        <w:jc w:val="both"/>
        <w:rPr>
          <w:rFonts w:cs="Arial"/>
          <w:szCs w:val="20"/>
        </w:rPr>
      </w:pPr>
      <w:proofErr w:type="gramStart"/>
      <w:r w:rsidRPr="005B01CA">
        <w:rPr>
          <w:rFonts w:cs="Arial"/>
          <w:szCs w:val="20"/>
        </w:rPr>
        <w:t>The  issuer</w:t>
      </w:r>
      <w:proofErr w:type="gramEnd"/>
      <w:r w:rsidRPr="005B01CA">
        <w:rPr>
          <w:rFonts w:cs="Arial"/>
          <w:szCs w:val="20"/>
        </w:rPr>
        <w:t>,  offeror  or  person  asking  for  admission  to  trading  on  a  regulated market shall also submit exclusively in searchable electronic format via electronic means to the competent authority:</w:t>
      </w:r>
    </w:p>
    <w:p w14:paraId="34F3CA63" w14:textId="77777777" w:rsidR="00205303" w:rsidRPr="005B01CA" w:rsidRDefault="00205303" w:rsidP="00AA299D">
      <w:pPr>
        <w:pStyle w:val="Corpsdetexte2"/>
        <w:spacing w:after="0" w:line="240" w:lineRule="auto"/>
        <w:ind w:left="284"/>
        <w:jc w:val="both"/>
        <w:rPr>
          <w:rFonts w:cs="Arial"/>
          <w:szCs w:val="20"/>
        </w:rPr>
      </w:pPr>
      <w:r w:rsidRPr="005B01CA">
        <w:rPr>
          <w:rFonts w:cs="Arial"/>
          <w:szCs w:val="20"/>
        </w:rPr>
        <w:t>(…)</w:t>
      </w:r>
    </w:p>
    <w:p w14:paraId="206FFAAD" w14:textId="07A80033" w:rsidR="005C4E0E" w:rsidRDefault="00205303" w:rsidP="005C4E0E">
      <w:pPr>
        <w:rPr>
          <w:rFonts w:cs="Arial"/>
        </w:rPr>
      </w:pPr>
      <w:r w:rsidRPr="005B01CA">
        <w:rPr>
          <w:rFonts w:cs="Arial"/>
          <w:strike/>
          <w:szCs w:val="20"/>
        </w:rPr>
        <w:t>(g)  where the issuer is submitting for approval a draft prospectus drawn up under the secondary issuance regime  or a draft universal registration document  or  filing  a  universal  registration  document  without  prior approval, confirmation that, to the best of its knowledge, all regulated information  which  it  was  required  to  disclose  under  Directive 2004/109/EC, if applicable, and under Regulation (EU) No 596/2014 has been filed and published in accordance with those acts over the last 18 months  or  over  the  period  since  the  obligation  to  disclose  regulated information commenced, whichever is the shorter;</w:t>
      </w:r>
      <w:r w:rsidRPr="005B01CA">
        <w:rPr>
          <w:rFonts w:cs="Arial"/>
          <w:szCs w:val="20"/>
        </w:rPr>
        <w:t>”</w:t>
      </w:r>
      <w:permEnd w:id="233974503"/>
      <w:r w:rsidR="005C4E0E">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10ABEE62" w14:textId="77777777" w:rsidR="00775730" w:rsidRPr="0034628A" w:rsidRDefault="00775730" w:rsidP="00775730">
      <w:pPr>
        <w:pStyle w:val="Normalcentr"/>
        <w:spacing w:line="240" w:lineRule="auto"/>
        <w:ind w:left="0" w:right="0"/>
        <w:jc w:val="both"/>
        <w:rPr>
          <w:rFonts w:ascii="Arial" w:hAnsi="Arial" w:cs="Arial"/>
          <w:b w:val="0"/>
          <w:sz w:val="20"/>
          <w:szCs w:val="20"/>
          <w:lang w:val="en-GB"/>
        </w:rPr>
      </w:pPr>
      <w:permStart w:id="527529602" w:edGrp="everyone"/>
      <w:r w:rsidRPr="000D44A4">
        <w:rPr>
          <w:rFonts w:ascii="Arial" w:hAnsi="Arial" w:cs="Arial"/>
          <w:sz w:val="20"/>
          <w:szCs w:val="20"/>
          <w:lang w:val="en-GB"/>
        </w:rPr>
        <w:t>Yes, we agree</w:t>
      </w:r>
      <w:r w:rsidRPr="0034628A">
        <w:rPr>
          <w:rFonts w:ascii="Arial" w:hAnsi="Arial" w:cs="Arial"/>
          <w:b w:val="0"/>
          <w:sz w:val="20"/>
          <w:szCs w:val="20"/>
          <w:lang w:val="en-GB"/>
        </w:rPr>
        <w:t xml:space="preserve"> that it is not necessary at Level 2 to further specify the conditions for losing the status of frequent issuer.</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77777777" w:rsidR="005C4E0E" w:rsidRDefault="005C4E0E" w:rsidP="005C4E0E">
      <w:pPr>
        <w:rPr>
          <w:rFonts w:cs="Arial"/>
        </w:rPr>
      </w:pPr>
      <w:permStart w:id="885944318" w:edGrp="everyone"/>
      <w:r>
        <w:rPr>
          <w:rFonts w:cs="Arial"/>
        </w:rPr>
        <w:lastRenderedPageBreak/>
        <w:t>TYPE YOUR TEXT HERE</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1F35D" w14:textId="77777777" w:rsidR="00AA299D" w:rsidRDefault="00AA299D">
      <w:r>
        <w:separator/>
      </w:r>
    </w:p>
    <w:p w14:paraId="47620C94" w14:textId="77777777" w:rsidR="00AA299D" w:rsidRDefault="00AA299D"/>
  </w:endnote>
  <w:endnote w:type="continuationSeparator" w:id="0">
    <w:p w14:paraId="0C9F6468" w14:textId="77777777" w:rsidR="00AA299D" w:rsidRDefault="00AA299D">
      <w:r>
        <w:continuationSeparator/>
      </w:r>
    </w:p>
    <w:p w14:paraId="59DBA3C6" w14:textId="77777777" w:rsidR="00AA299D" w:rsidRDefault="00AA299D"/>
  </w:endnote>
  <w:endnote w:type="continuationNotice" w:id="1">
    <w:p w14:paraId="1E88BC2F" w14:textId="77777777" w:rsidR="00AA299D" w:rsidRDefault="00AA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A299D" w:rsidRPr="00616B9B" w14:paraId="1A11FFC7" w14:textId="77777777" w:rsidTr="00315E96">
      <w:trPr>
        <w:trHeight w:val="284"/>
      </w:trPr>
      <w:tc>
        <w:tcPr>
          <w:tcW w:w="8460" w:type="dxa"/>
        </w:tcPr>
        <w:p w14:paraId="2CE11161" w14:textId="77777777" w:rsidR="00AA299D" w:rsidRPr="00315E96" w:rsidRDefault="00AA299D" w:rsidP="00315E96">
          <w:pPr>
            <w:pStyle w:val="00Footer"/>
            <w:rPr>
              <w:lang w:val="fr-FR"/>
            </w:rPr>
          </w:pPr>
        </w:p>
      </w:tc>
      <w:tc>
        <w:tcPr>
          <w:tcW w:w="952" w:type="dxa"/>
        </w:tcPr>
        <w:p w14:paraId="516490C0" w14:textId="3FC7A8CE" w:rsidR="00AA299D" w:rsidRPr="00616B9B" w:rsidRDefault="00AA299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12158">
            <w:rPr>
              <w:rFonts w:cs="Arial"/>
              <w:noProof/>
              <w:sz w:val="22"/>
              <w:szCs w:val="22"/>
            </w:rPr>
            <w:t>10</w:t>
          </w:r>
          <w:r w:rsidRPr="00616B9B">
            <w:rPr>
              <w:rFonts w:cs="Arial"/>
              <w:noProof/>
              <w:sz w:val="22"/>
              <w:szCs w:val="22"/>
            </w:rPr>
            <w:fldChar w:fldCharType="end"/>
          </w:r>
        </w:p>
      </w:tc>
    </w:tr>
  </w:tbl>
  <w:p w14:paraId="3F8E2998" w14:textId="77777777" w:rsidR="00AA299D" w:rsidRDefault="00AA29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AA299D" w:rsidRDefault="00AA29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C591E" w14:textId="77777777" w:rsidR="00AA299D" w:rsidRDefault="00AA299D">
      <w:r>
        <w:separator/>
      </w:r>
    </w:p>
    <w:p w14:paraId="622395E9" w14:textId="77777777" w:rsidR="00AA299D" w:rsidRDefault="00AA299D"/>
  </w:footnote>
  <w:footnote w:type="continuationSeparator" w:id="0">
    <w:p w14:paraId="10A7F60A" w14:textId="77777777" w:rsidR="00AA299D" w:rsidRDefault="00AA299D">
      <w:r>
        <w:continuationSeparator/>
      </w:r>
    </w:p>
    <w:p w14:paraId="1696A7D1" w14:textId="77777777" w:rsidR="00AA299D" w:rsidRDefault="00AA299D"/>
  </w:footnote>
  <w:footnote w:type="continuationNotice" w:id="1">
    <w:p w14:paraId="10697CBB" w14:textId="77777777" w:rsidR="00AA299D" w:rsidRDefault="00AA2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AA299D" w:rsidRDefault="00AA299D">
    <w:pPr>
      <w:pStyle w:val="En-tte"/>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AA299D" w:rsidRDefault="00AA299D" w:rsidP="00013CCE">
    <w:pPr>
      <w:pStyle w:val="En-tte"/>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AA299D" w:rsidRDefault="00AA29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A299D" w:rsidRPr="002F4496" w14:paraId="5A9CC9DB" w14:textId="77777777" w:rsidTr="000C06C9">
      <w:trPr>
        <w:trHeight w:val="284"/>
      </w:trPr>
      <w:tc>
        <w:tcPr>
          <w:tcW w:w="8460" w:type="dxa"/>
        </w:tcPr>
        <w:p w14:paraId="56125542" w14:textId="77777777" w:rsidR="00AA299D" w:rsidRPr="000C3B6D" w:rsidRDefault="00AA299D" w:rsidP="000C06C9">
          <w:pPr>
            <w:pStyle w:val="00Footer"/>
            <w:rPr>
              <w:lang w:val="fr-FR"/>
            </w:rPr>
          </w:pPr>
        </w:p>
      </w:tc>
      <w:tc>
        <w:tcPr>
          <w:tcW w:w="952" w:type="dxa"/>
        </w:tcPr>
        <w:p w14:paraId="185D9EAB" w14:textId="77777777" w:rsidR="00AA299D" w:rsidRPr="00146B34" w:rsidRDefault="00AA299D" w:rsidP="000C06C9">
          <w:pPr>
            <w:pStyle w:val="00aPagenumber"/>
            <w:rPr>
              <w:lang w:val="fr-FR"/>
            </w:rPr>
          </w:pPr>
        </w:p>
      </w:tc>
    </w:tr>
  </w:tbl>
  <w:p w14:paraId="4BF8B831" w14:textId="77777777" w:rsidR="00AA299D" w:rsidRPr="00DB46C3" w:rsidRDefault="00AA299D">
    <w:pPr>
      <w:rPr>
        <w:lang w:val="fr-FR"/>
      </w:rPr>
    </w:pPr>
  </w:p>
  <w:p w14:paraId="1FBEFD47" w14:textId="77777777" w:rsidR="00AA299D" w:rsidRPr="002F4496" w:rsidRDefault="00AA299D">
    <w:pPr>
      <w:pStyle w:val="En-tte"/>
      <w:rPr>
        <w:lang w:val="fr-FR"/>
      </w:rPr>
    </w:pPr>
  </w:p>
  <w:p w14:paraId="7D075F96" w14:textId="77777777" w:rsidR="00AA299D" w:rsidRPr="002F4496" w:rsidRDefault="00AA299D" w:rsidP="000C06C9">
    <w:pPr>
      <w:pStyle w:val="En-tte"/>
      <w:tabs>
        <w:tab w:val="clear" w:pos="4536"/>
        <w:tab w:val="clear" w:pos="9072"/>
        <w:tab w:val="left" w:pos="8227"/>
      </w:tabs>
      <w:rPr>
        <w:lang w:val="fr-FR"/>
      </w:rPr>
    </w:pPr>
  </w:p>
  <w:p w14:paraId="1EEAF2AF" w14:textId="77777777" w:rsidR="00AA299D" w:rsidRPr="002F4496" w:rsidRDefault="00AA299D" w:rsidP="000C06C9">
    <w:pPr>
      <w:pStyle w:val="En-tte"/>
      <w:tabs>
        <w:tab w:val="clear" w:pos="4536"/>
        <w:tab w:val="clear" w:pos="9072"/>
        <w:tab w:val="left" w:pos="8227"/>
      </w:tabs>
      <w:rPr>
        <w:lang w:val="fr-FR"/>
      </w:rPr>
    </w:pPr>
  </w:p>
  <w:p w14:paraId="366CDA59" w14:textId="77777777" w:rsidR="00AA299D" w:rsidRPr="002F4496" w:rsidRDefault="00AA299D">
    <w:pPr>
      <w:pStyle w:val="En-tte"/>
      <w:rPr>
        <w:lang w:val="fr-FR"/>
      </w:rPr>
    </w:pPr>
  </w:p>
  <w:p w14:paraId="090159B5" w14:textId="77777777" w:rsidR="00AA299D" w:rsidRPr="002F4496" w:rsidRDefault="00AA299D">
    <w:pPr>
      <w:pStyle w:val="En-tte"/>
      <w:rPr>
        <w:lang w:val="fr-FR"/>
      </w:rPr>
    </w:pPr>
  </w:p>
  <w:p w14:paraId="13DB3246" w14:textId="77777777" w:rsidR="00AA299D" w:rsidRPr="002F4496" w:rsidRDefault="00AA299D">
    <w:pPr>
      <w:pStyle w:val="En-tte"/>
      <w:rPr>
        <w:lang w:val="fr-FR"/>
      </w:rPr>
    </w:pPr>
  </w:p>
  <w:p w14:paraId="5B245FC6" w14:textId="77777777" w:rsidR="00AA299D" w:rsidRPr="002F4496" w:rsidRDefault="00AA299D">
    <w:pPr>
      <w:pStyle w:val="En-tte"/>
      <w:rPr>
        <w:lang w:val="fr-FR"/>
      </w:rPr>
    </w:pPr>
  </w:p>
  <w:p w14:paraId="1D7B1F8D" w14:textId="77777777" w:rsidR="00AA299D" w:rsidRPr="002F4496" w:rsidRDefault="00AA299D">
    <w:pPr>
      <w:pStyle w:val="En-tte"/>
      <w:rPr>
        <w:highlight w:val="yellow"/>
        <w:lang w:val="fr-FR"/>
      </w:rPr>
    </w:pPr>
  </w:p>
  <w:p w14:paraId="177617ED" w14:textId="77777777" w:rsidR="00AA299D" w:rsidRDefault="00AA299D">
    <w:pPr>
      <w:pStyle w:val="En-tte"/>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8F52D3"/>
    <w:multiLevelType w:val="hybridMultilevel"/>
    <w:tmpl w:val="B048588A"/>
    <w:lvl w:ilvl="0" w:tplc="192E3F1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362A39"/>
    <w:multiLevelType w:val="hybridMultilevel"/>
    <w:tmpl w:val="ED92917C"/>
    <w:lvl w:ilvl="0" w:tplc="FC4A5CAE">
      <w:start w:val="11"/>
      <w:numFmt w:val="bullet"/>
      <w:lvlText w:val="-"/>
      <w:lvlJc w:val="left"/>
      <w:pPr>
        <w:ind w:left="720" w:hanging="360"/>
      </w:pPr>
      <w:rPr>
        <w:rFonts w:ascii="Calibri" w:eastAsia="Times New Roman" w:hAnsi="Calibri" w:cs="Calibri" w:hint="default"/>
      </w:rPr>
    </w:lvl>
    <w:lvl w:ilvl="1" w:tplc="040C0017">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4B53132"/>
    <w:multiLevelType w:val="hybridMultilevel"/>
    <w:tmpl w:val="A8B22980"/>
    <w:lvl w:ilvl="0" w:tplc="9E80215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76702F"/>
    <w:multiLevelType w:val="hybridMultilevel"/>
    <w:tmpl w:val="1384110C"/>
    <w:lvl w:ilvl="0" w:tplc="FC4A5CAE">
      <w:start w:val="1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40516"/>
    <w:multiLevelType w:val="hybridMultilevel"/>
    <w:tmpl w:val="336281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15:restartNumberingAfterBreak="0">
    <w:nsid w:val="65B22D77"/>
    <w:multiLevelType w:val="hybridMultilevel"/>
    <w:tmpl w:val="E12AA822"/>
    <w:lvl w:ilvl="0" w:tplc="8E025A0C">
      <w:start w:val="1"/>
      <w:numFmt w:val="bullet"/>
      <w:lvlText w:val="-"/>
      <w:lvlJc w:val="left"/>
      <w:pPr>
        <w:ind w:left="-1080" w:hanging="360"/>
      </w:pPr>
      <w:rPr>
        <w:rFonts w:ascii="Verdana" w:hAnsi="Verdana"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DF47E81"/>
    <w:multiLevelType w:val="hybridMultilevel"/>
    <w:tmpl w:val="B80C50CC"/>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D1F95"/>
    <w:multiLevelType w:val="hybridMultilevel"/>
    <w:tmpl w:val="A3381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35C6A5C"/>
    <w:multiLevelType w:val="multilevel"/>
    <w:tmpl w:val="4320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7"/>
  </w:num>
  <w:num w:numId="5">
    <w:abstractNumId w:val="29"/>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0"/>
  </w:num>
  <w:num w:numId="16">
    <w:abstractNumId w:val="1"/>
  </w:num>
  <w:num w:numId="17">
    <w:abstractNumId w:val="17"/>
  </w:num>
  <w:num w:numId="18">
    <w:abstractNumId w:val="18"/>
  </w:num>
  <w:num w:numId="19">
    <w:abstractNumId w:val="20"/>
  </w:num>
  <w:num w:numId="20">
    <w:abstractNumId w:val="30"/>
  </w:num>
  <w:num w:numId="21">
    <w:abstractNumId w:val="43"/>
  </w:num>
  <w:num w:numId="22">
    <w:abstractNumId w:val="28"/>
  </w:num>
  <w:num w:numId="23">
    <w:abstractNumId w:val="9"/>
  </w:num>
  <w:num w:numId="24">
    <w:abstractNumId w:val="33"/>
  </w:num>
  <w:num w:numId="25">
    <w:abstractNumId w:val="32"/>
  </w:num>
  <w:num w:numId="26">
    <w:abstractNumId w:val="22"/>
  </w:num>
  <w:num w:numId="27">
    <w:abstractNumId w:val="38"/>
  </w:num>
  <w:num w:numId="28">
    <w:abstractNumId w:val="46"/>
  </w:num>
  <w:num w:numId="29">
    <w:abstractNumId w:val="6"/>
  </w:num>
  <w:num w:numId="30">
    <w:abstractNumId w:val="2"/>
  </w:num>
  <w:num w:numId="31">
    <w:abstractNumId w:val="24"/>
  </w:num>
  <w:num w:numId="32">
    <w:abstractNumId w:val="23"/>
  </w:num>
  <w:num w:numId="33">
    <w:abstractNumId w:val="41"/>
  </w:num>
  <w:num w:numId="34">
    <w:abstractNumId w:val="40"/>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4"/>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2"/>
  </w:num>
  <w:num w:numId="42">
    <w:abstractNumId w:val="39"/>
  </w:num>
  <w:num w:numId="43">
    <w:abstractNumId w:val="42"/>
  </w:num>
  <w:num w:numId="44">
    <w:abstractNumId w:val="37"/>
  </w:num>
  <w:num w:numId="45">
    <w:abstractNumId w:val="8"/>
  </w:num>
  <w:num w:numId="46">
    <w:abstractNumId w:val="5"/>
  </w:num>
  <w:num w:numId="4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4A4"/>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053"/>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D3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1A9"/>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303"/>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146"/>
    <w:rsid w:val="0024426D"/>
    <w:rsid w:val="00244F1D"/>
    <w:rsid w:val="00245004"/>
    <w:rsid w:val="00245FB4"/>
    <w:rsid w:val="00250898"/>
    <w:rsid w:val="00251EA9"/>
    <w:rsid w:val="00252843"/>
    <w:rsid w:val="002543F8"/>
    <w:rsid w:val="002551A4"/>
    <w:rsid w:val="00255656"/>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1E1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18F"/>
    <w:rsid w:val="003273FE"/>
    <w:rsid w:val="0033194F"/>
    <w:rsid w:val="00332304"/>
    <w:rsid w:val="00332406"/>
    <w:rsid w:val="00332D8D"/>
    <w:rsid w:val="00336B56"/>
    <w:rsid w:val="00341B25"/>
    <w:rsid w:val="00341EC0"/>
    <w:rsid w:val="0034240C"/>
    <w:rsid w:val="00344496"/>
    <w:rsid w:val="00345968"/>
    <w:rsid w:val="0034628A"/>
    <w:rsid w:val="00347667"/>
    <w:rsid w:val="003507E2"/>
    <w:rsid w:val="003522B2"/>
    <w:rsid w:val="0035455E"/>
    <w:rsid w:val="00354A6F"/>
    <w:rsid w:val="00354B48"/>
    <w:rsid w:val="00355789"/>
    <w:rsid w:val="00357C60"/>
    <w:rsid w:val="003609B6"/>
    <w:rsid w:val="00361119"/>
    <w:rsid w:val="00361CF6"/>
    <w:rsid w:val="0036538D"/>
    <w:rsid w:val="00365D12"/>
    <w:rsid w:val="0037018D"/>
    <w:rsid w:val="00370D75"/>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9F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131"/>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1CA"/>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21"/>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926"/>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B7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7EAD"/>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730"/>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561"/>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0E8"/>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73C"/>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5B4F"/>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735"/>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85B"/>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009"/>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5B04"/>
    <w:rsid w:val="00A8728B"/>
    <w:rsid w:val="00A91682"/>
    <w:rsid w:val="00A92E4A"/>
    <w:rsid w:val="00A958CA"/>
    <w:rsid w:val="00A966B6"/>
    <w:rsid w:val="00A96B46"/>
    <w:rsid w:val="00AA003B"/>
    <w:rsid w:val="00AA016B"/>
    <w:rsid w:val="00AA15DD"/>
    <w:rsid w:val="00AA1C09"/>
    <w:rsid w:val="00AA299D"/>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0F3"/>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4459"/>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AB8"/>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3FD"/>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3A"/>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5094"/>
    <w:rsid w:val="00DE64A6"/>
    <w:rsid w:val="00DE66EB"/>
    <w:rsid w:val="00DE7035"/>
    <w:rsid w:val="00DF12E3"/>
    <w:rsid w:val="00DF3F1D"/>
    <w:rsid w:val="00DF595C"/>
    <w:rsid w:val="00DF7EA7"/>
    <w:rsid w:val="00E04548"/>
    <w:rsid w:val="00E0484E"/>
    <w:rsid w:val="00E063F8"/>
    <w:rsid w:val="00E114D6"/>
    <w:rsid w:val="00E1166E"/>
    <w:rsid w:val="00E11DBD"/>
    <w:rsid w:val="00E12158"/>
    <w:rsid w:val="00E13211"/>
    <w:rsid w:val="00E16FB5"/>
    <w:rsid w:val="00E179D6"/>
    <w:rsid w:val="00E21407"/>
    <w:rsid w:val="00E22668"/>
    <w:rsid w:val="00E227D3"/>
    <w:rsid w:val="00E22BFF"/>
    <w:rsid w:val="00E22CB0"/>
    <w:rsid w:val="00E23798"/>
    <w:rsid w:val="00E2585D"/>
    <w:rsid w:val="00E25DBD"/>
    <w:rsid w:val="00E25F0D"/>
    <w:rsid w:val="00E25FA2"/>
    <w:rsid w:val="00E2723D"/>
    <w:rsid w:val="00E27C77"/>
    <w:rsid w:val="00E3179E"/>
    <w:rsid w:val="00E32AC9"/>
    <w:rsid w:val="00E34DA7"/>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23D1"/>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27DBE"/>
    <w:rsid w:val="00F3002B"/>
    <w:rsid w:val="00F30BC9"/>
    <w:rsid w:val="00F31E57"/>
    <w:rsid w:val="00F32462"/>
    <w:rsid w:val="00F32FF7"/>
    <w:rsid w:val="00F33EDE"/>
    <w:rsid w:val="00F3568B"/>
    <w:rsid w:val="00F36928"/>
    <w:rsid w:val="00F377CD"/>
    <w:rsid w:val="00F40C3B"/>
    <w:rsid w:val="00F40CE0"/>
    <w:rsid w:val="00F42DBC"/>
    <w:rsid w:val="00F4308D"/>
    <w:rsid w:val="00F44012"/>
    <w:rsid w:val="00F44947"/>
    <w:rsid w:val="00F458EF"/>
    <w:rsid w:val="00F46166"/>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3DC7"/>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styleId="Normalcentr">
    <w:name w:val="Block Text"/>
    <w:basedOn w:val="Normal"/>
    <w:semiHidden/>
    <w:rsid w:val="00663B7F"/>
    <w:pPr>
      <w:spacing w:line="360" w:lineRule="auto"/>
      <w:ind w:left="426" w:right="-1"/>
      <w:jc w:val="center"/>
    </w:pPr>
    <w:rPr>
      <w:rFonts w:ascii="Times New Roman" w:hAnsi="Times New Roman"/>
      <w:b/>
      <w:bCs/>
      <w:sz w:val="28"/>
      <w:lang w:val="it-IT" w:eastAsia="it-IT"/>
    </w:rPr>
  </w:style>
  <w:style w:type="paragraph" w:styleId="Corpsdetexte2">
    <w:name w:val="Body Text 2"/>
    <w:basedOn w:val="Normal"/>
    <w:link w:val="Corpsdetexte2Car"/>
    <w:unhideWhenUsed/>
    <w:rsid w:val="00775730"/>
    <w:pPr>
      <w:spacing w:after="120" w:line="480" w:lineRule="auto"/>
    </w:pPr>
  </w:style>
  <w:style w:type="character" w:customStyle="1" w:styleId="Corpsdetexte2Car">
    <w:name w:val="Corps de texte 2 Car"/>
    <w:basedOn w:val="Policepardfaut"/>
    <w:link w:val="Corpsdetexte2"/>
    <w:rsid w:val="00775730"/>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2027099">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infopath/2007/PartnerControls"/>
    <ds:schemaRef ds:uri="http://purl.org/dc/terms/"/>
    <ds:schemaRef ds:uri="http://purl.org/dc/dcmitype/"/>
    <ds:schemaRef ds:uri="http://schemas.microsoft.com/sharepoint/v4"/>
    <ds:schemaRef ds:uri="http://purl.org/dc/elements/1.1/"/>
    <ds:schemaRef ds:uri="http://schemas.microsoft.com/office/2006/metadata/properties"/>
    <ds:schemaRef ds:uri="http://schemas.openxmlformats.org/package/2006/metadata/core-properties"/>
    <ds:schemaRef ds:uri="20fbe147-bbda-4e53-b6b1-7e8bbff3fe19"/>
    <ds:schemaRef ds:uri="http://www.w3.org/XML/1998/namespace"/>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1EC9F24B-DED3-47A4-B893-D48635517B75}">
  <ds:schemaRefs>
    <ds:schemaRef ds:uri="http://schemas.openxmlformats.org/officeDocument/2006/bibliography"/>
  </ds:schemaRefs>
</ds:datastoreItem>
</file>

<file path=customXml/itemProps6.xml><?xml version="1.0" encoding="utf-8"?>
<ds:datastoreItem xmlns:ds="http://schemas.openxmlformats.org/officeDocument/2006/customXml" ds:itemID="{D0742C1F-BC3D-45CE-8562-7134CB50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3256</Words>
  <Characters>18089</Characters>
  <Application>Microsoft Office Word</Application>
  <DocSecurity>8</DocSecurity>
  <Lines>150</Lines>
  <Paragraphs>42</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21303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Lé Quang TRAN VAN</cp:lastModifiedBy>
  <cp:revision>3</cp:revision>
  <cp:lastPrinted>2015-02-18T11:01:00Z</cp:lastPrinted>
  <dcterms:created xsi:type="dcterms:W3CDTF">2017-09-22T09:15:00Z</dcterms:created>
  <dcterms:modified xsi:type="dcterms:W3CDTF">2017-09-26T08:47:00Z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