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 xml:space="preserve">When you have drafted your response, name your response form according to the following convention: </w:t>
      </w:r>
      <w:bookmarkStart w:id="1" w:name="_GoBack"/>
      <w:r w:rsidRPr="0064701F">
        <w:rPr>
          <w:rStyle w:val="SubtleEmphasis"/>
          <w:b w:val="0"/>
          <w:sz w:val="22"/>
        </w:rPr>
        <w:t>ESMA_FAC_nameofrespondent_RESPONSEFORM</w:t>
      </w:r>
      <w:bookmarkEnd w:id="1"/>
      <w:r w:rsidRPr="0064701F">
        <w:rPr>
          <w:rStyle w:val="SubtleEmphasis"/>
          <w:b w:val="0"/>
          <w:sz w:val="22"/>
        </w:rPr>
        <w:t>. For example, for a respondent named ABCD, the response form would be entitled ESMA_FAC_ABCD_RESPONSEFORM.</w:t>
      </w:r>
    </w:p>
    <w:p w14:paraId="1B897ED2" w14:textId="7DB53F01"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1D2AEFF4" w14:textId="74069387" w:rsidR="00B327E9" w:rsidRPr="00AB6D88" w:rsidRDefault="00696A36" w:rsidP="00696A36">
                <w:pPr>
                  <w:rPr>
                    <w:rStyle w:val="PlaceholderText"/>
                    <w:rFonts w:cs="Arial"/>
                  </w:rPr>
                </w:pPr>
                <w:r>
                  <w:rPr>
                    <w:rStyle w:val="PlaceholderText"/>
                    <w:rFonts w:cs="Arial"/>
                  </w:rPr>
                  <w:t>KPMG EMA</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66151ACE" w:rsidR="00B327E9" w:rsidRPr="00AB6D88" w:rsidRDefault="00696A36"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13737D6A" w14:textId="159055D7" w:rsidR="00B327E9" w:rsidRPr="00AB6D88" w:rsidRDefault="00696A36"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23A32DDE" w:rsidR="00B327E9" w:rsidRPr="00AB6D88" w:rsidRDefault="00696A36" w:rsidP="00504505">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77777777" w:rsidR="00357C60" w:rsidRDefault="00357C60" w:rsidP="00357C60">
      <w:pPr>
        <w:rPr>
          <w:rFonts w:cs="Arial"/>
        </w:rPr>
      </w:pPr>
      <w:permStart w:id="822574933" w:edGrp="everyone"/>
      <w:r>
        <w:rPr>
          <w:rFonts w:cs="Arial"/>
        </w:rPr>
        <w:t>TYPE YOUR TEXT HERE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13E64FCC" w14:textId="77777777" w:rsidR="00357C60" w:rsidRDefault="00357C60" w:rsidP="00357C60">
      <w:pPr>
        <w:rPr>
          <w:rFonts w:cs="Arial"/>
        </w:rPr>
      </w:pPr>
      <w:permStart w:id="1777273275" w:edGrp="everyone"/>
      <w:r>
        <w:rPr>
          <w:rFonts w:cs="Arial"/>
        </w:rPr>
        <w:t>TYPE YOUR TEXT HERE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7777777" w:rsidR="00357C60" w:rsidRDefault="00357C60" w:rsidP="00357C60">
      <w:pPr>
        <w:rPr>
          <w:rFonts w:cs="Arial"/>
        </w:rPr>
      </w:pPr>
      <w:permStart w:id="230376365" w:edGrp="everyone"/>
      <w:r>
        <w:rPr>
          <w:rFonts w:cs="Arial"/>
        </w:rPr>
        <w:t>TYPE YOUR TEXT HERE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lastRenderedPageBreak/>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69BA4A15" w14:textId="77777777" w:rsidR="00696A36" w:rsidRDefault="00696A36" w:rsidP="00583C55">
      <w:pPr>
        <w:numPr>
          <w:ilvl w:val="0"/>
          <w:numId w:val="38"/>
        </w:numPr>
        <w:rPr>
          <w:rFonts w:cs="Arial"/>
          <w:szCs w:val="20"/>
          <w:lang w:val="en-US" w:eastAsia="en-US"/>
        </w:rPr>
      </w:pPr>
      <w:permStart w:id="298938205" w:edGrp="everyone"/>
      <w:r>
        <w:rPr>
          <w:rFonts w:cs="Arial"/>
          <w:szCs w:val="20"/>
          <w:lang w:val="en-US"/>
        </w:rPr>
        <w:lastRenderedPageBreak/>
        <w:t xml:space="preserve">We agree with the objective to further align the requirements of the OFR with the requirements for the management report under the Accounting Directive. </w:t>
      </w:r>
    </w:p>
    <w:p w14:paraId="2AB8F819" w14:textId="77777777" w:rsidR="00696A36" w:rsidRDefault="00696A36" w:rsidP="00583C55">
      <w:pPr>
        <w:numPr>
          <w:ilvl w:val="0"/>
          <w:numId w:val="38"/>
        </w:numPr>
        <w:rPr>
          <w:rFonts w:cs="Arial"/>
          <w:szCs w:val="20"/>
          <w:lang w:val="en-US"/>
        </w:rPr>
      </w:pPr>
      <w:r>
        <w:rPr>
          <w:rFonts w:cs="Arial"/>
          <w:szCs w:val="20"/>
          <w:lang w:val="en-US"/>
        </w:rPr>
        <w:t>We note that currently there is variation in the consistency of management reports across member states and highlight some considerations, including:</w:t>
      </w:r>
    </w:p>
    <w:p w14:paraId="1512A336" w14:textId="77777777" w:rsidR="00696A36" w:rsidRDefault="00696A36" w:rsidP="00583C55">
      <w:pPr>
        <w:numPr>
          <w:ilvl w:val="1"/>
          <w:numId w:val="38"/>
        </w:numPr>
        <w:rPr>
          <w:rFonts w:cs="Arial"/>
          <w:szCs w:val="20"/>
          <w:lang w:val="en-US"/>
        </w:rPr>
      </w:pPr>
      <w:r>
        <w:rPr>
          <w:rFonts w:cs="Arial"/>
          <w:szCs w:val="20"/>
          <w:lang w:val="en-US"/>
        </w:rPr>
        <w:t>The OFR and (internal) management reports have different purposes and objectives, and while using the same terms the definitions may vary, by example ‘risk’ in the OFR will relate to issues of interest to investors whereas in the management report it will cover broader issues in the context of future development of the company.</w:t>
      </w:r>
    </w:p>
    <w:p w14:paraId="070C1714" w14:textId="77777777" w:rsidR="00696A36" w:rsidRDefault="00696A36" w:rsidP="00583C55">
      <w:pPr>
        <w:numPr>
          <w:ilvl w:val="1"/>
          <w:numId w:val="38"/>
        </w:numPr>
        <w:rPr>
          <w:rFonts w:cs="Arial"/>
          <w:szCs w:val="20"/>
          <w:lang w:val="en-US"/>
        </w:rPr>
      </w:pPr>
      <w:r>
        <w:rPr>
          <w:rFonts w:cs="Arial"/>
          <w:szCs w:val="20"/>
          <w:lang w:val="en-US"/>
        </w:rPr>
        <w:t>In some member states the legal requirements for the management report go beyond the Accounting Directive requirements. Moreover some companies use the management report for marketing or as a reporting tool for supervisory authorities. This presentation of information may go beyond the needs of potential investors.  </w:t>
      </w:r>
    </w:p>
    <w:p w14:paraId="75DE002D" w14:textId="77777777" w:rsidR="00696A36" w:rsidRDefault="00696A36" w:rsidP="00583C55">
      <w:pPr>
        <w:numPr>
          <w:ilvl w:val="1"/>
          <w:numId w:val="38"/>
        </w:numPr>
        <w:rPr>
          <w:rFonts w:cs="Arial"/>
          <w:i/>
          <w:iCs/>
          <w:szCs w:val="20"/>
        </w:rPr>
      </w:pPr>
      <w:r>
        <w:rPr>
          <w:rFonts w:cs="Arial"/>
          <w:szCs w:val="20"/>
          <w:lang w:val="en-US"/>
        </w:rPr>
        <w:t>Management reports are prepared at the same date as the financial statements whereas the OFR may not be. So the information between the two could be different, this could particularly be the case for forecasts.</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3A84A7D8" w14:textId="77777777" w:rsidR="00696A36" w:rsidRDefault="00696A36" w:rsidP="00583C55">
      <w:pPr>
        <w:numPr>
          <w:ilvl w:val="0"/>
          <w:numId w:val="39"/>
        </w:numPr>
        <w:rPr>
          <w:rFonts w:cs="Arial"/>
          <w:szCs w:val="20"/>
          <w:lang w:eastAsia="en-US"/>
        </w:rPr>
      </w:pPr>
      <w:permStart w:id="4075115" w:edGrp="everyone"/>
      <w:r>
        <w:rPr>
          <w:rFonts w:cs="Arial"/>
          <w:szCs w:val="20"/>
        </w:rPr>
        <w:t xml:space="preserve">We agree with the overall objectives of simplifying and reducing unnecessary burdens and costs to issuers associated with preparing a prospectus. However the disciplines required for the proper compilation of a profit forecast are not always well understood by those without extensive experience of the process. Further consideration should be given on whether deleting the obligation for an independent accountant or auditor to provide assurance on the process of compilation of the profit forecasts or estimates adequately addresses the interests of investors. </w:t>
      </w:r>
    </w:p>
    <w:p w14:paraId="0E27E69C" w14:textId="77777777" w:rsidR="00696A36" w:rsidRDefault="00696A36" w:rsidP="00583C55">
      <w:pPr>
        <w:numPr>
          <w:ilvl w:val="0"/>
          <w:numId w:val="39"/>
        </w:numPr>
        <w:rPr>
          <w:rFonts w:cs="Arial"/>
          <w:szCs w:val="20"/>
        </w:rPr>
      </w:pPr>
      <w:r>
        <w:rPr>
          <w:rFonts w:cs="Arial"/>
          <w:szCs w:val="20"/>
        </w:rPr>
        <w:t xml:space="preserve">In our experience the obligation for issuers to have an independent auditor report on the process undergone to compile the profit forecast, although clearly not affecting whether a forecast will be achieved, does lead to a more thoroughly documented and considered preparation process by the issuer. </w:t>
      </w:r>
    </w:p>
    <w:p w14:paraId="2BC699AF" w14:textId="77777777" w:rsidR="00696A36" w:rsidRDefault="00696A36" w:rsidP="00583C55">
      <w:pPr>
        <w:numPr>
          <w:ilvl w:val="0"/>
          <w:numId w:val="39"/>
        </w:numPr>
        <w:rPr>
          <w:rFonts w:cs="Arial"/>
          <w:szCs w:val="20"/>
        </w:rPr>
      </w:pPr>
      <w:r>
        <w:rPr>
          <w:rFonts w:cs="Arial"/>
          <w:szCs w:val="20"/>
        </w:rPr>
        <w:t xml:space="preserve">ESMA proposes that as an alternative the issuer would be required to provide clear, unambiguous forecasts presented in an explicit manner with full assumptions. While we are supportive of the transparent disclosure of the profit forecast with full assumptions, it may be useful to provide a framework for the preparation of the forecast. </w:t>
      </w:r>
    </w:p>
    <w:p w14:paraId="7D028C16" w14:textId="77777777" w:rsidR="00696A36" w:rsidRDefault="00696A36" w:rsidP="00583C55">
      <w:pPr>
        <w:numPr>
          <w:ilvl w:val="0"/>
          <w:numId w:val="39"/>
        </w:numPr>
        <w:rPr>
          <w:rFonts w:cs="Arial"/>
          <w:szCs w:val="20"/>
        </w:rPr>
      </w:pPr>
      <w:r>
        <w:rPr>
          <w:rFonts w:cs="Arial"/>
          <w:szCs w:val="20"/>
        </w:rPr>
        <w:t>We suggest that further analysis is required on whether removing the auditor report obligation strikes the right balance between reducing costs and protecting investors’ interests and how proposed alternatives would work in practice. We would be happy to discuss our views further.</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677572DB" w14:textId="77777777" w:rsidR="00696A36" w:rsidRDefault="00696A36" w:rsidP="00583C55">
      <w:pPr>
        <w:numPr>
          <w:ilvl w:val="0"/>
          <w:numId w:val="40"/>
        </w:numPr>
        <w:rPr>
          <w:rFonts w:cs="Arial"/>
          <w:szCs w:val="20"/>
          <w:lang w:eastAsia="en-US"/>
        </w:rPr>
      </w:pPr>
      <w:permStart w:id="1415971191" w:edGrp="everyone"/>
      <w:r>
        <w:rPr>
          <w:rFonts w:cs="Arial"/>
          <w:szCs w:val="20"/>
        </w:rPr>
        <w:t xml:space="preserve">We note the intention by ESMA to bring together in Annex 1 disclosures by third-parties into one place, including [1.3] relating to a statement or report attributed to a person as an expert. </w:t>
      </w:r>
    </w:p>
    <w:p w14:paraId="1FC429A1" w14:textId="77777777" w:rsidR="00696A36" w:rsidRDefault="00696A36" w:rsidP="00583C55">
      <w:pPr>
        <w:numPr>
          <w:ilvl w:val="0"/>
          <w:numId w:val="40"/>
        </w:numPr>
        <w:rPr>
          <w:rFonts w:cs="Arial"/>
          <w:szCs w:val="20"/>
        </w:rPr>
      </w:pPr>
      <w:r>
        <w:rPr>
          <w:rFonts w:cs="Arial"/>
          <w:szCs w:val="20"/>
        </w:rPr>
        <w:t>Clarification would be helpful of the words ‘who has authorised the contents of that part of the registration document’ as well as what is meant by the addition of ‘for the purpose of the prospectus’. Unless ‘authorised’ is different from having given consent it might be clearer to remove the words in their entirety. Secondly, as the registration document can exist as a separate document before the prospectus of which it forms a part is produced (which only happens when the securities note and a summary have been prepared and approved by a competent authority), it is not clear how the words ‘for the purpose of the prospectus’ will be capable of being interpreted in cases where the prospectus itself does not yet exist at the date of the registration document.</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xml:space="preserve">: 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08D02A68" w14:textId="4D3CA8E9" w:rsidR="00357C60" w:rsidRDefault="00696A36" w:rsidP="00357C60">
      <w:pPr>
        <w:rPr>
          <w:rFonts w:cs="Arial"/>
        </w:rPr>
      </w:pPr>
      <w:permStart w:id="603281020" w:edGrp="everyone"/>
      <w:r>
        <w:rPr>
          <w:rFonts w:cs="Arial"/>
          <w:szCs w:val="20"/>
        </w:rPr>
        <w:t>Please see our response to Question 14, where we suggest further analysis is required on whether removing the auditor report obligation strikes the right balance between reducing costs and protecting investors’ interests.</w:t>
      </w:r>
      <w:permEnd w:id="603281020"/>
      <w:r w:rsidR="00357C60">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lastRenderedPageBreak/>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lastRenderedPageBreak/>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0C2CB601" w14:textId="77777777" w:rsidR="00696A36" w:rsidRDefault="00696A36" w:rsidP="00583C55">
      <w:pPr>
        <w:numPr>
          <w:ilvl w:val="0"/>
          <w:numId w:val="41"/>
        </w:numPr>
        <w:rPr>
          <w:rFonts w:cs="Arial"/>
          <w:szCs w:val="20"/>
          <w:lang w:eastAsia="en-US"/>
        </w:rPr>
      </w:pPr>
      <w:permStart w:id="229720561" w:edGrp="everyone"/>
      <w:r>
        <w:rPr>
          <w:rFonts w:cs="Arial"/>
          <w:szCs w:val="20"/>
        </w:rPr>
        <w:t>We agree with the objective of reducing the costs of issuers returning to market by alleviating disclosure within the secondary issuance prospectus. We note that in practice an ‘offering memorandum’ is often prepared for distribution to institutional investors in addition to the prospectus, and that most of the proposed deleted disclosure items may continue to be included in such offering memorandum to meet the information needs of those investors.</w:t>
      </w:r>
    </w:p>
    <w:p w14:paraId="2A4EEFF9" w14:textId="77777777" w:rsidR="00696A36" w:rsidRDefault="00696A36" w:rsidP="00583C55">
      <w:pPr>
        <w:numPr>
          <w:ilvl w:val="0"/>
          <w:numId w:val="41"/>
        </w:numPr>
        <w:rPr>
          <w:rFonts w:cs="Arial"/>
          <w:szCs w:val="20"/>
        </w:rPr>
      </w:pPr>
      <w:r>
        <w:rPr>
          <w:rFonts w:cs="Arial"/>
          <w:szCs w:val="20"/>
        </w:rPr>
        <w:t>Where information is already required to be disclosed by other regulations including the Transparency Directive and Markets Abuse Regulation it makes sense to avoid duplication. However consideration may be needed for retail investors who are less likely to have as easy access to the information compared to institutional investors. This may need to be addressed through other measures which assist retail investors’ access relevant information.</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CCAB0" w14:textId="77777777" w:rsidR="00696A36" w:rsidRDefault="00696A36">
      <w:r>
        <w:separator/>
      </w:r>
    </w:p>
    <w:p w14:paraId="31D8BEEB" w14:textId="77777777" w:rsidR="00696A36" w:rsidRDefault="00696A36"/>
  </w:endnote>
  <w:endnote w:type="continuationSeparator" w:id="0">
    <w:p w14:paraId="0761C5D8" w14:textId="77777777" w:rsidR="00696A36" w:rsidRDefault="00696A36">
      <w:r>
        <w:continuationSeparator/>
      </w:r>
    </w:p>
    <w:p w14:paraId="4CEFAD95" w14:textId="77777777" w:rsidR="00696A36" w:rsidRDefault="00696A36"/>
  </w:endnote>
  <w:endnote w:type="continuationNotice" w:id="1">
    <w:p w14:paraId="20E4E35C" w14:textId="77777777" w:rsidR="00696A36" w:rsidRDefault="00696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96A36" w:rsidRPr="00616B9B" w14:paraId="1A11FFC7" w14:textId="77777777" w:rsidTr="00315E96">
      <w:trPr>
        <w:trHeight w:val="284"/>
      </w:trPr>
      <w:tc>
        <w:tcPr>
          <w:tcW w:w="8460" w:type="dxa"/>
        </w:tcPr>
        <w:p w14:paraId="2CE11161" w14:textId="77777777" w:rsidR="00696A36" w:rsidRPr="00315E96" w:rsidRDefault="00696A36" w:rsidP="00315E96">
          <w:pPr>
            <w:pStyle w:val="00Footer"/>
            <w:rPr>
              <w:lang w:val="fr-FR"/>
            </w:rPr>
          </w:pPr>
        </w:p>
      </w:tc>
      <w:tc>
        <w:tcPr>
          <w:tcW w:w="952" w:type="dxa"/>
        </w:tcPr>
        <w:p w14:paraId="516490C0" w14:textId="49EBAB43" w:rsidR="00696A36" w:rsidRPr="00616B9B" w:rsidRDefault="00696A3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83C55">
            <w:rPr>
              <w:rFonts w:cs="Arial"/>
              <w:noProof/>
              <w:sz w:val="22"/>
              <w:szCs w:val="22"/>
            </w:rPr>
            <w:t>3</w:t>
          </w:r>
          <w:r w:rsidRPr="00616B9B">
            <w:rPr>
              <w:rFonts w:cs="Arial"/>
              <w:noProof/>
              <w:sz w:val="22"/>
              <w:szCs w:val="22"/>
            </w:rPr>
            <w:fldChar w:fldCharType="end"/>
          </w:r>
        </w:p>
      </w:tc>
    </w:tr>
  </w:tbl>
  <w:p w14:paraId="3F8E2998" w14:textId="77777777" w:rsidR="00696A36" w:rsidRDefault="00696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696A36" w:rsidRDefault="00696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373F" w14:textId="77777777" w:rsidR="00696A36" w:rsidRDefault="00696A36">
      <w:r>
        <w:separator/>
      </w:r>
    </w:p>
    <w:p w14:paraId="223E6F8A" w14:textId="77777777" w:rsidR="00696A36" w:rsidRDefault="00696A36"/>
  </w:footnote>
  <w:footnote w:type="continuationSeparator" w:id="0">
    <w:p w14:paraId="37774CC6" w14:textId="77777777" w:rsidR="00696A36" w:rsidRDefault="00696A36">
      <w:r>
        <w:continuationSeparator/>
      </w:r>
    </w:p>
    <w:p w14:paraId="76C92344" w14:textId="77777777" w:rsidR="00696A36" w:rsidRDefault="00696A36"/>
  </w:footnote>
  <w:footnote w:type="continuationNotice" w:id="1">
    <w:p w14:paraId="4029C783" w14:textId="77777777" w:rsidR="00696A36" w:rsidRDefault="00696A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696A36" w:rsidRDefault="00696A36">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696A36" w:rsidRDefault="00696A36"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696A36" w:rsidRDefault="00696A3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96A36" w:rsidRPr="002F4496" w14:paraId="5A9CC9DB" w14:textId="77777777" w:rsidTr="000C06C9">
      <w:trPr>
        <w:trHeight w:val="284"/>
      </w:trPr>
      <w:tc>
        <w:tcPr>
          <w:tcW w:w="8460" w:type="dxa"/>
        </w:tcPr>
        <w:p w14:paraId="56125542" w14:textId="77777777" w:rsidR="00696A36" w:rsidRPr="000C3B6D" w:rsidRDefault="00696A36" w:rsidP="000C06C9">
          <w:pPr>
            <w:pStyle w:val="00Footer"/>
            <w:rPr>
              <w:lang w:val="fr-FR"/>
            </w:rPr>
          </w:pPr>
        </w:p>
      </w:tc>
      <w:tc>
        <w:tcPr>
          <w:tcW w:w="952" w:type="dxa"/>
        </w:tcPr>
        <w:p w14:paraId="185D9EAB" w14:textId="77777777" w:rsidR="00696A36" w:rsidRPr="00146B34" w:rsidRDefault="00696A36" w:rsidP="000C06C9">
          <w:pPr>
            <w:pStyle w:val="00aPagenumber"/>
            <w:rPr>
              <w:lang w:val="fr-FR"/>
            </w:rPr>
          </w:pPr>
        </w:p>
      </w:tc>
    </w:tr>
  </w:tbl>
  <w:p w14:paraId="4BF8B831" w14:textId="77777777" w:rsidR="00696A36" w:rsidRPr="00DB46C3" w:rsidRDefault="00696A36">
    <w:pPr>
      <w:rPr>
        <w:lang w:val="fr-FR"/>
      </w:rPr>
    </w:pPr>
  </w:p>
  <w:p w14:paraId="1FBEFD47" w14:textId="77777777" w:rsidR="00696A36" w:rsidRPr="002F4496" w:rsidRDefault="00696A36">
    <w:pPr>
      <w:pStyle w:val="Header"/>
      <w:rPr>
        <w:lang w:val="fr-FR"/>
      </w:rPr>
    </w:pPr>
  </w:p>
  <w:p w14:paraId="7D075F96" w14:textId="77777777" w:rsidR="00696A36" w:rsidRPr="002F4496" w:rsidRDefault="00696A36" w:rsidP="000C06C9">
    <w:pPr>
      <w:pStyle w:val="Header"/>
      <w:tabs>
        <w:tab w:val="clear" w:pos="4536"/>
        <w:tab w:val="clear" w:pos="9072"/>
        <w:tab w:val="left" w:pos="8227"/>
      </w:tabs>
      <w:rPr>
        <w:lang w:val="fr-FR"/>
      </w:rPr>
    </w:pPr>
  </w:p>
  <w:p w14:paraId="1EEAF2AF" w14:textId="77777777" w:rsidR="00696A36" w:rsidRPr="002F4496" w:rsidRDefault="00696A36" w:rsidP="000C06C9">
    <w:pPr>
      <w:pStyle w:val="Header"/>
      <w:tabs>
        <w:tab w:val="clear" w:pos="4536"/>
        <w:tab w:val="clear" w:pos="9072"/>
        <w:tab w:val="left" w:pos="8227"/>
      </w:tabs>
      <w:rPr>
        <w:lang w:val="fr-FR"/>
      </w:rPr>
    </w:pPr>
  </w:p>
  <w:p w14:paraId="366CDA59" w14:textId="77777777" w:rsidR="00696A36" w:rsidRPr="002F4496" w:rsidRDefault="00696A36">
    <w:pPr>
      <w:pStyle w:val="Header"/>
      <w:rPr>
        <w:lang w:val="fr-FR"/>
      </w:rPr>
    </w:pPr>
  </w:p>
  <w:p w14:paraId="090159B5" w14:textId="77777777" w:rsidR="00696A36" w:rsidRPr="002F4496" w:rsidRDefault="00696A36">
    <w:pPr>
      <w:pStyle w:val="Header"/>
      <w:rPr>
        <w:lang w:val="fr-FR"/>
      </w:rPr>
    </w:pPr>
  </w:p>
  <w:p w14:paraId="13DB3246" w14:textId="77777777" w:rsidR="00696A36" w:rsidRPr="002F4496" w:rsidRDefault="00696A36">
    <w:pPr>
      <w:pStyle w:val="Header"/>
      <w:rPr>
        <w:lang w:val="fr-FR"/>
      </w:rPr>
    </w:pPr>
  </w:p>
  <w:p w14:paraId="5B245FC6" w14:textId="77777777" w:rsidR="00696A36" w:rsidRPr="002F4496" w:rsidRDefault="00696A36">
    <w:pPr>
      <w:pStyle w:val="Header"/>
      <w:rPr>
        <w:lang w:val="fr-FR"/>
      </w:rPr>
    </w:pPr>
  </w:p>
  <w:p w14:paraId="1D7B1F8D" w14:textId="77777777" w:rsidR="00696A36" w:rsidRPr="002F4496" w:rsidRDefault="00696A36">
    <w:pPr>
      <w:pStyle w:val="Header"/>
      <w:rPr>
        <w:highlight w:val="yellow"/>
        <w:lang w:val="fr-FR"/>
      </w:rPr>
    </w:pPr>
  </w:p>
  <w:p w14:paraId="177617ED" w14:textId="77777777" w:rsidR="00696A36" w:rsidRDefault="00696A36">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FD5ED2"/>
    <w:multiLevelType w:val="hybridMultilevel"/>
    <w:tmpl w:val="AF5CE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35A4A"/>
    <w:multiLevelType w:val="hybridMultilevel"/>
    <w:tmpl w:val="2A8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5476E"/>
    <w:multiLevelType w:val="hybridMultilevel"/>
    <w:tmpl w:val="302C6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9ED4003"/>
    <w:multiLevelType w:val="hybridMultilevel"/>
    <w:tmpl w:val="0032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9"/>
  </w:num>
  <w:num w:numId="16">
    <w:abstractNumId w:val="1"/>
  </w:num>
  <w:num w:numId="17">
    <w:abstractNumId w:val="16"/>
  </w:num>
  <w:num w:numId="18">
    <w:abstractNumId w:val="18"/>
  </w:num>
  <w:num w:numId="19">
    <w:abstractNumId w:val="20"/>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2"/>
  </w:num>
  <w:num w:numId="27">
    <w:abstractNumId w:val="35"/>
  </w:num>
  <w:num w:numId="28">
    <w:abstractNumId w:val="41"/>
  </w:num>
  <w:num w:numId="29">
    <w:abstractNumId w:val="6"/>
  </w:num>
  <w:num w:numId="30">
    <w:abstractNumId w:val="2"/>
  </w:num>
  <w:num w:numId="31">
    <w:abstractNumId w:val="24"/>
  </w:num>
  <w:num w:numId="32">
    <w:abstractNumId w:val="23"/>
  </w:num>
  <w:num w:numId="33">
    <w:abstractNumId w:val="37"/>
  </w:num>
  <w:num w:numId="34">
    <w:abstractNumId w:val="36"/>
  </w:num>
  <w:num w:numId="35">
    <w:abstractNumId w:val="1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lvlOverride w:ilvl="0"/>
    <w:lvlOverride w:ilvl="1"/>
    <w:lvlOverride w:ilvl="2"/>
    <w:lvlOverride w:ilvl="3"/>
    <w:lvlOverride w:ilvl="4"/>
    <w:lvlOverride w:ilvl="5"/>
    <w:lvlOverride w:ilvl="6"/>
    <w:lvlOverride w:ilvl="7"/>
    <w:lvlOverride w:ilvl="8"/>
  </w:num>
  <w:num w:numId="39">
    <w:abstractNumId w:val="5"/>
    <w:lvlOverride w:ilvl="0"/>
    <w:lvlOverride w:ilvl="1"/>
    <w:lvlOverride w:ilvl="2"/>
    <w:lvlOverride w:ilvl="3"/>
    <w:lvlOverride w:ilvl="4"/>
    <w:lvlOverride w:ilvl="5"/>
    <w:lvlOverride w:ilvl="6"/>
    <w:lvlOverride w:ilvl="7"/>
    <w:lvlOverride w:ilvl="8"/>
  </w:num>
  <w:num w:numId="40">
    <w:abstractNumId w:val="10"/>
    <w:lvlOverride w:ilvl="0"/>
    <w:lvlOverride w:ilvl="1"/>
    <w:lvlOverride w:ilvl="2"/>
    <w:lvlOverride w:ilvl="3"/>
    <w:lvlOverride w:ilvl="4"/>
    <w:lvlOverride w:ilvl="5"/>
    <w:lvlOverride w:ilvl="6"/>
    <w:lvlOverride w:ilvl="7"/>
    <w:lvlOverride w:ilvl="8"/>
  </w:num>
  <w:num w:numId="41">
    <w:abstractNumId w:val="17"/>
    <w:lvlOverride w:ilvl="0"/>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C55"/>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6A36"/>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156292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2418708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08559403">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5449776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20fbe147-bbda-4e53-b6b1-7e8bbff3fe19"/>
    <ds:schemaRef ds:uri="http://purl.org/dc/dcmitype/"/>
    <ds:schemaRef ds:uri="http://schemas.microsoft.com/sharepoint/v4"/>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95E33379-56AA-4028-B3AA-231BD7195DE6}">
  <ds:schemaRefs>
    <ds:schemaRef ds:uri="http://schemas.openxmlformats.org/officeDocument/2006/bibliography"/>
  </ds:schemaRefs>
</ds:datastoreItem>
</file>

<file path=customXml/itemProps6.xml><?xml version="1.0" encoding="utf-8"?>
<ds:datastoreItem xmlns:ds="http://schemas.openxmlformats.org/officeDocument/2006/customXml" ds:itemID="{304A7534-2E6A-459C-9FBA-8853A1E5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4452</Words>
  <Characters>25506</Characters>
  <Application>Microsoft Office Word</Application>
  <DocSecurity>12</DocSecurity>
  <Lines>212</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29899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jonhogan</cp:lastModifiedBy>
  <cp:revision>2</cp:revision>
  <cp:lastPrinted>2015-02-18T11:01:00Z</cp:lastPrinted>
  <dcterms:created xsi:type="dcterms:W3CDTF">2017-09-28T16:05:00Z</dcterms:created>
  <dcterms:modified xsi:type="dcterms:W3CDTF">2017-09-28T16:05:00Z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