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bookmarkStart w:id="0" w:name="_GoBack"/>
            <w:bookmarkEnd w:id="0"/>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ubtleEmphasis"/>
          <w:b w:val="0"/>
          <w:sz w:val="22"/>
        </w:rPr>
      </w:pPr>
      <w:r w:rsidRPr="0064701F">
        <w:rPr>
          <w:rStyle w:val="SubtleEmphasis"/>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respond to the question stated;</w:t>
      </w:r>
    </w:p>
    <w:p w14:paraId="4B8E675D"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contain a clear rationale; and</w:t>
      </w:r>
    </w:p>
    <w:p w14:paraId="31204389"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describe any alternatives ESMA should consider.</w:t>
      </w:r>
    </w:p>
    <w:p w14:paraId="3DCBB610" w14:textId="77777777" w:rsidR="007D2B2C" w:rsidRPr="0064701F" w:rsidRDefault="007D2B2C" w:rsidP="007D2B2C">
      <w:pPr>
        <w:spacing w:after="240"/>
        <w:jc w:val="both"/>
        <w:rPr>
          <w:rStyle w:val="SubtleEmphasis"/>
          <w:b w:val="0"/>
          <w:sz w:val="22"/>
        </w:rPr>
      </w:pPr>
      <w:r w:rsidRPr="0064701F">
        <w:rPr>
          <w:rStyle w:val="SubtleEmphasis"/>
          <w:b w:val="0"/>
          <w:sz w:val="22"/>
        </w:rPr>
        <w:t>ESMA will consider all responses received by 28 September 2017.</w:t>
      </w:r>
    </w:p>
    <w:p w14:paraId="4B144EBE" w14:textId="77777777" w:rsidR="007D2B2C" w:rsidRPr="0064701F" w:rsidRDefault="007D2B2C" w:rsidP="007D2B2C">
      <w:pPr>
        <w:spacing w:after="120"/>
        <w:jc w:val="both"/>
        <w:rPr>
          <w:rStyle w:val="SubtleEmphasis"/>
          <w:sz w:val="22"/>
        </w:rPr>
      </w:pPr>
      <w:r w:rsidRPr="0064701F">
        <w:rPr>
          <w:rStyle w:val="SubtleEmphasis"/>
          <w:sz w:val="22"/>
        </w:rPr>
        <w:t>Instructions</w:t>
      </w:r>
    </w:p>
    <w:p w14:paraId="651D9B13" w14:textId="77777777" w:rsidR="007D2B2C" w:rsidRPr="0064701F" w:rsidRDefault="007D2B2C" w:rsidP="007D2B2C">
      <w:pPr>
        <w:spacing w:after="240"/>
        <w:jc w:val="both"/>
        <w:rPr>
          <w:rStyle w:val="SubtleEmphasis"/>
          <w:b w:val="0"/>
          <w:sz w:val="22"/>
        </w:rPr>
      </w:pPr>
      <w:r w:rsidRPr="0064701F">
        <w:rPr>
          <w:rStyle w:val="SubtleEmphasis"/>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Insert your responses to the questions in the Consultation Paper in the form “Response form_Consultation Paper on format and content</w:t>
      </w:r>
      <w:r w:rsidR="00D97B41" w:rsidRPr="0064701F">
        <w:rPr>
          <w:rStyle w:val="SubtleEmphasis"/>
          <w:b w:val="0"/>
          <w:sz w:val="22"/>
        </w:rPr>
        <w:t xml:space="preserve"> of the prospectus</w:t>
      </w:r>
      <w:r w:rsidRPr="0064701F">
        <w:rPr>
          <w:rStyle w:val="SubtleEmphasis"/>
          <w:b w:val="0"/>
          <w:sz w:val="22"/>
        </w:rPr>
        <w:t>”, available on ESMA’s website alongside the present Consultation Paper (</w:t>
      </w:r>
      <w:hyperlink r:id="rId17" w:history="1">
        <w:r w:rsidRPr="0064701F">
          <w:rPr>
            <w:rStyle w:val="Hyperlink"/>
            <w:sz w:val="22"/>
          </w:rPr>
          <w:t>www.esma.europa.eu</w:t>
        </w:r>
      </w:hyperlink>
      <w:r w:rsidRPr="0064701F">
        <w:rPr>
          <w:rStyle w:val="SubtleEmphasis"/>
          <w:b w:val="0"/>
          <w:sz w:val="22"/>
        </w:rPr>
        <w:t xml:space="preserve"> </w:t>
      </w:r>
      <w:r w:rsidRPr="0064701F">
        <w:rPr>
          <w:rStyle w:val="SubtleEmphasis"/>
          <w:b w:val="0"/>
          <w:sz w:val="22"/>
        </w:rPr>
        <w:sym w:font="Wingdings" w:char="F0E0"/>
      </w:r>
      <w:r w:rsidRPr="0064701F">
        <w:rPr>
          <w:rStyle w:val="SubtleEmphasis"/>
          <w:b w:val="0"/>
          <w:sz w:val="22"/>
        </w:rPr>
        <w:t xml:space="preserve">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w:t>
      </w:r>
      <w:r w:rsidRPr="0064701F">
        <w:rPr>
          <w:rStyle w:val="SubtleEmphasis"/>
          <w:b w:val="0"/>
          <w:sz w:val="22"/>
        </w:rPr>
        <w:t>u</w:t>
      </w:r>
      <w:r w:rsidRPr="0064701F">
        <w:rPr>
          <w:rStyle w:val="SubtleEmphasis"/>
          <w:b w:val="0"/>
          <w:sz w:val="22"/>
        </w:rPr>
        <w:t>lation’).</w:t>
      </w:r>
    </w:p>
    <w:p w14:paraId="2B102F83"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When you have drafted your response, name your response form according to the follo</w:t>
      </w:r>
      <w:r w:rsidRPr="0064701F">
        <w:rPr>
          <w:rStyle w:val="SubtleEmphasis"/>
          <w:b w:val="0"/>
          <w:sz w:val="22"/>
        </w:rPr>
        <w:t>w</w:t>
      </w:r>
      <w:r w:rsidRPr="0064701F">
        <w:rPr>
          <w:rStyle w:val="SubtleEmphasis"/>
          <w:b w:val="0"/>
          <w:sz w:val="22"/>
        </w:rPr>
        <w:t>ing convention: ESMA_FAC_nameofrespondent_RESPONSEFORM. For example, for a respondent named ABCD, the response form would be entitled E</w:t>
      </w:r>
      <w:r w:rsidRPr="0064701F">
        <w:rPr>
          <w:rStyle w:val="SubtleEmphasis"/>
          <w:b w:val="0"/>
          <w:sz w:val="22"/>
        </w:rPr>
        <w:t>S</w:t>
      </w:r>
      <w:r w:rsidRPr="0064701F">
        <w:rPr>
          <w:rStyle w:val="SubtleEmphasis"/>
          <w:b w:val="0"/>
          <w:sz w:val="22"/>
        </w:rPr>
        <w:t>MA_FAC_ABCD_RESPONSEFORM.</w:t>
      </w:r>
    </w:p>
    <w:p w14:paraId="1B897ED2" w14:textId="7DB53F01"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 xml:space="preserve">Upload the form containing your responses, </w:t>
      </w:r>
      <w:r w:rsidRPr="0064701F">
        <w:rPr>
          <w:rStyle w:val="SubtleEmphasis"/>
          <w:b w:val="0"/>
          <w:sz w:val="22"/>
          <w:u w:val="single"/>
        </w:rPr>
        <w:t>in Word format</w:t>
      </w:r>
      <w:r w:rsidRPr="0064701F">
        <w:rPr>
          <w:rStyle w:val="SubtleEmphasis"/>
          <w:b w:val="0"/>
          <w:sz w:val="22"/>
        </w:rPr>
        <w:t>, to ESMA’s website (</w:t>
      </w:r>
      <w:hyperlink r:id="rId18" w:history="1">
        <w:r w:rsidR="00504505" w:rsidRPr="0064701F">
          <w:rPr>
            <w:rStyle w:val="Hyperlink"/>
            <w:sz w:val="22"/>
          </w:rPr>
          <w:t>www.esma.europa.eu</w:t>
        </w:r>
      </w:hyperlink>
      <w:r w:rsidRPr="0064701F">
        <w:rPr>
          <w:rStyle w:val="SubtleEmphasis"/>
          <w:b w:val="0"/>
          <w:sz w:val="22"/>
        </w:rPr>
        <w:t xml:space="preserve"> under the heading ‘Your input – Open consultations’ </w:t>
      </w:r>
      <w:r w:rsidRPr="0064701F">
        <w:rPr>
          <w:rStyle w:val="SubtleEmphasis"/>
          <w:b w:val="0"/>
          <w:sz w:val="22"/>
        </w:rPr>
        <w:sym w:font="Wingdings" w:char="F0E0"/>
      </w:r>
      <w:r w:rsidRPr="0064701F">
        <w:rPr>
          <w:rStyle w:val="SubtleEmphasis"/>
          <w:b w:val="0"/>
          <w:sz w:val="22"/>
        </w:rPr>
        <w:t xml:space="preserve"> ‘Consult</w:t>
      </w:r>
      <w:r w:rsidRPr="0064701F">
        <w:rPr>
          <w:rStyle w:val="SubtleEmphasis"/>
          <w:b w:val="0"/>
          <w:sz w:val="22"/>
        </w:rPr>
        <w:t>a</w:t>
      </w:r>
      <w:r w:rsidRPr="0064701F">
        <w:rPr>
          <w:rStyle w:val="SubtleEmphasis"/>
          <w:b w:val="0"/>
          <w:sz w:val="22"/>
        </w:rPr>
        <w:t>tion on technical advice under the new Prospectus Regulation’).</w:t>
      </w:r>
    </w:p>
    <w:p w14:paraId="04D2F969"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Publication of responses</w:t>
      </w:r>
    </w:p>
    <w:p w14:paraId="2CB6F0AF"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All contributions received will be published following the close of the consultation, unless you request otherwise. </w:t>
      </w:r>
      <w:r w:rsidRPr="0064701F">
        <w:rPr>
          <w:rStyle w:val="SubtleEmphasis"/>
          <w:b w:val="0"/>
          <w:sz w:val="22"/>
          <w:u w:val="single"/>
          <w:lang w:eastAsia="en-GB"/>
        </w:rPr>
        <w:t>Please clearly indicate by ticking the appropriate checkbox on the website submission page if you do not wish your contribution to be publicly disclosed.</w:t>
      </w:r>
      <w:r w:rsidRPr="0064701F">
        <w:rPr>
          <w:rStyle w:val="SubtleEmphasis"/>
          <w:b w:val="0"/>
          <w:sz w:val="22"/>
          <w:lang w:eastAsia="en-GB"/>
        </w:rPr>
        <w:t xml:space="preserve"> A standard conf</w:t>
      </w:r>
      <w:r w:rsidRPr="0064701F">
        <w:rPr>
          <w:rStyle w:val="SubtleEmphasis"/>
          <w:b w:val="0"/>
          <w:sz w:val="22"/>
          <w:lang w:eastAsia="en-GB"/>
        </w:rPr>
        <w:t>i</w:t>
      </w:r>
      <w:r w:rsidRPr="0064701F">
        <w:rPr>
          <w:rStyle w:val="SubtleEmphasis"/>
          <w:b w:val="0"/>
          <w:sz w:val="22"/>
          <w:lang w:eastAsia="en-GB"/>
        </w:rPr>
        <w:t xml:space="preserve">dentiality statement in an email message will not be treated as a request for non-disclosure. A confidential response may be requested from us in accordance with ESMA’s rules on access to </w:t>
      </w:r>
      <w:r w:rsidRPr="0064701F">
        <w:rPr>
          <w:rStyle w:val="SubtleEmphasis"/>
          <w:b w:val="0"/>
          <w:sz w:val="22"/>
          <w:lang w:eastAsia="en-GB"/>
        </w:rPr>
        <w:lastRenderedPageBreak/>
        <w:t>documents. We may consult you if we receive such a request. Any decision we make not to disclose the response is reviewable by ESMA’s Board of Appeal and the European Ombud</w:t>
      </w:r>
      <w:r w:rsidRPr="0064701F">
        <w:rPr>
          <w:rStyle w:val="SubtleEmphasis"/>
          <w:b w:val="0"/>
          <w:sz w:val="22"/>
          <w:lang w:eastAsia="en-GB"/>
        </w:rPr>
        <w:t>s</w:t>
      </w:r>
      <w:r w:rsidRPr="0064701F">
        <w:rPr>
          <w:rStyle w:val="SubtleEmphasis"/>
          <w:b w:val="0"/>
          <w:sz w:val="22"/>
          <w:lang w:eastAsia="en-GB"/>
        </w:rPr>
        <w:t>man.</w:t>
      </w:r>
    </w:p>
    <w:p w14:paraId="013C449E"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Data protection</w:t>
      </w:r>
    </w:p>
    <w:p w14:paraId="0021091D"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Information on data protection can be found at </w:t>
      </w:r>
      <w:hyperlink r:id="rId19" w:history="1">
        <w:r w:rsidRPr="0064701F">
          <w:rPr>
            <w:rStyle w:val="Hyperlink"/>
            <w:rFonts w:cs="Arial"/>
            <w:sz w:val="22"/>
            <w:lang w:eastAsia="en-GB"/>
          </w:rPr>
          <w:t>www.esma.europa.eu</w:t>
        </w:r>
      </w:hyperlink>
      <w:r w:rsidRPr="0064701F">
        <w:rPr>
          <w:rStyle w:val="SubtleEmphasis"/>
          <w:b w:val="0"/>
          <w:sz w:val="22"/>
          <w:lang w:eastAsia="en-GB"/>
        </w:rPr>
        <w:t xml:space="preserve"> under the heading ‘Data  protection’.</w:t>
      </w:r>
    </w:p>
    <w:p w14:paraId="0E675B5B"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64701F">
        <w:rPr>
          <w:rStyle w:val="SubtleEmphasis"/>
          <w:b w:val="0"/>
          <w:sz w:val="22"/>
          <w:lang w:eastAsia="en-GB"/>
        </w:rPr>
        <w:t>i</w:t>
      </w:r>
      <w:r w:rsidRPr="0064701F">
        <w:rPr>
          <w:rStyle w:val="SubtleEmphasis"/>
          <w:b w:val="0"/>
          <w:sz w:val="22"/>
          <w:lang w:eastAsia="en-GB"/>
        </w:rPr>
        <w:t>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069E4F84" w:rsidR="00B327E9" w:rsidRPr="00AB6D88" w:rsidRDefault="008C46E4" w:rsidP="0062781C">
                <w:pPr>
                  <w:rPr>
                    <w:rStyle w:val="PlaceholderText"/>
                    <w:rFonts w:cs="Arial"/>
                  </w:rPr>
                </w:pPr>
                <w:r>
                  <w:rPr>
                    <w:rStyle w:val="PlaceholderText"/>
                    <w:rFonts w:cs="Arial"/>
                  </w:rPr>
                  <w:t xml:space="preserve">The </w:t>
                </w:r>
                <w:r w:rsidR="0062781C">
                  <w:rPr>
                    <w:rStyle w:val="PlaceholderText"/>
                    <w:rFonts w:cs="Arial"/>
                  </w:rPr>
                  <w:t xml:space="preserve">Irish Stock Exchange </w:t>
                </w:r>
                <w:proofErr w:type="spellStart"/>
                <w:r w:rsidR="0062781C">
                  <w:rPr>
                    <w:rStyle w:val="PlaceholderText"/>
                    <w:rFonts w:cs="Arial"/>
                  </w:rPr>
                  <w:t>plc</w:t>
                </w:r>
                <w:proofErr w:type="spellEnd"/>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1CB2F54C" w:rsidR="00B327E9" w:rsidRPr="00AB6D88" w:rsidRDefault="00DF4DB4"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2781C">
                  <w:rPr>
                    <w:rFonts w:cs="Arial"/>
                  </w:rPr>
                  <w:t>Regulated markets/Exchanges/Trading Systems</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A59083D" w:rsidR="00B327E9" w:rsidRPr="00AB6D88" w:rsidRDefault="0062781C" w:rsidP="00504505">
                <w:pPr>
                  <w:rPr>
                    <w:rFonts w:cs="Arial"/>
                  </w:rPr>
                </w:pPr>
                <w:r>
                  <w:rPr>
                    <w:rFonts w:cs="Arial"/>
                  </w:rPr>
                  <w:t>Ireland</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1D47A5">
        <w:rPr>
          <w:rStyle w:val="IntenseEmphasis"/>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5A318717" w14:textId="342B581C" w:rsidR="008608D1" w:rsidRPr="008608D1" w:rsidRDefault="008608D1" w:rsidP="00CC79A2">
      <w:pPr>
        <w:spacing w:after="160" w:line="259" w:lineRule="auto"/>
        <w:jc w:val="both"/>
        <w:rPr>
          <w:rFonts w:cs="Arial"/>
          <w:bCs/>
          <w:szCs w:val="20"/>
        </w:rPr>
      </w:pPr>
      <w:permStart w:id="1937050393" w:edGrp="everyone"/>
      <w:r w:rsidRPr="008608D1">
        <w:rPr>
          <w:rFonts w:cs="Arial"/>
          <w:bCs/>
          <w:szCs w:val="20"/>
        </w:rPr>
        <w:t xml:space="preserve">The Irish Stock Exchange (ISE) welcomes the opportunity to respond to ESMA’s Consultation </w:t>
      </w:r>
      <w:r w:rsidRPr="008608D1">
        <w:rPr>
          <w:rFonts w:eastAsiaTheme="minorHAnsi" w:cs="Arial"/>
          <w:bCs/>
          <w:szCs w:val="20"/>
        </w:rPr>
        <w:t>Paper</w:t>
      </w:r>
      <w:r w:rsidRPr="008608D1">
        <w:rPr>
          <w:rFonts w:cs="Arial"/>
          <w:bCs/>
          <w:szCs w:val="20"/>
        </w:rPr>
        <w:t xml:space="preserve"> </w:t>
      </w:r>
      <w:r>
        <w:rPr>
          <w:rFonts w:cs="Arial"/>
          <w:bCs/>
          <w:szCs w:val="20"/>
        </w:rPr>
        <w:t>on the format and the content of the prospectus</w:t>
      </w:r>
      <w:r w:rsidRPr="008608D1">
        <w:rPr>
          <w:rFonts w:cs="Arial"/>
          <w:bCs/>
          <w:szCs w:val="20"/>
        </w:rPr>
        <w:t>.</w:t>
      </w:r>
    </w:p>
    <w:p w14:paraId="5BCB0FF2" w14:textId="18070219" w:rsidR="008608D1" w:rsidRDefault="008608D1" w:rsidP="00B327E9">
      <w:pPr>
        <w:rPr>
          <w:rFonts w:cs="Arial"/>
          <w:bCs/>
          <w:szCs w:val="20"/>
        </w:rPr>
      </w:pPr>
      <w:r w:rsidRPr="008608D1">
        <w:rPr>
          <w:rFonts w:cs="Arial"/>
          <w:bCs/>
          <w:szCs w:val="20"/>
        </w:rPr>
        <w:t xml:space="preserve">The ISE operates the regulated market (Main Securities Market) in Ireland on which equity securities, government bonds, collective investment undertakings and debt securities are admitted.   The ISE also operates three multilateral trading facilities, the Enterprise Securities Market, the Atlantic Securities Market and the Global Exchange Market.  At the end of </w:t>
      </w:r>
      <w:r>
        <w:rPr>
          <w:rFonts w:cs="Arial"/>
          <w:bCs/>
          <w:szCs w:val="20"/>
        </w:rPr>
        <w:t xml:space="preserve">August 2017, the ISE had </w:t>
      </w:r>
      <w:r w:rsidR="009E3569">
        <w:rPr>
          <w:rFonts w:cs="Arial"/>
          <w:bCs/>
          <w:szCs w:val="20"/>
        </w:rPr>
        <w:t>53</w:t>
      </w:r>
      <w:r>
        <w:rPr>
          <w:rFonts w:cs="Arial"/>
          <w:bCs/>
          <w:szCs w:val="20"/>
        </w:rPr>
        <w:t xml:space="preserve"> equity securities, </w:t>
      </w:r>
      <w:r w:rsidR="009E3569">
        <w:rPr>
          <w:rFonts w:cs="Arial"/>
          <w:bCs/>
          <w:szCs w:val="20"/>
        </w:rPr>
        <w:t>5,468</w:t>
      </w:r>
      <w:r>
        <w:rPr>
          <w:rFonts w:cs="Arial"/>
          <w:bCs/>
          <w:szCs w:val="20"/>
        </w:rPr>
        <w:t xml:space="preserve"> classes of investment funds and </w:t>
      </w:r>
      <w:r w:rsidR="009E3569">
        <w:rPr>
          <w:rFonts w:cs="Arial"/>
          <w:bCs/>
          <w:szCs w:val="20"/>
        </w:rPr>
        <w:t>30,452</w:t>
      </w:r>
      <w:r>
        <w:rPr>
          <w:rFonts w:cs="Arial"/>
          <w:bCs/>
          <w:szCs w:val="20"/>
        </w:rPr>
        <w:t xml:space="preserve"> non-equity securities listed on its markets.</w:t>
      </w:r>
    </w:p>
    <w:permEnd w:id="1937050393"/>
    <w:p w14:paraId="03F5FFC5" w14:textId="182F9121"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55"/>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0B0E0D30" w14:textId="6F3BACFA" w:rsidR="00357C60" w:rsidRDefault="00CC79A2" w:rsidP="00357C60">
      <w:pPr>
        <w:rPr>
          <w:rFonts w:cs="Arial"/>
        </w:rPr>
      </w:pPr>
      <w:permStart w:id="822574933" w:edGrp="everyone"/>
      <w:r>
        <w:rPr>
          <w:rFonts w:cs="Arial"/>
        </w:rPr>
        <w:t>We question whether there is a need for a mandatory ‘cover note’ requirement.  Issuers tend to include pages up-front in the prospectus of this nature in any event.  If there is a mandatory cover note requir</w:t>
      </w:r>
      <w:r>
        <w:rPr>
          <w:rFonts w:cs="Arial"/>
        </w:rPr>
        <w:t>e</w:t>
      </w:r>
      <w:r>
        <w:rPr>
          <w:rFonts w:cs="Arial"/>
        </w:rPr>
        <w:t>ment, w</w:t>
      </w:r>
      <w:r w:rsidR="007124BC">
        <w:rPr>
          <w:rFonts w:cs="Arial"/>
        </w:rPr>
        <w:t>e consider that the length of the cover note should not be restricted to 3 pages.  For some comp</w:t>
      </w:r>
      <w:r w:rsidR="007124BC">
        <w:rPr>
          <w:rFonts w:cs="Arial"/>
        </w:rPr>
        <w:t>a</w:t>
      </w:r>
      <w:r w:rsidR="007124BC">
        <w:rPr>
          <w:rFonts w:cs="Arial"/>
        </w:rPr>
        <w:t>nies, 3 pages will be sufficient whereas for others 3 pages may be too short.  Therefore, we suggest using 3 pages as a guide but not imposing a restriction on the maximum length of the cover note.</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w:t>
      </w:r>
      <w:r w:rsidRPr="0064701F">
        <w:rPr>
          <w:rFonts w:ascii="Arial" w:hAnsi="Arial" w:cs="Arial"/>
        </w:rPr>
        <w:t>s</w:t>
      </w:r>
      <w:r w:rsidRPr="0064701F">
        <w:rPr>
          <w:rFonts w:ascii="Arial" w:hAnsi="Arial" w:cs="Arial"/>
        </w:rPr>
        <w:t>es? Would this imply any material cost for issuers? If yes, please provide an est</w:t>
      </w:r>
      <w:r w:rsidRPr="0064701F">
        <w:rPr>
          <w:rFonts w:ascii="Arial" w:hAnsi="Arial" w:cs="Arial"/>
        </w:rPr>
        <w:t>i</w:t>
      </w:r>
      <w:r w:rsidRPr="0064701F">
        <w:rPr>
          <w:rFonts w:ascii="Arial" w:hAnsi="Arial" w:cs="Arial"/>
        </w:rPr>
        <w:t>mate of such cost.</w:t>
      </w:r>
    </w:p>
    <w:p w14:paraId="1681FD7D" w14:textId="77777777" w:rsidR="00357C60" w:rsidRDefault="00357C60" w:rsidP="00357C60">
      <w:pPr>
        <w:rPr>
          <w:rFonts w:cs="Arial"/>
        </w:rPr>
      </w:pPr>
      <w:r>
        <w:rPr>
          <w:rFonts w:cs="Arial"/>
        </w:rPr>
        <w:t>&lt;ESMA_QUESTION_FAC_2&gt;</w:t>
      </w:r>
    </w:p>
    <w:p w14:paraId="13E64FCC" w14:textId="10A20FFC" w:rsidR="00357C60" w:rsidRDefault="007124BC" w:rsidP="00357C60">
      <w:pPr>
        <w:rPr>
          <w:rFonts w:cs="Arial"/>
        </w:rPr>
      </w:pPr>
      <w:permStart w:id="1777273275" w:edGrp="everyone"/>
      <w:r>
        <w:rPr>
          <w:rFonts w:cs="Arial"/>
        </w:rPr>
        <w:t xml:space="preserve">We consider that the base prospectus should not contain a section on ‘how to use the </w:t>
      </w:r>
      <w:proofErr w:type="gramStart"/>
      <w:r>
        <w:rPr>
          <w:rFonts w:cs="Arial"/>
        </w:rPr>
        <w:t>prospectus’</w:t>
      </w:r>
      <w:proofErr w:type="gramEnd"/>
      <w:r>
        <w:rPr>
          <w:rFonts w:cs="Arial"/>
        </w:rPr>
        <w:t xml:space="preserve">.  The financial intermediaries selling securities to retail investors are best placed to explain to investors how to use a base prospectus.  </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3A7F17A1" w14:textId="77777777" w:rsidR="00526FD2" w:rsidRDefault="007124BC" w:rsidP="00357C60">
      <w:pPr>
        <w:rPr>
          <w:rFonts w:cs="Arial"/>
        </w:rPr>
      </w:pPr>
      <w:permStart w:id="230376365" w:edGrp="everyone"/>
      <w:r>
        <w:rPr>
          <w:rFonts w:cs="Arial"/>
        </w:rPr>
        <w:t>We consider that issuers should be free to determine the most appropriate place to position the risk fa</w:t>
      </w:r>
      <w:r>
        <w:rPr>
          <w:rFonts w:cs="Arial"/>
        </w:rPr>
        <w:t>c</w:t>
      </w:r>
      <w:r>
        <w:rPr>
          <w:rFonts w:cs="Arial"/>
        </w:rPr>
        <w:t>tors section in the prospectus and that the exact position of the risk factors should not be set out in legisl</w:t>
      </w:r>
      <w:r>
        <w:rPr>
          <w:rFonts w:cs="Arial"/>
        </w:rPr>
        <w:t>a</w:t>
      </w:r>
      <w:r>
        <w:rPr>
          <w:rFonts w:cs="Arial"/>
        </w:rPr>
        <w:t>tion.  Although prospectuses tend to follow a</w:t>
      </w:r>
      <w:r w:rsidR="00526FD2">
        <w:rPr>
          <w:rFonts w:cs="Arial"/>
        </w:rPr>
        <w:t xml:space="preserve"> broadly</w:t>
      </w:r>
      <w:r>
        <w:rPr>
          <w:rFonts w:cs="Arial"/>
        </w:rPr>
        <w:t xml:space="preserve"> similar format, issuers </w:t>
      </w:r>
      <w:r w:rsidR="00526FD2">
        <w:rPr>
          <w:rFonts w:cs="Arial"/>
        </w:rPr>
        <w:t>are best placed to decide on the most appropriate position of the risk factors relative to all of the other information contained in the prospectus.</w:t>
      </w:r>
    </w:p>
    <w:permEnd w:id="230376365"/>
    <w:p w14:paraId="670FE40D" w14:textId="38BA57F3"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benefit from a more flexible order of information than a prospe</w:t>
      </w:r>
      <w:r w:rsidRPr="0064701F">
        <w:rPr>
          <w:rFonts w:ascii="Arial" w:hAnsi="Arial" w:cs="Arial"/>
        </w:rPr>
        <w:t>c</w:t>
      </w:r>
      <w:r w:rsidRPr="0064701F">
        <w:rPr>
          <w:rFonts w:ascii="Arial" w:hAnsi="Arial" w:cs="Arial"/>
        </w:rPr>
        <w:t>tus?</w:t>
      </w:r>
    </w:p>
    <w:p w14:paraId="4446EA6D" w14:textId="77777777" w:rsidR="00357C60" w:rsidRDefault="00357C60" w:rsidP="00357C60">
      <w:pPr>
        <w:rPr>
          <w:rFonts w:cs="Arial"/>
        </w:rPr>
      </w:pPr>
      <w:r>
        <w:rPr>
          <w:rFonts w:cs="Arial"/>
        </w:rPr>
        <w:t>&lt;ESMA_QUESTION_FAC_4&gt;</w:t>
      </w:r>
    </w:p>
    <w:p w14:paraId="6F9C200D" w14:textId="77777777" w:rsidR="00357C60" w:rsidRDefault="00357C60" w:rsidP="00357C60">
      <w:pPr>
        <w:rPr>
          <w:rFonts w:cs="Arial"/>
        </w:rPr>
      </w:pPr>
      <w:permStart w:id="780303849" w:edGrp="everyone"/>
      <w:r>
        <w:rPr>
          <w:rFonts w:cs="Arial"/>
        </w:rPr>
        <w:t>TYPE YOUR TEXT HERE</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55"/>
        </w:numPr>
        <w:rPr>
          <w:rFonts w:ascii="Arial" w:hAnsi="Arial" w:cs="Arial"/>
        </w:rPr>
      </w:pPr>
      <w:r>
        <w:t xml:space="preserve">: </w:t>
      </w:r>
      <w:r w:rsidRPr="0064701F">
        <w:rPr>
          <w:rFonts w:ascii="Arial" w:hAnsi="Arial" w:cs="Arial"/>
        </w:rPr>
        <w:t>Would a standalone and prominent use of proceeds section be welcome for i</w:t>
      </w:r>
      <w:r w:rsidRPr="0064701F">
        <w:rPr>
          <w:rFonts w:ascii="Arial" w:hAnsi="Arial" w:cs="Arial"/>
        </w:rPr>
        <w:t>n</w:t>
      </w:r>
      <w:r w:rsidRPr="0064701F">
        <w:rPr>
          <w:rFonts w:ascii="Arial" w:hAnsi="Arial" w:cs="Arial"/>
        </w:rPr>
        <w:t>vestors?</w:t>
      </w:r>
    </w:p>
    <w:p w14:paraId="5786614F" w14:textId="77777777" w:rsidR="00357C60" w:rsidRDefault="00357C60" w:rsidP="00357C60">
      <w:pPr>
        <w:rPr>
          <w:rFonts w:cs="Arial"/>
        </w:rPr>
      </w:pPr>
      <w:r>
        <w:rPr>
          <w:rFonts w:cs="Arial"/>
        </w:rPr>
        <w:t>&lt;ESMA_QUESTION_FAC_5&gt;</w:t>
      </w:r>
    </w:p>
    <w:p w14:paraId="594FF7CD" w14:textId="7E282989" w:rsidR="00357C60" w:rsidRDefault="00250546" w:rsidP="00357C60">
      <w:pPr>
        <w:rPr>
          <w:rFonts w:cs="Arial"/>
        </w:rPr>
      </w:pPr>
      <w:permStart w:id="939810803" w:edGrp="everyone"/>
      <w:r>
        <w:rPr>
          <w:rFonts w:cs="Arial"/>
        </w:rPr>
        <w:t xml:space="preserve">Although the use of proceeds section is very important for investors, we have a slight concern that a standalone section </w:t>
      </w:r>
      <w:r w:rsidR="003F3C15">
        <w:rPr>
          <w:rFonts w:cs="Arial"/>
        </w:rPr>
        <w:t>might</w:t>
      </w:r>
      <w:r>
        <w:rPr>
          <w:rFonts w:cs="Arial"/>
        </w:rPr>
        <w:t xml:space="preserve"> give it too much prominence over other important sections and disclosures in the prospectus.</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7777777" w:rsidR="00357C60" w:rsidRDefault="00357C60" w:rsidP="00357C60">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Are the definitions proposed to be carried over to the new regime, and new defin</w:t>
      </w:r>
      <w:r w:rsidRPr="0064701F">
        <w:rPr>
          <w:rFonts w:ascii="Arial" w:hAnsi="Arial" w:cs="Arial"/>
        </w:rPr>
        <w:t>i</w:t>
      </w:r>
      <w:r w:rsidRPr="0064701F">
        <w:rPr>
          <w:rFonts w:ascii="Arial" w:hAnsi="Arial" w:cs="Arial"/>
        </w:rPr>
        <w:t>tions proposed adequate? Should any additional definitions be added?</w:t>
      </w:r>
    </w:p>
    <w:p w14:paraId="7C672EA5" w14:textId="77777777" w:rsidR="00357C60" w:rsidRDefault="00357C60" w:rsidP="00357C60">
      <w:pPr>
        <w:rPr>
          <w:rFonts w:cs="Arial"/>
        </w:rPr>
      </w:pPr>
      <w:r>
        <w:rPr>
          <w:rFonts w:cs="Arial"/>
        </w:rPr>
        <w:t>&lt;ESMA_QUESTION_FAC_7&gt;</w:t>
      </w:r>
    </w:p>
    <w:p w14:paraId="1D7571F2" w14:textId="77777777" w:rsidR="00357C60" w:rsidRDefault="00357C60" w:rsidP="00357C60">
      <w:pPr>
        <w:rPr>
          <w:rFonts w:cs="Arial"/>
        </w:rPr>
      </w:pPr>
      <w:permStart w:id="793653218" w:edGrp="everyone"/>
      <w:r>
        <w:rPr>
          <w:rFonts w:cs="Arial"/>
        </w:rPr>
        <w:t>TYPE YOUR TEXT HERE</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w:t>
      </w:r>
      <w:r w:rsidRPr="0064701F">
        <w:rPr>
          <w:rFonts w:ascii="Arial" w:hAnsi="Arial" w:cs="Arial"/>
        </w:rPr>
        <w:t>a</w:t>
      </w:r>
      <w:r w:rsidRPr="0064701F">
        <w:rPr>
          <w:rFonts w:ascii="Arial" w:hAnsi="Arial" w:cs="Arial"/>
        </w:rPr>
        <w:t>ture (one-off vs. ongoing costs).</w:t>
      </w:r>
    </w:p>
    <w:p w14:paraId="1ED440F7" w14:textId="77777777" w:rsidR="00357C60" w:rsidRDefault="00357C60" w:rsidP="00357C60">
      <w:pPr>
        <w:rPr>
          <w:rFonts w:cs="Arial"/>
        </w:rPr>
      </w:pPr>
      <w:r>
        <w:rPr>
          <w:rFonts w:cs="Arial"/>
        </w:rPr>
        <w:t>&lt;ESMA_QUESTION_FAC_8&gt;</w:t>
      </w:r>
    </w:p>
    <w:p w14:paraId="4FCD1062" w14:textId="0619742D" w:rsidR="00357C60" w:rsidRDefault="00250546" w:rsidP="00357C60">
      <w:pPr>
        <w:rPr>
          <w:rFonts w:cs="Arial"/>
        </w:rPr>
      </w:pPr>
      <w:permStart w:id="510986610" w:edGrp="everyone"/>
      <w:r>
        <w:rPr>
          <w:rFonts w:cs="Arial"/>
        </w:rPr>
        <w:t>As highlighted in our responses to specific questions, the requirement in a number of disclosure</w:t>
      </w:r>
      <w:r w:rsidR="003F3C15">
        <w:rPr>
          <w:rFonts w:cs="Arial"/>
        </w:rPr>
        <w:t xml:space="preserve"> item</w:t>
      </w:r>
      <w:r>
        <w:rPr>
          <w:rFonts w:cs="Arial"/>
        </w:rPr>
        <w:t>s for issuers to publish information on their website does not take into account that certain types of issuers, such as special purpose vehicles, typically do not have a website.  Therefore, we consider that the rel</w:t>
      </w:r>
      <w:r>
        <w:rPr>
          <w:rFonts w:cs="Arial"/>
        </w:rPr>
        <w:t>e</w:t>
      </w:r>
      <w:r>
        <w:rPr>
          <w:rFonts w:cs="Arial"/>
        </w:rPr>
        <w:t>vant disclosure requirement</w:t>
      </w:r>
      <w:r w:rsidR="00F0109F">
        <w:rPr>
          <w:rFonts w:cs="Arial"/>
        </w:rPr>
        <w:t xml:space="preserve"> </w:t>
      </w:r>
      <w:r>
        <w:rPr>
          <w:rFonts w:cs="Arial"/>
        </w:rPr>
        <w:t xml:space="preserve">should </w:t>
      </w:r>
      <w:r w:rsidR="00F0109F">
        <w:rPr>
          <w:rFonts w:cs="Arial"/>
        </w:rPr>
        <w:t>permit information to be provided on the website of a third party</w:t>
      </w:r>
      <w:r>
        <w:rPr>
          <w:rFonts w:cs="Arial"/>
        </w:rPr>
        <w:t>.</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1102C9B4" w:rsidR="00357C60" w:rsidRDefault="004D0022" w:rsidP="00357C60">
      <w:pPr>
        <w:rPr>
          <w:rFonts w:cs="Arial"/>
        </w:rPr>
      </w:pPr>
      <w:permStart w:id="685058818" w:edGrp="everyone"/>
      <w:r>
        <w:rPr>
          <w:rFonts w:cs="Arial"/>
        </w:rPr>
        <w:t>Yes, this is useful information for investors.</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4438D0A3" w14:textId="1E01C644" w:rsidR="00357C60" w:rsidRDefault="002A2871" w:rsidP="00357C60">
      <w:pPr>
        <w:rPr>
          <w:rFonts w:cs="Arial"/>
        </w:rPr>
      </w:pPr>
      <w:permStart w:id="2034252493" w:edGrp="everyone"/>
      <w:r>
        <w:rPr>
          <w:rFonts w:cs="Arial"/>
        </w:rPr>
        <w:t>Yes, we agree with this proposal.</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issuers should be required to include their website a</w:t>
      </w:r>
      <w:r w:rsidRPr="0064701F">
        <w:rPr>
          <w:rFonts w:ascii="Arial" w:hAnsi="Arial" w:cs="Arial"/>
        </w:rPr>
        <w:t>d</w:t>
      </w:r>
      <w:r w:rsidRPr="0064701F">
        <w:rPr>
          <w:rFonts w:ascii="Arial" w:hAnsi="Arial" w:cs="Arial"/>
        </w:rPr>
        <w:t>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3677AD2C" w14:textId="739CA9E0" w:rsidR="009E2F08" w:rsidRDefault="009E2F08" w:rsidP="009E2F08">
      <w:pPr>
        <w:rPr>
          <w:rFonts w:cs="Arial"/>
        </w:rPr>
      </w:pPr>
      <w:permStart w:id="1800363210" w:edGrp="everyone"/>
      <w:r>
        <w:rPr>
          <w:rFonts w:cs="Arial"/>
        </w:rPr>
        <w:t>As highlighted in our responses to specific questions, the requirement in a number of disclosure</w:t>
      </w:r>
      <w:r w:rsidR="003F3C15">
        <w:rPr>
          <w:rFonts w:cs="Arial"/>
        </w:rPr>
        <w:t xml:space="preserve"> item</w:t>
      </w:r>
      <w:r>
        <w:rPr>
          <w:rFonts w:cs="Arial"/>
        </w:rPr>
        <w:t xml:space="preserve">s for issuers to publish information on their website does not take into account that certain types of issuers, </w:t>
      </w:r>
      <w:r>
        <w:rPr>
          <w:rFonts w:cs="Arial"/>
        </w:rPr>
        <w:lastRenderedPageBreak/>
        <w:t xml:space="preserve">such as special purpose vehicles, typically do not have a website.  </w:t>
      </w:r>
      <w:r w:rsidR="00F0109F">
        <w:rPr>
          <w:rFonts w:cs="Arial"/>
        </w:rPr>
        <w:t>Therefore, we consider that the rel</w:t>
      </w:r>
      <w:r w:rsidR="00F0109F">
        <w:rPr>
          <w:rFonts w:cs="Arial"/>
        </w:rPr>
        <w:t>e</w:t>
      </w:r>
      <w:r w:rsidR="00F0109F">
        <w:rPr>
          <w:rFonts w:cs="Arial"/>
        </w:rPr>
        <w:t>vant disclosure requirement should permit information to be provided on the website of a third party.</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 description of material past investments is nece</w:t>
      </w:r>
      <w:r w:rsidRPr="0064701F">
        <w:rPr>
          <w:rFonts w:ascii="Arial" w:hAnsi="Arial" w:cs="Arial"/>
        </w:rPr>
        <w:t>s</w:t>
      </w:r>
      <w:r w:rsidRPr="0064701F">
        <w:rPr>
          <w:rFonts w:ascii="Arial" w:hAnsi="Arial" w:cs="Arial"/>
        </w:rPr>
        <w:t>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5FEF6295" w:rsidR="00357C60" w:rsidRDefault="00BA4D9E" w:rsidP="00357C60">
      <w:pPr>
        <w:rPr>
          <w:rFonts w:cs="Arial"/>
        </w:rPr>
      </w:pPr>
      <w:permStart w:id="1788509601" w:edGrp="everyone"/>
      <w:r>
        <w:rPr>
          <w:rFonts w:cs="Arial"/>
        </w:rPr>
        <w:t>We consider that such a disclosure item is not necessary as the information is already contained in the historical financial information.</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w:t>
      </w:r>
      <w:r w:rsidRPr="0064701F">
        <w:rPr>
          <w:rFonts w:ascii="Arial" w:hAnsi="Arial" w:cs="Arial"/>
        </w:rPr>
        <w:t>i</w:t>
      </w:r>
      <w:r w:rsidRPr="0064701F">
        <w:rPr>
          <w:rFonts w:ascii="Arial" w:hAnsi="Arial" w:cs="Arial"/>
        </w:rPr>
        <w:t>ally reduce costs for issuers?</w:t>
      </w:r>
    </w:p>
    <w:p w14:paraId="73EF5F94" w14:textId="77777777" w:rsidR="00357C60" w:rsidRDefault="00357C60" w:rsidP="00357C60">
      <w:pPr>
        <w:rPr>
          <w:rFonts w:cs="Arial"/>
        </w:rPr>
      </w:pPr>
      <w:r>
        <w:rPr>
          <w:rFonts w:cs="Arial"/>
        </w:rPr>
        <w:t>&lt;ESMA_QUESTION_FAC_13&gt;</w:t>
      </w:r>
    </w:p>
    <w:p w14:paraId="41329625" w14:textId="217C1247" w:rsidR="00357C60" w:rsidRDefault="009E2F08" w:rsidP="00357C60">
      <w:pPr>
        <w:rPr>
          <w:rFonts w:cs="Arial"/>
        </w:rPr>
      </w:pPr>
      <w:permStart w:id="298938205" w:edGrp="everyone"/>
      <w:r>
        <w:rPr>
          <w:rFonts w:cs="Arial"/>
        </w:rPr>
        <w:t>Yes, we agree with the proposal to align to OFR requirements with the management reports required under the Accounting Directive, but would not envisage that this will result in material cost savings for issuers.</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55"/>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w:t>
      </w:r>
      <w:r w:rsidR="00357C60" w:rsidRPr="0064701F">
        <w:rPr>
          <w:rFonts w:ascii="Arial" w:hAnsi="Arial" w:cs="Arial"/>
        </w:rPr>
        <w:t>e</w:t>
      </w:r>
      <w:r w:rsidR="00357C60" w:rsidRPr="0064701F">
        <w:rPr>
          <w:rFonts w:ascii="Arial" w:hAnsi="Arial" w:cs="Arial"/>
        </w:rPr>
        <w:t>letion of the obligation to include an accountant’s or an auditor’s report for equity and retail non-equity? Please provide an estimate of the benefits for the  issuers arising from the abovementioned proposals. Would these requirements signif</w:t>
      </w:r>
      <w:r w:rsidR="00357C60" w:rsidRPr="0064701F">
        <w:rPr>
          <w:rFonts w:ascii="Arial" w:hAnsi="Arial" w:cs="Arial"/>
        </w:rPr>
        <w:t>i</w:t>
      </w:r>
      <w:r w:rsidR="00357C60" w:rsidRPr="0064701F">
        <w:rPr>
          <w:rFonts w:ascii="Arial" w:hAnsi="Arial" w:cs="Arial"/>
        </w:rPr>
        <w:t>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60D01488" w14:textId="77777777" w:rsidR="00715EEB" w:rsidRDefault="009E2F08" w:rsidP="00357C60">
      <w:pPr>
        <w:rPr>
          <w:rFonts w:cs="Arial"/>
        </w:rPr>
      </w:pPr>
      <w:permStart w:id="4075115" w:edGrp="everyone"/>
      <w:r>
        <w:rPr>
          <w:rFonts w:cs="Arial"/>
        </w:rPr>
        <w:t xml:space="preserve">We believe that </w:t>
      </w:r>
      <w:r w:rsidR="00715EEB">
        <w:rPr>
          <w:rFonts w:cs="Arial"/>
        </w:rPr>
        <w:t xml:space="preserve">there should not be a mandatory profit forecast requirement for both equity and non-equity securities.  </w:t>
      </w:r>
    </w:p>
    <w:p w14:paraId="7669DEE3" w14:textId="77777777" w:rsidR="00715EEB" w:rsidRDefault="00715EEB" w:rsidP="00357C60">
      <w:pPr>
        <w:rPr>
          <w:rFonts w:cs="Arial"/>
        </w:rPr>
      </w:pPr>
    </w:p>
    <w:p w14:paraId="7B6F3175" w14:textId="60FE8B60" w:rsidR="00357C60" w:rsidRDefault="00715EEB" w:rsidP="00357C60">
      <w:pPr>
        <w:rPr>
          <w:rFonts w:cs="Arial"/>
        </w:rPr>
      </w:pPr>
      <w:r>
        <w:rPr>
          <w:rFonts w:cs="Arial"/>
        </w:rPr>
        <w:t>For equity securities only, if an issuer chooses to include a profit forecast in its prospectus, then we co</w:t>
      </w:r>
      <w:r>
        <w:rPr>
          <w:rFonts w:cs="Arial"/>
        </w:rPr>
        <w:t>n</w:t>
      </w:r>
      <w:r>
        <w:rPr>
          <w:rFonts w:cs="Arial"/>
        </w:rPr>
        <w:t>sider that it should be accompanied by an accountant’s report.</w:t>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explain any ‘emphasis of matter’ ident</w:t>
      </w:r>
      <w:r w:rsidRPr="0064701F">
        <w:rPr>
          <w:rFonts w:ascii="Arial" w:hAnsi="Arial" w:cs="Arial"/>
        </w:rPr>
        <w:t>i</w:t>
      </w:r>
      <w:r w:rsidRPr="0064701F">
        <w:rPr>
          <w:rFonts w:ascii="Arial" w:hAnsi="Arial" w:cs="Arial"/>
        </w:rPr>
        <w:t>fied in the audit report?</w:t>
      </w:r>
    </w:p>
    <w:p w14:paraId="1C99D13E" w14:textId="77777777" w:rsidR="00357C60" w:rsidRDefault="00357C60" w:rsidP="00357C60">
      <w:pPr>
        <w:rPr>
          <w:rFonts w:cs="Arial"/>
        </w:rPr>
      </w:pPr>
      <w:r>
        <w:rPr>
          <w:rFonts w:cs="Arial"/>
        </w:rPr>
        <w:t>&lt;ESMA_QUESTION_FAC_15&gt;</w:t>
      </w:r>
    </w:p>
    <w:p w14:paraId="53FD06DF" w14:textId="10EBB73F" w:rsidR="00357C60" w:rsidRDefault="00CD6667" w:rsidP="00357C60">
      <w:pPr>
        <w:rPr>
          <w:rFonts w:cs="Arial"/>
        </w:rPr>
      </w:pPr>
      <w:permStart w:id="1289355915" w:edGrp="everyone"/>
      <w:r>
        <w:rPr>
          <w:rFonts w:cs="Arial"/>
        </w:rPr>
        <w:t xml:space="preserve">In our view, such a requirement should only apply to the extent that further explanation by the issuer is necessary for investors where the auditors’ report does not, in the issuer’s view, provide sufficient </w:t>
      </w:r>
      <w:r w:rsidR="00BA4D9E">
        <w:rPr>
          <w:rFonts w:cs="Arial"/>
        </w:rPr>
        <w:t>info</w:t>
      </w:r>
      <w:r w:rsidR="00BA4D9E">
        <w:rPr>
          <w:rFonts w:cs="Arial"/>
        </w:rPr>
        <w:t>r</w:t>
      </w:r>
      <w:r w:rsidR="00BA4D9E">
        <w:rPr>
          <w:rFonts w:cs="Arial"/>
        </w:rPr>
        <w:t>mation</w:t>
      </w:r>
      <w:r>
        <w:rPr>
          <w:rFonts w:cs="Arial"/>
        </w:rPr>
        <w:t>.</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592EA8CF" w:rsidR="00357C60" w:rsidRDefault="00CD6667" w:rsidP="00357C60">
      <w:pPr>
        <w:rPr>
          <w:rFonts w:cs="Arial"/>
        </w:rPr>
      </w:pPr>
      <w:permStart w:id="1719599276" w:edGrp="everyone"/>
      <w:r>
        <w:rPr>
          <w:rFonts w:cs="Arial"/>
        </w:rPr>
        <w:lastRenderedPageBreak/>
        <w:t>We consider this to be a sensible disclosure requirement and would not envisage it giving rise to material additional costs to issuers.</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w:t>
      </w:r>
      <w:r w:rsidRPr="0064701F">
        <w:rPr>
          <w:rFonts w:ascii="Arial" w:hAnsi="Arial" w:cs="Arial"/>
        </w:rPr>
        <w:t>s</w:t>
      </w:r>
      <w:r w:rsidRPr="0064701F">
        <w:rPr>
          <w:rFonts w:ascii="Arial" w:hAnsi="Arial" w:cs="Arial"/>
        </w:rPr>
        <w:t>tors?</w:t>
      </w:r>
    </w:p>
    <w:p w14:paraId="5722D4EF" w14:textId="77777777" w:rsidR="00357C60" w:rsidRDefault="00357C60" w:rsidP="00357C60">
      <w:pPr>
        <w:rPr>
          <w:rFonts w:cs="Arial"/>
        </w:rPr>
      </w:pPr>
      <w:r>
        <w:rPr>
          <w:rFonts w:cs="Arial"/>
        </w:rPr>
        <w:t>&lt;ESMA_QUESTION_FAC_17&gt;</w:t>
      </w:r>
    </w:p>
    <w:p w14:paraId="6E4FB2DB" w14:textId="57A6353C" w:rsidR="00357C60" w:rsidRDefault="00BA4D9E" w:rsidP="00357C60">
      <w:pPr>
        <w:rPr>
          <w:rFonts w:cs="Arial"/>
        </w:rPr>
      </w:pPr>
      <w:permStart w:id="1791062262" w:edGrp="everyone"/>
      <w:r>
        <w:rPr>
          <w:rFonts w:cs="Arial"/>
        </w:rPr>
        <w:t xml:space="preserve">We consider the wording of this proposed new disclosure item to be somewhat unclear.  If the intention is to require disclosure of any planned/agreed material changes to the </w:t>
      </w:r>
      <w:r w:rsidR="00401E05">
        <w:rPr>
          <w:rFonts w:cs="Arial"/>
        </w:rPr>
        <w:t>board and/or any of its committees, then we suggest that the wording be amended accordingly.</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clarify the requirement for restated f</w:t>
      </w:r>
      <w:r w:rsidRPr="0064701F">
        <w:rPr>
          <w:rFonts w:ascii="Arial" w:hAnsi="Arial" w:cs="Arial"/>
        </w:rPr>
        <w:t>i</w:t>
      </w:r>
      <w:r w:rsidRPr="0064701F">
        <w:rPr>
          <w:rFonts w:ascii="Arial" w:hAnsi="Arial" w:cs="Arial"/>
        </w:rPr>
        <w:t>nancial information?</w:t>
      </w:r>
    </w:p>
    <w:p w14:paraId="28A454ED" w14:textId="77777777" w:rsidR="00357C60" w:rsidRDefault="00357C60" w:rsidP="00357C60">
      <w:pPr>
        <w:rPr>
          <w:rFonts w:cs="Arial"/>
        </w:rPr>
      </w:pPr>
      <w:r>
        <w:rPr>
          <w:rFonts w:cs="Arial"/>
        </w:rPr>
        <w:t>&lt;ESMA_QUESTION_FAC_18&gt;</w:t>
      </w:r>
    </w:p>
    <w:p w14:paraId="435ADFD7" w14:textId="4AE7C432" w:rsidR="00357C60" w:rsidRDefault="00401E05" w:rsidP="00357C60">
      <w:pPr>
        <w:rPr>
          <w:rFonts w:cs="Arial"/>
        </w:rPr>
      </w:pPr>
      <w:permStart w:id="837503568" w:edGrp="everyone"/>
      <w:r>
        <w:rPr>
          <w:rFonts w:cs="Arial"/>
        </w:rPr>
        <w:t>Yes, we agree with this proposal.</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2BE65865" w:rsidR="00357C60" w:rsidRDefault="00401E05" w:rsidP="00357C60">
      <w:pPr>
        <w:rPr>
          <w:rFonts w:cs="Arial"/>
        </w:rPr>
      </w:pPr>
      <w:permStart w:id="528625861" w:edGrp="everyone"/>
      <w:r>
        <w:rPr>
          <w:rFonts w:cs="Arial"/>
        </w:rPr>
        <w:t>Yes, we agree with the proposal and do not believe that it would significantly affect the informative value of the prospectus for investors.</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w:t>
      </w:r>
      <w:r w:rsidRPr="0064701F">
        <w:rPr>
          <w:rFonts w:ascii="Arial" w:hAnsi="Arial" w:cs="Arial"/>
        </w:rPr>
        <w:t>o</w:t>
      </w:r>
      <w:r w:rsidRPr="0064701F">
        <w:rPr>
          <w:rFonts w:ascii="Arial" w:hAnsi="Arial" w:cs="Arial"/>
        </w:rPr>
        <w:t>pose.</w:t>
      </w:r>
    </w:p>
    <w:p w14:paraId="34EAC98E" w14:textId="77777777" w:rsidR="00357C60" w:rsidRDefault="00357C60" w:rsidP="00357C60">
      <w:pPr>
        <w:rPr>
          <w:rFonts w:cs="Arial"/>
        </w:rPr>
      </w:pPr>
      <w:r>
        <w:rPr>
          <w:rFonts w:cs="Arial"/>
        </w:rPr>
        <w:t>&lt;ESMA_QUESTION_FAC_20&gt;</w:t>
      </w:r>
    </w:p>
    <w:p w14:paraId="5CED25E5" w14:textId="0FA1C622" w:rsidR="00357C60" w:rsidRDefault="00401E05" w:rsidP="00357C60">
      <w:pPr>
        <w:rPr>
          <w:rFonts w:cs="Arial"/>
        </w:rPr>
      </w:pPr>
      <w:permStart w:id="1415971191" w:edGrp="everyone"/>
      <w:r>
        <w:rPr>
          <w:rFonts w:cs="Arial"/>
        </w:rPr>
        <w:t>In respect of disclosure item 12.1, second bullet, we believe that the existing significant change statement works well in practice and should remain unchanged and, consequently, that the proposed new text in disclosure item 12.1 should be deleted and the proposed deletion to item 20.1 (moved from 20.9), ‘Signif</w:t>
      </w:r>
      <w:r>
        <w:rPr>
          <w:rFonts w:cs="Arial"/>
        </w:rPr>
        <w:t>i</w:t>
      </w:r>
      <w:r>
        <w:rPr>
          <w:rFonts w:cs="Arial"/>
        </w:rPr>
        <w:t>cant change in the issuer’s financial position’, should be reversed</w:t>
      </w:r>
      <w:proofErr w:type="gramStart"/>
      <w:r>
        <w:rPr>
          <w:rFonts w:cs="Arial"/>
        </w:rPr>
        <w:t>.</w:t>
      </w:r>
      <w:permEnd w:id="1415971191"/>
      <w:r w:rsidR="00357C60">
        <w:rPr>
          <w:rFonts w:cs="Arial"/>
        </w:rPr>
        <w:t>&lt;</w:t>
      </w:r>
      <w:proofErr w:type="gramEnd"/>
      <w:r w:rsidR="00357C60">
        <w:rPr>
          <w:rFonts w:cs="Arial"/>
        </w:rPr>
        <w: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55"/>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lastRenderedPageBreak/>
        <w:t>&lt;ESMA_QUESTION_FAC_22&gt;</w:t>
      </w:r>
    </w:p>
    <w:p w14:paraId="3F411A83" w14:textId="48A8BB44" w:rsidR="00357C60" w:rsidRDefault="00761B56" w:rsidP="00357C60">
      <w:pPr>
        <w:rPr>
          <w:rFonts w:cs="Arial"/>
        </w:rPr>
      </w:pPr>
      <w:permStart w:id="551768066" w:edGrp="everyone"/>
      <w:r>
        <w:rPr>
          <w:rFonts w:cs="Arial"/>
        </w:rPr>
        <w:t>Yes, given the nature of the business of credit institutions and insurance companies, in our view a working capital statement should not be required.</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55"/>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3E9CD97E" w14:textId="6A75CC16" w:rsidR="00357C60" w:rsidRDefault="00761B56" w:rsidP="00357C60">
      <w:pPr>
        <w:rPr>
          <w:rFonts w:cs="Arial"/>
        </w:rPr>
      </w:pPr>
      <w:permStart w:id="615273621" w:edGrp="everyone"/>
      <w:r>
        <w:rPr>
          <w:rFonts w:cs="Arial"/>
        </w:rPr>
        <w:t>Yes, if a material change arises within the 90 day period, then issuers should be required to provide an update.  However, we believe that this is already captured by the disclosure item relating to ‘significant change’ (20.1 of the Share RD schedule) and, therefore does not need to be included as a standalone disclosure item.</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42DEE17A" w:rsidR="00357C60" w:rsidRDefault="00154C24" w:rsidP="00357C60">
      <w:pPr>
        <w:rPr>
          <w:rFonts w:cs="Arial"/>
        </w:rPr>
      </w:pPr>
      <w:permStart w:id="1470501143" w:edGrp="everyone"/>
      <w:r>
        <w:rPr>
          <w:rFonts w:cs="Arial"/>
        </w:rPr>
        <w:t>We consider that the proposed amendments to the dilution requirements would be useful information for investors and should not give rise to significant additional costs for issuers to prepare and disclose in the prospectus.</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information solicited by item 9.2 is important for i</w:t>
      </w:r>
      <w:r w:rsidRPr="0064701F">
        <w:rPr>
          <w:rFonts w:ascii="Arial" w:hAnsi="Arial" w:cs="Arial"/>
        </w:rPr>
        <w:t>n</w:t>
      </w:r>
      <w:r w:rsidRPr="0064701F">
        <w:rPr>
          <w:rFonts w:ascii="Arial" w:hAnsi="Arial" w:cs="Arial"/>
        </w:rPr>
        <w:t>vestors?</w:t>
      </w:r>
    </w:p>
    <w:p w14:paraId="357ABA3D" w14:textId="77777777" w:rsidR="00357C60" w:rsidRDefault="00357C60" w:rsidP="00357C60">
      <w:pPr>
        <w:rPr>
          <w:rFonts w:cs="Arial"/>
        </w:rPr>
      </w:pPr>
      <w:r>
        <w:rPr>
          <w:rFonts w:cs="Arial"/>
        </w:rPr>
        <w:t>&lt;ESMA_QUESTION_FAC_25&gt;</w:t>
      </w:r>
    </w:p>
    <w:p w14:paraId="4047959E" w14:textId="2109C2D2" w:rsidR="00357C60" w:rsidRDefault="00154C24" w:rsidP="00357C60">
      <w:pPr>
        <w:rPr>
          <w:rFonts w:cs="Arial"/>
        </w:rPr>
      </w:pPr>
      <w:permStart w:id="1625706480" w:edGrp="everyone"/>
      <w:r>
        <w:rPr>
          <w:rFonts w:cs="Arial"/>
        </w:rPr>
        <w:t>Yes, we consider this to be useful information for investors.</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w:t>
      </w:r>
      <w:r w:rsidRPr="0064701F">
        <w:rPr>
          <w:rFonts w:ascii="Arial" w:hAnsi="Arial" w:cs="Arial"/>
        </w:rPr>
        <w:t>r</w:t>
      </w:r>
      <w:r w:rsidRPr="0064701F">
        <w:rPr>
          <w:rFonts w:ascii="Arial" w:hAnsi="Arial" w:cs="Arial"/>
        </w:rPr>
        <w:t>ther changes you propose.</w:t>
      </w:r>
    </w:p>
    <w:p w14:paraId="56CFF75F" w14:textId="77777777" w:rsidR="00357C60" w:rsidRDefault="00357C60" w:rsidP="00357C60">
      <w:pPr>
        <w:rPr>
          <w:rFonts w:cs="Arial"/>
        </w:rPr>
      </w:pPr>
      <w:r>
        <w:rPr>
          <w:rFonts w:cs="Arial"/>
        </w:rPr>
        <w:t>&lt;ESMA_QUESTION_FAC_26&gt;</w:t>
      </w:r>
    </w:p>
    <w:p w14:paraId="0351DEFE" w14:textId="77777777" w:rsidR="00357C60" w:rsidRDefault="00357C60" w:rsidP="00357C60">
      <w:pPr>
        <w:rPr>
          <w:rFonts w:cs="Arial"/>
        </w:rPr>
      </w:pPr>
      <w:permStart w:id="1929457622" w:edGrp="everyone"/>
      <w:r>
        <w:rPr>
          <w:rFonts w:cs="Arial"/>
        </w:rPr>
        <w:t>TYPE YOUR TEXT HERE</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with the proposal to delete disclosure on principal inves</w:t>
      </w:r>
      <w:r w:rsidRPr="0064701F">
        <w:rPr>
          <w:rFonts w:ascii="Arial" w:hAnsi="Arial" w:cs="Arial"/>
        </w:rPr>
        <w:t>t</w:t>
      </w:r>
      <w:r w:rsidRPr="0064701F">
        <w:rPr>
          <w:rFonts w:ascii="Arial" w:hAnsi="Arial" w:cs="Arial"/>
        </w:rPr>
        <w:t>ments and replace this with a requirement to provide details on the issuer’s fun</w:t>
      </w:r>
      <w:r w:rsidRPr="0064701F">
        <w:rPr>
          <w:rFonts w:ascii="Arial" w:hAnsi="Arial" w:cs="Arial"/>
        </w:rPr>
        <w:t>d</w:t>
      </w:r>
      <w:r w:rsidRPr="0064701F">
        <w:rPr>
          <w:rFonts w:ascii="Arial" w:hAnsi="Arial" w:cs="Arial"/>
        </w:rPr>
        <w:t>ing structure and borrowing requirements? Would this significantly affect the i</w:t>
      </w:r>
      <w:r w:rsidRPr="0064701F">
        <w:rPr>
          <w:rFonts w:ascii="Arial" w:hAnsi="Arial" w:cs="Arial"/>
        </w:rPr>
        <w:t>n</w:t>
      </w:r>
      <w:r w:rsidRPr="0064701F">
        <w:rPr>
          <w:rFonts w:ascii="Arial" w:hAnsi="Arial" w:cs="Arial"/>
        </w:rPr>
        <w:t>formative value of the prospectus for investors?</w:t>
      </w:r>
    </w:p>
    <w:p w14:paraId="05E2CB91" w14:textId="77777777" w:rsidR="00357C60" w:rsidRDefault="00357C60" w:rsidP="00357C60">
      <w:pPr>
        <w:rPr>
          <w:rFonts w:cs="Arial"/>
        </w:rPr>
      </w:pPr>
      <w:r>
        <w:rPr>
          <w:rFonts w:cs="Arial"/>
        </w:rPr>
        <w:t>&lt;ESMA_QUESTION_FAC_28&gt;</w:t>
      </w:r>
    </w:p>
    <w:p w14:paraId="68A83D42" w14:textId="2BE5032F" w:rsidR="00357C60" w:rsidRDefault="00F01BD1" w:rsidP="00357C60">
      <w:pPr>
        <w:rPr>
          <w:rFonts w:cs="Arial"/>
        </w:rPr>
      </w:pPr>
      <w:permStart w:id="1528846327" w:edGrp="everyone"/>
      <w:r>
        <w:rPr>
          <w:rFonts w:cs="Arial"/>
        </w:rPr>
        <w:t xml:space="preserve">Yes, we agree with this proposal </w:t>
      </w:r>
      <w:r w:rsidR="005846FF">
        <w:rPr>
          <w:rFonts w:cs="Arial"/>
        </w:rPr>
        <w:t>to delete disclosure on principal investments.  W</w:t>
      </w:r>
      <w:r>
        <w:rPr>
          <w:rFonts w:cs="Arial"/>
        </w:rPr>
        <w:t xml:space="preserve">e consider </w:t>
      </w:r>
      <w:r w:rsidR="005846FF">
        <w:rPr>
          <w:rFonts w:cs="Arial"/>
        </w:rPr>
        <w:t>that the replacement requirements to provide details on the issuer’s funding structure and borrowing requirements should only apply where this information is material to the issuance of the securities</w:t>
      </w:r>
      <w:r>
        <w:rPr>
          <w:rFonts w:cs="Arial"/>
        </w:rPr>
        <w:t>.</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an issuer of retail non-equity should be required to i</w:t>
      </w:r>
      <w:r w:rsidRPr="0064701F">
        <w:rPr>
          <w:rFonts w:ascii="Arial" w:hAnsi="Arial" w:cs="Arial"/>
        </w:rPr>
        <w:t>n</w:t>
      </w:r>
      <w:r w:rsidRPr="0064701F">
        <w:rPr>
          <w:rFonts w:ascii="Arial" w:hAnsi="Arial" w:cs="Arial"/>
        </w:rPr>
        <w:t>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7B5CC456" w:rsidR="00357C60" w:rsidRDefault="00F01BD1" w:rsidP="00357C60">
      <w:pPr>
        <w:rPr>
          <w:rFonts w:cs="Arial"/>
        </w:rPr>
      </w:pPr>
      <w:permStart w:id="173487694" w:edGrp="everyone"/>
      <w:r>
        <w:rPr>
          <w:rFonts w:cs="Arial"/>
        </w:rPr>
        <w:t>Yes, but only to the extent that the credit rating is still relevant</w:t>
      </w:r>
      <w:r w:rsidR="00365C77">
        <w:rPr>
          <w:rFonts w:cs="Arial"/>
        </w:rPr>
        <w:t xml:space="preserve"> and, in particular, where is relates to the securities concerned</w:t>
      </w:r>
      <w:r>
        <w:rPr>
          <w:rFonts w:cs="Arial"/>
        </w:rPr>
        <w:t>.</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remove the requirement for profit for</w:t>
      </w:r>
      <w:r w:rsidRPr="0064701F">
        <w:rPr>
          <w:rFonts w:ascii="Arial" w:hAnsi="Arial" w:cs="Arial"/>
        </w:rPr>
        <w:t>e</w:t>
      </w:r>
      <w:r w:rsidRPr="0064701F">
        <w:rPr>
          <w:rFonts w:ascii="Arial" w:hAnsi="Arial" w:cs="Arial"/>
        </w:rPr>
        <w:t>casts and estimates to be reported on? Would this significantly affect the inform</w:t>
      </w:r>
      <w:r w:rsidRPr="0064701F">
        <w:rPr>
          <w:rFonts w:ascii="Arial" w:hAnsi="Arial" w:cs="Arial"/>
        </w:rPr>
        <w:t>a</w:t>
      </w:r>
      <w:r w:rsidRPr="0064701F">
        <w:rPr>
          <w:rFonts w:ascii="Arial" w:hAnsi="Arial" w:cs="Arial"/>
        </w:rPr>
        <w:t>tive value of the prospectus for investors?</w:t>
      </w:r>
    </w:p>
    <w:p w14:paraId="3D9422CE" w14:textId="77777777" w:rsidR="00357C60" w:rsidRDefault="00357C60" w:rsidP="00357C60">
      <w:pPr>
        <w:rPr>
          <w:rFonts w:cs="Arial"/>
        </w:rPr>
      </w:pPr>
      <w:r>
        <w:rPr>
          <w:rFonts w:cs="Arial"/>
        </w:rPr>
        <w:t>&lt;ESMA_QUESTION_FAC_30&gt;</w:t>
      </w:r>
    </w:p>
    <w:p w14:paraId="29A91FEB" w14:textId="28EC5D25" w:rsidR="007318E8" w:rsidRDefault="007318E8" w:rsidP="00357C60">
      <w:pPr>
        <w:rPr>
          <w:rFonts w:cs="Arial"/>
        </w:rPr>
      </w:pPr>
      <w:permStart w:id="603281020" w:edGrp="everyone"/>
      <w:r>
        <w:rPr>
          <w:rFonts w:cs="Arial"/>
        </w:rPr>
        <w:t>Yes, we agree with the proposal</w:t>
      </w:r>
      <w:r w:rsidRPr="007318E8">
        <w:rPr>
          <w:rFonts w:cs="Arial"/>
        </w:rPr>
        <w:t xml:space="preserve">.  </w:t>
      </w:r>
    </w:p>
    <w:permEnd w:id="603281020"/>
    <w:p w14:paraId="08D02A68" w14:textId="583A4FB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outstanding profit forecasts and est</w:t>
      </w:r>
      <w:r w:rsidRPr="0064701F">
        <w:rPr>
          <w:rFonts w:ascii="Arial" w:hAnsi="Arial" w:cs="Arial"/>
        </w:rPr>
        <w:t>i</w:t>
      </w:r>
      <w:r w:rsidRPr="0064701F">
        <w:rPr>
          <w:rFonts w:ascii="Arial" w:hAnsi="Arial" w:cs="Arial"/>
        </w:rPr>
        <w:t>mates should be included in the registration document?</w:t>
      </w:r>
    </w:p>
    <w:p w14:paraId="28F2BE43" w14:textId="77777777" w:rsidR="00357C60" w:rsidRDefault="00357C60" w:rsidP="00357C60">
      <w:pPr>
        <w:rPr>
          <w:rFonts w:cs="Arial"/>
        </w:rPr>
      </w:pPr>
      <w:r>
        <w:rPr>
          <w:rFonts w:cs="Arial"/>
        </w:rPr>
        <w:t>&lt;ESMA_QUESTION_FAC_31&gt;</w:t>
      </w:r>
    </w:p>
    <w:p w14:paraId="00D48546" w14:textId="5D01CC02" w:rsidR="00A913CD" w:rsidRDefault="00715EEB" w:rsidP="00357C60">
      <w:pPr>
        <w:rPr>
          <w:rFonts w:cs="Arial"/>
        </w:rPr>
      </w:pPr>
      <w:permStart w:id="732902027" w:edGrp="everyone"/>
      <w:r>
        <w:rPr>
          <w:rFonts w:cs="Arial"/>
        </w:rPr>
        <w:t>We consider that there should not be a mandatory profit forecast requirement.</w:t>
      </w:r>
    </w:p>
    <w:permEnd w:id="732902027"/>
    <w:p w14:paraId="736DC2AB" w14:textId="74097F48"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w:t>
      </w:r>
      <w:r w:rsidRPr="0064701F">
        <w:rPr>
          <w:rFonts w:ascii="Arial" w:hAnsi="Arial" w:cs="Arial"/>
        </w:rPr>
        <w:t>o</w:t>
      </w:r>
      <w:r w:rsidRPr="0064701F">
        <w:rPr>
          <w:rFonts w:ascii="Arial" w:hAnsi="Arial" w:cs="Arial"/>
        </w:rPr>
        <w:t>spectus for investors?</w:t>
      </w:r>
    </w:p>
    <w:p w14:paraId="3967A655" w14:textId="77777777" w:rsidR="00357C60" w:rsidRDefault="00357C60" w:rsidP="00357C60">
      <w:pPr>
        <w:rPr>
          <w:rFonts w:cs="Arial"/>
        </w:rPr>
      </w:pPr>
      <w:r>
        <w:rPr>
          <w:rFonts w:cs="Arial"/>
        </w:rPr>
        <w:t>&lt;ESMA_QUESTION_FAC_32&gt;</w:t>
      </w:r>
    </w:p>
    <w:p w14:paraId="1229100D" w14:textId="46F3C5BE" w:rsidR="007318E8" w:rsidRDefault="007318E8" w:rsidP="00357C60">
      <w:pPr>
        <w:rPr>
          <w:rFonts w:cs="Arial"/>
        </w:rPr>
      </w:pPr>
      <w:permStart w:id="563610120" w:edGrp="everyone"/>
      <w:r>
        <w:rPr>
          <w:rFonts w:cs="Arial"/>
        </w:rPr>
        <w:t>Yes, we agree with the proposal.</w:t>
      </w:r>
    </w:p>
    <w:permEnd w:id="563610120"/>
    <w:p w14:paraId="31FD74A3" w14:textId="4C598243"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631A28BE" w14:textId="695C68E4" w:rsidR="007318E8" w:rsidRDefault="007318E8" w:rsidP="007318E8">
      <w:pPr>
        <w:rPr>
          <w:rFonts w:cs="Arial"/>
        </w:rPr>
      </w:pPr>
      <w:permStart w:id="1391200765" w:edGrp="everyone"/>
      <w:r>
        <w:rPr>
          <w:rFonts w:cs="Arial"/>
        </w:rPr>
        <w:t xml:space="preserve">Disclosure items 5.1.4 and 17 assume that all issuers have websites.  This is not the case, particularly for certain types of issuers, e.g. special purpose vehicles.  </w:t>
      </w:r>
      <w:r w:rsidR="00F0109F">
        <w:rPr>
          <w:rFonts w:cs="Arial"/>
        </w:rPr>
        <w:t>Therefore, we consider that the relevant disclosure requirement should permit information to be provided on the website of a third party</w:t>
      </w:r>
      <w:proofErr w:type="gramStart"/>
      <w:r w:rsidR="00F0109F">
        <w:rPr>
          <w:rFonts w:cs="Arial"/>
        </w:rPr>
        <w:t>.</w:t>
      </w:r>
      <w:r>
        <w:rPr>
          <w:rFonts w:cs="Arial"/>
        </w:rPr>
        <w:t>.</w:t>
      </w:r>
      <w:proofErr w:type="gramEnd"/>
    </w:p>
    <w:p w14:paraId="7D99E5CC" w14:textId="77777777" w:rsidR="007318E8" w:rsidRDefault="007318E8" w:rsidP="007318E8">
      <w:pPr>
        <w:rPr>
          <w:rFonts w:cs="Arial"/>
        </w:rPr>
      </w:pPr>
    </w:p>
    <w:p w14:paraId="1411CF14" w14:textId="7955C1EE" w:rsidR="007318E8" w:rsidRDefault="007318E8" w:rsidP="007318E8">
      <w:pPr>
        <w:rPr>
          <w:rFonts w:cs="Arial"/>
        </w:rPr>
      </w:pPr>
      <w:r>
        <w:rPr>
          <w:rFonts w:cs="Arial"/>
        </w:rPr>
        <w:lastRenderedPageBreak/>
        <w:t xml:space="preserve">In respect of disclosure item 13.7, we believe that the existing significant change statement works well in practice and should remain unchanged and, consequently, that the proposed new text in disclosure items </w:t>
      </w:r>
      <w:r w:rsidR="00153E99">
        <w:rPr>
          <w:rFonts w:cs="Arial"/>
        </w:rPr>
        <w:t>8</w:t>
      </w:r>
      <w:r>
        <w:rPr>
          <w:rFonts w:cs="Arial"/>
        </w:rPr>
        <w:t>.1(b) should be deleted and the proposed deletion to item 1</w:t>
      </w:r>
      <w:r w:rsidR="00153E99">
        <w:rPr>
          <w:rFonts w:cs="Arial"/>
        </w:rPr>
        <w:t>3</w:t>
      </w:r>
      <w:r>
        <w:rPr>
          <w:rFonts w:cs="Arial"/>
        </w:rPr>
        <w:t>.</w:t>
      </w:r>
      <w:r w:rsidR="00153E99">
        <w:rPr>
          <w:rFonts w:cs="Arial"/>
        </w:rPr>
        <w:t>7</w:t>
      </w:r>
      <w:r>
        <w:rPr>
          <w:rFonts w:cs="Arial"/>
        </w:rPr>
        <w:t xml:space="preserve"> should be reversed.</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w:t>
      </w:r>
      <w:r w:rsidRPr="0064701F">
        <w:rPr>
          <w:rFonts w:ascii="Arial" w:hAnsi="Arial" w:cs="Arial"/>
        </w:rPr>
        <w:t>n</w:t>
      </w:r>
      <w:r w:rsidRPr="0064701F">
        <w:rPr>
          <w:rFonts w:ascii="Arial" w:hAnsi="Arial" w:cs="Arial"/>
        </w:rPr>
        <w:t>formative value of the prospectus for investors?</w:t>
      </w:r>
    </w:p>
    <w:p w14:paraId="63E713D3" w14:textId="77777777" w:rsidR="00357C60" w:rsidRDefault="00357C60" w:rsidP="00357C60">
      <w:pPr>
        <w:rPr>
          <w:rFonts w:cs="Arial"/>
        </w:rPr>
      </w:pPr>
      <w:r>
        <w:rPr>
          <w:rFonts w:cs="Arial"/>
        </w:rPr>
        <w:t>&lt;ESMA_QUESTION_FAC_35&gt;</w:t>
      </w:r>
    </w:p>
    <w:p w14:paraId="32F05EE5" w14:textId="638125DF" w:rsidR="00357C60" w:rsidRDefault="001B3BFE" w:rsidP="00357C60">
      <w:pPr>
        <w:rPr>
          <w:rFonts w:cs="Arial"/>
        </w:rPr>
      </w:pPr>
      <w:permStart w:id="689458431" w:edGrp="everyone"/>
      <w:r>
        <w:rPr>
          <w:rFonts w:cs="Arial"/>
        </w:rPr>
        <w:t>Yes, we support this approach.  We do not believe that the removal of the requirement for wholesale non-equity issuers to restate their financial statements would significantly a</w:t>
      </w:r>
      <w:r w:rsidR="005B66F4">
        <w:rPr>
          <w:rFonts w:cs="Arial"/>
        </w:rPr>
        <w:t>l</w:t>
      </w:r>
      <w:r>
        <w:rPr>
          <w:rFonts w:cs="Arial"/>
        </w:rPr>
        <w:t>ter the informative value of the prospectus for professional investors.</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712F43FE" w14:textId="03BD848B" w:rsidR="008A0B24" w:rsidRDefault="008D39BA" w:rsidP="00357C60">
      <w:pPr>
        <w:rPr>
          <w:rFonts w:cs="Arial"/>
        </w:rPr>
      </w:pPr>
      <w:permStart w:id="51848580" w:edGrp="everyone"/>
      <w:r>
        <w:rPr>
          <w:rFonts w:cs="Arial"/>
        </w:rPr>
        <w:t xml:space="preserve">Disclosure items 4.1.4 and 14 assume that all issuers have websites.  This is not the case, particularly for certain types of issuers of wholesale debt, e.g. special purpose vehicles.  </w:t>
      </w:r>
      <w:r w:rsidR="00F0109F">
        <w:rPr>
          <w:rFonts w:cs="Arial"/>
        </w:rPr>
        <w:t>Therefore, we consider that the relevant disclosure requirement should permit information to be provided on the website of a third party.</w:t>
      </w:r>
      <w:r w:rsidR="00CF04E8">
        <w:rPr>
          <w:rFonts w:cs="Arial"/>
        </w:rPr>
        <w:t xml:space="preserve"> </w:t>
      </w:r>
      <w:r w:rsidR="00CF04E8" w:rsidRPr="00CF04E8">
        <w:rPr>
          <w:rFonts w:cs="Arial"/>
        </w:rPr>
        <w:t xml:space="preserve">In addition, the requirement to </w:t>
      </w:r>
      <w:proofErr w:type="gramStart"/>
      <w:r w:rsidR="00CF04E8" w:rsidRPr="00CF04E8">
        <w:rPr>
          <w:rFonts w:cs="Arial"/>
        </w:rPr>
        <w:t>publish  expert</w:t>
      </w:r>
      <w:proofErr w:type="gramEnd"/>
      <w:r w:rsidR="00CF04E8" w:rsidRPr="00CF04E8">
        <w:rPr>
          <w:rFonts w:cs="Arial"/>
        </w:rPr>
        <w:t xml:space="preserve"> reports on a website could prove problematic in that it may lead to experts being reluctant to allow their reports be included in a prospectus</w:t>
      </w:r>
      <w:r w:rsidR="00CF04E8">
        <w:rPr>
          <w:rFonts w:cs="Arial"/>
        </w:rPr>
        <w:t>.</w:t>
      </w:r>
    </w:p>
    <w:p w14:paraId="3AD842CC" w14:textId="77777777" w:rsidR="008921B8" w:rsidRDefault="008921B8" w:rsidP="00357C60">
      <w:pPr>
        <w:rPr>
          <w:rFonts w:cs="Arial"/>
        </w:rPr>
      </w:pPr>
    </w:p>
    <w:p w14:paraId="13B052FD" w14:textId="2840249F" w:rsidR="008921B8" w:rsidRDefault="008921B8" w:rsidP="00357C60">
      <w:pPr>
        <w:rPr>
          <w:rFonts w:cs="Arial"/>
        </w:rPr>
      </w:pPr>
      <w:r>
        <w:rPr>
          <w:rFonts w:cs="Arial"/>
        </w:rPr>
        <w:t>We believe that the existing significant change statement works well in practice and should remain u</w:t>
      </w:r>
      <w:r>
        <w:rPr>
          <w:rFonts w:cs="Arial"/>
        </w:rPr>
        <w:t>n</w:t>
      </w:r>
      <w:r>
        <w:rPr>
          <w:rFonts w:cs="Arial"/>
        </w:rPr>
        <w:t>changed and, consequently, that the proposed new text in disclosure items 7.1(b) should be deleted and the proposed deletion to item 11.6 should be reversed.</w:t>
      </w:r>
    </w:p>
    <w:permEnd w:id="51848580"/>
    <w:p w14:paraId="1EB2BA51" w14:textId="3D5053C5"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6E3B6165" w14:textId="77777777" w:rsidR="00357C60" w:rsidRDefault="00357C60" w:rsidP="00357C60">
      <w:pPr>
        <w:rPr>
          <w:rFonts w:cs="Arial"/>
        </w:rPr>
      </w:pPr>
      <w:r>
        <w:rPr>
          <w:rFonts w:cs="Arial"/>
        </w:rPr>
        <w:t>&lt;ESMA_QUESTION_FAC_37&gt;</w:t>
      </w:r>
    </w:p>
    <w:p w14:paraId="7714479D" w14:textId="57820CF8" w:rsidR="00357C60" w:rsidRDefault="00C47C5A" w:rsidP="00357C60">
      <w:pPr>
        <w:rPr>
          <w:rFonts w:cs="Arial"/>
        </w:rPr>
      </w:pPr>
      <w:permStart w:id="1932084204" w:edGrp="everyone"/>
      <w:r>
        <w:rPr>
          <w:rFonts w:cs="Arial"/>
        </w:rPr>
        <w:t xml:space="preserve">If our comments in Q36 are addressed, then </w:t>
      </w:r>
      <w:r w:rsidR="00DA623E">
        <w:rPr>
          <w:rFonts w:cs="Arial"/>
        </w:rPr>
        <w:t>w</w:t>
      </w:r>
      <w:r w:rsidR="00FE3B1D">
        <w:rPr>
          <w:rFonts w:cs="Arial"/>
        </w:rPr>
        <w:t xml:space="preserve">e believe that the proposed technical advice will deliver a more streamlined and cost effective prospectus preparation process for issuers without compromising </w:t>
      </w:r>
      <w:r w:rsidR="008C33CB">
        <w:rPr>
          <w:rFonts w:cs="Arial"/>
        </w:rPr>
        <w:t>investor protection.</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way in which disclosure on taxation has been r</w:t>
      </w:r>
      <w:r w:rsidRPr="0064701F">
        <w:rPr>
          <w:rFonts w:ascii="Arial" w:hAnsi="Arial" w:cs="Arial"/>
        </w:rPr>
        <w:t>e</w:t>
      </w:r>
      <w:r w:rsidRPr="0064701F">
        <w:rPr>
          <w:rFonts w:ascii="Arial" w:hAnsi="Arial" w:cs="Arial"/>
        </w:rPr>
        <w:t>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4CCB61E5" w14:textId="1CE8F312" w:rsidR="00357C60" w:rsidRDefault="009472D5" w:rsidP="00357C60">
      <w:pPr>
        <w:rPr>
          <w:rFonts w:cs="Arial"/>
        </w:rPr>
      </w:pPr>
      <w:permStart w:id="164054991" w:edGrp="everyone"/>
      <w:r>
        <w:rPr>
          <w:rFonts w:cs="Arial"/>
        </w:rPr>
        <w:t>Yes, we agree with this proposal and believe that it will deliver more meaningful information in the pr</w:t>
      </w:r>
      <w:r>
        <w:rPr>
          <w:rFonts w:cs="Arial"/>
        </w:rPr>
        <w:t>o</w:t>
      </w:r>
      <w:r>
        <w:rPr>
          <w:rFonts w:cs="Arial"/>
        </w:rPr>
        <w:t>spectus for investors.</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08A6E065" w:rsidR="00357C60" w:rsidRDefault="009472D5" w:rsidP="00357C60">
      <w:pPr>
        <w:rPr>
          <w:rFonts w:cs="Arial"/>
        </w:rPr>
      </w:pPr>
      <w:permStart w:id="452609042" w:edGrp="everyone"/>
      <w:r>
        <w:rPr>
          <w:rFonts w:cs="Arial"/>
        </w:rPr>
        <w:t>We consider that this requirement should not mandate the form by which such information may be a</w:t>
      </w:r>
      <w:r>
        <w:rPr>
          <w:rFonts w:cs="Arial"/>
        </w:rPr>
        <w:t>c</w:t>
      </w:r>
      <w:r>
        <w:rPr>
          <w:rFonts w:cs="Arial"/>
        </w:rPr>
        <w:t>cessed by investors.  In some instances, a website may be the preferred form, but issuers shou</w:t>
      </w:r>
      <w:r w:rsidR="004D4F1B">
        <w:rPr>
          <w:rFonts w:cs="Arial"/>
        </w:rPr>
        <w:t>l</w:t>
      </w:r>
      <w:r>
        <w:rPr>
          <w:rFonts w:cs="Arial"/>
        </w:rPr>
        <w:t>d have the ability to select the most appropriate form.</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expenses charged to the purchaser should also i</w:t>
      </w:r>
      <w:r w:rsidRPr="0064701F">
        <w:rPr>
          <w:rFonts w:ascii="Arial" w:hAnsi="Arial" w:cs="Arial"/>
        </w:rPr>
        <w:t>n</w:t>
      </w:r>
      <w:r w:rsidRPr="0064701F">
        <w:rPr>
          <w:rFonts w:ascii="Arial" w:hAnsi="Arial" w:cs="Arial"/>
        </w:rPr>
        <w:t>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42577ECC" w:rsidR="00357C60" w:rsidRDefault="00261612" w:rsidP="00357C60">
      <w:pPr>
        <w:rPr>
          <w:rFonts w:cs="Arial"/>
        </w:rPr>
      </w:pPr>
      <w:permStart w:id="1034365782" w:edGrp="everyone"/>
      <w:r>
        <w:rPr>
          <w:rFonts w:cs="Arial"/>
        </w:rPr>
        <w:t>We consider the proposed amendment to the wording to be unclear and suggest that the new text in paragraph 3 of item 5.3.1 be removed.</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2D542B39" w:rsidR="00357C60" w:rsidRDefault="00C52CE3" w:rsidP="00357C60">
      <w:pPr>
        <w:rPr>
          <w:rFonts w:cs="Arial"/>
        </w:rPr>
      </w:pPr>
      <w:permStart w:id="1986690209" w:edGrp="everyone"/>
      <w:r>
        <w:rPr>
          <w:rFonts w:cs="Arial"/>
        </w:rPr>
        <w:t>Yes, we agree with this proposal, to the extent that the issue price has been determined prior to the point of approval of the prospectus.</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552D49E0" w14:textId="77777777" w:rsidR="00357C60" w:rsidRDefault="00357C60" w:rsidP="00357C60">
      <w:pPr>
        <w:rPr>
          <w:rFonts w:cs="Arial"/>
        </w:rPr>
      </w:pPr>
      <w:r>
        <w:rPr>
          <w:rFonts w:cs="Arial"/>
        </w:rPr>
        <w:lastRenderedPageBreak/>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20AD33E7" w14:textId="77777777" w:rsidR="008A0B24" w:rsidRDefault="008A0B24" w:rsidP="00357C60">
      <w:pPr>
        <w:rPr>
          <w:rFonts w:cs="Arial"/>
        </w:rPr>
      </w:pPr>
      <w:permStart w:id="797323371" w:edGrp="everyone"/>
      <w:r>
        <w:rPr>
          <w:rFonts w:cs="Arial"/>
        </w:rPr>
        <w:t>TYPE YOUR TEXT HERE</w:t>
      </w:r>
    </w:p>
    <w:permEnd w:id="797323371"/>
    <w:p w14:paraId="79DA05BD" w14:textId="2FACDD31"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62AC8977" w14:textId="77777777" w:rsidR="00357C60" w:rsidRDefault="00357C60" w:rsidP="00357C60">
      <w:pPr>
        <w:rPr>
          <w:rFonts w:cs="Arial"/>
        </w:rPr>
      </w:pPr>
      <w:r>
        <w:rPr>
          <w:rFonts w:cs="Arial"/>
        </w:rPr>
        <w:t>&lt;ESMA_QUESTION_FAC_45&gt;</w:t>
      </w:r>
    </w:p>
    <w:p w14:paraId="05421E43" w14:textId="1AB15535" w:rsidR="008A0B24" w:rsidRDefault="008A0B24" w:rsidP="008A0B24">
      <w:pPr>
        <w:rPr>
          <w:rFonts w:cs="Arial"/>
        </w:rPr>
      </w:pPr>
      <w:permStart w:id="1763403388" w:edGrp="everyone"/>
      <w:r>
        <w:rPr>
          <w:rFonts w:cs="Arial"/>
        </w:rPr>
        <w:t>We consider that the changes made should deliver more meaningful information for investors without giving rise to significant additional costs for issuers.</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5BB6375E" w:rsidR="00357C60" w:rsidRDefault="008E4B5C" w:rsidP="00357C60">
      <w:pPr>
        <w:rPr>
          <w:rFonts w:cs="Arial"/>
        </w:rPr>
      </w:pPr>
      <w:permStart w:id="1630370939" w:edGrp="everyone"/>
      <w:r>
        <w:rPr>
          <w:rFonts w:cs="Arial"/>
        </w:rPr>
        <w:t>Yes, we agree with this proposal.</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reclassify the how the return on deriv</w:t>
      </w:r>
      <w:r w:rsidRPr="0064701F">
        <w:rPr>
          <w:rFonts w:ascii="Arial" w:hAnsi="Arial" w:cs="Arial"/>
        </w:rPr>
        <w:t>a</w:t>
      </w:r>
      <w:r w:rsidRPr="0064701F">
        <w:rPr>
          <w:rFonts w:ascii="Arial" w:hAnsi="Arial" w:cs="Arial"/>
        </w:rPr>
        <w:t>tives take place from B to A? If not, please explain why.</w:t>
      </w:r>
    </w:p>
    <w:p w14:paraId="7646C19E" w14:textId="77777777" w:rsidR="00357C60" w:rsidRDefault="00357C60" w:rsidP="00357C60">
      <w:pPr>
        <w:rPr>
          <w:rFonts w:cs="Arial"/>
        </w:rPr>
      </w:pPr>
      <w:r>
        <w:rPr>
          <w:rFonts w:cs="Arial"/>
        </w:rPr>
        <w:t>&lt;ESMA_QUESTION_FAC_47&gt;</w:t>
      </w:r>
    </w:p>
    <w:p w14:paraId="0704A7DC" w14:textId="77777777" w:rsidR="008E4B5C" w:rsidRDefault="008E4B5C" w:rsidP="008E4B5C">
      <w:pPr>
        <w:rPr>
          <w:rFonts w:cs="Arial"/>
        </w:rPr>
      </w:pPr>
      <w:permStart w:id="833307069" w:edGrp="everyone"/>
      <w:r>
        <w:rPr>
          <w:rFonts w:cs="Arial"/>
        </w:rPr>
        <w:t>Yes, we agree with this proposal.</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AA7CB87" w14:textId="73DEC695" w:rsidR="00332F2C" w:rsidRPr="00024029" w:rsidRDefault="00024029" w:rsidP="00332F2C">
      <w:pPr>
        <w:rPr>
          <w:rFonts w:cs="Arial"/>
        </w:rPr>
      </w:pPr>
      <w:permStart w:id="2009017422" w:edGrp="everyone"/>
      <w:r w:rsidRPr="00024029">
        <w:rPr>
          <w:rFonts w:cs="Arial"/>
        </w:rPr>
        <w:t>We agree that enhanced disclosure is of benefit to retail investors, particularly where an investor may lose all or part of their investment</w:t>
      </w:r>
      <w:r w:rsidR="00287D79">
        <w:rPr>
          <w:rFonts w:cs="Arial"/>
        </w:rPr>
        <w:t>, but is not necessary for wholesale/institutional investors.</w:t>
      </w:r>
      <w:r w:rsidRPr="00024029">
        <w:rPr>
          <w:rFonts w:cs="Arial"/>
        </w:rPr>
        <w:t xml:space="preserve">  </w:t>
      </w:r>
      <w:r w:rsidR="00475D16">
        <w:rPr>
          <w:rFonts w:cs="Arial"/>
        </w:rPr>
        <w:t>In</w:t>
      </w:r>
      <w:r w:rsidRPr="00024029">
        <w:rPr>
          <w:rFonts w:cs="Arial"/>
        </w:rPr>
        <w:t xml:space="preserve"> our view</w:t>
      </w:r>
      <w:r w:rsidR="00475D16">
        <w:rPr>
          <w:rFonts w:cs="Arial"/>
        </w:rPr>
        <w:t>,</w:t>
      </w:r>
      <w:r w:rsidRPr="00024029">
        <w:rPr>
          <w:rFonts w:cs="Arial"/>
        </w:rPr>
        <w:t xml:space="preserve"> the list of markets included in the carve out for securities admitted to a market (Item 4.2.2(ii)(d)</w:t>
      </w:r>
      <w:r w:rsidR="003F3C15">
        <w:rPr>
          <w:rFonts w:cs="Arial"/>
        </w:rPr>
        <w:t>)</w:t>
      </w:r>
      <w:r w:rsidRPr="00024029">
        <w:rPr>
          <w:rFonts w:cs="Arial"/>
        </w:rPr>
        <w:t xml:space="preserve"> is too narrow and should be expanded to include MTFs as defined in </w:t>
      </w:r>
      <w:proofErr w:type="spellStart"/>
      <w:r w:rsidRPr="00024029">
        <w:rPr>
          <w:rFonts w:cs="Arial"/>
        </w:rPr>
        <w:t>MiFID</w:t>
      </w:r>
      <w:proofErr w:type="spellEnd"/>
      <w:r w:rsidRPr="00024029">
        <w:rPr>
          <w:rFonts w:cs="Arial"/>
        </w:rPr>
        <w:t>.  In addition, established markets which have previously been recognised by NCAs under item 2.2.11(b) of Annex 11 (old Annex VIII), should also be included.</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lastRenderedPageBreak/>
        <w:t>&lt;ESMA_QUESTION_FAC_49&gt;</w:t>
      </w:r>
    </w:p>
    <w:p w14:paraId="4DA78834" w14:textId="5FDB5E3F" w:rsidR="00357C60" w:rsidRPr="00606AA7" w:rsidRDefault="00287D79" w:rsidP="00357C60">
      <w:pPr>
        <w:rPr>
          <w:rFonts w:cs="Arial"/>
        </w:rPr>
      </w:pPr>
      <w:permStart w:id="1216362447" w:edGrp="everyone"/>
      <w:r>
        <w:rPr>
          <w:rFonts w:cs="Arial"/>
        </w:rPr>
        <w:t>For wholesale/institutional investors w</w:t>
      </w:r>
      <w:r w:rsidR="006E66E7">
        <w:rPr>
          <w:rFonts w:cs="Arial"/>
        </w:rPr>
        <w:t>e would question applying an ABS approach to securities linked to the credit of other asset</w:t>
      </w:r>
      <w:r>
        <w:rPr>
          <w:rFonts w:cs="Arial"/>
        </w:rPr>
        <w:t>s</w:t>
      </w:r>
      <w:r w:rsidR="006E66E7">
        <w:rPr>
          <w:rFonts w:cs="Arial"/>
        </w:rPr>
        <w:t>.  The ABS market operates in a differen</w:t>
      </w:r>
      <w:r w:rsidR="00475D16">
        <w:rPr>
          <w:rFonts w:cs="Arial"/>
        </w:rPr>
        <w:t>t manner where such information</w:t>
      </w:r>
      <w:r w:rsidR="006E66E7">
        <w:rPr>
          <w:rFonts w:cs="Arial"/>
        </w:rPr>
        <w:t xml:space="preserve"> under 4.2.2 (c) or (d) would be appropriate and expected.  However, for securities linked to the credit of other assets, in addition to our response to Q48, </w:t>
      </w:r>
      <w:r>
        <w:rPr>
          <w:rFonts w:cs="Arial"/>
        </w:rPr>
        <w:t>we do not believe that all such information is necessary and a more streamlined form of the wholesale registration document schedule w</w:t>
      </w:r>
      <w:r w:rsidR="00475D16">
        <w:rPr>
          <w:rFonts w:cs="Arial"/>
        </w:rPr>
        <w:t>ould be more appropriate.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derivatives sec</w:t>
      </w:r>
      <w:r w:rsidRPr="0064701F">
        <w:rPr>
          <w:rFonts w:ascii="Arial" w:hAnsi="Arial" w:cs="Arial"/>
        </w:rPr>
        <w:t>u</w:t>
      </w:r>
      <w:r w:rsidRPr="0064701F">
        <w:rPr>
          <w:rFonts w:ascii="Arial" w:hAnsi="Arial" w:cs="Arial"/>
        </w:rPr>
        <w:t>rities building block? Please advise of any costs and benefits that would be i</w:t>
      </w:r>
      <w:r w:rsidRPr="0064701F">
        <w:rPr>
          <w:rFonts w:ascii="Arial" w:hAnsi="Arial" w:cs="Arial"/>
        </w:rPr>
        <w:t>n</w:t>
      </w:r>
      <w:r w:rsidRPr="0064701F">
        <w:rPr>
          <w:rFonts w:ascii="Arial" w:hAnsi="Arial" w:cs="Arial"/>
        </w:rPr>
        <w:t>curred by the further changes you propose.</w:t>
      </w:r>
    </w:p>
    <w:p w14:paraId="67785B6B" w14:textId="77777777" w:rsidR="00357C60" w:rsidRDefault="00357C60" w:rsidP="00357C60">
      <w:pPr>
        <w:rPr>
          <w:rFonts w:cs="Arial"/>
        </w:rPr>
      </w:pPr>
      <w:r>
        <w:rPr>
          <w:rFonts w:cs="Arial"/>
        </w:rPr>
        <w:t>&lt;ESMA_QUESTION_FAC_50&gt;</w:t>
      </w:r>
    </w:p>
    <w:p w14:paraId="0F57F995" w14:textId="0284C008" w:rsidR="00357C60" w:rsidRDefault="008E4B5C" w:rsidP="00357C60">
      <w:pPr>
        <w:rPr>
          <w:rFonts w:cs="Arial"/>
        </w:rPr>
      </w:pPr>
      <w:permStart w:id="2090404877" w:edGrp="everyone"/>
      <w:r>
        <w:rPr>
          <w:rFonts w:cs="Arial"/>
        </w:rPr>
        <w:t xml:space="preserve">In our view, the layout of item 4.2.2 is confusing and difficult to follow, and may benefit </w:t>
      </w:r>
      <w:r w:rsidR="003F3C15">
        <w:rPr>
          <w:rFonts w:cs="Arial"/>
        </w:rPr>
        <w:t>from</w:t>
      </w:r>
      <w:r>
        <w:rPr>
          <w:rFonts w:cs="Arial"/>
        </w:rPr>
        <w:t xml:space="preserve"> being split into a number of discrete disclosure items.</w:t>
      </w:r>
    </w:p>
    <w:p w14:paraId="272EED91" w14:textId="77777777" w:rsidR="00700D1C" w:rsidRDefault="00700D1C" w:rsidP="00357C60">
      <w:pPr>
        <w:rPr>
          <w:rFonts w:cs="Arial"/>
        </w:rPr>
      </w:pPr>
    </w:p>
    <w:p w14:paraId="5B08B572" w14:textId="7E7AA66B" w:rsidR="00700D1C" w:rsidRDefault="00700D1C" w:rsidP="00357C60">
      <w:pPr>
        <w:rPr>
          <w:rFonts w:cs="Arial"/>
        </w:rPr>
      </w:pPr>
      <w:r>
        <w:rPr>
          <w:rFonts w:cs="Arial"/>
        </w:rPr>
        <w:t xml:space="preserve">In respect of item 4.2.2(ii)(d), we consider that list of markets should be expanded to include where the issuer of the underlying security or reference obligation has securities already admitted on a multilateral trading facility as defined under </w:t>
      </w:r>
      <w:proofErr w:type="spellStart"/>
      <w:r>
        <w:rPr>
          <w:rFonts w:cs="Arial"/>
        </w:rPr>
        <w:t>MiFID</w:t>
      </w:r>
      <w:proofErr w:type="spellEnd"/>
      <w:r>
        <w:rPr>
          <w:rFonts w:cs="Arial"/>
        </w:rPr>
        <w:t>.</w:t>
      </w:r>
      <w:r w:rsidR="00024029">
        <w:rPr>
          <w:rFonts w:cs="Arial"/>
        </w:rPr>
        <w:t xml:space="preserve">  </w:t>
      </w:r>
      <w:r w:rsidR="00856FEB">
        <w:rPr>
          <w:rFonts w:cs="Arial"/>
        </w:rPr>
        <w:t>In addition, we consider that it is important to include a grandf</w:t>
      </w:r>
      <w:r w:rsidR="00856FEB">
        <w:rPr>
          <w:rFonts w:cs="Arial"/>
        </w:rPr>
        <w:t>a</w:t>
      </w:r>
      <w:r w:rsidR="00856FEB">
        <w:rPr>
          <w:rFonts w:cs="Arial"/>
        </w:rPr>
        <w:t>thering provision so that where a national competent authority has previously determined a particular market, e.g. non-EU market, to be ‘equivalent’</w:t>
      </w:r>
      <w:r w:rsidR="00856FEB" w:rsidRPr="00024029">
        <w:rPr>
          <w:rFonts w:cs="Arial"/>
        </w:rPr>
        <w:t xml:space="preserve"> under item 2.2.11(b) of Annex 11 (old Annex VIII)</w:t>
      </w:r>
      <w:r w:rsidR="00856FEB">
        <w:rPr>
          <w:rFonts w:cs="Arial"/>
        </w:rPr>
        <w:t>, this should continue in effect until such time as ESMA makes a determination in respect of that market.  We also consider it important that ESMA ha</w:t>
      </w:r>
      <w:r w:rsidR="00043CCB">
        <w:rPr>
          <w:rFonts w:cs="Arial"/>
        </w:rPr>
        <w:t>s</w:t>
      </w:r>
      <w:r w:rsidR="00856FEB">
        <w:rPr>
          <w:rFonts w:cs="Arial"/>
        </w:rPr>
        <w:t xml:space="preserve"> a clear and transparency process for determining equivalence in this regard.</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6319341A" w14:textId="77777777" w:rsidR="00357C60" w:rsidRDefault="00357C60" w:rsidP="00357C60">
      <w:pPr>
        <w:rPr>
          <w:rFonts w:cs="Arial"/>
        </w:rPr>
      </w:pPr>
      <w:r>
        <w:rPr>
          <w:rFonts w:cs="Arial"/>
        </w:rPr>
        <w:t>&lt;ESMA_QUESTION_FAC_51&gt;</w:t>
      </w:r>
    </w:p>
    <w:p w14:paraId="1F55C3B9" w14:textId="77777777" w:rsidR="00024029" w:rsidRDefault="00024029" w:rsidP="00357C60">
      <w:pPr>
        <w:rPr>
          <w:rFonts w:cs="Arial"/>
        </w:rPr>
      </w:pPr>
      <w:permStart w:id="1938900005" w:edGrp="everyone"/>
      <w:r w:rsidRPr="00024029">
        <w:rPr>
          <w:rFonts w:cs="Arial"/>
        </w:rPr>
        <w:t>If our comments in Q44, 48 and 50 are addressed, then we believe that the proposed technical advice should be deliver more meaningful prospectuses for investors without giving rise to significant additional costs for issuers.</w:t>
      </w:r>
    </w:p>
    <w:permEnd w:id="1938900005"/>
    <w:p w14:paraId="25279D00" w14:textId="38424362"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7A65C448" w:rsidR="00357C60" w:rsidRDefault="00A307F0" w:rsidP="00357C60">
      <w:pPr>
        <w:rPr>
          <w:rFonts w:cs="Arial"/>
        </w:rPr>
      </w:pPr>
      <w:permStart w:id="1121016135" w:edGrp="everyone"/>
      <w:r>
        <w:rPr>
          <w:rFonts w:cs="Arial"/>
        </w:rPr>
        <w:t>Yes, we agree with the proposed amendments.</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526D0CC6" w14:textId="77777777" w:rsidR="00357C60" w:rsidRDefault="00357C60" w:rsidP="00357C60">
      <w:pPr>
        <w:rPr>
          <w:rFonts w:cs="Arial"/>
        </w:rPr>
      </w:pPr>
      <w:r>
        <w:rPr>
          <w:rFonts w:cs="Arial"/>
        </w:rPr>
        <w:t>&lt;ESMA_QUESTION_FAC_53&gt;</w:t>
      </w:r>
    </w:p>
    <w:p w14:paraId="3C8FDA6D" w14:textId="58A1D7E8" w:rsidR="00357C60" w:rsidRDefault="00A307F0" w:rsidP="00357C60">
      <w:pPr>
        <w:rPr>
          <w:rFonts w:cs="Arial"/>
        </w:rPr>
      </w:pPr>
      <w:permStart w:id="138349631" w:edGrp="everyone"/>
      <w:r>
        <w:rPr>
          <w:rFonts w:cs="Arial"/>
        </w:rPr>
        <w:lastRenderedPageBreak/>
        <w:t>Overall, the proposed technical advice should deliver more meaningful prospectuses for investors without giving rise to significant additional costs for issuers.  In particular, the proposed amendments in item 2 to allow use of the Registration Document schedule for secondary issuances or EU Growth Registration Document schedule should reduce costs and streamline the prospectus preparation process for certain issuers.</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w:t>
      </w:r>
      <w:r w:rsidRPr="0064701F">
        <w:rPr>
          <w:rFonts w:ascii="Arial" w:hAnsi="Arial" w:cs="Arial"/>
        </w:rPr>
        <w:t>m</w:t>
      </w:r>
      <w:r w:rsidRPr="0064701F">
        <w:rPr>
          <w:rFonts w:ascii="Arial" w:hAnsi="Arial" w:cs="Arial"/>
        </w:rPr>
        <w:t>ber States)?</w:t>
      </w:r>
    </w:p>
    <w:p w14:paraId="7F32513C" w14:textId="77777777" w:rsidR="00357C60" w:rsidRDefault="00357C60" w:rsidP="00357C60">
      <w:pPr>
        <w:rPr>
          <w:rFonts w:cs="Arial"/>
        </w:rPr>
      </w:pPr>
      <w:r>
        <w:rPr>
          <w:rFonts w:cs="Arial"/>
        </w:rPr>
        <w:t>&lt;ESMA_QUESTION_FAC_54&gt;</w:t>
      </w:r>
    </w:p>
    <w:p w14:paraId="48637198" w14:textId="450FC39F" w:rsidR="00357C60" w:rsidRDefault="00CE4F40" w:rsidP="00357C60">
      <w:pPr>
        <w:rPr>
          <w:rFonts w:cs="Arial"/>
        </w:rPr>
      </w:pPr>
      <w:permStart w:id="105847989" w:edGrp="everyone"/>
      <w:r>
        <w:rPr>
          <w:rFonts w:cs="Arial"/>
        </w:rPr>
        <w:t>Disclosure items 3.2 and 8 assume that all issuers have websites.  This is not the case, particularly for certain</w:t>
      </w:r>
      <w:r w:rsidR="00D0236F">
        <w:rPr>
          <w:rFonts w:cs="Arial"/>
        </w:rPr>
        <w:t xml:space="preserve"> specialist</w:t>
      </w:r>
      <w:r>
        <w:rPr>
          <w:rFonts w:cs="Arial"/>
        </w:rPr>
        <w:t xml:space="preserve"> types of issuers.  </w:t>
      </w:r>
      <w:r w:rsidR="00F0109F">
        <w:rPr>
          <w:rFonts w:cs="Arial"/>
        </w:rPr>
        <w:t>Therefore, we consider that the relevant disclosure requirement should permit information to be provided on the website of a third party.</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re</w:t>
      </w:r>
      <w:r w:rsidRPr="0064701F">
        <w:rPr>
          <w:rFonts w:ascii="Arial" w:hAnsi="Arial" w:cs="Arial"/>
        </w:rPr>
        <w:t>g</w:t>
      </w:r>
      <w:r w:rsidRPr="0064701F">
        <w:rPr>
          <w:rFonts w:ascii="Arial" w:hAnsi="Arial" w:cs="Arial"/>
        </w:rPr>
        <w:t>istration document?</w:t>
      </w:r>
    </w:p>
    <w:p w14:paraId="6422025F" w14:textId="77777777" w:rsidR="00357C60" w:rsidRDefault="00357C60" w:rsidP="00357C60">
      <w:pPr>
        <w:rPr>
          <w:rFonts w:cs="Arial"/>
        </w:rPr>
      </w:pPr>
      <w:r>
        <w:rPr>
          <w:rFonts w:cs="Arial"/>
        </w:rPr>
        <w:t>&lt;ESMA_QUESTION_FAC_55&gt;</w:t>
      </w:r>
    </w:p>
    <w:p w14:paraId="07185672" w14:textId="447E6278" w:rsidR="000A0CEB" w:rsidRDefault="008A0B24" w:rsidP="00357C60">
      <w:pPr>
        <w:rPr>
          <w:rFonts w:cs="Arial"/>
        </w:rPr>
      </w:pPr>
      <w:permStart w:id="163523956" w:edGrp="everyone"/>
      <w:r>
        <w:rPr>
          <w:rFonts w:cs="Arial"/>
        </w:rPr>
        <w:t xml:space="preserve">Disclosure items 4.5 </w:t>
      </w:r>
      <w:r w:rsidR="00DA623E">
        <w:rPr>
          <w:rFonts w:cs="Arial"/>
        </w:rPr>
        <w:t xml:space="preserve">and 10.1 </w:t>
      </w:r>
      <w:r>
        <w:rPr>
          <w:rFonts w:cs="Arial"/>
        </w:rPr>
        <w:t xml:space="preserve">assume that all issuers have websites.  This is not the case, particularly for certain types of issuers such as special purpose vehicles.  </w:t>
      </w:r>
      <w:r w:rsidR="00F0109F">
        <w:rPr>
          <w:rFonts w:cs="Arial"/>
        </w:rPr>
        <w:t>Therefore, we consider that the relevant discl</w:t>
      </w:r>
      <w:r w:rsidR="00F0109F">
        <w:rPr>
          <w:rFonts w:cs="Arial"/>
        </w:rPr>
        <w:t>o</w:t>
      </w:r>
      <w:r w:rsidR="00F0109F">
        <w:rPr>
          <w:rFonts w:cs="Arial"/>
        </w:rPr>
        <w:t>sure requirement should permit information to be provided on the website of a third party.</w:t>
      </w:r>
    </w:p>
    <w:permEnd w:id="163523956"/>
    <w:p w14:paraId="3300CBBF" w14:textId="4BB8F522"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531CC34F" w14:textId="77777777" w:rsidR="00357C60" w:rsidRDefault="00357C60" w:rsidP="00357C60">
      <w:pPr>
        <w:rPr>
          <w:rFonts w:cs="Arial"/>
        </w:rPr>
      </w:pPr>
      <w:r>
        <w:rPr>
          <w:rFonts w:cs="Arial"/>
        </w:rPr>
        <w:t>&lt;ESMA_QUESTION_FAC_56&gt;</w:t>
      </w:r>
    </w:p>
    <w:p w14:paraId="24E1185B" w14:textId="4C817D62" w:rsidR="00DA623E" w:rsidRDefault="00DA623E" w:rsidP="00DA623E">
      <w:pPr>
        <w:rPr>
          <w:rFonts w:cs="Arial"/>
        </w:rPr>
      </w:pPr>
      <w:permStart w:id="1751127930" w:edGrp="everyone"/>
      <w:r>
        <w:rPr>
          <w:rFonts w:cs="Arial"/>
        </w:rPr>
        <w:t>If our comments in Q55 are addressed, then we believe that the proposed technical advice should be deliver more meaningful prospectuses for investors without giving rise to significant additional costs for issuers.</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156D6BC1" w:rsidR="00357C60" w:rsidRDefault="00D06C08" w:rsidP="00357C60">
      <w:pPr>
        <w:rPr>
          <w:rFonts w:cs="Arial"/>
        </w:rPr>
      </w:pPr>
      <w:permStart w:id="488859004" w:edGrp="everyone"/>
      <w:r>
        <w:rPr>
          <w:rFonts w:cs="Arial"/>
        </w:rPr>
        <w:t xml:space="preserve">With the exception of the issues we have identified </w:t>
      </w:r>
      <w:r w:rsidR="000A0CEB">
        <w:rPr>
          <w:rFonts w:cs="Arial"/>
        </w:rPr>
        <w:t xml:space="preserve">below and </w:t>
      </w:r>
      <w:r>
        <w:rPr>
          <w:rFonts w:cs="Arial"/>
        </w:rPr>
        <w:t>in Q58, we agree with the proposed rev</w:t>
      </w:r>
      <w:r>
        <w:rPr>
          <w:rFonts w:cs="Arial"/>
        </w:rPr>
        <w:t>i</w:t>
      </w:r>
      <w:r>
        <w:rPr>
          <w:rFonts w:cs="Arial"/>
        </w:rPr>
        <w:t>sions to the ABS building block.</w:t>
      </w:r>
    </w:p>
    <w:p w14:paraId="11FF173A" w14:textId="77777777" w:rsidR="00024029" w:rsidRDefault="00024029" w:rsidP="00357C60">
      <w:pPr>
        <w:rPr>
          <w:rFonts w:cs="Arial"/>
        </w:rPr>
      </w:pPr>
    </w:p>
    <w:p w14:paraId="1036664B" w14:textId="39F33DBB" w:rsidR="00024029" w:rsidRPr="00024029" w:rsidRDefault="00024029" w:rsidP="00024029">
      <w:pPr>
        <w:rPr>
          <w:rFonts w:cs="Arial"/>
        </w:rPr>
      </w:pPr>
      <w:r>
        <w:rPr>
          <w:rFonts w:cs="Arial"/>
        </w:rPr>
        <w:t>For disclosure item</w:t>
      </w:r>
      <w:r w:rsidRPr="00024029">
        <w:rPr>
          <w:rFonts w:cs="Arial"/>
        </w:rPr>
        <w:t xml:space="preserve"> 2.2.11(b), </w:t>
      </w:r>
      <w:r>
        <w:rPr>
          <w:rFonts w:cs="Arial"/>
        </w:rPr>
        <w:t xml:space="preserve">it is imperative that </w:t>
      </w:r>
      <w:r w:rsidRPr="00024029">
        <w:rPr>
          <w:rFonts w:cs="Arial"/>
        </w:rPr>
        <w:t xml:space="preserve">where a NCA has previously accepted another market as being </w:t>
      </w:r>
      <w:r>
        <w:rPr>
          <w:rFonts w:cs="Arial"/>
        </w:rPr>
        <w:t>‘</w:t>
      </w:r>
      <w:r w:rsidRPr="00024029">
        <w:rPr>
          <w:rFonts w:cs="Arial"/>
        </w:rPr>
        <w:t>equivalent</w:t>
      </w:r>
      <w:r>
        <w:rPr>
          <w:rFonts w:cs="Arial"/>
        </w:rPr>
        <w:t>’</w:t>
      </w:r>
      <w:r w:rsidRPr="00024029">
        <w:rPr>
          <w:rFonts w:cs="Arial"/>
        </w:rPr>
        <w:t xml:space="preserve">, </w:t>
      </w:r>
      <w:r>
        <w:rPr>
          <w:rFonts w:cs="Arial"/>
        </w:rPr>
        <w:t>this must continue to apply when the Prospectus Regulation comes into effect.</w:t>
      </w:r>
    </w:p>
    <w:p w14:paraId="24650536" w14:textId="77777777" w:rsidR="00024029" w:rsidRDefault="00024029" w:rsidP="00357C60">
      <w:pPr>
        <w:rPr>
          <w:rFonts w:cs="Arial"/>
        </w:rPr>
      </w:pPr>
    </w:p>
    <w:p w14:paraId="21CB95AB" w14:textId="77777777" w:rsidR="000A0CEB" w:rsidRDefault="000A0CEB" w:rsidP="00357C60">
      <w:pPr>
        <w:rPr>
          <w:rFonts w:cs="Arial"/>
        </w:rPr>
      </w:pPr>
    </w:p>
    <w:p w14:paraId="6BC43C12" w14:textId="38D2CC38" w:rsidR="00716FC0" w:rsidRDefault="000A0CEB" w:rsidP="00357C60">
      <w:pPr>
        <w:rPr>
          <w:rFonts w:cs="Arial"/>
        </w:rPr>
      </w:pPr>
      <w:r>
        <w:rPr>
          <w:rFonts w:cs="Arial"/>
        </w:rPr>
        <w:t>Disclosure item 4.</w:t>
      </w:r>
      <w:r w:rsidR="00716FC0">
        <w:rPr>
          <w:rFonts w:cs="Arial"/>
        </w:rPr>
        <w:t>1</w:t>
      </w:r>
      <w:r>
        <w:rPr>
          <w:rFonts w:cs="Arial"/>
        </w:rPr>
        <w:t xml:space="preserve"> </w:t>
      </w:r>
      <w:r w:rsidR="00716FC0">
        <w:rPr>
          <w:rFonts w:cs="Arial"/>
        </w:rPr>
        <w:t>effectively mandates post issuance reporting.  We believe that the existing requir</w:t>
      </w:r>
      <w:r w:rsidR="00716FC0">
        <w:rPr>
          <w:rFonts w:cs="Arial"/>
        </w:rPr>
        <w:t>e</w:t>
      </w:r>
      <w:r w:rsidR="00716FC0">
        <w:rPr>
          <w:rFonts w:cs="Arial"/>
        </w:rPr>
        <w:t>ment should apply so that issuers may choose whether or not to provide post-issuance transaction repor</w:t>
      </w:r>
      <w:r w:rsidR="00716FC0">
        <w:rPr>
          <w:rFonts w:cs="Arial"/>
        </w:rPr>
        <w:t>t</w:t>
      </w:r>
      <w:r w:rsidR="00716FC0">
        <w:rPr>
          <w:rFonts w:cs="Arial"/>
        </w:rPr>
        <w:t>ing.</w:t>
      </w:r>
    </w:p>
    <w:permEnd w:id="488859004"/>
    <w:p w14:paraId="5B24BC1E" w14:textId="624174C6"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w:t>
      </w:r>
      <w:r w:rsidRPr="0064701F">
        <w:rPr>
          <w:rFonts w:ascii="Arial" w:hAnsi="Arial" w:cs="Arial"/>
        </w:rPr>
        <w:t>e</w:t>
      </w:r>
      <w:r w:rsidRPr="0064701F">
        <w:rPr>
          <w:rFonts w:ascii="Arial" w:hAnsi="Arial" w:cs="Arial"/>
        </w:rPr>
        <w:t>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49A97ED2" w:rsidR="00357C60" w:rsidRDefault="00D06C08" w:rsidP="00357C60">
      <w:pPr>
        <w:rPr>
          <w:rFonts w:cs="Arial"/>
        </w:rPr>
      </w:pPr>
      <w:permStart w:id="285217172" w:edGrp="everyone"/>
      <w:r>
        <w:rPr>
          <w:rFonts w:cs="Arial"/>
        </w:rPr>
        <w:t xml:space="preserve">We consider that the proposal does not go far enough and </w:t>
      </w:r>
      <w:r w:rsidR="00EB0A0D">
        <w:rPr>
          <w:rFonts w:cs="Arial"/>
        </w:rPr>
        <w:t>disclosure items 2.2.11(b), 2.2.12 New, 2.2.13, 2.2.14</w:t>
      </w:r>
      <w:r w:rsidR="00A35008">
        <w:rPr>
          <w:rFonts w:cs="Arial"/>
        </w:rPr>
        <w:t xml:space="preserve"> and</w:t>
      </w:r>
      <w:r w:rsidR="00EB0A0D">
        <w:rPr>
          <w:rFonts w:cs="Arial"/>
        </w:rPr>
        <w:t xml:space="preserve"> 2.2.15</w:t>
      </w:r>
      <w:r w:rsidR="00A35008">
        <w:rPr>
          <w:rFonts w:cs="Arial"/>
        </w:rPr>
        <w:t xml:space="preserve"> </w:t>
      </w:r>
      <w:r>
        <w:rPr>
          <w:rFonts w:cs="Arial"/>
        </w:rPr>
        <w:t xml:space="preserve">should be expanded to also allow reduced disclosure where securities are admitted to </w:t>
      </w:r>
      <w:r w:rsidR="00EB0A0D">
        <w:rPr>
          <w:rFonts w:cs="Arial"/>
        </w:rPr>
        <w:t xml:space="preserve">a multilateral trading facility (MTF) as defined in </w:t>
      </w:r>
      <w:proofErr w:type="spellStart"/>
      <w:r w:rsidR="00EB0A0D">
        <w:rPr>
          <w:rFonts w:cs="Arial"/>
        </w:rPr>
        <w:t>MiFID</w:t>
      </w:r>
      <w:proofErr w:type="spellEnd"/>
      <w:r w:rsidR="00EB0A0D">
        <w:rPr>
          <w:rFonts w:cs="Arial"/>
        </w:rPr>
        <w:t>.</w:t>
      </w:r>
      <w:r w:rsidR="00043CCB">
        <w:rPr>
          <w:rFonts w:cs="Arial"/>
        </w:rPr>
        <w:t xml:space="preserve">  In addition, we consider that it is important to i</w:t>
      </w:r>
      <w:r w:rsidR="00043CCB">
        <w:rPr>
          <w:rFonts w:cs="Arial"/>
        </w:rPr>
        <w:t>n</w:t>
      </w:r>
      <w:r w:rsidR="00043CCB">
        <w:rPr>
          <w:rFonts w:cs="Arial"/>
        </w:rPr>
        <w:t>clude a grandfathering provision so that where a national competent authority has previously determined a particular market, e.g. non-EU market, to be ‘equivalent’, this should continue in effect until such time as ESMA makes a determination in respect of that market.  We also consider it important that ESMA has a clear and transparency process for determining equivalence in this regard.</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30DD2E71" w14:textId="77777777" w:rsidR="00357C60" w:rsidRDefault="00357C60" w:rsidP="00357C60">
      <w:pPr>
        <w:rPr>
          <w:rFonts w:cs="Arial"/>
        </w:rPr>
      </w:pPr>
      <w:r>
        <w:rPr>
          <w:rFonts w:cs="Arial"/>
        </w:rPr>
        <w:t>&lt;ESMA_QUESTION_FAC_59&gt;</w:t>
      </w:r>
    </w:p>
    <w:p w14:paraId="3B87EF5E" w14:textId="59E7000D" w:rsidR="004C3145" w:rsidRDefault="004C3145" w:rsidP="004C3145">
      <w:pPr>
        <w:rPr>
          <w:rFonts w:cs="Arial"/>
        </w:rPr>
      </w:pPr>
      <w:permStart w:id="1151686863" w:edGrp="everyone"/>
      <w:r>
        <w:rPr>
          <w:rFonts w:cs="Arial"/>
        </w:rPr>
        <w:t>If our comments in Q57 and 58 are addressed, then we believe that the proposed technical advice should be deliver more meaningful prospectuses for investors without giving rise to significant additional costs for issuers.</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01F76C9D" w14:textId="00C474A4" w:rsidR="00231272" w:rsidRDefault="00F35419" w:rsidP="00231272">
      <w:pPr>
        <w:rPr>
          <w:rFonts w:cs="Arial"/>
        </w:rPr>
      </w:pPr>
      <w:permStart w:id="984692687" w:edGrp="everyone"/>
      <w:r>
        <w:rPr>
          <w:rFonts w:cs="Arial"/>
        </w:rPr>
        <w:t>Yes, we agree with the revisions made.</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694345EB" w:rsidR="00357C60" w:rsidRDefault="00231272" w:rsidP="00357C60">
      <w:pPr>
        <w:rPr>
          <w:rFonts w:cs="Arial"/>
        </w:rPr>
      </w:pPr>
      <w:permStart w:id="995973747" w:edGrp="everyone"/>
      <w:r>
        <w:rPr>
          <w:rFonts w:cs="Arial"/>
        </w:rPr>
        <w:t>Yes, we support this.</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think that depository receipts are similar enough to equity econo</w:t>
      </w:r>
      <w:r w:rsidRPr="0064701F">
        <w:rPr>
          <w:rFonts w:ascii="Arial" w:hAnsi="Arial" w:cs="Arial"/>
        </w:rPr>
        <w:t>m</w:t>
      </w:r>
      <w:r w:rsidRPr="0064701F">
        <w:rPr>
          <w:rFonts w:ascii="Arial" w:hAnsi="Arial" w:cs="Arial"/>
        </w:rPr>
        <w:t>ically to require the inclusion of a working capital statement and / or a capitalis</w:t>
      </w:r>
      <w:r w:rsidRPr="0064701F">
        <w:rPr>
          <w:rFonts w:ascii="Arial" w:hAnsi="Arial" w:cs="Arial"/>
        </w:rPr>
        <w:t>a</w:t>
      </w:r>
      <w:r w:rsidRPr="0064701F">
        <w:rPr>
          <w:rFonts w:ascii="Arial" w:hAnsi="Arial" w:cs="Arial"/>
        </w:rPr>
        <w:t>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t>
      </w:r>
      <w:r w:rsidRPr="0064701F">
        <w:rPr>
          <w:rFonts w:ascii="Arial" w:hAnsi="Arial" w:cs="Arial"/>
        </w:rPr>
        <w:lastRenderedPageBreak/>
        <w:t>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changes proposed by ESMA for collective inves</w:t>
      </w:r>
      <w:r w:rsidRPr="0064701F">
        <w:rPr>
          <w:rFonts w:ascii="Arial" w:hAnsi="Arial" w:cs="Arial"/>
        </w:rPr>
        <w:t>t</w:t>
      </w:r>
      <w:r w:rsidRPr="0064701F">
        <w:rPr>
          <w:rFonts w:ascii="Arial" w:hAnsi="Arial" w:cs="Arial"/>
        </w:rPr>
        <w:t>ment undertakings?</w:t>
      </w:r>
    </w:p>
    <w:p w14:paraId="2278D3EB" w14:textId="77777777" w:rsidR="00357C60" w:rsidRDefault="00357C60" w:rsidP="00357C60">
      <w:pPr>
        <w:rPr>
          <w:rFonts w:cs="Arial"/>
        </w:rPr>
      </w:pPr>
      <w:r>
        <w:rPr>
          <w:rFonts w:cs="Arial"/>
        </w:rPr>
        <w:t>&lt;ESMA_QUESTION_FAC_64&gt;</w:t>
      </w:r>
    </w:p>
    <w:p w14:paraId="74462284" w14:textId="77777777" w:rsidR="00D80122" w:rsidRPr="00D80122" w:rsidRDefault="00D80122" w:rsidP="00D80122">
      <w:pPr>
        <w:rPr>
          <w:i/>
        </w:rPr>
      </w:pPr>
      <w:permStart w:id="339822620" w:edGrp="everyone"/>
      <w:r w:rsidRPr="00D80122">
        <w:rPr>
          <w:i/>
        </w:rPr>
        <w:t xml:space="preserve">Introduction </w:t>
      </w:r>
    </w:p>
    <w:p w14:paraId="41A71964" w14:textId="370C91C6" w:rsidR="00D80122" w:rsidRDefault="00D80122" w:rsidP="00D80122">
      <w:r>
        <w:t xml:space="preserve">The clarity in the last sentence of the introductory paragraph setting out which disclosure items in Annex I are required to be disclosed in relation to the fund manager and separately which disclosure items are required to be disclosed in relation to the fund manager and the fund is welcomed. </w:t>
      </w:r>
    </w:p>
    <w:p w14:paraId="0F6A9656" w14:textId="77777777" w:rsidR="00D80122" w:rsidRDefault="00D80122" w:rsidP="00D80122"/>
    <w:p w14:paraId="4285D956" w14:textId="6ED9C52C" w:rsidR="00D80122" w:rsidRPr="00D80122" w:rsidRDefault="00D80122" w:rsidP="00D80122">
      <w:pPr>
        <w:rPr>
          <w:i/>
        </w:rPr>
      </w:pPr>
      <w:r>
        <w:rPr>
          <w:i/>
        </w:rPr>
        <w:t>Item</w:t>
      </w:r>
      <w:r w:rsidRPr="00D80122">
        <w:rPr>
          <w:i/>
        </w:rPr>
        <w:t xml:space="preserve"> 1.1</w:t>
      </w:r>
    </w:p>
    <w:p w14:paraId="23EF8113" w14:textId="336E090B" w:rsidR="00D80122" w:rsidRDefault="00D80122" w:rsidP="00D80122">
      <w:r>
        <w:t>The alignment of paragraph 1.1 with article 23(1</w:t>
      </w:r>
      <w:proofErr w:type="gramStart"/>
      <w:r>
        <w:t>)(</w:t>
      </w:r>
      <w:proofErr w:type="gramEnd"/>
      <w:r>
        <w:t xml:space="preserve">a) and (b) of AIFMD is useful.  </w:t>
      </w:r>
    </w:p>
    <w:p w14:paraId="07161459" w14:textId="77777777" w:rsidR="00D80122" w:rsidRDefault="00D80122" w:rsidP="00D80122"/>
    <w:p w14:paraId="36377EA9" w14:textId="132F228E" w:rsidR="00D80122" w:rsidRPr="00D80122" w:rsidRDefault="00D80122" w:rsidP="00D80122">
      <w:pPr>
        <w:rPr>
          <w:i/>
        </w:rPr>
      </w:pPr>
      <w:r w:rsidRPr="00D80122">
        <w:rPr>
          <w:i/>
        </w:rPr>
        <w:t>Item 2.2</w:t>
      </w:r>
    </w:p>
    <w:p w14:paraId="0A02DB2F" w14:textId="124D5597" w:rsidR="00D80122" w:rsidRDefault="00D80122" w:rsidP="00D80122">
      <w:r>
        <w:t>We would suggest amending the wording in 2.2 (</w:t>
      </w:r>
      <w:proofErr w:type="spellStart"/>
      <w:r>
        <w:t>i</w:t>
      </w:r>
      <w:proofErr w:type="spellEnd"/>
      <w:r>
        <w:t>) and 2.2 (ii) to include the word “market” after the word “regulated” as it is misleading in its current form.  The wording in section 193 of the consultation paper is clear – “…..admitted to trading on a regulated market, equivalent third country market or an SME Growth Market…”</w:t>
      </w:r>
    </w:p>
    <w:p w14:paraId="17360BAC" w14:textId="77777777" w:rsidR="00D80122" w:rsidRDefault="00D80122" w:rsidP="00D80122"/>
    <w:p w14:paraId="2A9F5FFC" w14:textId="58AE64A4" w:rsidR="00D80122" w:rsidRDefault="00D80122" w:rsidP="00D80122">
      <w:r>
        <w:t>Generally, the disclosure requirement in paragraph 2.2(</w:t>
      </w:r>
      <w:proofErr w:type="spellStart"/>
      <w:r>
        <w:t>i</w:t>
      </w:r>
      <w:proofErr w:type="spellEnd"/>
      <w:r>
        <w:t>) is very onerous.  In practice, this requirement has a negative impact on issuers coming to the market and is not appropriate for many closed ended funds which are passive in nature. We note the suggestion adding the ability to agree to a reduced level of disclosure in limited circumstances.  Unless clear detailed guidance is provided to indicate when this may be permitted and what “reasonable demonstration” is, this may be of limited value.   Conversely, we would suggest that paragraph 2.2(</w:t>
      </w:r>
      <w:proofErr w:type="spellStart"/>
      <w:r>
        <w:t>i</w:t>
      </w:r>
      <w:proofErr w:type="spellEnd"/>
      <w:r>
        <w:t>) should only be applicable in limited circumstances such as where a colle</w:t>
      </w:r>
      <w:r>
        <w:t>c</w:t>
      </w:r>
      <w:r>
        <w:t xml:space="preserve">tive investment </w:t>
      </w:r>
      <w:proofErr w:type="gramStart"/>
      <w:r>
        <w:t>undertakings</w:t>
      </w:r>
      <w:proofErr w:type="gramEnd"/>
      <w:r>
        <w:t xml:space="preserve"> of the closed ended type is seeking to take control of its underlying inves</w:t>
      </w:r>
      <w:r>
        <w:t>t</w:t>
      </w:r>
      <w:r>
        <w:t xml:space="preserve">ments.  By way of example, a venture capital fund or a private equity fund may fall into this category. </w:t>
      </w:r>
    </w:p>
    <w:p w14:paraId="75174929" w14:textId="77777777" w:rsidR="00D80122" w:rsidRDefault="00D80122" w:rsidP="00D80122"/>
    <w:p w14:paraId="3F320C15" w14:textId="0714F4D2" w:rsidR="00D80122" w:rsidRPr="00D80122" w:rsidRDefault="00D80122" w:rsidP="00D80122">
      <w:pPr>
        <w:rPr>
          <w:i/>
        </w:rPr>
      </w:pPr>
      <w:r w:rsidRPr="00D80122">
        <w:rPr>
          <w:i/>
        </w:rPr>
        <w:t xml:space="preserve">Item 2.3 </w:t>
      </w:r>
    </w:p>
    <w:p w14:paraId="7E064AAE" w14:textId="35FD6EB0" w:rsidR="00D80122" w:rsidRDefault="00D80122" w:rsidP="00D80122">
      <w:r>
        <w:t xml:space="preserve">We would make the same observations as per paragraph point 2 under paragraph 2.2 above. </w:t>
      </w:r>
    </w:p>
    <w:p w14:paraId="1BD647E3" w14:textId="77777777" w:rsidR="00D80122" w:rsidRDefault="00D80122" w:rsidP="00D80122"/>
    <w:p w14:paraId="526BF93C" w14:textId="4B9BB546" w:rsidR="00D80122" w:rsidRPr="00D80122" w:rsidRDefault="00D80122" w:rsidP="00D80122">
      <w:pPr>
        <w:rPr>
          <w:i/>
        </w:rPr>
      </w:pPr>
      <w:r w:rsidRPr="00D80122">
        <w:rPr>
          <w:i/>
        </w:rPr>
        <w:t>Item 2.9</w:t>
      </w:r>
    </w:p>
    <w:p w14:paraId="13454E96" w14:textId="2F86235C" w:rsidR="00D80122" w:rsidRDefault="00D80122" w:rsidP="00D80122">
      <w:r>
        <w:t xml:space="preserve">We would welcome clarity as to why this paragraph has been deleted. </w:t>
      </w:r>
    </w:p>
    <w:p w14:paraId="64E49786" w14:textId="77777777" w:rsidR="00D80122" w:rsidRDefault="00D80122" w:rsidP="00D80122"/>
    <w:p w14:paraId="3095D103" w14:textId="77777777" w:rsidR="00D80122" w:rsidRPr="00D80122" w:rsidRDefault="00D80122" w:rsidP="00D80122">
      <w:pPr>
        <w:rPr>
          <w:b/>
        </w:rPr>
      </w:pPr>
      <w:r w:rsidRPr="00D80122">
        <w:rPr>
          <w:b/>
        </w:rPr>
        <w:t>ANNEX I</w:t>
      </w:r>
    </w:p>
    <w:p w14:paraId="7E80380D" w14:textId="77777777" w:rsidR="00D80122" w:rsidRDefault="00D80122" w:rsidP="00D80122">
      <w:r>
        <w:t>The following sections of Annex I should not be applicable to collective investment undertakings of the closed ended type:</w:t>
      </w:r>
    </w:p>
    <w:p w14:paraId="17F3545E" w14:textId="77777777" w:rsidR="00D80122" w:rsidRDefault="00D80122" w:rsidP="00D80122">
      <w:r w:rsidRPr="00D80122">
        <w:rPr>
          <w:i/>
        </w:rPr>
        <w:t>9.2.1</w:t>
      </w:r>
      <w:r>
        <w:t xml:space="preserve"> – There is sufficient information required by 9.1 in this regard.  Furthermore, the information required to be disclosed in paragraph 20 should be sufficient for any type of investor to have sufficient information and to make an informed decision. </w:t>
      </w:r>
    </w:p>
    <w:p w14:paraId="6CF8678C" w14:textId="77777777" w:rsidR="00D80122" w:rsidRDefault="00D80122" w:rsidP="00D80122">
      <w:r w:rsidRPr="00D80122">
        <w:rPr>
          <w:i/>
        </w:rPr>
        <w:t>10.4</w:t>
      </w:r>
      <w:r>
        <w:t xml:space="preserve"> – There is extensive disclosure already required in Annex XV with regard to the issuer’s investment objective and policy and investment restrictions.  </w:t>
      </w:r>
    </w:p>
    <w:p w14:paraId="4BA3BDAB" w14:textId="2F9E2F4B" w:rsidR="00D80122" w:rsidRDefault="00D80122" w:rsidP="00D80122">
      <w:r w:rsidRPr="00D80122">
        <w:rPr>
          <w:i/>
        </w:rPr>
        <w:t>13</w:t>
      </w:r>
      <w:r>
        <w:t xml:space="preserve"> – Collective investment undertakings of the closed ended type typically do not prepare profit forecasts or estimates.  In our experience since the implementation of Directive 2003/71/EU, these disclosure items </w:t>
      </w:r>
      <w:r w:rsidR="009E32CF">
        <w:t>are typically</w:t>
      </w:r>
      <w:r>
        <w:t xml:space="preserve"> </w:t>
      </w:r>
      <w:r w:rsidR="009E32CF">
        <w:t xml:space="preserve">not </w:t>
      </w:r>
      <w:r>
        <w:t xml:space="preserve">applicable.  </w:t>
      </w:r>
    </w:p>
    <w:p w14:paraId="63B025E1" w14:textId="77777777" w:rsidR="00D80122" w:rsidRDefault="00D80122" w:rsidP="00D80122"/>
    <w:p w14:paraId="77AA23FE" w14:textId="132F618E" w:rsidR="00D80122" w:rsidRDefault="00D80122" w:rsidP="00D80122">
      <w:r w:rsidRPr="00D80122">
        <w:rPr>
          <w:i/>
        </w:rPr>
        <w:t>20.2</w:t>
      </w:r>
      <w:r>
        <w:t xml:space="preserve"> (may be changed in revised Annex I) - Pro forma financial information is not a feature of collective investment undertakings of the closed ended type.  In our experience since the implementation of D</w:t>
      </w:r>
      <w:r>
        <w:t>i</w:t>
      </w:r>
      <w:r>
        <w:t xml:space="preserve">rective 2003/71/EC, these disclosure items </w:t>
      </w:r>
      <w:r w:rsidR="006C655E">
        <w:t xml:space="preserve">are typically not </w:t>
      </w:r>
      <w:r>
        <w:t xml:space="preserve">applicable. </w:t>
      </w:r>
    </w:p>
    <w:p w14:paraId="5533BFC2" w14:textId="77777777" w:rsidR="00D80122" w:rsidRDefault="00D80122" w:rsidP="00D80122"/>
    <w:p w14:paraId="3D505250" w14:textId="77777777" w:rsidR="00D80122" w:rsidRPr="00D80122" w:rsidRDefault="00D80122" w:rsidP="00D80122">
      <w:pPr>
        <w:rPr>
          <w:b/>
        </w:rPr>
      </w:pPr>
      <w:r w:rsidRPr="00D80122">
        <w:rPr>
          <w:b/>
        </w:rPr>
        <w:t>ANNEX 2 (previously ANNEX III)</w:t>
      </w:r>
    </w:p>
    <w:p w14:paraId="41E12C19" w14:textId="7E9241F1" w:rsidR="00D80122" w:rsidRDefault="00D80122" w:rsidP="00D80122">
      <w:r>
        <w:t xml:space="preserve">The following </w:t>
      </w:r>
      <w:r w:rsidR="00547E36">
        <w:t>disclosure items in</w:t>
      </w:r>
      <w:r>
        <w:t xml:space="preserve"> Annex 2 should not be applicable to collective investment undertakings of the closed ended type.  These disclosures are </w:t>
      </w:r>
      <w:r w:rsidR="00547E36">
        <w:t xml:space="preserve">typically more </w:t>
      </w:r>
      <w:r>
        <w:t xml:space="preserve">appropriate for </w:t>
      </w:r>
      <w:r w:rsidR="00547E36">
        <w:t>commercial</w:t>
      </w:r>
      <w:r>
        <w:t xml:space="preserve"> companies and impose an unnecessary financial and administrative burden on issuer of collective investment unde</w:t>
      </w:r>
      <w:r>
        <w:t>r</w:t>
      </w:r>
      <w:r>
        <w:t xml:space="preserve">takings of the closed ended type: </w:t>
      </w:r>
    </w:p>
    <w:p w14:paraId="7665984A" w14:textId="77777777" w:rsidR="00D80122" w:rsidRDefault="00D80122" w:rsidP="00D80122">
      <w:r w:rsidRPr="00D80122">
        <w:rPr>
          <w:i/>
        </w:rPr>
        <w:t>3.1</w:t>
      </w:r>
      <w:r>
        <w:t xml:space="preserve"> </w:t>
      </w:r>
      <w:r>
        <w:tab/>
        <w:t xml:space="preserve">Working capital statement </w:t>
      </w:r>
    </w:p>
    <w:p w14:paraId="32904D96" w14:textId="77777777" w:rsidR="00D80122" w:rsidRDefault="00D80122" w:rsidP="00D80122">
      <w:r w:rsidRPr="00D80122">
        <w:rPr>
          <w:i/>
        </w:rPr>
        <w:t>3.2</w:t>
      </w:r>
      <w:r>
        <w:t xml:space="preserve"> </w:t>
      </w:r>
      <w:r>
        <w:tab/>
        <w:t xml:space="preserve">Capitalisation and indebtedness </w:t>
      </w:r>
    </w:p>
    <w:p w14:paraId="64FD5353" w14:textId="77777777" w:rsidR="00D80122" w:rsidRDefault="00D80122" w:rsidP="00D80122">
      <w:r w:rsidRPr="00D80122">
        <w:rPr>
          <w:i/>
        </w:rPr>
        <w:t>4.12</w:t>
      </w:r>
      <w:r>
        <w:tab/>
        <w:t>Impact on investment in the event of a resolution under Directive 2014/59/EU</w:t>
      </w:r>
    </w:p>
    <w:p w14:paraId="65727D34" w14:textId="77777777" w:rsidR="00D80122" w:rsidRDefault="00D80122" w:rsidP="00D80122">
      <w:r w:rsidRPr="00D80122">
        <w:rPr>
          <w:i/>
        </w:rPr>
        <w:t>9</w:t>
      </w:r>
      <w:r>
        <w:tab/>
        <w:t>Dilution</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w:t>
      </w:r>
      <w:r w:rsidRPr="0064701F">
        <w:rPr>
          <w:rFonts w:ascii="Arial" w:hAnsi="Arial" w:cs="Arial"/>
        </w:rPr>
        <w:t>e</w:t>
      </w:r>
      <w:r w:rsidRPr="0064701F">
        <w:rPr>
          <w:rFonts w:ascii="Arial" w:hAnsi="Arial" w:cs="Arial"/>
        </w:rPr>
        <w:t>curities issued by the underlying issuer/collective investment underta</w:t>
      </w:r>
      <w:r w:rsidRPr="0064701F">
        <w:rPr>
          <w:rFonts w:ascii="Arial" w:hAnsi="Arial" w:cs="Arial"/>
        </w:rPr>
        <w:t>k</w:t>
      </w:r>
      <w:r w:rsidRPr="0064701F">
        <w:rPr>
          <w:rFonts w:ascii="Arial" w:hAnsi="Arial" w:cs="Arial"/>
        </w:rPr>
        <w:t>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55"/>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0AC760C4" w:rsidR="00357C60" w:rsidRDefault="00231272" w:rsidP="00357C60">
      <w:pPr>
        <w:rPr>
          <w:rFonts w:cs="Arial"/>
        </w:rPr>
      </w:pPr>
      <w:permStart w:id="1498880480" w:edGrp="everyone"/>
      <w:r>
        <w:rPr>
          <w:rFonts w:cs="Arial"/>
        </w:rPr>
        <w:t xml:space="preserve">We consider that where the underlying shares are already admitted to trading on a regulated market </w:t>
      </w:r>
      <w:r w:rsidRPr="00231272">
        <w:rPr>
          <w:rFonts w:cs="Arial"/>
          <w:u w:val="single"/>
        </w:rPr>
        <w:t xml:space="preserve">or a multilateral trading facility as defined under </w:t>
      </w:r>
      <w:proofErr w:type="spellStart"/>
      <w:r w:rsidRPr="00231272">
        <w:rPr>
          <w:rFonts w:cs="Arial"/>
          <w:u w:val="single"/>
        </w:rPr>
        <w:t>MiFID</w:t>
      </w:r>
      <w:proofErr w:type="spellEnd"/>
      <w:r>
        <w:rPr>
          <w:rFonts w:cs="Arial"/>
        </w:rPr>
        <w:t>, information to be included in the prospectus should be limited to that provided by item 4.2.2 of Annex XII of the Commission Regulation.</w:t>
      </w:r>
      <w:r w:rsidR="00715EEB">
        <w:rPr>
          <w:rFonts w:cs="Arial"/>
        </w:rPr>
        <w:t xml:space="preserve">  In addition, we consider that it is important to include a grandfathering provision </w:t>
      </w:r>
      <w:r w:rsidR="00856FEB">
        <w:rPr>
          <w:rFonts w:cs="Arial"/>
        </w:rPr>
        <w:t>so that</w:t>
      </w:r>
      <w:r w:rsidR="00715EEB">
        <w:rPr>
          <w:rFonts w:cs="Arial"/>
        </w:rPr>
        <w:t xml:space="preserve"> where a national competent authority has </w:t>
      </w:r>
      <w:r w:rsidR="00856FEB">
        <w:rPr>
          <w:rFonts w:cs="Arial"/>
        </w:rPr>
        <w:t xml:space="preserve">previously </w:t>
      </w:r>
      <w:r w:rsidR="00715EEB">
        <w:rPr>
          <w:rFonts w:cs="Arial"/>
        </w:rPr>
        <w:t xml:space="preserve">determined a particular market, e.g. non-EU market, to </w:t>
      </w:r>
      <w:r w:rsidR="00856FEB">
        <w:rPr>
          <w:rFonts w:cs="Arial"/>
        </w:rPr>
        <w:t>be ‘equivalent’, this should continue in effect until such time as ESMA makes a determination in respect of that market.  We also consider it important that ESMA ha</w:t>
      </w:r>
      <w:r w:rsidR="00043CCB">
        <w:rPr>
          <w:rFonts w:cs="Arial"/>
        </w:rPr>
        <w:t>s</w:t>
      </w:r>
      <w:r w:rsidR="00856FEB">
        <w:rPr>
          <w:rFonts w:cs="Arial"/>
        </w:rPr>
        <w:t xml:space="preserve"> a clear and transparency process for determining equivalence in this regard.</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lastRenderedPageBreak/>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ESMA’s proposal not to develop a schedule for secur</w:t>
      </w:r>
      <w:r w:rsidRPr="0064701F">
        <w:rPr>
          <w:rFonts w:ascii="Arial" w:hAnsi="Arial" w:cs="Arial"/>
        </w:rPr>
        <w:t>i</w:t>
      </w:r>
      <w:r w:rsidRPr="0064701F">
        <w:rPr>
          <w:rFonts w:ascii="Arial" w:hAnsi="Arial" w:cs="Arial"/>
        </w:rPr>
        <w:t>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171F9DB1" w:rsidR="00357C60" w:rsidRDefault="0088391F" w:rsidP="00357C60">
      <w:pPr>
        <w:rPr>
          <w:rFonts w:cs="Arial"/>
        </w:rPr>
      </w:pPr>
      <w:permStart w:id="2126859442" w:edGrp="everyone"/>
      <w:r>
        <w:rPr>
          <w:rFonts w:cs="Arial"/>
        </w:rPr>
        <w:t>Yes, we agree with this proposal.</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77777777" w:rsidR="00357C60" w:rsidRDefault="00357C60" w:rsidP="00357C60">
      <w:pPr>
        <w:rPr>
          <w:rFonts w:cs="Arial"/>
        </w:rPr>
      </w:pPr>
      <w:permStart w:id="781917570" w:edGrp="everyone"/>
      <w:r>
        <w:rPr>
          <w:rFonts w:cs="Arial"/>
        </w:rPr>
        <w:t>TYPE YOUR TEXT HERE</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w:t>
      </w:r>
      <w:r w:rsidRPr="0064701F">
        <w:rPr>
          <w:rFonts w:ascii="Arial" w:hAnsi="Arial" w:cs="Arial"/>
        </w:rPr>
        <w:t>a</w:t>
      </w:r>
      <w:r w:rsidRPr="0064701F">
        <w:rPr>
          <w:rFonts w:ascii="Arial" w:hAnsi="Arial" w:cs="Arial"/>
        </w:rPr>
        <w:t>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0251AF38" w14:textId="77777777" w:rsidR="00A935D8" w:rsidRDefault="00A935D8" w:rsidP="00357C60">
      <w:pPr>
        <w:rPr>
          <w:rFonts w:cs="Arial"/>
        </w:rPr>
      </w:pPr>
      <w:permStart w:id="616250092" w:edGrp="everyone"/>
      <w:r>
        <w:rPr>
          <w:rFonts w:cs="Arial"/>
        </w:rPr>
        <w:t>We believe that there is scope for further alleviation of the disclosure regime without compromising on investor protection:</w:t>
      </w:r>
    </w:p>
    <w:p w14:paraId="0FCDCE12" w14:textId="12BBB623" w:rsidR="00357C60" w:rsidRDefault="00BE4FA2" w:rsidP="00357C60">
      <w:pPr>
        <w:rPr>
          <w:rFonts w:cs="Arial"/>
        </w:rPr>
      </w:pPr>
      <w:r>
        <w:rPr>
          <w:rFonts w:cs="Arial"/>
        </w:rPr>
        <w:t>Disclosure item 3 (Risk Factors) – this is an area of the prospectus that will give rise to significant cost to issuers to prepare.  For secondary issuances, we consider that it would be appropriate to require discl</w:t>
      </w:r>
      <w:r>
        <w:rPr>
          <w:rFonts w:cs="Arial"/>
        </w:rPr>
        <w:t>o</w:t>
      </w:r>
      <w:r>
        <w:rPr>
          <w:rFonts w:cs="Arial"/>
        </w:rPr>
        <w:t>sure of new material risks arising since the last published audited annual financial statements.</w:t>
      </w:r>
    </w:p>
    <w:p w14:paraId="33C90D63" w14:textId="3B2236E7" w:rsidR="00BE4FA2" w:rsidRDefault="00BE4FA2" w:rsidP="00357C60">
      <w:pPr>
        <w:rPr>
          <w:rFonts w:cs="Arial"/>
        </w:rPr>
      </w:pPr>
      <w:r>
        <w:rPr>
          <w:rFonts w:cs="Arial"/>
        </w:rPr>
        <w:t xml:space="preserve">Disclosure item 15.1 </w:t>
      </w:r>
      <w:r w:rsidR="00D607D5">
        <w:rPr>
          <w:rFonts w:cs="Arial"/>
        </w:rPr>
        <w:t xml:space="preserve">(Documents Available) </w:t>
      </w:r>
      <w:r>
        <w:rPr>
          <w:rFonts w:cs="Arial"/>
        </w:rPr>
        <w:t xml:space="preserve">– </w:t>
      </w:r>
      <w:r w:rsidR="001307E8">
        <w:rPr>
          <w:rFonts w:cs="Arial"/>
        </w:rPr>
        <w:t xml:space="preserve">this disclosure item </w:t>
      </w:r>
      <w:r>
        <w:rPr>
          <w:rFonts w:cs="Arial"/>
        </w:rPr>
        <w:t xml:space="preserve">assumes that all issuers have websites.  This is not the case, particularly for certain types of issuers such as special purpose vehicles.  </w:t>
      </w:r>
      <w:r w:rsidR="00F0109F">
        <w:rPr>
          <w:rFonts w:cs="Arial"/>
        </w:rPr>
        <w:t>Therefore, we consider that the relevant disclosure requirement should permit information to be provided on the website of a third party.</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5B5CC8C3" w:rsidR="00357C60" w:rsidRDefault="00250F2C" w:rsidP="00357C60">
      <w:pPr>
        <w:rPr>
          <w:rFonts w:cs="Arial"/>
        </w:rPr>
      </w:pPr>
      <w:permStart w:id="421747925" w:edGrp="everyone"/>
      <w:r>
        <w:rPr>
          <w:rFonts w:cs="Arial"/>
        </w:rPr>
        <w:t>We do not consider it necessary for the secondary disclosure regime to be differentiated depending on whether the issuer is listed on a ‘regulated market’ or a SME Growth Market.</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63D0DDFE" w:rsidR="00357C60" w:rsidRDefault="00B24584" w:rsidP="00357C60">
      <w:pPr>
        <w:rPr>
          <w:rFonts w:cs="Arial"/>
        </w:rPr>
      </w:pPr>
      <w:permStart w:id="2146308113" w:edGrp="everyone"/>
      <w:r>
        <w:rPr>
          <w:rFonts w:cs="Arial"/>
        </w:rPr>
        <w:t>No, we do not consider that such information is necessary in a secondary issuance prospectus.</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209F05CB" w:rsidR="00357C60" w:rsidRDefault="00B24584" w:rsidP="00357C60">
      <w:pPr>
        <w:rPr>
          <w:rFonts w:cs="Arial"/>
        </w:rPr>
      </w:pPr>
      <w:permStart w:id="1718430491" w:edGrp="everyone"/>
      <w:r>
        <w:rPr>
          <w:rFonts w:cs="Arial"/>
        </w:rPr>
        <w:t>Yes, we consider that this disclosure item is relevant to the extent that any such material contracts have not previously been disclosed.</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77777777" w:rsidR="00357C60" w:rsidRDefault="00357C60" w:rsidP="00357C60">
      <w:pPr>
        <w:rPr>
          <w:rFonts w:cs="Arial"/>
        </w:rPr>
      </w:pPr>
      <w:permStart w:id="1333292354" w:edGrp="everyone"/>
      <w:r>
        <w:rPr>
          <w:rFonts w:cs="Arial"/>
        </w:rPr>
        <w:t>TYPE YOUR TEXT HERE</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6C99E532" w:rsidR="00357C60" w:rsidRDefault="00745472" w:rsidP="00357C60">
      <w:pPr>
        <w:rPr>
          <w:rFonts w:cs="Arial"/>
        </w:rPr>
      </w:pPr>
      <w:permStart w:id="535721665" w:edGrp="everyone"/>
      <w:r>
        <w:rPr>
          <w:rFonts w:cs="Arial"/>
        </w:rPr>
        <w:t xml:space="preserve">We consider that it would be more </w:t>
      </w:r>
      <w:proofErr w:type="gramStart"/>
      <w:r>
        <w:rPr>
          <w:rFonts w:cs="Arial"/>
        </w:rPr>
        <w:t>user</w:t>
      </w:r>
      <w:proofErr w:type="gramEnd"/>
      <w:r>
        <w:rPr>
          <w:rFonts w:cs="Arial"/>
        </w:rPr>
        <w:t xml:space="preserve"> friendly to have mul</w:t>
      </w:r>
      <w:r w:rsidR="009551FF">
        <w:rPr>
          <w:rFonts w:cs="Arial"/>
        </w:rPr>
        <w:t>tiple securities note schedules – one for equ</w:t>
      </w:r>
      <w:r w:rsidR="009551FF">
        <w:rPr>
          <w:rFonts w:cs="Arial"/>
        </w:rPr>
        <w:t>i</w:t>
      </w:r>
      <w:r w:rsidR="009551FF">
        <w:rPr>
          <w:rFonts w:cs="Arial"/>
        </w:rPr>
        <w:t>ty, one for retail non-equity and one for wholesale non-equity.</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t>
      </w:r>
      <w:r w:rsidRPr="0064701F">
        <w:rPr>
          <w:rFonts w:ascii="Arial" w:hAnsi="Arial" w:cs="Arial"/>
        </w:rPr>
        <w:lastRenderedPageBreak/>
        <w:t>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CCAB0" w14:textId="77777777" w:rsidR="006E66E7" w:rsidRDefault="006E66E7">
      <w:r>
        <w:separator/>
      </w:r>
    </w:p>
    <w:p w14:paraId="31D8BEEB" w14:textId="77777777" w:rsidR="006E66E7" w:rsidRDefault="006E66E7"/>
  </w:endnote>
  <w:endnote w:type="continuationSeparator" w:id="0">
    <w:p w14:paraId="0761C5D8" w14:textId="77777777" w:rsidR="006E66E7" w:rsidRDefault="006E66E7">
      <w:r>
        <w:continuationSeparator/>
      </w:r>
    </w:p>
    <w:p w14:paraId="4CEFAD95" w14:textId="77777777" w:rsidR="006E66E7" w:rsidRDefault="006E66E7"/>
  </w:endnote>
  <w:endnote w:type="continuationNotice" w:id="1">
    <w:p w14:paraId="20E4E35C" w14:textId="77777777" w:rsidR="006E66E7" w:rsidRDefault="006E6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E66E7" w:rsidRPr="00616B9B" w14:paraId="1A11FFC7" w14:textId="77777777" w:rsidTr="00315E96">
      <w:trPr>
        <w:trHeight w:val="284"/>
      </w:trPr>
      <w:tc>
        <w:tcPr>
          <w:tcW w:w="8460" w:type="dxa"/>
        </w:tcPr>
        <w:p w14:paraId="2CE11161" w14:textId="77777777" w:rsidR="006E66E7" w:rsidRPr="00315E96" w:rsidRDefault="006E66E7" w:rsidP="00315E96">
          <w:pPr>
            <w:pStyle w:val="00Footer"/>
            <w:rPr>
              <w:lang w:val="fr-FR"/>
            </w:rPr>
          </w:pPr>
        </w:p>
      </w:tc>
      <w:tc>
        <w:tcPr>
          <w:tcW w:w="952" w:type="dxa"/>
        </w:tcPr>
        <w:p w14:paraId="516490C0" w14:textId="49EBAB43" w:rsidR="006E66E7" w:rsidRPr="00616B9B" w:rsidRDefault="006E66E7"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F4DB4">
            <w:rPr>
              <w:rFonts w:cs="Arial"/>
              <w:noProof/>
              <w:sz w:val="22"/>
              <w:szCs w:val="22"/>
            </w:rPr>
            <w:t>21</w:t>
          </w:r>
          <w:r w:rsidRPr="00616B9B">
            <w:rPr>
              <w:rFonts w:cs="Arial"/>
              <w:noProof/>
              <w:sz w:val="22"/>
              <w:szCs w:val="22"/>
            </w:rPr>
            <w:fldChar w:fldCharType="end"/>
          </w:r>
        </w:p>
      </w:tc>
    </w:tr>
  </w:tbl>
  <w:p w14:paraId="3F8E2998" w14:textId="77777777" w:rsidR="006E66E7" w:rsidRDefault="006E6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6E66E7" w:rsidRDefault="006E6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2373F" w14:textId="77777777" w:rsidR="006E66E7" w:rsidRDefault="006E66E7">
      <w:r>
        <w:separator/>
      </w:r>
    </w:p>
    <w:p w14:paraId="223E6F8A" w14:textId="77777777" w:rsidR="006E66E7" w:rsidRDefault="006E66E7"/>
  </w:footnote>
  <w:footnote w:type="continuationSeparator" w:id="0">
    <w:p w14:paraId="37774CC6" w14:textId="77777777" w:rsidR="006E66E7" w:rsidRDefault="006E66E7">
      <w:r>
        <w:continuationSeparator/>
      </w:r>
    </w:p>
    <w:p w14:paraId="76C92344" w14:textId="77777777" w:rsidR="006E66E7" w:rsidRDefault="006E66E7"/>
  </w:footnote>
  <w:footnote w:type="continuationNotice" w:id="1">
    <w:p w14:paraId="4029C783" w14:textId="77777777" w:rsidR="006E66E7" w:rsidRDefault="006E66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6E66E7" w:rsidRDefault="006E66E7">
    <w:pPr>
      <w:pStyle w:val="Header"/>
    </w:pPr>
    <w:r>
      <w:rPr>
        <w:noProof/>
        <w:lang w:val="en-IE" w:eastAsia="en-I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6E66E7" w:rsidRDefault="006E66E7" w:rsidP="00013CCE">
    <w:pPr>
      <w:pStyle w:val="Header"/>
      <w:jc w:val="right"/>
    </w:pPr>
    <w:r>
      <w:rPr>
        <w:noProof/>
        <w:lang w:val="en-IE" w:eastAsia="en-I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6E66E7" w:rsidRDefault="006E66E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E66E7" w:rsidRPr="002F4496" w14:paraId="5A9CC9DB" w14:textId="77777777" w:rsidTr="000C06C9">
      <w:trPr>
        <w:trHeight w:val="284"/>
      </w:trPr>
      <w:tc>
        <w:tcPr>
          <w:tcW w:w="8460" w:type="dxa"/>
        </w:tcPr>
        <w:p w14:paraId="56125542" w14:textId="77777777" w:rsidR="006E66E7" w:rsidRPr="000C3B6D" w:rsidRDefault="006E66E7" w:rsidP="000C06C9">
          <w:pPr>
            <w:pStyle w:val="00Footer"/>
            <w:rPr>
              <w:lang w:val="fr-FR"/>
            </w:rPr>
          </w:pPr>
        </w:p>
      </w:tc>
      <w:tc>
        <w:tcPr>
          <w:tcW w:w="952" w:type="dxa"/>
        </w:tcPr>
        <w:p w14:paraId="185D9EAB" w14:textId="77777777" w:rsidR="006E66E7" w:rsidRPr="00146B34" w:rsidRDefault="006E66E7" w:rsidP="000C06C9">
          <w:pPr>
            <w:pStyle w:val="00aPagenumber"/>
            <w:rPr>
              <w:lang w:val="fr-FR"/>
            </w:rPr>
          </w:pPr>
        </w:p>
      </w:tc>
    </w:tr>
  </w:tbl>
  <w:p w14:paraId="4BF8B831" w14:textId="77777777" w:rsidR="006E66E7" w:rsidRPr="00DB46C3" w:rsidRDefault="006E66E7">
    <w:pPr>
      <w:rPr>
        <w:lang w:val="fr-FR"/>
      </w:rPr>
    </w:pPr>
  </w:p>
  <w:p w14:paraId="1FBEFD47" w14:textId="77777777" w:rsidR="006E66E7" w:rsidRPr="002F4496" w:rsidRDefault="006E66E7">
    <w:pPr>
      <w:pStyle w:val="Header"/>
      <w:rPr>
        <w:lang w:val="fr-FR"/>
      </w:rPr>
    </w:pPr>
  </w:p>
  <w:p w14:paraId="7D075F96" w14:textId="77777777" w:rsidR="006E66E7" w:rsidRPr="002F4496" w:rsidRDefault="006E66E7" w:rsidP="000C06C9">
    <w:pPr>
      <w:pStyle w:val="Header"/>
      <w:tabs>
        <w:tab w:val="clear" w:pos="4536"/>
        <w:tab w:val="clear" w:pos="9072"/>
        <w:tab w:val="left" w:pos="8227"/>
      </w:tabs>
      <w:rPr>
        <w:lang w:val="fr-FR"/>
      </w:rPr>
    </w:pPr>
  </w:p>
  <w:p w14:paraId="1EEAF2AF" w14:textId="77777777" w:rsidR="006E66E7" w:rsidRPr="002F4496" w:rsidRDefault="006E66E7" w:rsidP="000C06C9">
    <w:pPr>
      <w:pStyle w:val="Header"/>
      <w:tabs>
        <w:tab w:val="clear" w:pos="4536"/>
        <w:tab w:val="clear" w:pos="9072"/>
        <w:tab w:val="left" w:pos="8227"/>
      </w:tabs>
      <w:rPr>
        <w:lang w:val="fr-FR"/>
      </w:rPr>
    </w:pPr>
  </w:p>
  <w:p w14:paraId="366CDA59" w14:textId="77777777" w:rsidR="006E66E7" w:rsidRPr="002F4496" w:rsidRDefault="006E66E7">
    <w:pPr>
      <w:pStyle w:val="Header"/>
      <w:rPr>
        <w:lang w:val="fr-FR"/>
      </w:rPr>
    </w:pPr>
  </w:p>
  <w:p w14:paraId="090159B5" w14:textId="77777777" w:rsidR="006E66E7" w:rsidRPr="002F4496" w:rsidRDefault="006E66E7">
    <w:pPr>
      <w:pStyle w:val="Header"/>
      <w:rPr>
        <w:lang w:val="fr-FR"/>
      </w:rPr>
    </w:pPr>
  </w:p>
  <w:p w14:paraId="13DB3246" w14:textId="77777777" w:rsidR="006E66E7" w:rsidRPr="002F4496" w:rsidRDefault="006E66E7">
    <w:pPr>
      <w:pStyle w:val="Header"/>
      <w:rPr>
        <w:lang w:val="fr-FR"/>
      </w:rPr>
    </w:pPr>
  </w:p>
  <w:p w14:paraId="5B245FC6" w14:textId="77777777" w:rsidR="006E66E7" w:rsidRPr="002F4496" w:rsidRDefault="006E66E7">
    <w:pPr>
      <w:pStyle w:val="Header"/>
      <w:rPr>
        <w:lang w:val="fr-FR"/>
      </w:rPr>
    </w:pPr>
  </w:p>
  <w:p w14:paraId="1D7B1F8D" w14:textId="77777777" w:rsidR="006E66E7" w:rsidRPr="002F4496" w:rsidRDefault="006E66E7">
    <w:pPr>
      <w:pStyle w:val="Header"/>
      <w:rPr>
        <w:highlight w:val="yellow"/>
        <w:lang w:val="fr-FR"/>
      </w:rPr>
    </w:pPr>
  </w:p>
  <w:p w14:paraId="177617ED" w14:textId="77777777" w:rsidR="006E66E7" w:rsidRDefault="006E66E7">
    <w:pPr>
      <w:pStyle w:val="Header"/>
    </w:pPr>
    <w:r>
      <w:rPr>
        <w:noProof/>
        <w:lang w:val="en-IE" w:eastAsia="en-I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IE" w:eastAsia="en-I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3891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BA1"/>
    <w:rsid w:val="00021E83"/>
    <w:rsid w:val="00023713"/>
    <w:rsid w:val="00023C4D"/>
    <w:rsid w:val="00024029"/>
    <w:rsid w:val="00025E71"/>
    <w:rsid w:val="00026269"/>
    <w:rsid w:val="00027154"/>
    <w:rsid w:val="00027ECF"/>
    <w:rsid w:val="000303BE"/>
    <w:rsid w:val="000321C9"/>
    <w:rsid w:val="0003262E"/>
    <w:rsid w:val="000344D6"/>
    <w:rsid w:val="00034960"/>
    <w:rsid w:val="000356D3"/>
    <w:rsid w:val="00036FAE"/>
    <w:rsid w:val="00041858"/>
    <w:rsid w:val="000437CB"/>
    <w:rsid w:val="0004389E"/>
    <w:rsid w:val="00043CCB"/>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CEB"/>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7E8"/>
    <w:rsid w:val="00130F41"/>
    <w:rsid w:val="00130FAF"/>
    <w:rsid w:val="00135F2B"/>
    <w:rsid w:val="001372DD"/>
    <w:rsid w:val="00137738"/>
    <w:rsid w:val="001405BA"/>
    <w:rsid w:val="00141497"/>
    <w:rsid w:val="0014253A"/>
    <w:rsid w:val="001425C8"/>
    <w:rsid w:val="001431AE"/>
    <w:rsid w:val="00143B87"/>
    <w:rsid w:val="0014418A"/>
    <w:rsid w:val="001459E3"/>
    <w:rsid w:val="00146A0B"/>
    <w:rsid w:val="0014761E"/>
    <w:rsid w:val="00151907"/>
    <w:rsid w:val="00153E99"/>
    <w:rsid w:val="001544C8"/>
    <w:rsid w:val="00154C24"/>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1F0"/>
    <w:rsid w:val="00186829"/>
    <w:rsid w:val="001868CA"/>
    <w:rsid w:val="00187304"/>
    <w:rsid w:val="001875BE"/>
    <w:rsid w:val="0019017A"/>
    <w:rsid w:val="00190B8C"/>
    <w:rsid w:val="00190FF8"/>
    <w:rsid w:val="0019311A"/>
    <w:rsid w:val="0019508A"/>
    <w:rsid w:val="001960D8"/>
    <w:rsid w:val="00196CFE"/>
    <w:rsid w:val="001A00F3"/>
    <w:rsid w:val="001A1642"/>
    <w:rsid w:val="001A371B"/>
    <w:rsid w:val="001A4766"/>
    <w:rsid w:val="001A5E5C"/>
    <w:rsid w:val="001A6A0D"/>
    <w:rsid w:val="001A6C51"/>
    <w:rsid w:val="001A6FAA"/>
    <w:rsid w:val="001A7D73"/>
    <w:rsid w:val="001B0363"/>
    <w:rsid w:val="001B1355"/>
    <w:rsid w:val="001B3138"/>
    <w:rsid w:val="001B3BF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8F1"/>
    <w:rsid w:val="00214FB4"/>
    <w:rsid w:val="00215940"/>
    <w:rsid w:val="00217C23"/>
    <w:rsid w:val="00220561"/>
    <w:rsid w:val="00220CE4"/>
    <w:rsid w:val="00222D9B"/>
    <w:rsid w:val="00223788"/>
    <w:rsid w:val="002239BE"/>
    <w:rsid w:val="00223D11"/>
    <w:rsid w:val="002242D3"/>
    <w:rsid w:val="002301E6"/>
    <w:rsid w:val="00231272"/>
    <w:rsid w:val="00232F90"/>
    <w:rsid w:val="00233B08"/>
    <w:rsid w:val="00233C3B"/>
    <w:rsid w:val="0023499C"/>
    <w:rsid w:val="00235CE3"/>
    <w:rsid w:val="0023636A"/>
    <w:rsid w:val="00236F34"/>
    <w:rsid w:val="002372F7"/>
    <w:rsid w:val="00240651"/>
    <w:rsid w:val="00240803"/>
    <w:rsid w:val="0024426D"/>
    <w:rsid w:val="00244F1D"/>
    <w:rsid w:val="00245004"/>
    <w:rsid w:val="0024574F"/>
    <w:rsid w:val="00245FB4"/>
    <w:rsid w:val="00250546"/>
    <w:rsid w:val="00250898"/>
    <w:rsid w:val="00250F2C"/>
    <w:rsid w:val="00251EA9"/>
    <w:rsid w:val="00252843"/>
    <w:rsid w:val="002543F8"/>
    <w:rsid w:val="002551A4"/>
    <w:rsid w:val="002559F3"/>
    <w:rsid w:val="00256DFE"/>
    <w:rsid w:val="00261612"/>
    <w:rsid w:val="00261D56"/>
    <w:rsid w:val="00261FD3"/>
    <w:rsid w:val="00264077"/>
    <w:rsid w:val="00266B9A"/>
    <w:rsid w:val="00270E54"/>
    <w:rsid w:val="002720F6"/>
    <w:rsid w:val="00273681"/>
    <w:rsid w:val="002754B5"/>
    <w:rsid w:val="002764C5"/>
    <w:rsid w:val="002772AE"/>
    <w:rsid w:val="00280613"/>
    <w:rsid w:val="0028274D"/>
    <w:rsid w:val="00282B96"/>
    <w:rsid w:val="002833D6"/>
    <w:rsid w:val="00283F51"/>
    <w:rsid w:val="00286064"/>
    <w:rsid w:val="002867B1"/>
    <w:rsid w:val="00287BBB"/>
    <w:rsid w:val="00287D79"/>
    <w:rsid w:val="00287E3B"/>
    <w:rsid w:val="00290638"/>
    <w:rsid w:val="00291763"/>
    <w:rsid w:val="00291D80"/>
    <w:rsid w:val="00293156"/>
    <w:rsid w:val="00293BE7"/>
    <w:rsid w:val="002946DC"/>
    <w:rsid w:val="002A0C82"/>
    <w:rsid w:val="002A0CD8"/>
    <w:rsid w:val="002A13EB"/>
    <w:rsid w:val="002A2871"/>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2F2C"/>
    <w:rsid w:val="00336B56"/>
    <w:rsid w:val="00341B25"/>
    <w:rsid w:val="00341EC0"/>
    <w:rsid w:val="0034240C"/>
    <w:rsid w:val="00344496"/>
    <w:rsid w:val="00345968"/>
    <w:rsid w:val="00347667"/>
    <w:rsid w:val="00347A26"/>
    <w:rsid w:val="003507E2"/>
    <w:rsid w:val="003522B2"/>
    <w:rsid w:val="0035455E"/>
    <w:rsid w:val="00354A6F"/>
    <w:rsid w:val="00354B48"/>
    <w:rsid w:val="00355789"/>
    <w:rsid w:val="00357C60"/>
    <w:rsid w:val="003609B6"/>
    <w:rsid w:val="00361119"/>
    <w:rsid w:val="0036538D"/>
    <w:rsid w:val="00365C77"/>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C15"/>
    <w:rsid w:val="003F3EFE"/>
    <w:rsid w:val="003F40B8"/>
    <w:rsid w:val="003F5C06"/>
    <w:rsid w:val="00400195"/>
    <w:rsid w:val="0040075B"/>
    <w:rsid w:val="00401E05"/>
    <w:rsid w:val="0040254B"/>
    <w:rsid w:val="00403086"/>
    <w:rsid w:val="00403460"/>
    <w:rsid w:val="004040FF"/>
    <w:rsid w:val="00404284"/>
    <w:rsid w:val="004042C4"/>
    <w:rsid w:val="00406E90"/>
    <w:rsid w:val="00410240"/>
    <w:rsid w:val="00412253"/>
    <w:rsid w:val="0041332D"/>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183"/>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5D16"/>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145"/>
    <w:rsid w:val="004C3DAB"/>
    <w:rsid w:val="004C5766"/>
    <w:rsid w:val="004C5F54"/>
    <w:rsid w:val="004C6E76"/>
    <w:rsid w:val="004C77DD"/>
    <w:rsid w:val="004C7826"/>
    <w:rsid w:val="004C7B33"/>
    <w:rsid w:val="004D0022"/>
    <w:rsid w:val="004D1410"/>
    <w:rsid w:val="004D1478"/>
    <w:rsid w:val="004D19EE"/>
    <w:rsid w:val="004D1CF2"/>
    <w:rsid w:val="004D2D3A"/>
    <w:rsid w:val="004D374D"/>
    <w:rsid w:val="004D3DEC"/>
    <w:rsid w:val="004D42C8"/>
    <w:rsid w:val="004D4F1B"/>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18A"/>
    <w:rsid w:val="004F6376"/>
    <w:rsid w:val="004F6A93"/>
    <w:rsid w:val="004F6F14"/>
    <w:rsid w:val="004F72FD"/>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26FD2"/>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7E36"/>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46FF"/>
    <w:rsid w:val="005860AF"/>
    <w:rsid w:val="00587F1D"/>
    <w:rsid w:val="00590348"/>
    <w:rsid w:val="00591161"/>
    <w:rsid w:val="00592318"/>
    <w:rsid w:val="00593133"/>
    <w:rsid w:val="0059575D"/>
    <w:rsid w:val="00596825"/>
    <w:rsid w:val="005A150A"/>
    <w:rsid w:val="005A2073"/>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6F4"/>
    <w:rsid w:val="005B6AAA"/>
    <w:rsid w:val="005B7554"/>
    <w:rsid w:val="005B7C78"/>
    <w:rsid w:val="005C0FB2"/>
    <w:rsid w:val="005C1169"/>
    <w:rsid w:val="005C16E2"/>
    <w:rsid w:val="005C24EF"/>
    <w:rsid w:val="005C2796"/>
    <w:rsid w:val="005C3C6C"/>
    <w:rsid w:val="005C3DBF"/>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6AA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81C"/>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2EB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3E2D"/>
    <w:rsid w:val="00694B73"/>
    <w:rsid w:val="00694DF2"/>
    <w:rsid w:val="00695F80"/>
    <w:rsid w:val="006966CD"/>
    <w:rsid w:val="00696735"/>
    <w:rsid w:val="0069780E"/>
    <w:rsid w:val="00697D13"/>
    <w:rsid w:val="006A08AA"/>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55E"/>
    <w:rsid w:val="006D0CE7"/>
    <w:rsid w:val="006D399F"/>
    <w:rsid w:val="006D4F0C"/>
    <w:rsid w:val="006D5645"/>
    <w:rsid w:val="006E0C8A"/>
    <w:rsid w:val="006E2A23"/>
    <w:rsid w:val="006E35E5"/>
    <w:rsid w:val="006E3C72"/>
    <w:rsid w:val="006E4F20"/>
    <w:rsid w:val="006E649A"/>
    <w:rsid w:val="006E66E7"/>
    <w:rsid w:val="006F08DC"/>
    <w:rsid w:val="006F3948"/>
    <w:rsid w:val="006F4403"/>
    <w:rsid w:val="006F4535"/>
    <w:rsid w:val="006F45EC"/>
    <w:rsid w:val="006F47B8"/>
    <w:rsid w:val="006F47D2"/>
    <w:rsid w:val="006F4B04"/>
    <w:rsid w:val="006F5456"/>
    <w:rsid w:val="006F57F2"/>
    <w:rsid w:val="006F6468"/>
    <w:rsid w:val="00700247"/>
    <w:rsid w:val="00700D1C"/>
    <w:rsid w:val="00701051"/>
    <w:rsid w:val="007021C2"/>
    <w:rsid w:val="00702502"/>
    <w:rsid w:val="007033A8"/>
    <w:rsid w:val="0070421B"/>
    <w:rsid w:val="007043F0"/>
    <w:rsid w:val="0070482E"/>
    <w:rsid w:val="00704D25"/>
    <w:rsid w:val="00710519"/>
    <w:rsid w:val="00710F6E"/>
    <w:rsid w:val="00711663"/>
    <w:rsid w:val="007116B4"/>
    <w:rsid w:val="007124BC"/>
    <w:rsid w:val="00712580"/>
    <w:rsid w:val="007133E4"/>
    <w:rsid w:val="00713788"/>
    <w:rsid w:val="00713940"/>
    <w:rsid w:val="007151A2"/>
    <w:rsid w:val="00715EEB"/>
    <w:rsid w:val="00716774"/>
    <w:rsid w:val="00716FC0"/>
    <w:rsid w:val="007209DD"/>
    <w:rsid w:val="00722E49"/>
    <w:rsid w:val="00723025"/>
    <w:rsid w:val="00723A08"/>
    <w:rsid w:val="00723B5C"/>
    <w:rsid w:val="00724391"/>
    <w:rsid w:val="00724C18"/>
    <w:rsid w:val="00726630"/>
    <w:rsid w:val="00727F73"/>
    <w:rsid w:val="00730705"/>
    <w:rsid w:val="00730944"/>
    <w:rsid w:val="007318E8"/>
    <w:rsid w:val="0073248E"/>
    <w:rsid w:val="00733EE9"/>
    <w:rsid w:val="00735B8E"/>
    <w:rsid w:val="0073673C"/>
    <w:rsid w:val="00736935"/>
    <w:rsid w:val="00743DE7"/>
    <w:rsid w:val="0074509E"/>
    <w:rsid w:val="00745472"/>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B56"/>
    <w:rsid w:val="00761F4E"/>
    <w:rsid w:val="00762150"/>
    <w:rsid w:val="007621BF"/>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20F"/>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6FEB"/>
    <w:rsid w:val="008575EB"/>
    <w:rsid w:val="008608D1"/>
    <w:rsid w:val="00862DDD"/>
    <w:rsid w:val="0086326D"/>
    <w:rsid w:val="00863CC1"/>
    <w:rsid w:val="00865B01"/>
    <w:rsid w:val="00866D7A"/>
    <w:rsid w:val="00866EE3"/>
    <w:rsid w:val="008701E5"/>
    <w:rsid w:val="008706C5"/>
    <w:rsid w:val="00871F04"/>
    <w:rsid w:val="008746C1"/>
    <w:rsid w:val="00880224"/>
    <w:rsid w:val="0088244C"/>
    <w:rsid w:val="00883367"/>
    <w:rsid w:val="0088391F"/>
    <w:rsid w:val="00884C47"/>
    <w:rsid w:val="00884E92"/>
    <w:rsid w:val="00885E6F"/>
    <w:rsid w:val="008861AC"/>
    <w:rsid w:val="008868E4"/>
    <w:rsid w:val="00886A60"/>
    <w:rsid w:val="0088759B"/>
    <w:rsid w:val="008909B4"/>
    <w:rsid w:val="008921B8"/>
    <w:rsid w:val="008922E8"/>
    <w:rsid w:val="00893916"/>
    <w:rsid w:val="008941B9"/>
    <w:rsid w:val="0089442C"/>
    <w:rsid w:val="00895818"/>
    <w:rsid w:val="008A0B24"/>
    <w:rsid w:val="008A2585"/>
    <w:rsid w:val="008A2718"/>
    <w:rsid w:val="008A4CF6"/>
    <w:rsid w:val="008A4E42"/>
    <w:rsid w:val="008A5145"/>
    <w:rsid w:val="008A51AA"/>
    <w:rsid w:val="008A6A12"/>
    <w:rsid w:val="008B0DC6"/>
    <w:rsid w:val="008B2B9E"/>
    <w:rsid w:val="008B31F5"/>
    <w:rsid w:val="008B4C79"/>
    <w:rsid w:val="008B5D2D"/>
    <w:rsid w:val="008B6361"/>
    <w:rsid w:val="008C0320"/>
    <w:rsid w:val="008C2A81"/>
    <w:rsid w:val="008C33CB"/>
    <w:rsid w:val="008C3863"/>
    <w:rsid w:val="008C46E4"/>
    <w:rsid w:val="008C4BDC"/>
    <w:rsid w:val="008C50FF"/>
    <w:rsid w:val="008C5435"/>
    <w:rsid w:val="008C6BD1"/>
    <w:rsid w:val="008D2DB5"/>
    <w:rsid w:val="008D39BA"/>
    <w:rsid w:val="008D3F10"/>
    <w:rsid w:val="008D611D"/>
    <w:rsid w:val="008E1B6A"/>
    <w:rsid w:val="008E3054"/>
    <w:rsid w:val="008E32FF"/>
    <w:rsid w:val="008E4B5C"/>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2D5"/>
    <w:rsid w:val="00947A5F"/>
    <w:rsid w:val="009503E5"/>
    <w:rsid w:val="00950F71"/>
    <w:rsid w:val="00952F2C"/>
    <w:rsid w:val="009532E3"/>
    <w:rsid w:val="00953615"/>
    <w:rsid w:val="00954BAF"/>
    <w:rsid w:val="009551FF"/>
    <w:rsid w:val="00955F48"/>
    <w:rsid w:val="00956054"/>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A1B"/>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08"/>
    <w:rsid w:val="009E2FDB"/>
    <w:rsid w:val="009E32CF"/>
    <w:rsid w:val="009E3569"/>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7F0"/>
    <w:rsid w:val="00A30BDE"/>
    <w:rsid w:val="00A3131C"/>
    <w:rsid w:val="00A31F14"/>
    <w:rsid w:val="00A324DC"/>
    <w:rsid w:val="00A32B5A"/>
    <w:rsid w:val="00A33CCC"/>
    <w:rsid w:val="00A33ECB"/>
    <w:rsid w:val="00A34DE0"/>
    <w:rsid w:val="00A35008"/>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3CD"/>
    <w:rsid w:val="00A91682"/>
    <w:rsid w:val="00A92E4A"/>
    <w:rsid w:val="00A935D8"/>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57A"/>
    <w:rsid w:val="00AD6BE5"/>
    <w:rsid w:val="00AD7675"/>
    <w:rsid w:val="00AD783E"/>
    <w:rsid w:val="00AE0C06"/>
    <w:rsid w:val="00AE1393"/>
    <w:rsid w:val="00AE2E29"/>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584"/>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4D9E"/>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4FA2"/>
    <w:rsid w:val="00BE51BB"/>
    <w:rsid w:val="00BE7595"/>
    <w:rsid w:val="00BE77D3"/>
    <w:rsid w:val="00BF0138"/>
    <w:rsid w:val="00BF114B"/>
    <w:rsid w:val="00BF1620"/>
    <w:rsid w:val="00BF1AC3"/>
    <w:rsid w:val="00BF28DA"/>
    <w:rsid w:val="00BF2E43"/>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3E2D"/>
    <w:rsid w:val="00C353A0"/>
    <w:rsid w:val="00C368D7"/>
    <w:rsid w:val="00C36FD1"/>
    <w:rsid w:val="00C371A5"/>
    <w:rsid w:val="00C400B0"/>
    <w:rsid w:val="00C40F4E"/>
    <w:rsid w:val="00C411B9"/>
    <w:rsid w:val="00C413FC"/>
    <w:rsid w:val="00C43D33"/>
    <w:rsid w:val="00C44407"/>
    <w:rsid w:val="00C456E8"/>
    <w:rsid w:val="00C46630"/>
    <w:rsid w:val="00C47A2F"/>
    <w:rsid w:val="00C47C5A"/>
    <w:rsid w:val="00C50D18"/>
    <w:rsid w:val="00C51179"/>
    <w:rsid w:val="00C5282C"/>
    <w:rsid w:val="00C52CE3"/>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394D"/>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416D"/>
    <w:rsid w:val="00CB56B4"/>
    <w:rsid w:val="00CB7286"/>
    <w:rsid w:val="00CB7947"/>
    <w:rsid w:val="00CC1783"/>
    <w:rsid w:val="00CC3B46"/>
    <w:rsid w:val="00CC3D8B"/>
    <w:rsid w:val="00CC4E27"/>
    <w:rsid w:val="00CC570C"/>
    <w:rsid w:val="00CC62B6"/>
    <w:rsid w:val="00CC76AA"/>
    <w:rsid w:val="00CC79A2"/>
    <w:rsid w:val="00CC7CD2"/>
    <w:rsid w:val="00CC7D77"/>
    <w:rsid w:val="00CD05CF"/>
    <w:rsid w:val="00CD06AB"/>
    <w:rsid w:val="00CD1FAE"/>
    <w:rsid w:val="00CD232F"/>
    <w:rsid w:val="00CD279E"/>
    <w:rsid w:val="00CD2F92"/>
    <w:rsid w:val="00CD4EB0"/>
    <w:rsid w:val="00CD512D"/>
    <w:rsid w:val="00CD5831"/>
    <w:rsid w:val="00CD6667"/>
    <w:rsid w:val="00CD6F6E"/>
    <w:rsid w:val="00CE08D1"/>
    <w:rsid w:val="00CE157F"/>
    <w:rsid w:val="00CE1966"/>
    <w:rsid w:val="00CE1ED4"/>
    <w:rsid w:val="00CE2216"/>
    <w:rsid w:val="00CE3014"/>
    <w:rsid w:val="00CE30E5"/>
    <w:rsid w:val="00CE4F40"/>
    <w:rsid w:val="00CE6FC6"/>
    <w:rsid w:val="00CF04E8"/>
    <w:rsid w:val="00CF2056"/>
    <w:rsid w:val="00CF4471"/>
    <w:rsid w:val="00CF51C0"/>
    <w:rsid w:val="00CF5B2A"/>
    <w:rsid w:val="00CF5F57"/>
    <w:rsid w:val="00CF64A7"/>
    <w:rsid w:val="00CF6730"/>
    <w:rsid w:val="00CF70E5"/>
    <w:rsid w:val="00CF7CEC"/>
    <w:rsid w:val="00D00B0F"/>
    <w:rsid w:val="00D01BF4"/>
    <w:rsid w:val="00D0236F"/>
    <w:rsid w:val="00D0272C"/>
    <w:rsid w:val="00D045CE"/>
    <w:rsid w:val="00D05082"/>
    <w:rsid w:val="00D06163"/>
    <w:rsid w:val="00D06C08"/>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7D5"/>
    <w:rsid w:val="00D6081B"/>
    <w:rsid w:val="00D61A37"/>
    <w:rsid w:val="00D6240A"/>
    <w:rsid w:val="00D63093"/>
    <w:rsid w:val="00D63599"/>
    <w:rsid w:val="00D63EBD"/>
    <w:rsid w:val="00D6552D"/>
    <w:rsid w:val="00D67101"/>
    <w:rsid w:val="00D7106D"/>
    <w:rsid w:val="00D71B45"/>
    <w:rsid w:val="00D71F8A"/>
    <w:rsid w:val="00D75603"/>
    <w:rsid w:val="00D75FEE"/>
    <w:rsid w:val="00D76933"/>
    <w:rsid w:val="00D76D88"/>
    <w:rsid w:val="00D77CC9"/>
    <w:rsid w:val="00D80122"/>
    <w:rsid w:val="00D83D4B"/>
    <w:rsid w:val="00D871C6"/>
    <w:rsid w:val="00D8782A"/>
    <w:rsid w:val="00D91010"/>
    <w:rsid w:val="00D97B41"/>
    <w:rsid w:val="00DA0FA7"/>
    <w:rsid w:val="00DA12B0"/>
    <w:rsid w:val="00DA2BA0"/>
    <w:rsid w:val="00DA39AD"/>
    <w:rsid w:val="00DA5B13"/>
    <w:rsid w:val="00DA623E"/>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54F6"/>
    <w:rsid w:val="00DD61F5"/>
    <w:rsid w:val="00DE64A6"/>
    <w:rsid w:val="00DE66EB"/>
    <w:rsid w:val="00DE7035"/>
    <w:rsid w:val="00DF12E3"/>
    <w:rsid w:val="00DF3F1D"/>
    <w:rsid w:val="00DF4DB4"/>
    <w:rsid w:val="00DF595C"/>
    <w:rsid w:val="00DF6D56"/>
    <w:rsid w:val="00DF7EA7"/>
    <w:rsid w:val="00E04548"/>
    <w:rsid w:val="00E0484E"/>
    <w:rsid w:val="00E063F8"/>
    <w:rsid w:val="00E114D6"/>
    <w:rsid w:val="00E1166E"/>
    <w:rsid w:val="00E11DBD"/>
    <w:rsid w:val="00E13211"/>
    <w:rsid w:val="00E16FB5"/>
    <w:rsid w:val="00E179D6"/>
    <w:rsid w:val="00E21407"/>
    <w:rsid w:val="00E21B73"/>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D06"/>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A0D"/>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029"/>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99"/>
    <w:rsid w:val="00EF61C1"/>
    <w:rsid w:val="00EF6E68"/>
    <w:rsid w:val="00EF76DB"/>
    <w:rsid w:val="00F005FD"/>
    <w:rsid w:val="00F0109F"/>
    <w:rsid w:val="00F01BD1"/>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419"/>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5E4A"/>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E3B1D"/>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uiPriority w:val="9"/>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uiPriority w:val="9"/>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purl.org/dc/dcmitype/"/>
    <ds:schemaRef ds:uri="http://schemas.microsoft.com/office/2006/documentManagement/types"/>
    <ds:schemaRef ds:uri="20fbe147-bbda-4e53-b6b1-7e8bbff3fe19"/>
    <ds:schemaRef ds:uri="http://purl.org/dc/terms/"/>
    <ds:schemaRef ds:uri="http://schemas.microsoft.com/office/infopath/2007/PartnerControls"/>
    <ds:schemaRef ds:uri="http://purl.org/dc/elements/1.1/"/>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88984B0-3262-4D7C-AE6C-90F613C3AEF1}">
  <ds:schemaRefs>
    <ds:schemaRef ds:uri="http://schemas.openxmlformats.org/officeDocument/2006/bibliography"/>
  </ds:schemaRefs>
</ds:datastoreItem>
</file>

<file path=customXml/itemProps6.xml><?xml version="1.0" encoding="utf-8"?>
<ds:datastoreItem xmlns:ds="http://schemas.openxmlformats.org/officeDocument/2006/customXml" ds:itemID="{3D094EA9-76A4-4AF1-BEAF-79C6FF0C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6541</Words>
  <Characters>37009</Characters>
  <Application>Microsoft Office Word</Application>
  <DocSecurity>8</DocSecurity>
  <Lines>308</Lines>
  <Paragraphs>86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43464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Byrne, Daryl</cp:lastModifiedBy>
  <cp:revision>2</cp:revision>
  <cp:lastPrinted>2015-02-18T11:01:00Z</cp:lastPrinted>
  <dcterms:created xsi:type="dcterms:W3CDTF">2017-09-28T15:39:00Z</dcterms:created>
  <dcterms:modified xsi:type="dcterms:W3CDTF">2017-09-28T15:39:00Z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