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vagfremhvning"/>
          <w:b w:val="0"/>
          <w:sz w:val="22"/>
        </w:rPr>
      </w:pPr>
      <w:r w:rsidRPr="0064701F">
        <w:rPr>
          <w:rStyle w:val="Svagfremhvning"/>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respond to the question stated;</w:t>
      </w:r>
    </w:p>
    <w:p w14:paraId="4B8E675D" w14:textId="77777777"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contain a clear rationale; and</w:t>
      </w:r>
    </w:p>
    <w:p w14:paraId="31204389" w14:textId="77777777"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describe any alternatives ESMA should consider.</w:t>
      </w:r>
    </w:p>
    <w:p w14:paraId="3DCBB610" w14:textId="77777777" w:rsidR="007D2B2C" w:rsidRPr="0064701F" w:rsidRDefault="007D2B2C" w:rsidP="007D2B2C">
      <w:pPr>
        <w:spacing w:after="240"/>
        <w:jc w:val="both"/>
        <w:rPr>
          <w:rStyle w:val="Svagfremhvning"/>
          <w:b w:val="0"/>
          <w:sz w:val="22"/>
        </w:rPr>
      </w:pPr>
      <w:r w:rsidRPr="0064701F">
        <w:rPr>
          <w:rStyle w:val="Svagfremhvning"/>
          <w:b w:val="0"/>
          <w:sz w:val="22"/>
        </w:rPr>
        <w:t>ESMA will consider all responses received by 28 September 2017.</w:t>
      </w:r>
    </w:p>
    <w:p w14:paraId="4B144EBE" w14:textId="77777777" w:rsidR="007D2B2C" w:rsidRPr="0064701F" w:rsidRDefault="007D2B2C" w:rsidP="007D2B2C">
      <w:pPr>
        <w:spacing w:after="120"/>
        <w:jc w:val="both"/>
        <w:rPr>
          <w:rStyle w:val="Svagfremhvning"/>
          <w:sz w:val="22"/>
        </w:rPr>
      </w:pPr>
      <w:r w:rsidRPr="0064701F">
        <w:rPr>
          <w:rStyle w:val="Svagfremhvning"/>
          <w:sz w:val="22"/>
        </w:rPr>
        <w:t>Instructions</w:t>
      </w:r>
    </w:p>
    <w:p w14:paraId="651D9B13" w14:textId="77777777" w:rsidR="007D2B2C" w:rsidRPr="0064701F" w:rsidRDefault="007D2B2C" w:rsidP="007D2B2C">
      <w:pPr>
        <w:spacing w:after="240"/>
        <w:jc w:val="both"/>
        <w:rPr>
          <w:rStyle w:val="Svagfremhvning"/>
          <w:b w:val="0"/>
          <w:sz w:val="22"/>
        </w:rPr>
      </w:pPr>
      <w:r w:rsidRPr="0064701F">
        <w:rPr>
          <w:rStyle w:val="Svagfremhvning"/>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Insert your responses to the questions in the Consultation Paper in the form “Response form_Consultation Paper on format and content</w:t>
      </w:r>
      <w:r w:rsidR="00D97B41" w:rsidRPr="0064701F">
        <w:rPr>
          <w:rStyle w:val="Svagfremhvning"/>
          <w:b w:val="0"/>
          <w:sz w:val="22"/>
        </w:rPr>
        <w:t xml:space="preserve"> of the prospectus</w:t>
      </w:r>
      <w:r w:rsidRPr="0064701F">
        <w:rPr>
          <w:rStyle w:val="Svagfremhvning"/>
          <w:b w:val="0"/>
          <w:sz w:val="22"/>
        </w:rPr>
        <w:t>”, available on ESMA’s website alongside the present Consultation Paper (</w:t>
      </w:r>
      <w:hyperlink r:id="rId17" w:history="1">
        <w:r w:rsidRPr="0064701F">
          <w:rPr>
            <w:rStyle w:val="Hyperlink"/>
            <w:sz w:val="22"/>
          </w:rPr>
          <w:t>www.esma.europa.eu</w:t>
        </w:r>
      </w:hyperlink>
      <w:r w:rsidRPr="0064701F">
        <w:rPr>
          <w:rStyle w:val="Svagfremhvning"/>
          <w:b w:val="0"/>
          <w:sz w:val="22"/>
        </w:rPr>
        <w:t xml:space="preserve"> </w:t>
      </w:r>
      <w:r w:rsidRPr="0064701F">
        <w:rPr>
          <w:rStyle w:val="Svagfremhvning"/>
          <w:b w:val="0"/>
          <w:sz w:val="22"/>
        </w:rPr>
        <w:sym w:font="Wingdings" w:char="F0E0"/>
      </w:r>
      <w:r w:rsidRPr="0064701F">
        <w:rPr>
          <w:rStyle w:val="Svagfremhvning"/>
          <w:b w:val="0"/>
          <w:sz w:val="22"/>
        </w:rPr>
        <w:t xml:space="preserve"> ‘Your input – Open consultations’ </w:t>
      </w:r>
      <w:r w:rsidRPr="0064701F">
        <w:rPr>
          <w:rStyle w:val="Svagfremhvning"/>
          <w:b w:val="0"/>
          <w:sz w:val="22"/>
        </w:rPr>
        <w:sym w:font="Wingdings" w:char="F0E0"/>
      </w:r>
      <w:r w:rsidRPr="0064701F">
        <w:rPr>
          <w:rStyle w:val="Svagfremhvning"/>
          <w:b w:val="0"/>
          <w:sz w:val="22"/>
        </w:rPr>
        <w:t xml:space="preserve"> ‘Consultation on technical advice under the new Prospectus Reg</w:t>
      </w:r>
      <w:r w:rsidRPr="0064701F">
        <w:rPr>
          <w:rStyle w:val="Svagfremhvning"/>
          <w:b w:val="0"/>
          <w:sz w:val="22"/>
        </w:rPr>
        <w:t>u</w:t>
      </w:r>
      <w:r w:rsidRPr="0064701F">
        <w:rPr>
          <w:rStyle w:val="Svagfremhvning"/>
          <w:b w:val="0"/>
          <w:sz w:val="22"/>
        </w:rPr>
        <w:t>lation’).</w:t>
      </w:r>
    </w:p>
    <w:p w14:paraId="2B102F83" w14:textId="77777777"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When you have drafted your response, name your response form according to the follo</w:t>
      </w:r>
      <w:r w:rsidRPr="0064701F">
        <w:rPr>
          <w:rStyle w:val="Svagfremhvning"/>
          <w:b w:val="0"/>
          <w:sz w:val="22"/>
        </w:rPr>
        <w:t>w</w:t>
      </w:r>
      <w:r w:rsidRPr="0064701F">
        <w:rPr>
          <w:rStyle w:val="Svagfremhvning"/>
          <w:b w:val="0"/>
          <w:sz w:val="22"/>
        </w:rPr>
        <w:t>ing convention: ESMA_FAC_nameofrespondent_RESPONSEFORM. For example, for a respondent named ABCD, the response form would be entitled E</w:t>
      </w:r>
      <w:r w:rsidRPr="0064701F">
        <w:rPr>
          <w:rStyle w:val="Svagfremhvning"/>
          <w:b w:val="0"/>
          <w:sz w:val="22"/>
        </w:rPr>
        <w:t>S</w:t>
      </w:r>
      <w:r w:rsidRPr="0064701F">
        <w:rPr>
          <w:rStyle w:val="Svagfremhvning"/>
          <w:b w:val="0"/>
          <w:sz w:val="22"/>
        </w:rPr>
        <w:t>MA_FAC_ABCD_RESPONSEFORM.</w:t>
      </w:r>
    </w:p>
    <w:p w14:paraId="1B897ED2" w14:textId="7DB53F01" w:rsidR="007D2B2C" w:rsidRPr="0064701F" w:rsidRDefault="007D2B2C" w:rsidP="007D2B2C">
      <w:pPr>
        <w:pStyle w:val="Listeafsnit"/>
        <w:numPr>
          <w:ilvl w:val="0"/>
          <w:numId w:val="39"/>
        </w:numPr>
        <w:spacing w:after="240" w:line="276" w:lineRule="auto"/>
        <w:ind w:left="567" w:hanging="567"/>
        <w:contextualSpacing w:val="0"/>
        <w:jc w:val="both"/>
        <w:rPr>
          <w:rStyle w:val="Svagfremhvning"/>
          <w:b w:val="0"/>
          <w:sz w:val="22"/>
        </w:rPr>
      </w:pPr>
      <w:r w:rsidRPr="0064701F">
        <w:rPr>
          <w:rStyle w:val="Svagfremhvning"/>
          <w:b w:val="0"/>
          <w:sz w:val="22"/>
        </w:rPr>
        <w:t xml:space="preserve">Upload the form containing your responses, </w:t>
      </w:r>
      <w:r w:rsidRPr="0064701F">
        <w:rPr>
          <w:rStyle w:val="Svagfremhvning"/>
          <w:b w:val="0"/>
          <w:sz w:val="22"/>
          <w:u w:val="single"/>
        </w:rPr>
        <w:t>in Word format</w:t>
      </w:r>
      <w:r w:rsidRPr="0064701F">
        <w:rPr>
          <w:rStyle w:val="Svagfremhvning"/>
          <w:b w:val="0"/>
          <w:sz w:val="22"/>
        </w:rPr>
        <w:t>, to ESMA’s website (</w:t>
      </w:r>
      <w:hyperlink r:id="rId18" w:history="1">
        <w:r w:rsidR="00504505" w:rsidRPr="0064701F">
          <w:rPr>
            <w:rStyle w:val="Hyperlink"/>
            <w:sz w:val="22"/>
          </w:rPr>
          <w:t>www.esma.europa.eu</w:t>
        </w:r>
      </w:hyperlink>
      <w:r w:rsidRPr="0064701F">
        <w:rPr>
          <w:rStyle w:val="Svagfremhvning"/>
          <w:b w:val="0"/>
          <w:sz w:val="22"/>
        </w:rPr>
        <w:t xml:space="preserve"> under the heading ‘Your input – Open consultations’ </w:t>
      </w:r>
      <w:r w:rsidRPr="0064701F">
        <w:rPr>
          <w:rStyle w:val="Svagfremhvning"/>
          <w:b w:val="0"/>
          <w:sz w:val="22"/>
        </w:rPr>
        <w:sym w:font="Wingdings" w:char="F0E0"/>
      </w:r>
      <w:r w:rsidRPr="0064701F">
        <w:rPr>
          <w:rStyle w:val="Svagfremhvning"/>
          <w:b w:val="0"/>
          <w:sz w:val="22"/>
        </w:rPr>
        <w:t xml:space="preserve"> ‘Consult</w:t>
      </w:r>
      <w:r w:rsidRPr="0064701F">
        <w:rPr>
          <w:rStyle w:val="Svagfremhvning"/>
          <w:b w:val="0"/>
          <w:sz w:val="22"/>
        </w:rPr>
        <w:t>a</w:t>
      </w:r>
      <w:r w:rsidRPr="0064701F">
        <w:rPr>
          <w:rStyle w:val="Svagfremhvning"/>
          <w:b w:val="0"/>
          <w:sz w:val="22"/>
        </w:rPr>
        <w:t>tion on technical advice under the new Prospectus Regulation’).</w:t>
      </w:r>
    </w:p>
    <w:p w14:paraId="04D2F969" w14:textId="77777777" w:rsidR="007D2B2C" w:rsidRPr="0064701F" w:rsidRDefault="007D2B2C" w:rsidP="007D2B2C">
      <w:pPr>
        <w:spacing w:after="120"/>
        <w:jc w:val="both"/>
        <w:rPr>
          <w:rStyle w:val="Svagfremhvning"/>
          <w:sz w:val="22"/>
          <w:lang w:eastAsia="en-GB"/>
        </w:rPr>
      </w:pPr>
      <w:r w:rsidRPr="0064701F">
        <w:rPr>
          <w:rStyle w:val="Svagfremhvning"/>
          <w:sz w:val="22"/>
          <w:lang w:eastAsia="en-GB"/>
        </w:rPr>
        <w:t>Publication of responses</w:t>
      </w:r>
    </w:p>
    <w:p w14:paraId="2CB6F0AF" w14:textId="77777777" w:rsidR="007D2B2C" w:rsidRPr="0064701F" w:rsidRDefault="007D2B2C" w:rsidP="007D2B2C">
      <w:pPr>
        <w:spacing w:after="240"/>
        <w:jc w:val="both"/>
        <w:rPr>
          <w:rStyle w:val="Svagfremhvning"/>
          <w:b w:val="0"/>
          <w:sz w:val="22"/>
          <w:lang w:eastAsia="en-GB"/>
        </w:rPr>
      </w:pPr>
      <w:r w:rsidRPr="0064701F">
        <w:rPr>
          <w:rStyle w:val="Svagfremhvning"/>
          <w:b w:val="0"/>
          <w:sz w:val="22"/>
          <w:lang w:eastAsia="en-GB"/>
        </w:rPr>
        <w:t xml:space="preserve">All contributions received will be published following the close of the consultation, unless you request otherwise. </w:t>
      </w:r>
      <w:r w:rsidRPr="0064701F">
        <w:rPr>
          <w:rStyle w:val="Svagfremhvning"/>
          <w:b w:val="0"/>
          <w:sz w:val="22"/>
          <w:u w:val="single"/>
          <w:lang w:eastAsia="en-GB"/>
        </w:rPr>
        <w:t>Please clearly indicate by ticking the appropriate checkbox on the website submission page if you do not wish your contribution to be publicly disclosed.</w:t>
      </w:r>
      <w:r w:rsidRPr="0064701F">
        <w:rPr>
          <w:rStyle w:val="Svagfremhvning"/>
          <w:b w:val="0"/>
          <w:sz w:val="22"/>
          <w:lang w:eastAsia="en-GB"/>
        </w:rPr>
        <w:t xml:space="preserve"> A standard conf</w:t>
      </w:r>
      <w:r w:rsidRPr="0064701F">
        <w:rPr>
          <w:rStyle w:val="Svagfremhvning"/>
          <w:b w:val="0"/>
          <w:sz w:val="22"/>
          <w:lang w:eastAsia="en-GB"/>
        </w:rPr>
        <w:t>i</w:t>
      </w:r>
      <w:r w:rsidRPr="0064701F">
        <w:rPr>
          <w:rStyle w:val="Svagfremhvning"/>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Svagfremhvning"/>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Svagfremhvning"/>
          <w:b w:val="0"/>
          <w:sz w:val="22"/>
          <w:lang w:eastAsia="en-GB"/>
        </w:rPr>
        <w:t>s</w:t>
      </w:r>
      <w:r w:rsidRPr="0064701F">
        <w:rPr>
          <w:rStyle w:val="Svagfremhvning"/>
          <w:b w:val="0"/>
          <w:sz w:val="22"/>
          <w:lang w:eastAsia="en-GB"/>
        </w:rPr>
        <w:t>man.</w:t>
      </w:r>
    </w:p>
    <w:p w14:paraId="013C449E" w14:textId="77777777" w:rsidR="007D2B2C" w:rsidRPr="0064701F" w:rsidRDefault="007D2B2C" w:rsidP="007D2B2C">
      <w:pPr>
        <w:spacing w:after="120"/>
        <w:jc w:val="both"/>
        <w:rPr>
          <w:rStyle w:val="Svagfremhvning"/>
          <w:sz w:val="22"/>
          <w:lang w:eastAsia="en-GB"/>
        </w:rPr>
      </w:pPr>
      <w:r w:rsidRPr="0064701F">
        <w:rPr>
          <w:rStyle w:val="Svagfremhvning"/>
          <w:sz w:val="22"/>
          <w:lang w:eastAsia="en-GB"/>
        </w:rPr>
        <w:t>Data protection</w:t>
      </w:r>
    </w:p>
    <w:p w14:paraId="0021091D" w14:textId="77777777" w:rsidR="007D2B2C" w:rsidRPr="0064701F" w:rsidRDefault="007D2B2C" w:rsidP="007D2B2C">
      <w:pPr>
        <w:spacing w:after="240"/>
        <w:jc w:val="both"/>
        <w:rPr>
          <w:rStyle w:val="Svagfremhvning"/>
          <w:b w:val="0"/>
          <w:sz w:val="22"/>
          <w:lang w:eastAsia="en-GB"/>
        </w:rPr>
      </w:pPr>
      <w:r w:rsidRPr="0064701F">
        <w:rPr>
          <w:rStyle w:val="Svagfremhvning"/>
          <w:b w:val="0"/>
          <w:sz w:val="22"/>
          <w:lang w:eastAsia="en-GB"/>
        </w:rPr>
        <w:t xml:space="preserve">Information on data protection can be found at </w:t>
      </w:r>
      <w:hyperlink r:id="rId19" w:history="1">
        <w:r w:rsidRPr="0064701F">
          <w:rPr>
            <w:rStyle w:val="Hyperlink"/>
            <w:rFonts w:cs="Arial"/>
            <w:sz w:val="22"/>
            <w:lang w:eastAsia="en-GB"/>
          </w:rPr>
          <w:t>www.esma.europa.eu</w:t>
        </w:r>
      </w:hyperlink>
      <w:r w:rsidRPr="0064701F">
        <w:rPr>
          <w:rStyle w:val="Svagfremhvning"/>
          <w:b w:val="0"/>
          <w:sz w:val="22"/>
          <w:lang w:eastAsia="en-GB"/>
        </w:rPr>
        <w:t xml:space="preserve"> under the heading ‘Data  protection’.</w:t>
      </w:r>
    </w:p>
    <w:p w14:paraId="0E675B5B" w14:textId="77777777" w:rsidR="007D2B2C" w:rsidRPr="0064701F" w:rsidRDefault="007D2B2C" w:rsidP="007D2B2C">
      <w:pPr>
        <w:spacing w:after="120"/>
        <w:jc w:val="both"/>
        <w:rPr>
          <w:rStyle w:val="Svagfremhvning"/>
          <w:sz w:val="22"/>
          <w:lang w:eastAsia="en-GB"/>
        </w:rPr>
      </w:pPr>
      <w:r w:rsidRPr="0064701F">
        <w:rPr>
          <w:rStyle w:val="Svagfremhvning"/>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vagfremhvni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Svagfremhvning"/>
          <w:b w:val="0"/>
          <w:sz w:val="22"/>
          <w:lang w:eastAsia="en-GB"/>
        </w:rPr>
        <w:t>i</w:t>
      </w:r>
      <w:r w:rsidRPr="0064701F">
        <w:rPr>
          <w:rStyle w:val="Svagfremhvning"/>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Oversk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dsholdertekst"/>
              <w:rFonts w:cs="Arial"/>
            </w:rPr>
            <w:id w:val="-1905066999"/>
            <w:text/>
          </w:sdtPr>
          <w:sdtEndPr>
            <w:rPr>
              <w:rStyle w:val="Pladsholdertekst"/>
            </w:rPr>
          </w:sdtEndPr>
          <w:sdtContent>
            <w:tc>
              <w:tcPr>
                <w:tcW w:w="5595" w:type="dxa"/>
                <w:shd w:val="clear" w:color="auto" w:fill="auto"/>
              </w:tcPr>
              <w:p w14:paraId="1D2AEFF4" w14:textId="52C8EF9D" w:rsidR="00B327E9" w:rsidRPr="00AB6D88" w:rsidRDefault="00863750" w:rsidP="00863750">
                <w:pPr>
                  <w:rPr>
                    <w:rStyle w:val="Pladsholdertekst"/>
                    <w:rFonts w:cs="Arial"/>
                  </w:rPr>
                </w:pPr>
                <w:r>
                  <w:rPr>
                    <w:rStyle w:val="Pladsholdertekst"/>
                    <w:rFonts w:cs="Arial"/>
                  </w:rPr>
                  <w:t>Danske Advokater</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374C1192" w:rsidR="00B327E9" w:rsidRPr="00AB6D88" w:rsidRDefault="00DD7BF2"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31C27D93" w:rsidR="00B327E9" w:rsidRPr="00AB6D88" w:rsidRDefault="00DD7BF2"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7FBDD0B" w:rsidR="00B327E9" w:rsidRPr="00AB6D88" w:rsidRDefault="00863750" w:rsidP="00504505">
                <w:pPr>
                  <w:rPr>
                    <w:rFonts w:cs="Arial"/>
                  </w:rPr>
                </w:pPr>
                <w:r>
                  <w:rPr>
                    <w:rFonts w:cs="Arial"/>
                  </w:rPr>
                  <w:t>Denmark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Overskrift1"/>
        <w:numPr>
          <w:ilvl w:val="0"/>
          <w:numId w:val="0"/>
        </w:numPr>
        <w:ind w:left="431" w:hanging="431"/>
      </w:pPr>
      <w:r>
        <w:t>Introduction</w:t>
      </w:r>
    </w:p>
    <w:p w14:paraId="5B55F0E0" w14:textId="77777777" w:rsidR="00B327E9" w:rsidRPr="001D47A5" w:rsidRDefault="00B327E9" w:rsidP="00B327E9">
      <w:pPr>
        <w:rPr>
          <w:rStyle w:val="Kraftigfremhvning"/>
        </w:rPr>
      </w:pPr>
      <w:r w:rsidRPr="001D47A5">
        <w:rPr>
          <w:rStyle w:val="Kraftigfremhvning"/>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77777777" w:rsidR="00B327E9" w:rsidRDefault="00B327E9" w:rsidP="00B327E9">
      <w:permStart w:id="1937050393" w:edGrp="everyone"/>
      <w:r>
        <w:t>TYPE YOUR TEXT HERE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Overskrift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1BA10B9" w14:textId="77777777" w:rsidR="00373581" w:rsidRDefault="00373581" w:rsidP="00373581">
      <w:pPr>
        <w:rPr>
          <w:rFonts w:cs="Arial"/>
        </w:rPr>
      </w:pPr>
      <w:permStart w:id="822574933" w:edGrp="everyone"/>
      <w:r>
        <w:rPr>
          <w:rFonts w:cs="Arial"/>
        </w:rPr>
        <w:t>Agree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w:t>
      </w:r>
      <w:r w:rsidRPr="0064701F">
        <w:rPr>
          <w:rFonts w:ascii="Arial" w:hAnsi="Arial" w:cs="Arial"/>
        </w:rPr>
        <w:t>s</w:t>
      </w:r>
      <w:r w:rsidRPr="0064701F">
        <w:rPr>
          <w:rFonts w:ascii="Arial" w:hAnsi="Arial" w:cs="Arial"/>
        </w:rPr>
        <w:t>es? Would this imply any material cost for issuers? If yes, please provide an est</w:t>
      </w:r>
      <w:r w:rsidRPr="0064701F">
        <w:rPr>
          <w:rFonts w:ascii="Arial" w:hAnsi="Arial" w:cs="Arial"/>
        </w:rPr>
        <w:t>i</w:t>
      </w:r>
      <w:r w:rsidRPr="0064701F">
        <w:rPr>
          <w:rFonts w:ascii="Arial" w:hAnsi="Arial" w:cs="Arial"/>
        </w:rPr>
        <w:t>mate of such cost.</w:t>
      </w:r>
    </w:p>
    <w:p w14:paraId="1681FD7D" w14:textId="77777777" w:rsidR="00357C60" w:rsidRDefault="00357C60" w:rsidP="00357C60">
      <w:pPr>
        <w:rPr>
          <w:rFonts w:cs="Arial"/>
        </w:rPr>
      </w:pPr>
      <w:r>
        <w:rPr>
          <w:rFonts w:cs="Arial"/>
        </w:rPr>
        <w:t>&lt;ESMA_QUESTION_FAC_2&gt;</w:t>
      </w:r>
    </w:p>
    <w:p w14:paraId="26A32C94" w14:textId="77777777" w:rsidR="00373581" w:rsidRDefault="00373581" w:rsidP="00373581">
      <w:pPr>
        <w:rPr>
          <w:rFonts w:cs="Arial"/>
        </w:rPr>
      </w:pPr>
      <w:permStart w:id="1777273275" w:edGrp="everyone"/>
      <w:r>
        <w:rPr>
          <w:rFonts w:cs="Arial"/>
        </w:rPr>
        <w:t>Not in our opinion</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3EFFE927" w14:textId="77777777" w:rsidR="00373581" w:rsidRDefault="00373581" w:rsidP="00373581">
      <w:pPr>
        <w:rPr>
          <w:rFonts w:cs="Arial"/>
        </w:rPr>
      </w:pPr>
      <w:permStart w:id="230376365" w:edGrp="everyone"/>
      <w:r>
        <w:rPr>
          <w:rFonts w:cs="Arial"/>
        </w:rPr>
        <w:t xml:space="preserve">In order to secure that prospectus in general is made in the same way we agree that the location of risk factors in a prospectus is prescribed in legislation. The positioning </w:t>
      </w:r>
      <w:proofErr w:type="gramStart"/>
      <w:r>
        <w:rPr>
          <w:rFonts w:cs="Arial"/>
        </w:rPr>
        <w:t>should  factors</w:t>
      </w:r>
      <w:proofErr w:type="gramEnd"/>
      <w:r>
        <w:rPr>
          <w:rFonts w:cs="Arial"/>
        </w:rPr>
        <w:t xml:space="preserve"> should follow the su</w:t>
      </w:r>
      <w:r>
        <w:rPr>
          <w:rFonts w:cs="Arial"/>
        </w:rPr>
        <w:t>m</w:t>
      </w:r>
      <w:r>
        <w:rPr>
          <w:rFonts w:cs="Arial"/>
        </w:rPr>
        <w:t>mery section</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14:paraId="4446EA6D" w14:textId="77777777" w:rsidR="00357C60" w:rsidRDefault="00357C60" w:rsidP="00357C60">
      <w:pPr>
        <w:rPr>
          <w:rFonts w:cs="Arial"/>
        </w:rPr>
      </w:pPr>
      <w:r>
        <w:rPr>
          <w:rFonts w:cs="Arial"/>
        </w:rPr>
        <w:t>&lt;ESMA_QUESTION_FAC_4&gt;</w:t>
      </w:r>
    </w:p>
    <w:p w14:paraId="5FC9C81E" w14:textId="77777777" w:rsidR="00373581" w:rsidRDefault="00373581" w:rsidP="00373581">
      <w:pPr>
        <w:rPr>
          <w:rFonts w:cs="Arial"/>
        </w:rPr>
      </w:pPr>
      <w:permStart w:id="780303849" w:edGrp="everyone"/>
      <w:proofErr w:type="gramStart"/>
      <w:r>
        <w:rPr>
          <w:rFonts w:cs="Arial"/>
        </w:rPr>
        <w:t>yes</w:t>
      </w:r>
      <w:proofErr w:type="gramEnd"/>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14:paraId="5786614F" w14:textId="77777777" w:rsidR="00357C60" w:rsidRDefault="00357C60" w:rsidP="00357C60">
      <w:pPr>
        <w:rPr>
          <w:rFonts w:cs="Arial"/>
        </w:rPr>
      </w:pPr>
      <w:r>
        <w:rPr>
          <w:rFonts w:cs="Arial"/>
        </w:rPr>
        <w:t>&lt;ESMA_QUESTION_FAC_5&gt;</w:t>
      </w:r>
    </w:p>
    <w:p w14:paraId="1C778F13" w14:textId="77777777" w:rsidR="00373581" w:rsidRDefault="00373581" w:rsidP="00373581">
      <w:pPr>
        <w:rPr>
          <w:rFonts w:cs="Arial"/>
        </w:rPr>
      </w:pPr>
      <w:permStart w:id="939810803" w:edGrp="everyone"/>
      <w:proofErr w:type="gramStart"/>
      <w:r>
        <w:rPr>
          <w:rFonts w:cs="Arial"/>
        </w:rPr>
        <w:t>yes</w:t>
      </w:r>
      <w:proofErr w:type="gramEnd"/>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4D16FD23" w14:textId="77777777" w:rsidR="00373581" w:rsidRDefault="00373581" w:rsidP="00373581">
      <w:pPr>
        <w:rPr>
          <w:rFonts w:cs="Arial"/>
        </w:rPr>
      </w:pPr>
      <w:permStart w:id="1671179595" w:edGrp="everyone"/>
      <w:r>
        <w:rPr>
          <w:rFonts w:cs="Arial"/>
        </w:rPr>
        <w:t>Is fit for purpose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14:paraId="7C672EA5" w14:textId="77777777" w:rsidR="00357C60" w:rsidRDefault="00357C60" w:rsidP="00357C60">
      <w:pPr>
        <w:rPr>
          <w:rFonts w:cs="Arial"/>
        </w:rPr>
      </w:pPr>
      <w:r>
        <w:rPr>
          <w:rFonts w:cs="Arial"/>
        </w:rPr>
        <w:t>&lt;ESMA_QUESTION_FAC_7&gt;</w:t>
      </w:r>
    </w:p>
    <w:p w14:paraId="783A7EBA" w14:textId="77777777" w:rsidR="00373581" w:rsidRDefault="00373581" w:rsidP="00373581">
      <w:pPr>
        <w:rPr>
          <w:rFonts w:cs="Arial"/>
        </w:rPr>
      </w:pPr>
      <w:permStart w:id="793653218" w:edGrp="everyone"/>
      <w:r>
        <w:rPr>
          <w:rFonts w:cs="Arial"/>
        </w:rPr>
        <w:t>Yes</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14:paraId="1ED440F7" w14:textId="77777777" w:rsidR="00357C60" w:rsidRDefault="00357C60" w:rsidP="00357C60">
      <w:pPr>
        <w:rPr>
          <w:rFonts w:cs="Arial"/>
        </w:rPr>
      </w:pPr>
      <w:r>
        <w:rPr>
          <w:rFonts w:cs="Arial"/>
        </w:rPr>
        <w:t>&lt;ESMA_QUESTION_FAC_8&gt;</w:t>
      </w:r>
    </w:p>
    <w:p w14:paraId="1B9BBD4B" w14:textId="77777777" w:rsidR="00373581" w:rsidRDefault="00373581" w:rsidP="00373581">
      <w:pPr>
        <w:rPr>
          <w:rFonts w:cs="Arial"/>
        </w:rPr>
      </w:pPr>
      <w:permStart w:id="510986610" w:edGrp="everyone"/>
      <w:r>
        <w:rPr>
          <w:rFonts w:cs="Arial"/>
        </w:rPr>
        <w:t xml:space="preserve">In general the overall </w:t>
      </w:r>
      <w:proofErr w:type="gramStart"/>
      <w:r>
        <w:rPr>
          <w:rFonts w:cs="Arial"/>
        </w:rPr>
        <w:t>impact of the above technical advice in terms of cost are</w:t>
      </w:r>
      <w:proofErr w:type="gramEnd"/>
      <w:r>
        <w:rPr>
          <w:rFonts w:cs="Arial"/>
        </w:rPr>
        <w:t xml:space="preserve"> in our opinion not material to the issuers and will have a positive effect for the investors</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560E48DB" w14:textId="77777777" w:rsidR="00496E24" w:rsidRDefault="00496E24" w:rsidP="00496E24">
      <w:pPr>
        <w:rPr>
          <w:rFonts w:cs="Arial"/>
        </w:rPr>
      </w:pPr>
      <w:permStart w:id="2034252493" w:edGrp="everyone"/>
      <w:r>
        <w:rPr>
          <w:rFonts w:cs="Arial"/>
        </w:rPr>
        <w:t>It is in our opinion to the benefit of investors - in particular retail investors - to have a compiled easily reviewed presentation of an issuer's most important financial information included in the prospectus.</w:t>
      </w:r>
    </w:p>
    <w:p w14:paraId="7D0DCBD4" w14:textId="77777777" w:rsidR="00496E24" w:rsidRDefault="00496E24" w:rsidP="00496E24">
      <w:pPr>
        <w:rPr>
          <w:rFonts w:cs="Arial"/>
        </w:rPr>
      </w:pPr>
    </w:p>
    <w:p w14:paraId="15516ECB" w14:textId="77777777" w:rsidR="00496E24" w:rsidRDefault="00496E24" w:rsidP="00496E24">
      <w:pPr>
        <w:rPr>
          <w:rFonts w:cs="Arial"/>
        </w:rPr>
      </w:pPr>
      <w:r>
        <w:rPr>
          <w:rFonts w:cs="Arial"/>
        </w:rPr>
        <w:t xml:space="preserve">The benefit for the investors to have a separate selected financial information section must be assessed in light of the effect of removal of the requirement to include such section. The effect is in our opinion limited (if any) and will likely not reduce costs for the issuers and merely only result in a reduction in the length of the prospectuses by a couple of pages. </w:t>
      </w:r>
    </w:p>
    <w:p w14:paraId="70140F13" w14:textId="77777777" w:rsidR="00496E24" w:rsidRDefault="00496E24" w:rsidP="00496E24">
      <w:pPr>
        <w:rPr>
          <w:rFonts w:cs="Arial"/>
        </w:rPr>
      </w:pPr>
    </w:p>
    <w:p w14:paraId="4C9347FC" w14:textId="77777777" w:rsidR="00496E24" w:rsidRDefault="00496E24" w:rsidP="00496E24">
      <w:pPr>
        <w:rPr>
          <w:rFonts w:cs="Arial"/>
        </w:rPr>
      </w:pPr>
      <w:r>
        <w:rPr>
          <w:rFonts w:cs="Arial"/>
        </w:rPr>
        <w:t xml:space="preserve">It is argued in comment no. 58 in section </w:t>
      </w:r>
      <w:r>
        <w:rPr>
          <w:rFonts w:cs="Arial"/>
          <w:i/>
        </w:rPr>
        <w:t xml:space="preserve">"Content of the share registration document" </w:t>
      </w:r>
      <w:r>
        <w:rPr>
          <w:rFonts w:cs="Arial"/>
        </w:rPr>
        <w:t>of the consultation paper</w:t>
      </w:r>
      <w:r>
        <w:t xml:space="preserve"> </w:t>
      </w:r>
      <w:r>
        <w:rPr>
          <w:rFonts w:cs="Arial"/>
        </w:rPr>
        <w:t>that the reason for removal of the requirement to have a separate selected financial section is that selected financial information is also included in the summary section, OFR section and the F-pages. In continuation of this argument, it shall be noting that:</w:t>
      </w:r>
    </w:p>
    <w:p w14:paraId="493D6098" w14:textId="77777777" w:rsidR="00496E24" w:rsidRDefault="00496E24" w:rsidP="00496E24">
      <w:pPr>
        <w:rPr>
          <w:rFonts w:cs="Arial"/>
        </w:rPr>
      </w:pPr>
    </w:p>
    <w:p w14:paraId="52AF7D16" w14:textId="77777777" w:rsidR="00496E24" w:rsidRDefault="00496E24" w:rsidP="00952A29">
      <w:pPr>
        <w:pStyle w:val="Listeafsnit"/>
        <w:numPr>
          <w:ilvl w:val="0"/>
          <w:numId w:val="34"/>
        </w:numPr>
        <w:rPr>
          <w:rFonts w:cs="Arial"/>
        </w:rPr>
      </w:pPr>
      <w:r>
        <w:rPr>
          <w:rFonts w:cs="Arial"/>
        </w:rPr>
        <w:t>F-pages may be included only by reference and therefore not form part of the often seen compiled prospectus (summary, registration document and securities note combined in a single document);</w:t>
      </w:r>
    </w:p>
    <w:p w14:paraId="315E94FA" w14:textId="77777777" w:rsidR="00496E24" w:rsidRDefault="00496E24" w:rsidP="00496E24">
      <w:pPr>
        <w:pStyle w:val="Listeafsnit"/>
        <w:rPr>
          <w:rFonts w:cs="Arial"/>
        </w:rPr>
      </w:pPr>
    </w:p>
    <w:p w14:paraId="14860873" w14:textId="77777777" w:rsidR="00496E24" w:rsidRDefault="00496E24" w:rsidP="00952A29">
      <w:pPr>
        <w:pStyle w:val="Listeafsnit"/>
        <w:numPr>
          <w:ilvl w:val="0"/>
          <w:numId w:val="34"/>
        </w:numPr>
        <w:rPr>
          <w:rFonts w:cs="Arial"/>
        </w:rPr>
      </w:pPr>
      <w:r>
        <w:rPr>
          <w:rFonts w:cs="Arial"/>
        </w:rPr>
        <w:t>OFR sections historically do not include a compiled presentation of an issuer's selected financial information (acknowledging that the requirements for the OFR section are proposed amended); and</w:t>
      </w:r>
    </w:p>
    <w:p w14:paraId="74FEDE25" w14:textId="77777777" w:rsidR="00496E24" w:rsidRDefault="00496E24" w:rsidP="00496E24">
      <w:pPr>
        <w:rPr>
          <w:rFonts w:cs="Arial"/>
        </w:rPr>
      </w:pPr>
    </w:p>
    <w:p w14:paraId="709D1E62" w14:textId="77777777" w:rsidR="00496E24" w:rsidRDefault="00496E24" w:rsidP="00952A29">
      <w:pPr>
        <w:pStyle w:val="Listeafsnit"/>
        <w:numPr>
          <w:ilvl w:val="0"/>
          <w:numId w:val="34"/>
        </w:numPr>
        <w:rPr>
          <w:rFonts w:cs="Arial"/>
        </w:rPr>
      </w:pPr>
      <w:r>
        <w:rPr>
          <w:rFonts w:cs="Arial"/>
        </w:rPr>
        <w:t>The summary section registration document and securities note may be included in separated documents.</w:t>
      </w:r>
    </w:p>
    <w:p w14:paraId="56A399D9" w14:textId="77777777" w:rsidR="00496E24" w:rsidRDefault="00496E24" w:rsidP="00496E24">
      <w:pPr>
        <w:rPr>
          <w:rFonts w:cs="Arial"/>
        </w:rPr>
      </w:pPr>
    </w:p>
    <w:p w14:paraId="5D520A99" w14:textId="77777777" w:rsidR="00496E24" w:rsidRDefault="00496E24" w:rsidP="00496E24">
      <w:pPr>
        <w:rPr>
          <w:rFonts w:cs="Arial"/>
        </w:rPr>
      </w:pPr>
      <w:r>
        <w:rPr>
          <w:rFonts w:cs="Arial"/>
        </w:rPr>
        <w:lastRenderedPageBreak/>
        <w:t>To the extent an easily reviewed overview of an issuer's selected financials are included in a separated sub-section of the OFR section under the new requirements, we agree to the removal of the requirement to include a separate selected financials section. In not, it is in our opinion very uncommon to include information in the summary, which has not been presented similarly in the registration document and/or securities note.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1BDF6752" w14:textId="77777777" w:rsidR="00496E24" w:rsidRDefault="00496E24" w:rsidP="00496E24">
      <w:pPr>
        <w:rPr>
          <w:rFonts w:cs="Arial"/>
        </w:rPr>
      </w:pPr>
      <w:permStart w:id="1800363210" w:edGrp="everyone"/>
      <w:r>
        <w:rPr>
          <w:rFonts w:cs="Arial"/>
          <w:b/>
        </w:rPr>
        <w:t>First question</w:t>
      </w:r>
      <w:r>
        <w:rPr>
          <w:rFonts w:cs="Arial"/>
        </w:rPr>
        <w:t xml:space="preserve"> (the requirement for issuers to include their website address in the prospectus): </w:t>
      </w:r>
    </w:p>
    <w:p w14:paraId="648B6F88" w14:textId="77777777" w:rsidR="00496E24" w:rsidRDefault="00496E24" w:rsidP="00496E24">
      <w:pPr>
        <w:rPr>
          <w:rFonts w:cs="Arial"/>
        </w:rPr>
      </w:pPr>
    </w:p>
    <w:p w14:paraId="54429DD4" w14:textId="77777777" w:rsidR="00496E24" w:rsidRDefault="00496E24" w:rsidP="00496E24">
      <w:pPr>
        <w:rPr>
          <w:rFonts w:cs="Arial"/>
        </w:rPr>
      </w:pPr>
      <w:r>
        <w:rPr>
          <w:rFonts w:cs="Arial"/>
        </w:rPr>
        <w:t xml:space="preserve">Agree and the requirement is in our opinion consistent with market practice. </w:t>
      </w:r>
    </w:p>
    <w:p w14:paraId="1AADBDA9" w14:textId="77777777" w:rsidR="00496E24" w:rsidRDefault="00496E24" w:rsidP="00496E24">
      <w:pPr>
        <w:rPr>
          <w:rFonts w:cs="Arial"/>
        </w:rPr>
      </w:pPr>
    </w:p>
    <w:p w14:paraId="1651C899" w14:textId="77777777" w:rsidR="00496E24" w:rsidRDefault="00496E24" w:rsidP="00496E24">
      <w:pPr>
        <w:rPr>
          <w:rFonts w:cs="Arial"/>
        </w:rPr>
      </w:pPr>
      <w:r>
        <w:rPr>
          <w:rFonts w:cs="Arial"/>
          <w:b/>
        </w:rPr>
        <w:t>Second question</w:t>
      </w:r>
      <w:r>
        <w:rPr>
          <w:rFonts w:cs="Arial"/>
        </w:rPr>
        <w:t xml:space="preserve"> (the requirement for issuers to make documents on display electronically available): </w:t>
      </w:r>
    </w:p>
    <w:p w14:paraId="5A896501" w14:textId="77777777" w:rsidR="00496E24" w:rsidRDefault="00496E24" w:rsidP="00496E24">
      <w:pPr>
        <w:rPr>
          <w:rFonts w:cs="Arial"/>
        </w:rPr>
      </w:pPr>
    </w:p>
    <w:p w14:paraId="63F4C5E1" w14:textId="77777777" w:rsidR="00496E24" w:rsidRDefault="00496E24" w:rsidP="00496E24">
      <w:pPr>
        <w:rPr>
          <w:rFonts w:cs="Arial"/>
        </w:rPr>
      </w:pPr>
      <w:r>
        <w:rPr>
          <w:rFonts w:cs="Arial"/>
        </w:rPr>
        <w:t xml:space="preserve">Agree and the requirement is in our opinion consistence with market practice. Further, the requirement for an issuer to make documents on display physically available seems in our opinion outdated and has little use in practice. </w:t>
      </w:r>
    </w:p>
    <w:p w14:paraId="405845DE" w14:textId="77777777" w:rsidR="00496E24" w:rsidRDefault="00496E24" w:rsidP="00496E24">
      <w:pPr>
        <w:rPr>
          <w:rFonts w:cs="Arial"/>
        </w:rPr>
      </w:pPr>
    </w:p>
    <w:p w14:paraId="157D3C87" w14:textId="77777777" w:rsidR="00496E24" w:rsidRDefault="00496E24" w:rsidP="00496E24">
      <w:pPr>
        <w:rPr>
          <w:rFonts w:cs="Arial"/>
        </w:rPr>
      </w:pPr>
      <w:r>
        <w:rPr>
          <w:rFonts w:cs="Arial"/>
        </w:rPr>
        <w:t>However, it shall be considered clarified that documents should be made available only to recipients in countries allowing access to such documents. As an example, an issuer may in connection with an offe</w:t>
      </w:r>
      <w:r>
        <w:rPr>
          <w:rFonts w:cs="Arial"/>
        </w:rPr>
        <w:t>r</w:t>
      </w:r>
      <w:r>
        <w:rPr>
          <w:rFonts w:cs="Arial"/>
        </w:rPr>
        <w:t>ing be required by the U.S. Securities Trading Act to ensure that no American residents other than e</w:t>
      </w:r>
      <w:proofErr w:type="gramStart"/>
      <w:r>
        <w:rPr>
          <w:rFonts w:cs="Arial"/>
        </w:rPr>
        <w:t>,g</w:t>
      </w:r>
      <w:proofErr w:type="gramEnd"/>
      <w:r>
        <w:rPr>
          <w:rFonts w:cs="Arial"/>
        </w:rPr>
        <w:t>, "qualified institutional buyers" have access to offering specific documents. To ensure compliance her</w:t>
      </w:r>
      <w:r>
        <w:rPr>
          <w:rFonts w:cs="Arial"/>
        </w:rPr>
        <w:t>e</w:t>
      </w:r>
      <w:r>
        <w:rPr>
          <w:rFonts w:cs="Arial"/>
        </w:rPr>
        <w:t xml:space="preserve">with, documents related to an offering are often placed behind a "click-through" on the </w:t>
      </w:r>
      <w:proofErr w:type="gramStart"/>
      <w:r>
        <w:rPr>
          <w:rFonts w:cs="Arial"/>
        </w:rPr>
        <w:t>issuers</w:t>
      </w:r>
      <w:proofErr w:type="gramEnd"/>
      <w:r>
        <w:rPr>
          <w:rFonts w:cs="Arial"/>
        </w:rPr>
        <w:t xml:space="preserve"> website requesting visitors to confirm that they are non-U:S. residents. Specifically, this may be relevant both in connection with an "usual" public offering of shares in connection with an admission to trading covered by the Prospectus Regulation as well as in more complex scenarios e.g. where an issuer covered by the Prospectus Regulation seeks listing on an American market of American depositary shares with shares underlying such American Depositary shares being listed by way of a prospectus covered by the Prospe</w:t>
      </w:r>
      <w:r>
        <w:rPr>
          <w:rFonts w:cs="Arial"/>
        </w:rPr>
        <w:t>c</w:t>
      </w:r>
      <w:r>
        <w:rPr>
          <w:rFonts w:cs="Arial"/>
        </w:rPr>
        <w:t xml:space="preserve">tus Regulation. It is our proposal that this issue should be directly addressed in the regulation. </w:t>
      </w:r>
    </w:p>
    <w:p w14:paraId="0087C995" w14:textId="77777777" w:rsidR="00496E24" w:rsidRDefault="00496E24" w:rsidP="00496E24">
      <w:pPr>
        <w:rPr>
          <w:rFonts w:cs="Arial"/>
        </w:rPr>
      </w:pPr>
    </w:p>
    <w:p w14:paraId="744D17FE" w14:textId="77777777" w:rsidR="00496E24" w:rsidRDefault="00496E24" w:rsidP="00496E24">
      <w:pPr>
        <w:rPr>
          <w:rFonts w:cs="Arial"/>
        </w:rPr>
      </w:pPr>
      <w:r>
        <w:rPr>
          <w:rFonts w:cs="Arial"/>
        </w:rPr>
        <w:t>In addition, it shall be considered to extend the requirement to make the documents on display available on the issuer's website for a period consistent with what is required by the Market Abuse Regulation for information covered hereby, i.e. available for 5 years on the issuer's website and not only for the effective period of the prospectus. In our opinion, an investor has the same interest in being able to get access to prospectus related information covered by the Market Abuse Regulation.</w:t>
      </w:r>
    </w:p>
    <w:p w14:paraId="4C9E5453" w14:textId="77777777" w:rsidR="00496E24" w:rsidRDefault="00496E24" w:rsidP="00496E24">
      <w:pPr>
        <w:rPr>
          <w:rFonts w:cs="Arial"/>
        </w:rPr>
      </w:pPr>
    </w:p>
    <w:p w14:paraId="7115CC7D" w14:textId="77777777" w:rsidR="00496E24" w:rsidRDefault="00496E24" w:rsidP="00496E24">
      <w:pPr>
        <w:rPr>
          <w:rFonts w:cs="Arial"/>
        </w:rPr>
      </w:pPr>
      <w:r>
        <w:rPr>
          <w:rFonts w:cs="Arial"/>
          <w:b/>
        </w:rPr>
        <w:t>Third question</w:t>
      </w:r>
      <w:r>
        <w:rPr>
          <w:rFonts w:cs="Arial"/>
        </w:rPr>
        <w:t xml:space="preserve"> (whether these requirements imply any material additional costs to issuers): </w:t>
      </w:r>
    </w:p>
    <w:p w14:paraId="6C52DD88" w14:textId="77777777" w:rsidR="00496E24" w:rsidRDefault="00496E24" w:rsidP="00496E24">
      <w:pPr>
        <w:rPr>
          <w:rFonts w:cs="Arial"/>
        </w:rPr>
      </w:pPr>
    </w:p>
    <w:p w14:paraId="4209897E" w14:textId="77777777" w:rsidR="00496E24" w:rsidRDefault="00496E24" w:rsidP="00496E24">
      <w:pPr>
        <w:rPr>
          <w:rFonts w:cs="Arial"/>
        </w:rPr>
      </w:pPr>
      <w:r>
        <w:rPr>
          <w:rFonts w:cs="Arial"/>
        </w:rPr>
        <w:t>As described above, most issuers already make the documents on display available on their website and such requirement will in our opinion not imply any material additional costs to issuers.</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1A52F061" w14:textId="77777777" w:rsidR="00567F41" w:rsidRDefault="00567F41" w:rsidP="00567F41">
      <w:pPr>
        <w:rPr>
          <w:rFonts w:cs="Arial"/>
        </w:rPr>
      </w:pPr>
      <w:permStart w:id="1788509601" w:edGrp="everyone"/>
      <w:r>
        <w:rPr>
          <w:rFonts w:cs="Arial"/>
        </w:rPr>
        <w:t>No, past investments are sufficiently covered by the requirement to include historic financial information and the OFR section. Further, if such material past investments are of specific additional relevance for the issuer, a description hereof must in our opinion in any case likely be included in the business section.</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w:t>
      </w:r>
      <w:r w:rsidRPr="0064701F">
        <w:rPr>
          <w:rFonts w:ascii="Arial" w:hAnsi="Arial" w:cs="Arial"/>
        </w:rPr>
        <w:t>e</w:t>
      </w:r>
      <w:r w:rsidRPr="0064701F">
        <w:rPr>
          <w:rFonts w:ascii="Arial" w:hAnsi="Arial" w:cs="Arial"/>
        </w:rPr>
        <w:t>ment reports required under the Accounting Directive? Would this materially r</w:t>
      </w:r>
      <w:r w:rsidRPr="0064701F">
        <w:rPr>
          <w:rFonts w:ascii="Arial" w:hAnsi="Arial" w:cs="Arial"/>
        </w:rPr>
        <w:t>e</w:t>
      </w:r>
      <w:r w:rsidRPr="0064701F">
        <w:rPr>
          <w:rFonts w:ascii="Arial" w:hAnsi="Arial" w:cs="Arial"/>
        </w:rPr>
        <w:t>duce costs for issuers?</w:t>
      </w:r>
    </w:p>
    <w:p w14:paraId="73EF5F94" w14:textId="77777777" w:rsidR="00357C60" w:rsidRDefault="00357C60" w:rsidP="00357C60">
      <w:pPr>
        <w:rPr>
          <w:rFonts w:cs="Arial"/>
        </w:rPr>
      </w:pPr>
      <w:r>
        <w:rPr>
          <w:rFonts w:cs="Arial"/>
        </w:rPr>
        <w:t>&lt;ESMA_QUESTION_FAC_13&gt;</w:t>
      </w:r>
    </w:p>
    <w:p w14:paraId="35EBD358" w14:textId="77777777" w:rsidR="00567F41" w:rsidRDefault="00567F41" w:rsidP="00567F41">
      <w:pPr>
        <w:rPr>
          <w:rFonts w:cs="Arial"/>
        </w:rPr>
      </w:pPr>
      <w:permStart w:id="298938205" w:edGrp="everyone"/>
      <w:r>
        <w:rPr>
          <w:rFonts w:cs="Arial"/>
          <w:b/>
        </w:rPr>
        <w:t>First question</w:t>
      </w:r>
      <w:r>
        <w:rPr>
          <w:rFonts w:cs="Arial"/>
        </w:rPr>
        <w:t xml:space="preserve"> (the proposal to align the OFR section requirements with the requirements to the ma</w:t>
      </w:r>
      <w:r>
        <w:rPr>
          <w:rFonts w:cs="Arial"/>
        </w:rPr>
        <w:t>n</w:t>
      </w:r>
      <w:r>
        <w:rPr>
          <w:rFonts w:cs="Arial"/>
        </w:rPr>
        <w:t xml:space="preserve">agement reports): </w:t>
      </w:r>
    </w:p>
    <w:p w14:paraId="3317B262" w14:textId="77777777" w:rsidR="00567F41" w:rsidRDefault="00567F41" w:rsidP="00567F41">
      <w:pPr>
        <w:rPr>
          <w:rFonts w:cs="Arial"/>
        </w:rPr>
      </w:pPr>
    </w:p>
    <w:p w14:paraId="2F232428" w14:textId="77777777" w:rsidR="00567F41" w:rsidRDefault="00567F41" w:rsidP="00567F41">
      <w:pPr>
        <w:rPr>
          <w:rFonts w:cs="Arial"/>
        </w:rPr>
      </w:pPr>
      <w:r>
        <w:rPr>
          <w:rFonts w:cs="Arial"/>
        </w:rPr>
        <w:t>The OFR section is in our opinion an essential section of the registration document (and combined pr</w:t>
      </w:r>
      <w:r>
        <w:rPr>
          <w:rFonts w:cs="Arial"/>
        </w:rPr>
        <w:t>o</w:t>
      </w:r>
      <w:r>
        <w:rPr>
          <w:rFonts w:cs="Arial"/>
        </w:rPr>
        <w:t>spectus as such) and of great importance for the investors. It is in the nature of a prospectus that it pr</w:t>
      </w:r>
      <w:r>
        <w:rPr>
          <w:rFonts w:cs="Arial"/>
        </w:rPr>
        <w:t>o</w:t>
      </w:r>
      <w:r>
        <w:rPr>
          <w:rFonts w:cs="Arial"/>
        </w:rPr>
        <w:t xml:space="preserve">vides the investors with a more comprehensive introduction/description of the issuer's business than what would continuously be disclosed (e.g. in annual reports, company announcements, etc.) by the issuer, why a difference between the ongoing disclosure obligation </w:t>
      </w:r>
      <w:proofErr w:type="gramStart"/>
      <w:r>
        <w:rPr>
          <w:rFonts w:cs="Arial"/>
        </w:rPr>
        <w:t>an</w:t>
      </w:r>
      <w:proofErr w:type="gramEnd"/>
      <w:r>
        <w:rPr>
          <w:rFonts w:cs="Arial"/>
        </w:rPr>
        <w:t xml:space="preserve"> the content of a prospectus is acceptable. </w:t>
      </w:r>
    </w:p>
    <w:p w14:paraId="722EE21A" w14:textId="77777777" w:rsidR="00567F41" w:rsidRDefault="00567F41" w:rsidP="00567F41">
      <w:pPr>
        <w:rPr>
          <w:rFonts w:cs="Arial"/>
        </w:rPr>
      </w:pPr>
    </w:p>
    <w:p w14:paraId="0BA4FBE8" w14:textId="77777777" w:rsidR="00567F41" w:rsidRDefault="00567F41" w:rsidP="00567F41">
      <w:pPr>
        <w:rPr>
          <w:rFonts w:cs="Arial"/>
          <w:lang w:val="en-US"/>
        </w:rPr>
      </w:pPr>
      <w:r>
        <w:rPr>
          <w:rFonts w:cs="Arial"/>
        </w:rPr>
        <w:t>The management statement required under the Accounting Directive only requires more "generic" brea</w:t>
      </w:r>
      <w:r>
        <w:rPr>
          <w:rFonts w:cs="Arial"/>
        </w:rPr>
        <w:t>k</w:t>
      </w:r>
      <w:r>
        <w:rPr>
          <w:rFonts w:cs="Arial"/>
        </w:rPr>
        <w:t>downs of the issuer's financial position and therefore decreases the value of the a prospectus for the investors. It is therefore in our opinion of great importance that alignment of the requirements to the OFR section with the requirements to the management report under the Accounting Directive is thoroughly considered in light of the effect obtained hereby, see second question below.</w:t>
      </w:r>
      <w:r>
        <w:rPr>
          <w:rFonts w:cs="Arial"/>
          <w:lang w:val="en-US"/>
        </w:rPr>
        <w:t xml:space="preserve"> </w:t>
      </w:r>
    </w:p>
    <w:p w14:paraId="53609B84" w14:textId="77777777" w:rsidR="00567F41" w:rsidRDefault="00567F41" w:rsidP="00567F41">
      <w:pPr>
        <w:rPr>
          <w:rFonts w:cs="Arial"/>
          <w:lang w:val="en-US"/>
        </w:rPr>
      </w:pPr>
    </w:p>
    <w:p w14:paraId="3C3B058C" w14:textId="77777777" w:rsidR="00567F41" w:rsidRDefault="00567F41" w:rsidP="00567F41">
      <w:pPr>
        <w:rPr>
          <w:rFonts w:cs="Arial"/>
        </w:rPr>
      </w:pPr>
      <w:r>
        <w:rPr>
          <w:rFonts w:cs="Arial"/>
          <w:b/>
        </w:rPr>
        <w:t>Second question</w:t>
      </w:r>
      <w:r>
        <w:rPr>
          <w:rFonts w:cs="Arial"/>
        </w:rPr>
        <w:t xml:space="preserve"> (whether this would materially reduce costs for issuers): ´</w:t>
      </w:r>
    </w:p>
    <w:p w14:paraId="3F50A998" w14:textId="77777777" w:rsidR="00567F41" w:rsidRDefault="00567F41" w:rsidP="00567F41">
      <w:pPr>
        <w:rPr>
          <w:rFonts w:cs="Arial"/>
        </w:rPr>
      </w:pPr>
    </w:p>
    <w:p w14:paraId="14870EFA" w14:textId="77777777" w:rsidR="00567F41" w:rsidRDefault="00567F41" w:rsidP="00567F41">
      <w:pPr>
        <w:rPr>
          <w:rFonts w:cs="Arial"/>
        </w:rPr>
      </w:pPr>
      <w:r>
        <w:rPr>
          <w:rFonts w:cs="Arial"/>
        </w:rPr>
        <w:t>Yes, in our opinion, alignment of the requirements to the OFR section with the requirements to the ma</w:t>
      </w:r>
      <w:r>
        <w:rPr>
          <w:rFonts w:cs="Arial"/>
        </w:rPr>
        <w:t>n</w:t>
      </w:r>
      <w:r>
        <w:rPr>
          <w:rFonts w:cs="Arial"/>
        </w:rPr>
        <w:t>agement report under the Accounting Directive will materially reduce costs for issuers. The benefit from the reduced costs is in our opinion sufficient argument to justify the altering effect for investors.</w:t>
      </w:r>
    </w:p>
    <w:p w14:paraId="1C564FBC" w14:textId="77777777" w:rsidR="00567F41" w:rsidRDefault="00567F41" w:rsidP="00567F41">
      <w:pPr>
        <w:rPr>
          <w:rFonts w:cs="Arial"/>
        </w:rPr>
      </w:pPr>
    </w:p>
    <w:p w14:paraId="363D9AA4" w14:textId="77777777" w:rsidR="00567F41" w:rsidRDefault="00567F41" w:rsidP="00567F41">
      <w:pPr>
        <w:rPr>
          <w:rFonts w:cs="Arial"/>
        </w:rPr>
      </w:pPr>
      <w:r>
        <w:rPr>
          <w:rFonts w:cs="Arial"/>
        </w:rPr>
        <w:t xml:space="preserve">However, it is our expectation that the </w:t>
      </w:r>
      <w:proofErr w:type="gramStart"/>
      <w:r>
        <w:rPr>
          <w:rFonts w:cs="Arial"/>
        </w:rPr>
        <w:t>investors</w:t>
      </w:r>
      <w:proofErr w:type="gramEnd"/>
      <w:r>
        <w:rPr>
          <w:rFonts w:cs="Arial"/>
        </w:rPr>
        <w:t xml:space="preserve"> post-effectiveness of the amended prospectus regulation may require an OFR section in consistence with what is currently market practice. It is therefore questio</w:t>
      </w:r>
      <w:r>
        <w:rPr>
          <w:rFonts w:cs="Arial"/>
        </w:rPr>
        <w:t>n</w:t>
      </w:r>
      <w:r>
        <w:rPr>
          <w:rFonts w:cs="Arial"/>
        </w:rPr>
        <w:t>able to what extent the amendment will have an actual effect on costs.</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0"/>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w:t>
      </w:r>
      <w:r w:rsidR="00357C60" w:rsidRPr="0064701F">
        <w:rPr>
          <w:rFonts w:ascii="Arial" w:hAnsi="Arial" w:cs="Arial"/>
        </w:rPr>
        <w:t>e</w:t>
      </w:r>
      <w:r w:rsidR="00357C60" w:rsidRPr="0064701F">
        <w:rPr>
          <w:rFonts w:ascii="Arial" w:hAnsi="Arial" w:cs="Arial"/>
        </w:rPr>
        <w:t>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582005F0" w14:textId="77777777" w:rsidR="00567F41" w:rsidRDefault="00567F41" w:rsidP="00567F41">
      <w:pPr>
        <w:divId w:val="462041695"/>
        <w:rPr>
          <w:rFonts w:cs="Arial"/>
        </w:rPr>
      </w:pPr>
      <w:permStart w:id="4075115" w:edGrp="everyone"/>
      <w:r>
        <w:rPr>
          <w:rFonts w:cs="Arial"/>
          <w:b/>
        </w:rPr>
        <w:t xml:space="preserve">First question </w:t>
      </w:r>
      <w:r>
        <w:rPr>
          <w:rFonts w:cs="Arial"/>
        </w:rPr>
        <w:t xml:space="preserve">(requirement to include outstanding profit forecasts): </w:t>
      </w:r>
    </w:p>
    <w:p w14:paraId="5F90AEB0" w14:textId="77777777" w:rsidR="00567F41" w:rsidRDefault="00567F41">
      <w:pPr>
        <w:divId w:val="462041695"/>
        <w:rPr>
          <w:rFonts w:cs="Arial"/>
        </w:rPr>
      </w:pPr>
    </w:p>
    <w:p w14:paraId="4C8A825C" w14:textId="77777777" w:rsidR="00567F41" w:rsidRDefault="00567F41">
      <w:pPr>
        <w:divId w:val="462041695"/>
        <w:rPr>
          <w:rFonts w:cs="Arial"/>
        </w:rPr>
      </w:pPr>
      <w:r>
        <w:rPr>
          <w:rFonts w:cs="Arial"/>
        </w:rPr>
        <w:t>Agree and is in our opinion consistent with Danish practice.</w:t>
      </w:r>
    </w:p>
    <w:p w14:paraId="78B7D6E4" w14:textId="77777777" w:rsidR="00567F41" w:rsidRDefault="00567F41">
      <w:pPr>
        <w:divId w:val="462041695"/>
        <w:rPr>
          <w:rFonts w:cs="Arial"/>
        </w:rPr>
      </w:pPr>
    </w:p>
    <w:p w14:paraId="3FBBD001" w14:textId="77777777" w:rsidR="00567F41" w:rsidRDefault="00567F41">
      <w:pPr>
        <w:divId w:val="462041695"/>
        <w:rPr>
          <w:rFonts w:cs="Arial"/>
        </w:rPr>
      </w:pPr>
      <w:r>
        <w:rPr>
          <w:rFonts w:cs="Arial"/>
          <w:b/>
        </w:rPr>
        <w:t xml:space="preserve">Second question </w:t>
      </w:r>
      <w:r>
        <w:rPr>
          <w:rFonts w:cs="Arial"/>
        </w:rPr>
        <w:t xml:space="preserve">(removal of the obligation to include an accountant’s or an auditor’s report): </w:t>
      </w:r>
    </w:p>
    <w:p w14:paraId="232794DA" w14:textId="77777777" w:rsidR="00567F41" w:rsidRDefault="00567F41">
      <w:pPr>
        <w:divId w:val="462041695"/>
        <w:rPr>
          <w:rFonts w:cs="Arial"/>
        </w:rPr>
      </w:pPr>
    </w:p>
    <w:p w14:paraId="4086248B" w14:textId="77777777" w:rsidR="00567F41" w:rsidRDefault="00567F41">
      <w:pPr>
        <w:divId w:val="462041695"/>
        <w:rPr>
          <w:rFonts w:cs="Arial"/>
        </w:rPr>
      </w:pPr>
      <w:r>
        <w:rPr>
          <w:rFonts w:cs="Arial"/>
        </w:rPr>
        <w:t xml:space="preserve">In theory, the inclusion of an accountant's or an auditor's report is in the interest of the investor and may increase the trustworthiness of the profit forecast, which in Denmark is an essential part of the prospectus, and force the issuer to take additional and more comprehensive steps when preparing the prospective financial information. However, the statements are in Denmark made in accordance with ISAE 3000 which only requires the auditor to </w:t>
      </w:r>
      <w:r>
        <w:rPr>
          <w:rFonts w:cs="Arial"/>
          <w:i/>
        </w:rPr>
        <w:t>"examined whether the consolidated prospective financial information has been properly compiled on the basis of the assumptions and accounting policies stated, including exam</w:t>
      </w:r>
      <w:r>
        <w:rPr>
          <w:rFonts w:cs="Arial"/>
          <w:i/>
        </w:rPr>
        <w:t>i</w:t>
      </w:r>
      <w:r>
        <w:rPr>
          <w:rFonts w:cs="Arial"/>
          <w:i/>
        </w:rPr>
        <w:t>nation of the numerical consistency".</w:t>
      </w:r>
      <w:r>
        <w:rPr>
          <w:rFonts w:cs="Arial"/>
        </w:rPr>
        <w:t xml:space="preserve"> This requirement is contrary to previous requirements under IASE 3400, where the Auditors where required to assess the underlying assumptions as well. The current regime may in our opinion create a false security for investors without specific knowledge of the auditor </w:t>
      </w:r>
      <w:r>
        <w:rPr>
          <w:rFonts w:cs="Arial"/>
        </w:rPr>
        <w:lastRenderedPageBreak/>
        <w:t xml:space="preserve">standards. As it is costly for the issuer to obtain an auditor's report and that the actual value hereof is limited, we agree with the proposal to remove the requirement to obtain such report. </w:t>
      </w:r>
      <w:r>
        <w:rPr>
          <w:rFonts w:cs="Arial"/>
        </w:rPr>
        <w:tab/>
      </w:r>
    </w:p>
    <w:p w14:paraId="7534CEEC" w14:textId="77777777" w:rsidR="00567F41" w:rsidRDefault="00567F41">
      <w:pPr>
        <w:divId w:val="462041695"/>
        <w:rPr>
          <w:rFonts w:cs="Arial"/>
        </w:rPr>
      </w:pPr>
    </w:p>
    <w:p w14:paraId="05F31931" w14:textId="77777777" w:rsidR="00567F41" w:rsidRDefault="00567F41">
      <w:pPr>
        <w:divId w:val="462041695"/>
        <w:rPr>
          <w:rFonts w:cs="Arial"/>
        </w:rPr>
      </w:pPr>
      <w:r>
        <w:rPr>
          <w:rFonts w:cs="Arial"/>
          <w:b/>
        </w:rPr>
        <w:t>Third question</w:t>
      </w:r>
      <w:r>
        <w:rPr>
          <w:rFonts w:cs="Arial"/>
        </w:rPr>
        <w:t xml:space="preserve"> (estimate of the benefits for </w:t>
      </w:r>
      <w:proofErr w:type="gramStart"/>
      <w:r>
        <w:rPr>
          <w:rFonts w:cs="Arial"/>
        </w:rPr>
        <w:t>the  issuers</w:t>
      </w:r>
      <w:proofErr w:type="gramEnd"/>
      <w:r>
        <w:rPr>
          <w:rFonts w:cs="Arial"/>
        </w:rPr>
        <w:t xml:space="preserve"> arising from the abovementioned proposals):</w:t>
      </w:r>
    </w:p>
    <w:p w14:paraId="5A1A1E07" w14:textId="77777777" w:rsidR="00567F41" w:rsidRDefault="00567F41">
      <w:pPr>
        <w:divId w:val="462041695"/>
        <w:rPr>
          <w:rFonts w:cs="Arial"/>
        </w:rPr>
      </w:pPr>
    </w:p>
    <w:p w14:paraId="36FED958" w14:textId="77777777" w:rsidR="00567F41" w:rsidRDefault="00567F41">
      <w:pPr>
        <w:divId w:val="462041695"/>
        <w:rPr>
          <w:rFonts w:cs="Arial"/>
        </w:rPr>
      </w:pPr>
      <w:r>
        <w:rPr>
          <w:rFonts w:cs="Arial"/>
        </w:rPr>
        <w:t xml:space="preserve">Not able to provide exact amount, but will in our opinion reduce overall costs. </w:t>
      </w:r>
    </w:p>
    <w:p w14:paraId="69E4E6E6" w14:textId="77777777" w:rsidR="00567F41" w:rsidRDefault="00567F41">
      <w:pPr>
        <w:divId w:val="462041695"/>
        <w:rPr>
          <w:rFonts w:cs="Arial"/>
        </w:rPr>
      </w:pPr>
    </w:p>
    <w:p w14:paraId="0D7AEEE8" w14:textId="77777777" w:rsidR="00567F41" w:rsidRDefault="00567F41">
      <w:pPr>
        <w:divId w:val="462041695"/>
        <w:rPr>
          <w:rFonts w:cs="Arial"/>
        </w:rPr>
      </w:pPr>
      <w:r>
        <w:rPr>
          <w:rFonts w:cs="Arial"/>
          <w:b/>
        </w:rPr>
        <w:t xml:space="preserve">Fourth question </w:t>
      </w:r>
      <w:r>
        <w:rPr>
          <w:rFonts w:cs="Arial"/>
        </w:rPr>
        <w:t>(whether these requirements significantly affect the informative value of the prospectus for investors):</w:t>
      </w:r>
    </w:p>
    <w:p w14:paraId="402BFC98" w14:textId="77777777" w:rsidR="00567F41" w:rsidRDefault="00567F41">
      <w:pPr>
        <w:tabs>
          <w:tab w:val="left" w:pos="2070"/>
        </w:tabs>
        <w:divId w:val="462041695"/>
        <w:rPr>
          <w:rFonts w:cs="Arial"/>
        </w:rPr>
      </w:pPr>
      <w:r>
        <w:rPr>
          <w:rFonts w:cs="Arial"/>
        </w:rPr>
        <w:tab/>
      </w:r>
    </w:p>
    <w:p w14:paraId="73C95C13" w14:textId="7286238A" w:rsidR="00357C60" w:rsidRDefault="00567F41" w:rsidP="00357C60">
      <w:pPr>
        <w:rPr>
          <w:rFonts w:cs="Arial"/>
        </w:rPr>
      </w:pPr>
      <w:r>
        <w:rPr>
          <w:rFonts w:cs="Arial"/>
        </w:rPr>
        <w:t xml:space="preserve">See discussion under second question.  </w:t>
      </w:r>
      <w:permEnd w:id="4075115"/>
      <w:r w:rsidR="00357C60">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20F8FA63" w14:textId="77777777" w:rsidR="00567F41" w:rsidRDefault="00567F41" w:rsidP="00567F41">
      <w:pPr>
        <w:rPr>
          <w:rFonts w:cs="Arial"/>
        </w:rPr>
      </w:pPr>
      <w:permStart w:id="1289355915" w:edGrp="everyone"/>
      <w:r>
        <w:rPr>
          <w:rFonts w:cs="Arial"/>
        </w:rPr>
        <w:t>Agree.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w:t>
      </w:r>
      <w:r w:rsidRPr="0064701F">
        <w:rPr>
          <w:rFonts w:ascii="Arial" w:hAnsi="Arial" w:cs="Arial"/>
        </w:rPr>
        <w:t>m</w:t>
      </w:r>
      <w:r w:rsidRPr="0064701F">
        <w:rPr>
          <w:rFonts w:ascii="Arial" w:hAnsi="Arial" w:cs="Arial"/>
        </w:rPr>
        <w:t>ply any material additional costs to issuers?</w:t>
      </w:r>
    </w:p>
    <w:p w14:paraId="76161EF6" w14:textId="77777777" w:rsidR="00357C60" w:rsidRDefault="00357C60" w:rsidP="00357C60">
      <w:pPr>
        <w:rPr>
          <w:rFonts w:cs="Arial"/>
        </w:rPr>
      </w:pPr>
      <w:r>
        <w:rPr>
          <w:rFonts w:cs="Arial"/>
        </w:rPr>
        <w:t>&lt;ESMA_QUESTION_FAC_16&gt;</w:t>
      </w:r>
    </w:p>
    <w:p w14:paraId="19F74AD3" w14:textId="77777777" w:rsidR="00567F41" w:rsidRDefault="00567F41" w:rsidP="00567F41">
      <w:pPr>
        <w:rPr>
          <w:rFonts w:cs="Arial"/>
        </w:rPr>
      </w:pPr>
      <w:permStart w:id="1719599276" w:edGrp="everyone"/>
      <w:r>
        <w:rPr>
          <w:rFonts w:cs="Arial"/>
          <w:b/>
        </w:rPr>
        <w:t>Question one:</w:t>
      </w:r>
      <w:r>
        <w:rPr>
          <w:rFonts w:cs="Arial"/>
        </w:rPr>
        <w:t xml:space="preserve"> (requirement to disclose the size of shareholdings pre and post issuance): </w:t>
      </w:r>
    </w:p>
    <w:p w14:paraId="3EFE5087" w14:textId="77777777" w:rsidR="00567F41" w:rsidRDefault="00567F41" w:rsidP="00567F41">
      <w:pPr>
        <w:rPr>
          <w:rFonts w:cs="Arial"/>
        </w:rPr>
      </w:pPr>
    </w:p>
    <w:p w14:paraId="3D6416A5" w14:textId="77777777" w:rsidR="00567F41" w:rsidRDefault="00567F41" w:rsidP="00567F41">
      <w:pPr>
        <w:rPr>
          <w:rFonts w:cs="Arial"/>
        </w:rPr>
      </w:pPr>
      <w:r>
        <w:rPr>
          <w:rFonts w:cs="Arial"/>
        </w:rPr>
        <w:t>Agree.</w:t>
      </w:r>
    </w:p>
    <w:p w14:paraId="43C59C58" w14:textId="77777777" w:rsidR="00567F41" w:rsidRDefault="00567F41" w:rsidP="00567F41">
      <w:pPr>
        <w:rPr>
          <w:rFonts w:cs="Arial"/>
        </w:rPr>
      </w:pPr>
    </w:p>
    <w:p w14:paraId="0F0BC519" w14:textId="77777777" w:rsidR="00567F41" w:rsidRDefault="00567F41" w:rsidP="00567F41">
      <w:pPr>
        <w:rPr>
          <w:rFonts w:cs="Arial"/>
        </w:rPr>
      </w:pPr>
      <w:r>
        <w:rPr>
          <w:rFonts w:cs="Arial"/>
          <w:b/>
        </w:rPr>
        <w:t>Question two</w:t>
      </w:r>
      <w:r>
        <w:rPr>
          <w:rFonts w:cs="Arial"/>
        </w:rPr>
        <w:t xml:space="preserve"> (additional costs related hereto): </w:t>
      </w:r>
    </w:p>
    <w:p w14:paraId="5194FD7D" w14:textId="77777777" w:rsidR="00567F41" w:rsidRDefault="00567F41" w:rsidP="00567F41">
      <w:pPr>
        <w:rPr>
          <w:rFonts w:cs="Arial"/>
        </w:rPr>
      </w:pPr>
    </w:p>
    <w:p w14:paraId="5BCD8118" w14:textId="77777777" w:rsidR="00567F41" w:rsidRDefault="00567F41" w:rsidP="00567F41">
      <w:pPr>
        <w:rPr>
          <w:rFonts w:cs="Arial"/>
        </w:rPr>
      </w:pPr>
      <w:r>
        <w:rPr>
          <w:rFonts w:cs="Arial"/>
        </w:rPr>
        <w:t>In our opinion, this would only imply little additional costs.</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75F9C75" w14:textId="77777777" w:rsidR="00567F41" w:rsidRDefault="00567F41" w:rsidP="00567F41">
      <w:pPr>
        <w:rPr>
          <w:rFonts w:cs="Arial"/>
        </w:rPr>
      </w:pPr>
      <w:permStart w:id="1791062262" w:edGrp="everyone"/>
      <w:r>
        <w:rPr>
          <w:rFonts w:cs="Arial"/>
        </w:rPr>
        <w:t>Yes.</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315B7A02" w14:textId="77777777" w:rsidR="00567F41" w:rsidRDefault="00567F41" w:rsidP="00567F41">
      <w:pPr>
        <w:rPr>
          <w:rFonts w:cs="Arial"/>
        </w:rPr>
      </w:pPr>
      <w:permStart w:id="837503568" w:edGrp="everyone"/>
      <w:r>
        <w:rPr>
          <w:rFonts w:cs="Arial"/>
        </w:rPr>
        <w:t>Agree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7706C3FB" w14:textId="77777777" w:rsidR="00567F41" w:rsidRDefault="00567F41" w:rsidP="00567F41">
      <w:pPr>
        <w:rPr>
          <w:rFonts w:cs="Arial"/>
        </w:rPr>
      </w:pPr>
      <w:permStart w:id="528625861" w:edGrp="everyone"/>
      <w:r>
        <w:rPr>
          <w:rFonts w:cs="Arial"/>
        </w:rPr>
        <w:lastRenderedPageBreak/>
        <w:t>The articles of association are often technical and lengthy. A "prosaic" less technical replication of material sections hereof is in our opinion of informative value for investors - in particular retail investors. Cons</w:t>
      </w:r>
      <w:r>
        <w:rPr>
          <w:rFonts w:cs="Arial"/>
        </w:rPr>
        <w:t>e</w:t>
      </w:r>
      <w:r>
        <w:rPr>
          <w:rFonts w:cs="Arial"/>
        </w:rPr>
        <w:t>quently, we disagree with the proposal to lighter requirements in relation to replication of the issuer's M&amp;A documents, which in our opinion would only result in limited cost savings.</w:t>
      </w:r>
    </w:p>
    <w:p w14:paraId="599975E2" w14:textId="77777777" w:rsidR="00567F41" w:rsidRDefault="00567F41" w:rsidP="00567F41">
      <w:pPr>
        <w:rPr>
          <w:rFonts w:cs="Arial"/>
        </w:rPr>
      </w:pPr>
    </w:p>
    <w:p w14:paraId="6F4C491F" w14:textId="77777777" w:rsidR="00567F41" w:rsidRDefault="00567F41" w:rsidP="00567F41">
      <w:pPr>
        <w:rPr>
          <w:rFonts w:cs="Arial"/>
        </w:rPr>
      </w:pPr>
      <w:r>
        <w:rPr>
          <w:rFonts w:cs="Arial"/>
        </w:rPr>
        <w:t>However, it is worth mentioning that a memorandum of association in Denmark has less actual legal value and may not always be obtained (specially with older companies). The inclusion hereof is therefore of little or no value under Danish law.</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733F8924" w14:textId="77777777" w:rsidR="00567F41" w:rsidRDefault="00567F41" w:rsidP="00567F41">
      <w:pPr>
        <w:rPr>
          <w:rFonts w:cs="Arial"/>
        </w:rPr>
      </w:pPr>
      <w:permStart w:id="1415971191" w:edGrp="everyone"/>
      <w:r>
        <w:rPr>
          <w:rFonts w:cs="Arial"/>
        </w:rPr>
        <w:t>No</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0"/>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2B199A0B" w14:textId="77777777" w:rsidR="00567F41" w:rsidRDefault="00567F41" w:rsidP="00567F41">
      <w:pPr>
        <w:rPr>
          <w:rFonts w:cs="Arial"/>
        </w:rPr>
      </w:pPr>
      <w:permStart w:id="65869865" w:edGrp="everyone"/>
      <w:r>
        <w:rPr>
          <w:rFonts w:cs="Arial"/>
        </w:rPr>
        <w:t xml:space="preserve">The overall impact of the proposed technical advice is that it will reduce costs. It is, however, questionable whether the market/investors will </w:t>
      </w:r>
      <w:proofErr w:type="gramStart"/>
      <w:r>
        <w:rPr>
          <w:rFonts w:cs="Arial"/>
        </w:rPr>
        <w:t>expect  some</w:t>
      </w:r>
      <w:proofErr w:type="gramEnd"/>
      <w:r>
        <w:rPr>
          <w:rFonts w:cs="Arial"/>
        </w:rPr>
        <w:t xml:space="preserve"> of the removed element continuously included in prospe</w:t>
      </w:r>
      <w:r>
        <w:rPr>
          <w:rFonts w:cs="Arial"/>
        </w:rPr>
        <w:t>c</w:t>
      </w:r>
      <w:r>
        <w:rPr>
          <w:rFonts w:cs="Arial"/>
        </w:rPr>
        <w:t>tuses and thereby not in reality reduce costs.</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4A6A799F" w:rsidR="00357C60" w:rsidRDefault="00A52049" w:rsidP="00357C60">
      <w:pPr>
        <w:rPr>
          <w:rFonts w:cs="Arial"/>
        </w:rPr>
      </w:pPr>
      <w:permStart w:id="551768066" w:edGrp="everyone"/>
      <w:r>
        <w:rPr>
          <w:rFonts w:cs="Arial"/>
        </w:rPr>
        <w:t xml:space="preserve">Yes – credit institution, insurance companies and other institutions subject to detailed statutory capital requirements should be able to omit the standard working capital statement and instead provide/refer to description as to their compliance with applicable statutory capital requirements. </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w:t>
      </w:r>
      <w:r w:rsidRPr="0064701F">
        <w:rPr>
          <w:rFonts w:ascii="Arial" w:hAnsi="Arial" w:cs="Arial"/>
        </w:rPr>
        <w:t>a</w:t>
      </w:r>
      <w:r w:rsidRPr="0064701F">
        <w:rPr>
          <w:rFonts w:ascii="Arial" w:hAnsi="Arial" w:cs="Arial"/>
        </w:rPr>
        <w:t>tion.</w:t>
      </w:r>
    </w:p>
    <w:p w14:paraId="2AF2C5D9" w14:textId="77777777" w:rsidR="00357C60" w:rsidRDefault="00357C60" w:rsidP="00357C60">
      <w:pPr>
        <w:rPr>
          <w:rFonts w:cs="Arial"/>
        </w:rPr>
      </w:pPr>
      <w:r>
        <w:rPr>
          <w:rFonts w:cs="Arial"/>
        </w:rPr>
        <w:t>&lt;ESMA_QUESTION_FAC_23&gt;</w:t>
      </w:r>
    </w:p>
    <w:p w14:paraId="3E9CD97E" w14:textId="7ED98C57" w:rsidR="00357C60" w:rsidRDefault="00A52049" w:rsidP="00357C60">
      <w:pPr>
        <w:rPr>
          <w:rFonts w:cs="Arial"/>
        </w:rPr>
      </w:pPr>
      <w:permStart w:id="615273621" w:edGrp="everyone"/>
      <w:r>
        <w:rPr>
          <w:rFonts w:cs="Arial"/>
        </w:rPr>
        <w:t>Yes –</w:t>
      </w:r>
      <w:r w:rsidR="00010438">
        <w:rPr>
          <w:rFonts w:cs="Arial"/>
        </w:rPr>
        <w:t xml:space="preserve"> </w:t>
      </w:r>
      <w:r w:rsidR="00141BC4">
        <w:rPr>
          <w:rFonts w:cs="Arial"/>
        </w:rPr>
        <w:t xml:space="preserve">and where appropriate such update could be narrative rather than an update of the entire table. The </w:t>
      </w:r>
      <w:r>
        <w:rPr>
          <w:rFonts w:cs="Arial"/>
        </w:rPr>
        <w:t xml:space="preserve">guidelines on the capitalisation table should </w:t>
      </w:r>
      <w:r w:rsidR="00141BC4">
        <w:rPr>
          <w:rFonts w:cs="Arial"/>
        </w:rPr>
        <w:t xml:space="preserve">continue to provide </w:t>
      </w:r>
      <w:r w:rsidR="00010438">
        <w:rPr>
          <w:rFonts w:cs="Arial"/>
        </w:rPr>
        <w:t>that it is not require</w:t>
      </w:r>
      <w:r w:rsidR="00141BC4">
        <w:rPr>
          <w:rFonts w:cs="Arial"/>
        </w:rPr>
        <w:t>d</w:t>
      </w:r>
      <w:r w:rsidR="00010438">
        <w:rPr>
          <w:rFonts w:cs="Arial"/>
        </w:rPr>
        <w:t xml:space="preserve"> to calculate shar</w:t>
      </w:r>
      <w:r w:rsidR="00010438">
        <w:rPr>
          <w:rFonts w:cs="Arial"/>
        </w:rPr>
        <w:t>e</w:t>
      </w:r>
      <w:r w:rsidR="00010438">
        <w:rPr>
          <w:rFonts w:cs="Arial"/>
        </w:rPr>
        <w:t xml:space="preserve">holder’s equity  (i.e. only </w:t>
      </w:r>
      <w:r>
        <w:rPr>
          <w:rFonts w:cs="Arial"/>
        </w:rPr>
        <w:t>debt items</w:t>
      </w:r>
      <w:r w:rsidR="00010438">
        <w:rPr>
          <w:rFonts w:cs="Arial"/>
        </w:rPr>
        <w:t>, cash and registered share capital, specific (fixed) reserves</w:t>
      </w:r>
      <w:r>
        <w:rPr>
          <w:rFonts w:cs="Arial"/>
        </w:rPr>
        <w:t xml:space="preserve"> need be included in the cap</w:t>
      </w:r>
      <w:r w:rsidR="00772D49">
        <w:rPr>
          <w:rFonts w:cs="Arial"/>
        </w:rPr>
        <w:t>italisation</w:t>
      </w:r>
      <w:r>
        <w:rPr>
          <w:rFonts w:cs="Arial"/>
        </w:rPr>
        <w:t xml:space="preserve"> table</w:t>
      </w:r>
      <w:r w:rsidR="00010438">
        <w:rPr>
          <w:rFonts w:cs="Arial"/>
        </w:rPr>
        <w:t>)</w:t>
      </w:r>
      <w:r>
        <w:rPr>
          <w:rFonts w:cs="Arial"/>
        </w:rPr>
        <w:t>.</w:t>
      </w:r>
      <w:r w:rsidR="00772D49">
        <w:rPr>
          <w:rFonts w:cs="Arial"/>
        </w:rPr>
        <w:t xml:space="preserve">As for the debt/loan categories, the issuer should be able to use those categories applied in the issuer’s annual report. </w:t>
      </w:r>
      <w:r>
        <w:rPr>
          <w:rFonts w:cs="Arial"/>
        </w:rPr>
        <w:t xml:space="preserve">The cost related to </w:t>
      </w:r>
      <w:r w:rsidR="00010438">
        <w:rPr>
          <w:rFonts w:cs="Arial"/>
        </w:rPr>
        <w:t xml:space="preserve">updating the capitalisation </w:t>
      </w:r>
      <w:r>
        <w:rPr>
          <w:rFonts w:cs="Arial"/>
        </w:rPr>
        <w:t>table should be fairly limited compared to the value</w:t>
      </w:r>
      <w:r w:rsidR="00010438">
        <w:rPr>
          <w:rFonts w:cs="Arial"/>
        </w:rPr>
        <w:t xml:space="preserve"> for investors in having a clear combined presentation of the issuers present capitalisation</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the changes to dilution requirements would be helpful to inve</w:t>
      </w:r>
      <w:r w:rsidRPr="0064701F">
        <w:rPr>
          <w:rFonts w:ascii="Arial" w:hAnsi="Arial" w:cs="Arial"/>
        </w:rPr>
        <w:t>s</w:t>
      </w:r>
      <w:r w:rsidRPr="0064701F">
        <w:rPr>
          <w:rFonts w:ascii="Arial" w:hAnsi="Arial" w:cs="Arial"/>
        </w:rPr>
        <w:t>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0934E9D" w:rsidR="00357C60" w:rsidRDefault="0033017E" w:rsidP="00E8799F">
      <w:pPr>
        <w:ind w:firstLine="709"/>
        <w:rPr>
          <w:rFonts w:cs="Arial"/>
        </w:rPr>
      </w:pPr>
      <w:permStart w:id="1470501143" w:edGrp="everyone"/>
      <w:r>
        <w:rPr>
          <w:rFonts w:cs="Arial"/>
        </w:rPr>
        <w:t xml:space="preserve">No – the proposed 9.1(a) is somewhat confusing </w:t>
      </w:r>
      <w:r w:rsidR="004B5CE0">
        <w:rPr>
          <w:rFonts w:cs="Arial"/>
        </w:rPr>
        <w:t xml:space="preserve">in its description </w:t>
      </w:r>
      <w:r>
        <w:rPr>
          <w:rFonts w:cs="Arial"/>
        </w:rPr>
        <w:t xml:space="preserve">and seems to overlap 9.2. </w:t>
      </w:r>
      <w:r w:rsidR="004B5CE0">
        <w:rPr>
          <w:rFonts w:cs="Arial"/>
        </w:rPr>
        <w:t>For rights issues, 9.1(a) would seem to provide little relevant information. As for 9.1(b), the ‘net asset value’ would rarely be representative of actual market values. The illustration of economic dilution should be based on market cap (i.e. (marketcap / total # shares pre issue) compared to ((marketcap + capital raise) / ( total # shares post issue)</w:t>
      </w:r>
      <w:r w:rsidR="00141BC4">
        <w:rPr>
          <w:rFonts w:cs="Arial"/>
        </w:rPr>
        <w:t>.</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1276DA1" w:rsidR="00357C60" w:rsidRDefault="004B5CE0" w:rsidP="00357C60">
      <w:pPr>
        <w:rPr>
          <w:rFonts w:cs="Arial"/>
        </w:rPr>
      </w:pPr>
      <w:permStart w:id="1625706480" w:edGrp="everyone"/>
      <w:r>
        <w:rPr>
          <w:rFonts w:cs="Arial"/>
        </w:rPr>
        <w:t>Yes – it should be clarified whether both dilution in voting rights and dilution in economic value should be described</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666E367B" w14:textId="7F118B4B" w:rsidR="00BD65C3" w:rsidRDefault="00BD65C3" w:rsidP="00357C60">
      <w:pPr>
        <w:rPr>
          <w:rFonts w:cs="Arial"/>
        </w:rPr>
      </w:pPr>
      <w:permStart w:id="1929457622" w:edGrp="everyone"/>
      <w:r>
        <w:rPr>
          <w:rFonts w:cs="Arial"/>
        </w:rPr>
        <w:t>4.10 – Propose to delete (except for ongoing take-over offers). Information on historic take-over offers would not appear relevant to investors and are public information in any event.</w:t>
      </w:r>
    </w:p>
    <w:p w14:paraId="4C2AAE67" w14:textId="2D2D0505" w:rsidR="00BD65C3" w:rsidRDefault="00BD65C3" w:rsidP="00357C60">
      <w:pPr>
        <w:rPr>
          <w:rFonts w:cs="Arial"/>
        </w:rPr>
      </w:pPr>
      <w:r>
        <w:rPr>
          <w:rFonts w:cs="Arial"/>
        </w:rPr>
        <w:t xml:space="preserve">5.3.1 (new) – The proposed mandatory withdrawal rights are highly impractical and could give rise to disputes at critical points in time in the offering process. The proposed disclosure requirements will be sufficient to safeguard investors – if they are not happy with terms they should abstain rather than be afforded an option. </w:t>
      </w:r>
    </w:p>
    <w:p w14:paraId="0351DEFE" w14:textId="1C7188A0" w:rsidR="00357C60" w:rsidRDefault="00BD65C3" w:rsidP="00357C60">
      <w:pPr>
        <w:rPr>
          <w:rFonts w:cs="Arial"/>
        </w:rPr>
      </w:pPr>
      <w:r>
        <w:rPr>
          <w:rFonts w:cs="Arial"/>
        </w:rPr>
        <w:t xml:space="preserve">10.2 </w:t>
      </w:r>
      <w:r w:rsidR="004B5CE0">
        <w:rPr>
          <w:rFonts w:cs="Arial"/>
        </w:rPr>
        <w:t xml:space="preserve">Consider clarification of scope – presumably where </w:t>
      </w:r>
      <w:r>
        <w:rPr>
          <w:rFonts w:cs="Arial"/>
        </w:rPr>
        <w:t>auditors have prepare purely internal report to support information in the prospectus, this need not be disclosed.</w:t>
      </w:r>
    </w:p>
    <w:p w14:paraId="5F19BED8" w14:textId="77777777" w:rsidR="00BD65C3" w:rsidRDefault="00BD65C3" w:rsidP="00357C60">
      <w:pPr>
        <w:rPr>
          <w:rFonts w:cs="Arial"/>
        </w:rPr>
      </w:pPr>
    </w:p>
    <w:p w14:paraId="0670A999" w14:textId="4E33032E" w:rsidR="00BD65C3" w:rsidRDefault="00BD65C3" w:rsidP="00357C60">
      <w:pPr>
        <w:rPr>
          <w:rFonts w:cs="Arial"/>
        </w:rPr>
      </w:pPr>
      <w:r>
        <w:rPr>
          <w:rFonts w:cs="Arial"/>
        </w:rPr>
        <w:t xml:space="preserve">The above proposals would </w:t>
      </w:r>
      <w:r w:rsidR="00EB1C81">
        <w:rPr>
          <w:rFonts w:cs="Arial"/>
        </w:rPr>
        <w:t xml:space="preserve">remove unnecessary information and </w:t>
      </w:r>
      <w:r>
        <w:rPr>
          <w:rFonts w:cs="Arial"/>
        </w:rPr>
        <w:t>should not involve any additional costs.</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038B493B" w:rsidR="00357C60" w:rsidRDefault="001D667B" w:rsidP="00357C60">
      <w:pPr>
        <w:rPr>
          <w:rFonts w:cs="Arial"/>
        </w:rPr>
      </w:pPr>
      <w:permStart w:id="1743664824" w:edGrp="everyone"/>
      <w:r>
        <w:rPr>
          <w:rFonts w:cs="Arial"/>
        </w:rPr>
        <w:t>As a whole, t</w:t>
      </w:r>
      <w:r w:rsidR="00EB1C81">
        <w:rPr>
          <w:rFonts w:cs="Arial"/>
        </w:rPr>
        <w:t>he p</w:t>
      </w:r>
      <w:r>
        <w:rPr>
          <w:rFonts w:cs="Arial"/>
        </w:rPr>
        <w:t xml:space="preserve">roposed advice brings </w:t>
      </w:r>
      <w:r w:rsidR="00EB1C81">
        <w:rPr>
          <w:rFonts w:cs="Arial"/>
        </w:rPr>
        <w:t>positive</w:t>
      </w:r>
      <w:r>
        <w:rPr>
          <w:rFonts w:cs="Arial"/>
        </w:rPr>
        <w:t xml:space="preserve"> (albeit small) </w:t>
      </w:r>
      <w:r w:rsidR="00EB1C81">
        <w:rPr>
          <w:rFonts w:cs="Arial"/>
        </w:rPr>
        <w:t xml:space="preserve">benefits </w:t>
      </w:r>
      <w:r>
        <w:rPr>
          <w:rFonts w:cs="Arial"/>
        </w:rPr>
        <w:t>to the issuer. The reduced tax section will reduce cost, but as a whole, there should not be any significant changes in time, cost or r</w:t>
      </w:r>
      <w:r>
        <w:rPr>
          <w:rFonts w:cs="Arial"/>
        </w:rPr>
        <w:t>e</w:t>
      </w:r>
      <w:r>
        <w:rPr>
          <w:rFonts w:cs="Arial"/>
        </w:rPr>
        <w:t>sources required to prepare the securities note</w:t>
      </w:r>
      <w:r w:rsidR="00EB1C81">
        <w:rPr>
          <w:rFonts w:cs="Arial"/>
        </w:rPr>
        <w:t>.</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lastRenderedPageBreak/>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removal of the requirement for wholesale non-equity iss</w:t>
      </w:r>
      <w:r w:rsidRPr="0064701F">
        <w:rPr>
          <w:rFonts w:ascii="Arial" w:hAnsi="Arial" w:cs="Arial"/>
        </w:rPr>
        <w:t>u</w:t>
      </w:r>
      <w:r w:rsidRPr="0064701F">
        <w:rPr>
          <w:rFonts w:ascii="Arial" w:hAnsi="Arial" w:cs="Arial"/>
        </w:rPr>
        <w:t>ers to restate their financial statements? Would this significantly affect the i</w:t>
      </w:r>
      <w:r w:rsidRPr="0064701F">
        <w:rPr>
          <w:rFonts w:ascii="Arial" w:hAnsi="Arial" w:cs="Arial"/>
        </w:rPr>
        <w:t>n</w:t>
      </w:r>
      <w:r w:rsidRPr="0064701F">
        <w:rPr>
          <w:rFonts w:ascii="Arial" w:hAnsi="Arial" w:cs="Arial"/>
        </w:rPr>
        <w:t>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w:t>
      </w:r>
      <w:r w:rsidRPr="0064701F">
        <w:rPr>
          <w:rFonts w:ascii="Arial" w:hAnsi="Arial" w:cs="Arial"/>
        </w:rPr>
        <w:t>s</w:t>
      </w:r>
      <w:r w:rsidRPr="0064701F">
        <w:rPr>
          <w:rFonts w:ascii="Arial" w:hAnsi="Arial" w:cs="Arial"/>
        </w:rPr>
        <w:t>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that the issue price of the securities to be inclu</w:t>
      </w:r>
      <w:r w:rsidRPr="0064701F">
        <w:rPr>
          <w:rFonts w:ascii="Arial" w:hAnsi="Arial" w:cs="Arial"/>
        </w:rPr>
        <w:t>d</w:t>
      </w:r>
      <w:r w:rsidRPr="0064701F">
        <w:rPr>
          <w:rFonts w:ascii="Arial" w:hAnsi="Arial" w:cs="Arial"/>
        </w:rPr>
        <w:t>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w:t>
      </w:r>
      <w:r w:rsidRPr="0064701F">
        <w:rPr>
          <w:rFonts w:ascii="Arial" w:hAnsi="Arial" w:cs="Arial"/>
        </w:rPr>
        <w:t>a</w:t>
      </w:r>
      <w:r w:rsidRPr="0064701F">
        <w:rPr>
          <w:rFonts w:ascii="Arial" w:hAnsi="Arial" w:cs="Arial"/>
        </w:rPr>
        <w:t>tives securities note? Please advise of any costs and benefits that would be i</w:t>
      </w:r>
      <w:r w:rsidRPr="0064701F">
        <w:rPr>
          <w:rFonts w:ascii="Arial" w:hAnsi="Arial" w:cs="Arial"/>
        </w:rPr>
        <w:t>n</w:t>
      </w:r>
      <w:r w:rsidRPr="0064701F">
        <w:rPr>
          <w:rFonts w:ascii="Arial" w:hAnsi="Arial" w:cs="Arial"/>
        </w:rPr>
        <w:t>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lastRenderedPageBreak/>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w:t>
      </w:r>
      <w:r w:rsidRPr="0064701F">
        <w:rPr>
          <w:rFonts w:ascii="Arial" w:hAnsi="Arial" w:cs="Arial"/>
        </w:rPr>
        <w:t>a</w:t>
      </w:r>
      <w:r w:rsidRPr="0064701F">
        <w:rPr>
          <w:rFonts w:ascii="Arial" w:hAnsi="Arial" w:cs="Arial"/>
        </w:rPr>
        <w:t>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w:t>
      </w:r>
      <w:r w:rsidRPr="0064701F">
        <w:rPr>
          <w:rFonts w:ascii="Arial" w:hAnsi="Arial" w:cs="Arial"/>
        </w:rPr>
        <w:t>y</w:t>
      </w:r>
      <w:r w:rsidRPr="0064701F">
        <w:rPr>
          <w:rFonts w:ascii="Arial" w:hAnsi="Arial" w:cs="Arial"/>
        </w:rPr>
        <w:t>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lastRenderedPageBreak/>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w:t>
      </w:r>
      <w:r w:rsidRPr="0064701F">
        <w:rPr>
          <w:rFonts w:ascii="Arial" w:hAnsi="Arial" w:cs="Arial"/>
        </w:rPr>
        <w:t>u</w:t>
      </w:r>
      <w:r w:rsidRPr="0064701F">
        <w:rPr>
          <w:rFonts w:ascii="Arial" w:hAnsi="Arial" w:cs="Arial"/>
        </w:rPr>
        <w:t>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w:t>
      </w:r>
      <w:r w:rsidRPr="0064701F">
        <w:rPr>
          <w:rFonts w:ascii="Arial" w:hAnsi="Arial" w:cs="Arial"/>
        </w:rPr>
        <w:t>a</w:t>
      </w:r>
      <w:r w:rsidRPr="0064701F">
        <w:rPr>
          <w:rFonts w:ascii="Arial" w:hAnsi="Arial" w:cs="Arial"/>
        </w:rPr>
        <w:t>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w:t>
      </w:r>
      <w:r w:rsidRPr="0064701F">
        <w:rPr>
          <w:rFonts w:ascii="Arial" w:hAnsi="Arial" w:cs="Arial"/>
        </w:rPr>
        <w:t>e</w:t>
      </w:r>
      <w:r w:rsidRPr="0064701F">
        <w:rPr>
          <w:rFonts w:ascii="Arial" w:hAnsi="Arial" w:cs="Arial"/>
        </w:rPr>
        <w:t>fits implied by the further changes you propose.</w:t>
      </w:r>
    </w:p>
    <w:p w14:paraId="749BA1AD" w14:textId="77777777" w:rsidR="00357C60" w:rsidRDefault="00357C60" w:rsidP="00357C60">
      <w:pPr>
        <w:rPr>
          <w:rFonts w:cs="Arial"/>
        </w:rPr>
      </w:pPr>
      <w:r>
        <w:rPr>
          <w:rFonts w:cs="Arial"/>
        </w:rPr>
        <w:t>&lt;ESMA_QUESTION_FAC_60&gt;</w:t>
      </w:r>
    </w:p>
    <w:p w14:paraId="75DD23A8" w14:textId="77777777" w:rsidR="00952A29" w:rsidRDefault="00952A29" w:rsidP="00952A29">
      <w:pPr>
        <w:rPr>
          <w:rFonts w:cs="Arial"/>
        </w:rPr>
      </w:pPr>
      <w:permStart w:id="984692687" w:edGrp="everyone"/>
      <w:r>
        <w:rPr>
          <w:rFonts w:cs="Arial"/>
          <w:b/>
        </w:rPr>
        <w:t>1)</w:t>
      </w:r>
      <w:r>
        <w:rPr>
          <w:rFonts w:cs="Arial"/>
        </w:rPr>
        <w:t xml:space="preserve"> We agree on the amendments.</w:t>
      </w:r>
    </w:p>
    <w:p w14:paraId="3FADDA58" w14:textId="77777777" w:rsidR="00952A29" w:rsidRDefault="00952A29" w:rsidP="00952A29">
      <w:pPr>
        <w:rPr>
          <w:rFonts w:cs="Arial"/>
        </w:rPr>
      </w:pPr>
      <w:r>
        <w:rPr>
          <w:rFonts w:cs="Arial"/>
          <w:b/>
        </w:rPr>
        <w:t>2)</w:t>
      </w:r>
      <w:r>
        <w:rPr>
          <w:rFonts w:cs="Arial"/>
        </w:rPr>
        <w:t xml:space="preserve"> With regard to Item 1.b, it is stated that a profit and loss account </w:t>
      </w:r>
      <w:r>
        <w:rPr>
          <w:rFonts w:cs="Arial"/>
          <w:b/>
        </w:rPr>
        <w:t>and/or</w:t>
      </w:r>
      <w:r>
        <w:rPr>
          <w:rFonts w:cs="Arial"/>
        </w:rPr>
        <w:t xml:space="preserve"> a balance sheet must be prepared depending on the circumstances; in relation hereto it would be desirable with greater clarity as to when both a profit and loss account and a balance sheet must be prepared and when either a profit and loss account or a balance sheet must be prepared.</w:t>
      </w:r>
    </w:p>
    <w:p w14:paraId="0B9E349E" w14:textId="77777777" w:rsidR="00952A29" w:rsidRDefault="00952A29" w:rsidP="00952A29">
      <w:pPr>
        <w:rPr>
          <w:rFonts w:cs="Arial"/>
        </w:rPr>
      </w:pPr>
      <w:r>
        <w:rPr>
          <w:rFonts w:cs="Arial"/>
        </w:rPr>
        <w:t>With regard to Item 5, it is stated that pro forma information may only be published in respect of last co</w:t>
      </w:r>
      <w:r>
        <w:rPr>
          <w:rFonts w:cs="Arial"/>
        </w:rPr>
        <w:t>m</w:t>
      </w:r>
      <w:r>
        <w:rPr>
          <w:rFonts w:cs="Arial"/>
        </w:rPr>
        <w:t xml:space="preserve">pleted financial year </w:t>
      </w:r>
      <w:r>
        <w:rPr>
          <w:rFonts w:cs="Arial"/>
          <w:b/>
        </w:rPr>
        <w:t xml:space="preserve">and/or </w:t>
      </w:r>
      <w:r>
        <w:rPr>
          <w:rFonts w:cs="Arial"/>
        </w:rPr>
        <w:t>the most recent interim period; it would be desirable with greater clarity r</w:t>
      </w:r>
      <w:r>
        <w:rPr>
          <w:rFonts w:cs="Arial"/>
        </w:rPr>
        <w:t>e</w:t>
      </w:r>
      <w:r>
        <w:rPr>
          <w:rFonts w:cs="Arial"/>
        </w:rPr>
        <w:t>garding when to publish information only from the last completed financial year, only the most recent interim period or both.</w:t>
      </w:r>
    </w:p>
    <w:p w14:paraId="4F555249" w14:textId="77777777" w:rsidR="00952A29" w:rsidRDefault="00952A29" w:rsidP="00952A29">
      <w:pPr>
        <w:rPr>
          <w:rFonts w:cs="Arial"/>
        </w:rPr>
      </w:pPr>
      <w:r>
        <w:rPr>
          <w:rFonts w:cs="Arial"/>
          <w:b/>
        </w:rPr>
        <w:t>3)</w:t>
      </w:r>
      <w:r>
        <w:rPr>
          <w:rFonts w:cs="Arial"/>
        </w:rPr>
        <w:t xml:space="preserve"> The costs and time spent in relation to the preparation of pro forma financial information are consider</w:t>
      </w:r>
      <w:r>
        <w:rPr>
          <w:rFonts w:cs="Arial"/>
        </w:rPr>
        <w:t>a</w:t>
      </w:r>
      <w:r>
        <w:rPr>
          <w:rFonts w:cs="Arial"/>
        </w:rPr>
        <w:t xml:space="preserve">ble for an issuer. As such, clarity to the requirements as stated above will likely result in a decrease in costs and </w:t>
      </w:r>
      <w:proofErr w:type="gramStart"/>
      <w:r>
        <w:rPr>
          <w:rFonts w:cs="Arial"/>
        </w:rPr>
        <w:t>make</w:t>
      </w:r>
      <w:proofErr w:type="gramEnd"/>
      <w:r>
        <w:rPr>
          <w:rFonts w:cs="Arial"/>
        </w:rPr>
        <w:t xml:space="preserve"> it easier for issuers to prepare for a transaction.</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changes are required to the existing regime for conver</w:t>
      </w:r>
      <w:r w:rsidRPr="0064701F">
        <w:rPr>
          <w:rFonts w:ascii="Arial" w:hAnsi="Arial" w:cs="Arial"/>
        </w:rPr>
        <w:t>t</w:t>
      </w:r>
      <w:r w:rsidRPr="0064701F">
        <w:rPr>
          <w:rFonts w:ascii="Arial" w:hAnsi="Arial" w:cs="Arial"/>
        </w:rPr>
        <w:t>ible and exchangeable securities? If so, please specify.</w:t>
      </w:r>
    </w:p>
    <w:p w14:paraId="24A0D4F5" w14:textId="77777777" w:rsidR="00357C60" w:rsidRDefault="00357C60" w:rsidP="00357C60">
      <w:pPr>
        <w:rPr>
          <w:rFonts w:cs="Arial"/>
        </w:rPr>
      </w:pPr>
      <w:r>
        <w:rPr>
          <w:rFonts w:cs="Arial"/>
        </w:rPr>
        <w:t>&lt;ESMA_QUESTION_FAC_68&gt;</w:t>
      </w:r>
    </w:p>
    <w:p w14:paraId="794587A8" w14:textId="77777777" w:rsidR="00952A29" w:rsidRDefault="00952A29" w:rsidP="00952A29">
      <w:pPr>
        <w:rPr>
          <w:rFonts w:cs="Arial"/>
        </w:rPr>
      </w:pPr>
      <w:permStart w:id="1498880480" w:edGrp="everyone"/>
      <w:r>
        <w:rPr>
          <w:rFonts w:cs="Arial"/>
        </w:rPr>
        <w:t>No comments</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other types of specialist issuers which should be ad</w:t>
      </w:r>
      <w:r w:rsidRPr="0064701F">
        <w:rPr>
          <w:rFonts w:ascii="Arial" w:hAnsi="Arial" w:cs="Arial"/>
        </w:rPr>
        <w:t>d</w:t>
      </w:r>
      <w:r w:rsidRPr="0064701F">
        <w:rPr>
          <w:rFonts w:ascii="Arial" w:hAnsi="Arial" w:cs="Arial"/>
        </w:rPr>
        <w:t>ed? If so, please specify.</w:t>
      </w:r>
    </w:p>
    <w:p w14:paraId="2817BA5D" w14:textId="77777777" w:rsidR="00357C60" w:rsidRDefault="00357C60" w:rsidP="00357C60">
      <w:pPr>
        <w:rPr>
          <w:rFonts w:cs="Arial"/>
        </w:rPr>
      </w:pPr>
      <w:r>
        <w:rPr>
          <w:rFonts w:cs="Arial"/>
        </w:rPr>
        <w:t>&lt;ESMA_QUESTION_FAC_69&gt;</w:t>
      </w:r>
    </w:p>
    <w:p w14:paraId="6CC1F981" w14:textId="77777777" w:rsidR="00952A29" w:rsidRDefault="00952A29" w:rsidP="00952A29">
      <w:pPr>
        <w:rPr>
          <w:rFonts w:cs="Arial"/>
        </w:rPr>
      </w:pPr>
      <w:permStart w:id="594354728" w:edGrp="everyone"/>
      <w:r>
        <w:rPr>
          <w:rFonts w:cs="Arial"/>
        </w:rPr>
        <w:t>No</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069FDA3B" w14:textId="77777777" w:rsidR="00952A29" w:rsidRDefault="00952A29" w:rsidP="00952A29">
      <w:pPr>
        <w:rPr>
          <w:rFonts w:cs="Arial"/>
        </w:rPr>
      </w:pPr>
      <w:permStart w:id="781917570" w:edGrp="everyone"/>
      <w:r>
        <w:rPr>
          <w:rFonts w:cs="Arial"/>
        </w:rPr>
        <w:lastRenderedPageBreak/>
        <w:t>Yes</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3C4799DB" w14:textId="77777777" w:rsidR="00952A29" w:rsidRDefault="00952A29" w:rsidP="00952A29">
      <w:pPr>
        <w:rPr>
          <w:rFonts w:cs="Arial"/>
        </w:rPr>
      </w:pPr>
      <w:permStart w:id="162021279" w:edGrp="everyone"/>
      <w:r>
        <w:rPr>
          <w:rFonts w:cs="Arial"/>
        </w:rPr>
        <w:t>We agree that only the information in the share registration document is provided, however, we question that the requirements in relation to financial information in the share registration document should be the same requirements which follow from the TD, as the purpose of the prospectus rules are to provide an investor with the information necessary to enable an investor to make an informed assessment of the issuer, etc, and of the rights attached to the securities, whereas the purpose of the rules in the TD related to financial reports have a different purpose.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1F747BCE" w14:textId="77777777" w:rsidR="00952A29" w:rsidRDefault="00952A29" w:rsidP="00952A29">
      <w:pPr>
        <w:rPr>
          <w:rFonts w:cs="Arial"/>
        </w:rPr>
      </w:pPr>
      <w:permStart w:id="206906727" w:edGrp="everyone"/>
      <w:r>
        <w:rPr>
          <w:rFonts w:cs="Arial"/>
        </w:rPr>
        <w:t xml:space="preserve">It is our assessment that there may be a limited cost reduction for the issuers of </w:t>
      </w:r>
      <w:proofErr w:type="gramStart"/>
      <w:r>
        <w:rPr>
          <w:rFonts w:cs="Arial"/>
        </w:rPr>
        <w:t>securities,</w:t>
      </w:r>
      <w:proofErr w:type="gramEnd"/>
      <w:r>
        <w:rPr>
          <w:rFonts w:cs="Arial"/>
        </w:rPr>
        <w:t xml:space="preserve"> however, it may potentially have an adverse effect on the investors, as the investors may not receive certain important information.</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30C9C164" w:rsidR="00357C60" w:rsidRDefault="008437A3" w:rsidP="00357C60">
      <w:pPr>
        <w:rPr>
          <w:rFonts w:cs="Arial"/>
        </w:rPr>
      </w:pPr>
      <w:permStart w:id="616250092" w:edGrp="everyone"/>
      <w:r>
        <w:rPr>
          <w:rFonts w:cs="Arial"/>
        </w:rPr>
        <w:t>Yes</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1338A89F" w:rsidR="00357C60" w:rsidRDefault="008437A3" w:rsidP="00357C60">
      <w:pPr>
        <w:rPr>
          <w:rFonts w:cs="Arial"/>
        </w:rPr>
      </w:pPr>
      <w:permStart w:id="421747925" w:edGrp="everyone"/>
      <w:r>
        <w:rPr>
          <w:rFonts w:cs="Arial"/>
        </w:rPr>
        <w:t>No</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w:t>
      </w:r>
      <w:r w:rsidRPr="0064701F">
        <w:rPr>
          <w:rFonts w:ascii="Arial" w:hAnsi="Arial" w:cs="Arial"/>
        </w:rPr>
        <w:t>s</w:t>
      </w:r>
      <w:r w:rsidRPr="0064701F">
        <w:rPr>
          <w:rFonts w:ascii="Arial" w:hAnsi="Arial" w:cs="Arial"/>
        </w:rPr>
        <w:t>sary?</w:t>
      </w:r>
    </w:p>
    <w:p w14:paraId="62C56D82" w14:textId="77777777" w:rsidR="00357C60" w:rsidRDefault="00357C60" w:rsidP="00357C60">
      <w:pPr>
        <w:rPr>
          <w:rFonts w:cs="Arial"/>
        </w:rPr>
      </w:pPr>
      <w:r>
        <w:rPr>
          <w:rFonts w:cs="Arial"/>
        </w:rPr>
        <w:t>&lt;ESMA_QUESTION_FAC_76&gt;</w:t>
      </w:r>
    </w:p>
    <w:p w14:paraId="4B06F0FD" w14:textId="037EEB1D" w:rsidR="00357C60" w:rsidRDefault="008437A3" w:rsidP="00357C60">
      <w:pPr>
        <w:rPr>
          <w:rFonts w:cs="Arial"/>
        </w:rPr>
      </w:pPr>
      <w:permStart w:id="2146308113" w:edGrp="everyone"/>
      <w:r>
        <w:rPr>
          <w:rFonts w:cs="Arial"/>
        </w:rPr>
        <w:t>No</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secon</w:t>
      </w:r>
      <w:r w:rsidRPr="0064701F">
        <w:rPr>
          <w:rFonts w:ascii="Arial" w:hAnsi="Arial" w:cs="Arial"/>
        </w:rPr>
        <w:t>d</w:t>
      </w:r>
      <w:r w:rsidRPr="0064701F">
        <w:rPr>
          <w:rFonts w:ascii="Arial" w:hAnsi="Arial" w:cs="Arial"/>
        </w:rPr>
        <w:t>ary issuance?</w:t>
      </w:r>
    </w:p>
    <w:p w14:paraId="0FE650F9" w14:textId="77777777" w:rsidR="00357C60" w:rsidRDefault="00357C60" w:rsidP="00357C60">
      <w:pPr>
        <w:rPr>
          <w:rFonts w:cs="Arial"/>
        </w:rPr>
      </w:pPr>
      <w:r>
        <w:rPr>
          <w:rFonts w:cs="Arial"/>
        </w:rPr>
        <w:lastRenderedPageBreak/>
        <w:t>&lt;ESMA_QUESTION_FAC_77&gt;</w:t>
      </w:r>
    </w:p>
    <w:p w14:paraId="11BD0819" w14:textId="7F78713E" w:rsidR="00357C60" w:rsidRDefault="008437A3" w:rsidP="00357C60">
      <w:pPr>
        <w:rPr>
          <w:rFonts w:cs="Arial"/>
        </w:rPr>
      </w:pPr>
      <w:permStart w:id="1718430491" w:edGrp="everyone"/>
      <w:r>
        <w:rPr>
          <w:rFonts w:cs="Arial"/>
        </w:rPr>
        <w:t>Yes, but should be qualified to any such agreements that relate to the secondary issuance.</w:t>
      </w:r>
      <w:r w:rsidR="00AB2FE7">
        <w:rPr>
          <w:rFonts w:cs="Arial"/>
        </w:rPr>
        <w:t xml:space="preserve"> Other material elements should be comprised by MAR disclosure.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6C9C9EA9" w:rsidR="00357C60" w:rsidRDefault="00AB2FE7" w:rsidP="00357C60">
      <w:pPr>
        <w:rPr>
          <w:rFonts w:cs="Arial"/>
        </w:rPr>
      </w:pPr>
      <w:permStart w:id="229720561" w:edGrp="everyone"/>
      <w:r>
        <w:rPr>
          <w:rFonts w:cs="Arial"/>
        </w:rPr>
        <w:t>Secondary regime should allow meaningful reduction in cost and resources required when compared to a full prospectus.</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w:t>
      </w:r>
      <w:r w:rsidRPr="0064701F">
        <w:rPr>
          <w:rFonts w:ascii="Arial" w:hAnsi="Arial" w:cs="Arial"/>
        </w:rPr>
        <w:t>i</w:t>
      </w:r>
      <w:r w:rsidRPr="0064701F">
        <w:rPr>
          <w:rFonts w:ascii="Arial" w:hAnsi="Arial" w:cs="Arial"/>
        </w:rPr>
        <w:t>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52CFCE91" w:rsidR="00357C60" w:rsidRDefault="006A66F5" w:rsidP="00357C60">
      <w:pPr>
        <w:rPr>
          <w:rFonts w:cs="Arial"/>
        </w:rPr>
      </w:pPr>
      <w:permStart w:id="1333292354" w:edGrp="everyone"/>
      <w:r>
        <w:rPr>
          <w:rFonts w:cs="Arial"/>
        </w:rPr>
        <w:t xml:space="preserve">4.7 – can be deleted (information already public) </w:t>
      </w:r>
    </w:p>
    <w:p w14:paraId="37EB369E" w14:textId="5D09CB35" w:rsidR="006A66F5" w:rsidRDefault="006A66F5" w:rsidP="00357C60">
      <w:pPr>
        <w:rPr>
          <w:rFonts w:cs="Arial"/>
        </w:rPr>
      </w:pPr>
      <w:r>
        <w:rPr>
          <w:rFonts w:cs="Arial"/>
        </w:rPr>
        <w:t>4.8 – can be deleted (information already public) – except perhaps for ongoing take-overs (would seem unlikely in practice)</w:t>
      </w:r>
    </w:p>
    <w:p w14:paraId="1D83CBDD" w14:textId="36483959" w:rsidR="006A66F5" w:rsidRDefault="006A66F5" w:rsidP="006A66F5">
      <w:pPr>
        <w:rPr>
          <w:rFonts w:cs="Arial"/>
        </w:rPr>
      </w:pPr>
      <w:r>
        <w:rPr>
          <w:rFonts w:cs="Arial"/>
        </w:rPr>
        <w:t xml:space="preserve">5.3.1 (new) – The proposed mandatory withdrawal rights are highly impractical and could give rise to disputes at critical points in time in the offering process. The proposed disclosure requirements will be sufficient to safeguard investors – if they are not happy with terms they should abstain rather than be afforded an option. </w:t>
      </w:r>
    </w:p>
    <w:p w14:paraId="5BC59ABA" w14:textId="5F26EA54" w:rsidR="006A66F5" w:rsidRDefault="006A66F5" w:rsidP="00357C60">
      <w:pPr>
        <w:rPr>
          <w:rFonts w:cs="Arial"/>
        </w:rPr>
      </w:pPr>
      <w:r>
        <w:rPr>
          <w:rFonts w:cs="Arial"/>
        </w:rPr>
        <w:t>9.1 – The proposed 9.1 is somewhat confusing in its description and seems to overlap 9.2. For rights issues, 9.1(a) would seem to provide little relevant information. As for 9.1(b), the ‘net asset value’ would rarely be representative of actual market values. The illustration of economic dilution should be based on market cap (i.e. (marketcap / total # shares pre issue) compared to ((marketcap + capital raise) / ( total # shares post issue)</w:t>
      </w:r>
      <w:r w:rsidR="00F761A1">
        <w:rPr>
          <w:rFonts w:cs="Arial"/>
        </w:rPr>
        <w:t xml:space="preserve">. Same comment under </w:t>
      </w:r>
      <w:r>
        <w:rPr>
          <w:rFonts w:cs="Arial"/>
        </w:rPr>
        <w:t>Q</w:t>
      </w:r>
      <w:r w:rsidR="00F761A1">
        <w:rPr>
          <w:rFonts w:cs="Arial"/>
        </w:rPr>
        <w:t>24.</w:t>
      </w:r>
    </w:p>
    <w:p w14:paraId="568E2F9C" w14:textId="678BEF5A" w:rsidR="006A66F5" w:rsidRDefault="00F761A1" w:rsidP="00357C60">
      <w:pPr>
        <w:rPr>
          <w:rFonts w:cs="Arial"/>
        </w:rPr>
      </w:pPr>
      <w:r>
        <w:rPr>
          <w:rFonts w:cs="Arial"/>
        </w:rPr>
        <w:t>10.2 Consider clarification of scope – presumably where auditors have prepare purely internal report to support information in the prospectus, this need not be disclosed. Same comment under Q26.</w:t>
      </w:r>
      <w:r w:rsidR="00952A29">
        <w:rPr>
          <w:rFonts w:cs="Arial"/>
        </w:rPr>
        <w:t xml:space="preserve"> </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w:t>
      </w:r>
      <w:r w:rsidRPr="0064701F">
        <w:rPr>
          <w:rFonts w:ascii="Arial" w:hAnsi="Arial" w:cs="Arial"/>
        </w:rPr>
        <w:t>r</w:t>
      </w:r>
      <w:r w:rsidRPr="0064701F">
        <w:rPr>
          <w:rFonts w:ascii="Arial" w:hAnsi="Arial" w:cs="Arial"/>
        </w:rPr>
        <w:t>able to have multiple securities note schedules?</w:t>
      </w:r>
    </w:p>
    <w:p w14:paraId="298A45B5" w14:textId="77777777" w:rsidR="00357C60" w:rsidRDefault="00357C60" w:rsidP="00357C60">
      <w:pPr>
        <w:rPr>
          <w:rFonts w:cs="Arial"/>
        </w:rPr>
      </w:pPr>
      <w:r>
        <w:rPr>
          <w:rFonts w:cs="Arial"/>
        </w:rPr>
        <w:t>&lt;ESMA_QUESTION_FAC_80&gt;</w:t>
      </w:r>
    </w:p>
    <w:p w14:paraId="38A109D8" w14:textId="205F3D0D" w:rsidR="00357C60" w:rsidRDefault="00AB2FE7" w:rsidP="00357C60">
      <w:pPr>
        <w:rPr>
          <w:rFonts w:cs="Arial"/>
        </w:rPr>
      </w:pPr>
      <w:permStart w:id="535721665" w:edGrp="everyone"/>
      <w:r>
        <w:rPr>
          <w:rFonts w:cs="Arial"/>
        </w:rPr>
        <w:t xml:space="preserve">A single </w:t>
      </w:r>
      <w:r w:rsidR="006A66F5">
        <w:rPr>
          <w:rFonts w:cs="Arial"/>
        </w:rPr>
        <w:t>securities note will be sufficiently clear</w:t>
      </w:r>
      <w:r>
        <w:rPr>
          <w:rFonts w:cs="Arial"/>
        </w:rPr>
        <w:t>.</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5E53EF6A" w14:textId="277C01ED" w:rsidR="00357C60" w:rsidRDefault="00F761A1" w:rsidP="00357C60">
      <w:pPr>
        <w:rPr>
          <w:rFonts w:cs="Arial"/>
        </w:rPr>
      </w:pPr>
      <w:permStart w:id="2136023655" w:edGrp="everyone"/>
      <w:r>
        <w:rPr>
          <w:rFonts w:cs="Arial"/>
        </w:rPr>
        <w:t>See answer to question 79</w:t>
      </w:r>
      <w:r w:rsidR="00AB2FE7">
        <w:rPr>
          <w:rFonts w:cs="Arial"/>
        </w:rPr>
        <w:t>.</w:t>
      </w:r>
      <w:permEnd w:id="2136023655"/>
      <w:r w:rsidR="00357C60">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CCAB0" w14:textId="77777777" w:rsidR="00567F41" w:rsidRDefault="00567F41">
      <w:r>
        <w:separator/>
      </w:r>
    </w:p>
    <w:p w14:paraId="31D8BEEB" w14:textId="77777777" w:rsidR="00567F41" w:rsidRDefault="00567F41"/>
  </w:endnote>
  <w:endnote w:type="continuationSeparator" w:id="0">
    <w:p w14:paraId="0761C5D8" w14:textId="77777777" w:rsidR="00567F41" w:rsidRDefault="00567F41">
      <w:r>
        <w:continuationSeparator/>
      </w:r>
    </w:p>
    <w:p w14:paraId="4CEFAD95" w14:textId="77777777" w:rsidR="00567F41" w:rsidRDefault="00567F41"/>
  </w:endnote>
  <w:endnote w:type="continuationNotice" w:id="1">
    <w:p w14:paraId="20E4E35C" w14:textId="77777777" w:rsidR="00567F41" w:rsidRDefault="00567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67F41" w:rsidRPr="00616B9B" w14:paraId="1A11FFC7" w14:textId="77777777" w:rsidTr="00315E96">
      <w:trPr>
        <w:trHeight w:val="284"/>
      </w:trPr>
      <w:tc>
        <w:tcPr>
          <w:tcW w:w="8460" w:type="dxa"/>
        </w:tcPr>
        <w:p w14:paraId="2CE11161" w14:textId="77777777" w:rsidR="00567F41" w:rsidRPr="00315E96" w:rsidRDefault="00567F41" w:rsidP="00315E96">
          <w:pPr>
            <w:pStyle w:val="00Footer"/>
            <w:rPr>
              <w:lang w:val="fr-FR"/>
            </w:rPr>
          </w:pPr>
        </w:p>
      </w:tc>
      <w:tc>
        <w:tcPr>
          <w:tcW w:w="952" w:type="dxa"/>
        </w:tcPr>
        <w:p w14:paraId="516490C0" w14:textId="49EBAB43" w:rsidR="00567F41" w:rsidRPr="00616B9B" w:rsidRDefault="00567F4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D7BF2">
            <w:rPr>
              <w:rFonts w:cs="Arial"/>
              <w:noProof/>
              <w:sz w:val="22"/>
              <w:szCs w:val="22"/>
            </w:rPr>
            <w:t>4</w:t>
          </w:r>
          <w:r w:rsidRPr="00616B9B">
            <w:rPr>
              <w:rFonts w:cs="Arial"/>
              <w:noProof/>
              <w:sz w:val="22"/>
              <w:szCs w:val="22"/>
            </w:rPr>
            <w:fldChar w:fldCharType="end"/>
          </w:r>
        </w:p>
      </w:tc>
    </w:tr>
  </w:tbl>
  <w:p w14:paraId="3F8E2998" w14:textId="77777777" w:rsidR="00567F41" w:rsidRDefault="00567F4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567F41" w:rsidRDefault="00567F4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2373F" w14:textId="77777777" w:rsidR="00567F41" w:rsidRDefault="00567F41">
      <w:r>
        <w:separator/>
      </w:r>
    </w:p>
    <w:p w14:paraId="223E6F8A" w14:textId="77777777" w:rsidR="00567F41" w:rsidRDefault="00567F41"/>
  </w:footnote>
  <w:footnote w:type="continuationSeparator" w:id="0">
    <w:p w14:paraId="37774CC6" w14:textId="77777777" w:rsidR="00567F41" w:rsidRDefault="00567F41">
      <w:r>
        <w:continuationSeparator/>
      </w:r>
    </w:p>
    <w:p w14:paraId="76C92344" w14:textId="77777777" w:rsidR="00567F41" w:rsidRDefault="00567F41"/>
  </w:footnote>
  <w:footnote w:type="continuationNotice" w:id="1">
    <w:p w14:paraId="4029C783" w14:textId="77777777" w:rsidR="00567F41" w:rsidRDefault="00567F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567F41" w:rsidRDefault="00567F41">
    <w:pPr>
      <w:pStyle w:val="Sidehoved"/>
    </w:pPr>
    <w:r>
      <w:rPr>
        <w:noProof/>
        <w:lang w:val="da-DK" w:eastAsia="da-DK"/>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567F41" w:rsidRDefault="00567F41" w:rsidP="00013CCE">
    <w:pPr>
      <w:pStyle w:val="Sidehoved"/>
      <w:jc w:val="right"/>
    </w:pPr>
    <w:r>
      <w:rPr>
        <w:noProof/>
        <w:lang w:val="da-DK" w:eastAsia="da-DK"/>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567F41" w:rsidRDefault="00567F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67F41" w:rsidRPr="002F4496" w14:paraId="5A9CC9DB" w14:textId="77777777" w:rsidTr="000C06C9">
      <w:trPr>
        <w:trHeight w:val="284"/>
      </w:trPr>
      <w:tc>
        <w:tcPr>
          <w:tcW w:w="8460" w:type="dxa"/>
        </w:tcPr>
        <w:p w14:paraId="56125542" w14:textId="77777777" w:rsidR="00567F41" w:rsidRPr="000C3B6D" w:rsidRDefault="00567F41" w:rsidP="000C06C9">
          <w:pPr>
            <w:pStyle w:val="00Footer"/>
            <w:rPr>
              <w:lang w:val="fr-FR"/>
            </w:rPr>
          </w:pPr>
        </w:p>
      </w:tc>
      <w:tc>
        <w:tcPr>
          <w:tcW w:w="952" w:type="dxa"/>
        </w:tcPr>
        <w:p w14:paraId="185D9EAB" w14:textId="77777777" w:rsidR="00567F41" w:rsidRPr="00146B34" w:rsidRDefault="00567F41" w:rsidP="000C06C9">
          <w:pPr>
            <w:pStyle w:val="00aPagenumber"/>
            <w:rPr>
              <w:lang w:val="fr-FR"/>
            </w:rPr>
          </w:pPr>
        </w:p>
      </w:tc>
    </w:tr>
  </w:tbl>
  <w:p w14:paraId="4BF8B831" w14:textId="77777777" w:rsidR="00567F41" w:rsidRPr="00DB46C3" w:rsidRDefault="00567F41">
    <w:pPr>
      <w:rPr>
        <w:lang w:val="fr-FR"/>
      </w:rPr>
    </w:pPr>
  </w:p>
  <w:p w14:paraId="1FBEFD47" w14:textId="77777777" w:rsidR="00567F41" w:rsidRPr="002F4496" w:rsidRDefault="00567F41">
    <w:pPr>
      <w:pStyle w:val="Sidehoved"/>
      <w:rPr>
        <w:lang w:val="fr-FR"/>
      </w:rPr>
    </w:pPr>
  </w:p>
  <w:p w14:paraId="7D075F96" w14:textId="77777777" w:rsidR="00567F41" w:rsidRPr="002F4496" w:rsidRDefault="00567F41" w:rsidP="000C06C9">
    <w:pPr>
      <w:pStyle w:val="Sidehoved"/>
      <w:tabs>
        <w:tab w:val="clear" w:pos="4536"/>
        <w:tab w:val="clear" w:pos="9072"/>
        <w:tab w:val="left" w:pos="8227"/>
      </w:tabs>
      <w:rPr>
        <w:lang w:val="fr-FR"/>
      </w:rPr>
    </w:pPr>
  </w:p>
  <w:p w14:paraId="1EEAF2AF" w14:textId="77777777" w:rsidR="00567F41" w:rsidRPr="002F4496" w:rsidRDefault="00567F41" w:rsidP="000C06C9">
    <w:pPr>
      <w:pStyle w:val="Sidehoved"/>
      <w:tabs>
        <w:tab w:val="clear" w:pos="4536"/>
        <w:tab w:val="clear" w:pos="9072"/>
        <w:tab w:val="left" w:pos="8227"/>
      </w:tabs>
      <w:rPr>
        <w:lang w:val="fr-FR"/>
      </w:rPr>
    </w:pPr>
  </w:p>
  <w:p w14:paraId="366CDA59" w14:textId="77777777" w:rsidR="00567F41" w:rsidRPr="002F4496" w:rsidRDefault="00567F41">
    <w:pPr>
      <w:pStyle w:val="Sidehoved"/>
      <w:rPr>
        <w:lang w:val="fr-FR"/>
      </w:rPr>
    </w:pPr>
  </w:p>
  <w:p w14:paraId="090159B5" w14:textId="77777777" w:rsidR="00567F41" w:rsidRPr="002F4496" w:rsidRDefault="00567F41">
    <w:pPr>
      <w:pStyle w:val="Sidehoved"/>
      <w:rPr>
        <w:lang w:val="fr-FR"/>
      </w:rPr>
    </w:pPr>
  </w:p>
  <w:p w14:paraId="13DB3246" w14:textId="77777777" w:rsidR="00567F41" w:rsidRPr="002F4496" w:rsidRDefault="00567F41">
    <w:pPr>
      <w:pStyle w:val="Sidehoved"/>
      <w:rPr>
        <w:lang w:val="fr-FR"/>
      </w:rPr>
    </w:pPr>
  </w:p>
  <w:p w14:paraId="5B245FC6" w14:textId="77777777" w:rsidR="00567F41" w:rsidRPr="002F4496" w:rsidRDefault="00567F41">
    <w:pPr>
      <w:pStyle w:val="Sidehoved"/>
      <w:rPr>
        <w:lang w:val="fr-FR"/>
      </w:rPr>
    </w:pPr>
  </w:p>
  <w:p w14:paraId="1D7B1F8D" w14:textId="77777777" w:rsidR="00567F41" w:rsidRPr="002F4496" w:rsidRDefault="00567F41">
    <w:pPr>
      <w:pStyle w:val="Sidehoved"/>
      <w:rPr>
        <w:highlight w:val="yellow"/>
        <w:lang w:val="fr-FR"/>
      </w:rPr>
    </w:pPr>
  </w:p>
  <w:p w14:paraId="177617ED" w14:textId="77777777" w:rsidR="00567F41" w:rsidRDefault="00567F41">
    <w:pPr>
      <w:pStyle w:val="Sidehoved"/>
    </w:pPr>
    <w:r>
      <w:rPr>
        <w:noProof/>
        <w:lang w:val="da-DK" w:eastAsia="da-DK"/>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a-DK" w:eastAsia="da-DK"/>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513854"/>
    <w:multiLevelType w:val="multilevel"/>
    <w:tmpl w:val="38EC4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4"/>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5"/>
    <w:lvlOverride w:ilvl="0">
      <w:startOverride w:val="1"/>
    </w:lvlOverride>
  </w:num>
  <w:num w:numId="35">
    <w:abstractNumId w:val="34"/>
  </w:num>
  <w:num w:numId="36">
    <w:abstractNumId w:val="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43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1BC4"/>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7B"/>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017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581"/>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6E24"/>
    <w:rsid w:val="00497750"/>
    <w:rsid w:val="00497B44"/>
    <w:rsid w:val="004A00E5"/>
    <w:rsid w:val="004A01A7"/>
    <w:rsid w:val="004A0D09"/>
    <w:rsid w:val="004A116E"/>
    <w:rsid w:val="004A357F"/>
    <w:rsid w:val="004A3DAD"/>
    <w:rsid w:val="004B0335"/>
    <w:rsid w:val="004B0F1C"/>
    <w:rsid w:val="004B1E61"/>
    <w:rsid w:val="004B21AB"/>
    <w:rsid w:val="004B59E0"/>
    <w:rsid w:val="004B5C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67F41"/>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130"/>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A66F5"/>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2D4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37A3"/>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750"/>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A29"/>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049"/>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2FE7"/>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C3"/>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191D"/>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7BF2"/>
    <w:rsid w:val="00DE64A6"/>
    <w:rsid w:val="00DE66EB"/>
    <w:rsid w:val="00DE7035"/>
    <w:rsid w:val="00DF12E3"/>
    <w:rsid w:val="00DF3F1D"/>
    <w:rsid w:val="00DF595C"/>
    <w:rsid w:val="00DF7EA7"/>
    <w:rsid w:val="00E02F05"/>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8799F"/>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1C81"/>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61A1"/>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Overskrift1">
    <w:name w:val="heading 1"/>
    <w:basedOn w:val="Normal"/>
    <w:next w:val="Normal"/>
    <w:link w:val="Overskrift1Tegn"/>
    <w:qFormat/>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dnotetekstTegn"/>
    <w:qFormat/>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dholdsfortegnels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Cha Tegn"/>
    <w:link w:val="Fodnote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Hyper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rsid w:val="00D34282"/>
    <w:pPr>
      <w:keepLines/>
      <w:numPr>
        <w:numId w:val="35"/>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rsid w:val="00D34282"/>
    <w:pPr>
      <w:numPr>
        <w:ilvl w:val="2"/>
        <w:numId w:val="35"/>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5"/>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5"/>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5"/>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6"/>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krifttypeiafsni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krifttypeiafsnit"/>
    <w:link w:val="Questionstyle"/>
    <w:rsid w:val="008701E5"/>
    <w:rPr>
      <w:rFonts w:asciiTheme="minorHAnsi" w:eastAsiaTheme="minorEastAsia" w:hAnsiTheme="minorHAnsi" w:cstheme="minorBidi"/>
      <w:b/>
      <w:sz w:val="22"/>
      <w:lang w:eastAsia="en-US"/>
    </w:rPr>
  </w:style>
  <w:style w:type="paragraph" w:styleId="Undertitel">
    <w:name w:val="Subtitle"/>
    <w:basedOn w:val="Normal"/>
    <w:next w:val="Normal"/>
    <w:link w:val="UndertitelTeg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titelTegn">
    <w:name w:val="Undertitel Tegn"/>
    <w:basedOn w:val="Standardskrifttypeiafsnit"/>
    <w:link w:val="Undertitel"/>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Overskrift1">
    <w:name w:val="heading 1"/>
    <w:basedOn w:val="Normal"/>
    <w:next w:val="Normal"/>
    <w:link w:val="Overskrift1Tegn"/>
    <w:qFormat/>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dnotetekstTegn"/>
    <w:qFormat/>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dholdsfortegnels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Cha Tegn"/>
    <w:link w:val="Fodnote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Hyper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rsid w:val="00D34282"/>
    <w:pPr>
      <w:keepLines/>
      <w:numPr>
        <w:numId w:val="35"/>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rsid w:val="00D34282"/>
    <w:pPr>
      <w:numPr>
        <w:ilvl w:val="2"/>
        <w:numId w:val="35"/>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5"/>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5"/>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5"/>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6"/>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krifttypeiafsni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krifttypeiafsnit"/>
    <w:link w:val="Questionstyle"/>
    <w:rsid w:val="008701E5"/>
    <w:rPr>
      <w:rFonts w:asciiTheme="minorHAnsi" w:eastAsiaTheme="minorEastAsia" w:hAnsiTheme="minorHAnsi" w:cstheme="minorBidi"/>
      <w:b/>
      <w:sz w:val="22"/>
      <w:lang w:eastAsia="en-US"/>
    </w:rPr>
  </w:style>
  <w:style w:type="paragraph" w:styleId="Undertitel">
    <w:name w:val="Subtitle"/>
    <w:basedOn w:val="Normal"/>
    <w:next w:val="Normal"/>
    <w:link w:val="UndertitelTeg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titelTegn">
    <w:name w:val="Undertitel Tegn"/>
    <w:basedOn w:val="Standardskrifttypeiafsnit"/>
    <w:link w:val="Und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19611656">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7064186">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18440391">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62690234">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04967373">
      <w:bodyDiv w:val="1"/>
      <w:marLeft w:val="0"/>
      <w:marRight w:val="0"/>
      <w:marTop w:val="0"/>
      <w:marBottom w:val="0"/>
      <w:divBdr>
        <w:top w:val="none" w:sz="0" w:space="0" w:color="auto"/>
        <w:left w:val="none" w:sz="0" w:space="0" w:color="auto"/>
        <w:bottom w:val="none" w:sz="0" w:space="0" w:color="auto"/>
        <w:right w:val="none" w:sz="0" w:space="0" w:color="auto"/>
      </w:divBdr>
    </w:div>
    <w:div w:id="329409054">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4813788">
      <w:bodyDiv w:val="1"/>
      <w:marLeft w:val="0"/>
      <w:marRight w:val="0"/>
      <w:marTop w:val="0"/>
      <w:marBottom w:val="0"/>
      <w:divBdr>
        <w:top w:val="none" w:sz="0" w:space="0" w:color="auto"/>
        <w:left w:val="none" w:sz="0" w:space="0" w:color="auto"/>
        <w:bottom w:val="none" w:sz="0" w:space="0" w:color="auto"/>
        <w:right w:val="none" w:sz="0" w:space="0" w:color="auto"/>
      </w:divBdr>
    </w:div>
    <w:div w:id="462041695">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6940911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14699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95414476">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58856200">
      <w:bodyDiv w:val="1"/>
      <w:marLeft w:val="0"/>
      <w:marRight w:val="0"/>
      <w:marTop w:val="0"/>
      <w:marBottom w:val="0"/>
      <w:divBdr>
        <w:top w:val="none" w:sz="0" w:space="0" w:color="auto"/>
        <w:left w:val="none" w:sz="0" w:space="0" w:color="auto"/>
        <w:bottom w:val="none" w:sz="0" w:space="0" w:color="auto"/>
        <w:right w:val="none" w:sz="0" w:space="0" w:color="auto"/>
      </w:divBdr>
    </w:div>
    <w:div w:id="937829575">
      <w:bodyDiv w:val="1"/>
      <w:marLeft w:val="0"/>
      <w:marRight w:val="0"/>
      <w:marTop w:val="0"/>
      <w:marBottom w:val="0"/>
      <w:divBdr>
        <w:top w:val="none" w:sz="0" w:space="0" w:color="auto"/>
        <w:left w:val="none" w:sz="0" w:space="0" w:color="auto"/>
        <w:bottom w:val="none" w:sz="0" w:space="0" w:color="auto"/>
        <w:right w:val="none" w:sz="0" w:space="0" w:color="auto"/>
      </w:divBdr>
    </w:div>
    <w:div w:id="940992466">
      <w:bodyDiv w:val="1"/>
      <w:marLeft w:val="0"/>
      <w:marRight w:val="0"/>
      <w:marTop w:val="0"/>
      <w:marBottom w:val="0"/>
      <w:divBdr>
        <w:top w:val="none" w:sz="0" w:space="0" w:color="auto"/>
        <w:left w:val="none" w:sz="0" w:space="0" w:color="auto"/>
        <w:bottom w:val="none" w:sz="0" w:space="0" w:color="auto"/>
        <w:right w:val="none" w:sz="0" w:space="0" w:color="auto"/>
      </w:divBdr>
    </w:div>
    <w:div w:id="947585866">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01741925">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55742971">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4977895">
      <w:bodyDiv w:val="1"/>
      <w:marLeft w:val="0"/>
      <w:marRight w:val="0"/>
      <w:marTop w:val="0"/>
      <w:marBottom w:val="0"/>
      <w:divBdr>
        <w:top w:val="none" w:sz="0" w:space="0" w:color="auto"/>
        <w:left w:val="none" w:sz="0" w:space="0" w:color="auto"/>
        <w:bottom w:val="none" w:sz="0" w:space="0" w:color="auto"/>
        <w:right w:val="none" w:sz="0" w:space="0" w:color="auto"/>
      </w:divBdr>
    </w:div>
    <w:div w:id="1488863478">
      <w:bodyDiv w:val="1"/>
      <w:marLeft w:val="0"/>
      <w:marRight w:val="0"/>
      <w:marTop w:val="0"/>
      <w:marBottom w:val="0"/>
      <w:divBdr>
        <w:top w:val="none" w:sz="0" w:space="0" w:color="auto"/>
        <w:left w:val="none" w:sz="0" w:space="0" w:color="auto"/>
        <w:bottom w:val="none" w:sz="0" w:space="0" w:color="auto"/>
        <w:right w:val="none" w:sz="0" w:space="0" w:color="auto"/>
      </w:divBdr>
    </w:div>
    <w:div w:id="150497033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710320">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701756">
      <w:bodyDiv w:val="1"/>
      <w:marLeft w:val="0"/>
      <w:marRight w:val="0"/>
      <w:marTop w:val="0"/>
      <w:marBottom w:val="0"/>
      <w:divBdr>
        <w:top w:val="none" w:sz="0" w:space="0" w:color="auto"/>
        <w:left w:val="none" w:sz="0" w:space="0" w:color="auto"/>
        <w:bottom w:val="none" w:sz="0" w:space="0" w:color="auto"/>
        <w:right w:val="none" w:sz="0" w:space="0" w:color="auto"/>
      </w:divBdr>
    </w:div>
    <w:div w:id="1686519476">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2196858">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42500943">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96372473">
      <w:bodyDiv w:val="1"/>
      <w:marLeft w:val="0"/>
      <w:marRight w:val="0"/>
      <w:marTop w:val="0"/>
      <w:marBottom w:val="0"/>
      <w:divBdr>
        <w:top w:val="none" w:sz="0" w:space="0" w:color="auto"/>
        <w:left w:val="none" w:sz="0" w:space="0" w:color="auto"/>
        <w:bottom w:val="none" w:sz="0" w:space="0" w:color="auto"/>
        <w:right w:val="none" w:sz="0" w:space="0" w:color="auto"/>
      </w:divBdr>
    </w:div>
    <w:div w:id="203719202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20fbe147-bbda-4e53-b6b1-7e8bbff3fe1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A00089D-F50A-4900-9666-1893DA6D2CC6}">
  <ds:schemaRefs>
    <ds:schemaRef ds:uri="http://schemas.openxmlformats.org/officeDocument/2006/bibliography"/>
  </ds:schemaRefs>
</ds:datastoreItem>
</file>

<file path=customXml/itemProps6.xml><?xml version="1.0" encoding="utf-8"?>
<ds:datastoreItem xmlns:ds="http://schemas.openxmlformats.org/officeDocument/2006/customXml" ds:itemID="{88709381-CE06-464B-B5A4-0375C049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6031</Words>
  <Characters>34196</Characters>
  <Application>Microsoft Office Word</Application>
  <DocSecurity>8</DocSecurity>
  <Lines>284</Lines>
  <Paragraphs>80</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40147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_</cp:lastModifiedBy>
  <cp:revision>7</cp:revision>
  <cp:lastPrinted>2017-09-28T13:54:00Z</cp:lastPrinted>
  <dcterms:created xsi:type="dcterms:W3CDTF">2017-09-28T13:50:00Z</dcterms:created>
  <dcterms:modified xsi:type="dcterms:W3CDTF">2017-09-28T16:08:00Z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