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Accentuationdiscrte"/>
          <w:b w:val="0"/>
          <w:sz w:val="22"/>
        </w:rPr>
      </w:pPr>
      <w:r w:rsidRPr="0064701F">
        <w:rPr>
          <w:rStyle w:val="Accentuationdiscrte"/>
          <w:b w:val="0"/>
          <w:sz w:val="22"/>
        </w:rPr>
        <w:t>ESMA invites responses to the questions set out throughout this Consultation Paper. Responses are most helpful if they:</w:t>
      </w:r>
    </w:p>
    <w:p w14:paraId="6664FEC3" w14:textId="77777777"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respond to the question stated;</w:t>
      </w:r>
    </w:p>
    <w:p w14:paraId="4B8E675D" w14:textId="77777777"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contain a clear rationale; and</w:t>
      </w:r>
    </w:p>
    <w:p w14:paraId="31204389" w14:textId="77777777"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describe any alternatives ESMA should consider.</w:t>
      </w:r>
    </w:p>
    <w:p w14:paraId="3DCBB610" w14:textId="77777777" w:rsidR="007D2B2C" w:rsidRPr="0064701F" w:rsidRDefault="007D2B2C" w:rsidP="007D2B2C">
      <w:pPr>
        <w:spacing w:after="240"/>
        <w:jc w:val="both"/>
        <w:rPr>
          <w:rStyle w:val="Accentuationdiscrte"/>
          <w:b w:val="0"/>
          <w:sz w:val="22"/>
        </w:rPr>
      </w:pPr>
      <w:r w:rsidRPr="0064701F">
        <w:rPr>
          <w:rStyle w:val="Accentuationdiscrte"/>
          <w:b w:val="0"/>
          <w:sz w:val="22"/>
        </w:rPr>
        <w:t>ESMA will consider all responses received by 28 September 2017.</w:t>
      </w:r>
    </w:p>
    <w:p w14:paraId="4B144EBE" w14:textId="77777777" w:rsidR="007D2B2C" w:rsidRPr="0064701F" w:rsidRDefault="007D2B2C" w:rsidP="007D2B2C">
      <w:pPr>
        <w:spacing w:after="120"/>
        <w:jc w:val="both"/>
        <w:rPr>
          <w:rStyle w:val="Accentuationdiscrte"/>
          <w:sz w:val="22"/>
        </w:rPr>
      </w:pPr>
      <w:r w:rsidRPr="0064701F">
        <w:rPr>
          <w:rStyle w:val="Accentuationdiscrte"/>
          <w:sz w:val="22"/>
        </w:rPr>
        <w:t>Instructions</w:t>
      </w:r>
    </w:p>
    <w:p w14:paraId="651D9B13" w14:textId="77777777" w:rsidR="007D2B2C" w:rsidRPr="0064701F" w:rsidRDefault="007D2B2C" w:rsidP="007D2B2C">
      <w:pPr>
        <w:spacing w:after="240"/>
        <w:jc w:val="both"/>
        <w:rPr>
          <w:rStyle w:val="Accentuationdiscrte"/>
          <w:b w:val="0"/>
          <w:sz w:val="22"/>
        </w:rPr>
      </w:pPr>
      <w:r w:rsidRPr="0064701F">
        <w:rPr>
          <w:rStyle w:val="Accentuationdiscrte"/>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Insert your responses to the questions in the Consultation Paper in the form “Response form_Consultation Paper on format and content</w:t>
      </w:r>
      <w:r w:rsidR="00D97B41" w:rsidRPr="0064701F">
        <w:rPr>
          <w:rStyle w:val="Accentuationdiscrte"/>
          <w:b w:val="0"/>
          <w:sz w:val="22"/>
        </w:rPr>
        <w:t xml:space="preserve"> of the prospectus</w:t>
      </w:r>
      <w:r w:rsidRPr="0064701F">
        <w:rPr>
          <w:rStyle w:val="Accentuationdiscrte"/>
          <w:b w:val="0"/>
          <w:sz w:val="22"/>
        </w:rPr>
        <w:t>”, available on ESMA’s website alongside the present Consultation Paper (</w:t>
      </w:r>
      <w:hyperlink r:id="rId17" w:history="1">
        <w:r w:rsidRPr="0064701F">
          <w:rPr>
            <w:rStyle w:val="Lienhypertexte"/>
            <w:sz w:val="22"/>
          </w:rPr>
          <w:t>www.esma.europa.eu</w:t>
        </w:r>
      </w:hyperlink>
      <w:r w:rsidRPr="0064701F">
        <w:rPr>
          <w:rStyle w:val="Accentuationdiscrte"/>
          <w:b w:val="0"/>
          <w:sz w:val="22"/>
        </w:rPr>
        <w:t xml:space="preserve"> </w:t>
      </w:r>
      <w:r w:rsidRPr="0064701F">
        <w:rPr>
          <w:rStyle w:val="Accentuationdiscrte"/>
          <w:b w:val="0"/>
          <w:sz w:val="22"/>
        </w:rPr>
        <w:sym w:font="Wingdings" w:char="F0E0"/>
      </w:r>
      <w:r w:rsidRPr="0064701F">
        <w:rPr>
          <w:rStyle w:val="Accentuationdiscrte"/>
          <w:b w:val="0"/>
          <w:sz w:val="22"/>
        </w:rPr>
        <w:t xml:space="preserve"> ‘Your input – Open consultations’ </w:t>
      </w:r>
      <w:r w:rsidRPr="0064701F">
        <w:rPr>
          <w:rStyle w:val="Accentuationdiscrte"/>
          <w:b w:val="0"/>
          <w:sz w:val="22"/>
        </w:rPr>
        <w:sym w:font="Wingdings" w:char="F0E0"/>
      </w:r>
      <w:r w:rsidRPr="0064701F">
        <w:rPr>
          <w:rStyle w:val="Accentuationdiscrte"/>
          <w:b w:val="0"/>
          <w:sz w:val="22"/>
        </w:rPr>
        <w:t xml:space="preserve"> ‘Consultation on technical advice under the new Prospectus Reg</w:t>
      </w:r>
      <w:r w:rsidRPr="0064701F">
        <w:rPr>
          <w:rStyle w:val="Accentuationdiscrte"/>
          <w:b w:val="0"/>
          <w:sz w:val="22"/>
        </w:rPr>
        <w:t>u</w:t>
      </w:r>
      <w:r w:rsidRPr="0064701F">
        <w:rPr>
          <w:rStyle w:val="Accentuationdiscrte"/>
          <w:b w:val="0"/>
          <w:sz w:val="22"/>
        </w:rPr>
        <w:t>lation’).</w:t>
      </w:r>
    </w:p>
    <w:p w14:paraId="2B102F83" w14:textId="77777777"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When you have drafted your response, name your response form according to the follo</w:t>
      </w:r>
      <w:r w:rsidRPr="0064701F">
        <w:rPr>
          <w:rStyle w:val="Accentuationdiscrte"/>
          <w:b w:val="0"/>
          <w:sz w:val="22"/>
        </w:rPr>
        <w:t>w</w:t>
      </w:r>
      <w:r w:rsidRPr="0064701F">
        <w:rPr>
          <w:rStyle w:val="Accentuationdiscrte"/>
          <w:b w:val="0"/>
          <w:sz w:val="22"/>
        </w:rPr>
        <w:t>ing convention: ESMA_FAC_nameofrespondent_RESPONSEFORM. For example, for a respondent named ABCD, the response form would be entitled E</w:t>
      </w:r>
      <w:r w:rsidRPr="0064701F">
        <w:rPr>
          <w:rStyle w:val="Accentuationdiscrte"/>
          <w:b w:val="0"/>
          <w:sz w:val="22"/>
        </w:rPr>
        <w:t>S</w:t>
      </w:r>
      <w:r w:rsidRPr="0064701F">
        <w:rPr>
          <w:rStyle w:val="Accentuationdiscrte"/>
          <w:b w:val="0"/>
          <w:sz w:val="22"/>
        </w:rPr>
        <w:t>MA_FAC_ABCD_RESPONSEFORM.</w:t>
      </w:r>
    </w:p>
    <w:p w14:paraId="1B897ED2" w14:textId="7DB53F01" w:rsidR="007D2B2C" w:rsidRPr="0064701F" w:rsidRDefault="007D2B2C" w:rsidP="007D2B2C">
      <w:pPr>
        <w:pStyle w:val="Paragraphedeliste"/>
        <w:numPr>
          <w:ilvl w:val="0"/>
          <w:numId w:val="43"/>
        </w:numPr>
        <w:spacing w:after="240" w:line="276" w:lineRule="auto"/>
        <w:ind w:left="567" w:hanging="567"/>
        <w:contextualSpacing w:val="0"/>
        <w:jc w:val="both"/>
        <w:rPr>
          <w:rStyle w:val="Accentuationdiscrte"/>
          <w:b w:val="0"/>
          <w:sz w:val="22"/>
        </w:rPr>
      </w:pPr>
      <w:r w:rsidRPr="0064701F">
        <w:rPr>
          <w:rStyle w:val="Accentuationdiscrte"/>
          <w:b w:val="0"/>
          <w:sz w:val="22"/>
        </w:rPr>
        <w:t xml:space="preserve">Upload the form containing your responses, </w:t>
      </w:r>
      <w:r w:rsidRPr="0064701F">
        <w:rPr>
          <w:rStyle w:val="Accentuationdiscrte"/>
          <w:b w:val="0"/>
          <w:sz w:val="22"/>
          <w:u w:val="single"/>
        </w:rPr>
        <w:t>in Word format</w:t>
      </w:r>
      <w:r w:rsidRPr="0064701F">
        <w:rPr>
          <w:rStyle w:val="Accentuationdiscrte"/>
          <w:b w:val="0"/>
          <w:sz w:val="22"/>
        </w:rPr>
        <w:t>, to ESMA’s website (</w:t>
      </w:r>
      <w:hyperlink r:id="rId18" w:history="1">
        <w:r w:rsidR="00504505" w:rsidRPr="0064701F">
          <w:rPr>
            <w:rStyle w:val="Lienhypertexte"/>
            <w:sz w:val="22"/>
          </w:rPr>
          <w:t>www.esma.europa.eu</w:t>
        </w:r>
      </w:hyperlink>
      <w:r w:rsidRPr="0064701F">
        <w:rPr>
          <w:rStyle w:val="Accentuationdiscrte"/>
          <w:b w:val="0"/>
          <w:sz w:val="22"/>
        </w:rPr>
        <w:t xml:space="preserve"> under the heading ‘Your input – Open consultations’ </w:t>
      </w:r>
      <w:r w:rsidRPr="0064701F">
        <w:rPr>
          <w:rStyle w:val="Accentuationdiscrte"/>
          <w:b w:val="0"/>
          <w:sz w:val="22"/>
        </w:rPr>
        <w:sym w:font="Wingdings" w:char="F0E0"/>
      </w:r>
      <w:r w:rsidRPr="0064701F">
        <w:rPr>
          <w:rStyle w:val="Accentuationdiscrte"/>
          <w:b w:val="0"/>
          <w:sz w:val="22"/>
        </w:rPr>
        <w:t xml:space="preserve"> ‘Consult</w:t>
      </w:r>
      <w:r w:rsidRPr="0064701F">
        <w:rPr>
          <w:rStyle w:val="Accentuationdiscrte"/>
          <w:b w:val="0"/>
          <w:sz w:val="22"/>
        </w:rPr>
        <w:t>a</w:t>
      </w:r>
      <w:r w:rsidRPr="0064701F">
        <w:rPr>
          <w:rStyle w:val="Accentuationdiscrte"/>
          <w:b w:val="0"/>
          <w:sz w:val="22"/>
        </w:rPr>
        <w:t>tion on technical advice under the new Prospectus Regulation’).</w:t>
      </w:r>
    </w:p>
    <w:p w14:paraId="04D2F969" w14:textId="77777777" w:rsidR="007D2B2C" w:rsidRPr="0064701F" w:rsidRDefault="007D2B2C" w:rsidP="007D2B2C">
      <w:pPr>
        <w:spacing w:after="120"/>
        <w:jc w:val="both"/>
        <w:rPr>
          <w:rStyle w:val="Accentuationdiscrte"/>
          <w:sz w:val="22"/>
          <w:lang w:eastAsia="en-GB"/>
        </w:rPr>
      </w:pPr>
      <w:r w:rsidRPr="0064701F">
        <w:rPr>
          <w:rStyle w:val="Accentuationdiscrte"/>
          <w:sz w:val="22"/>
          <w:lang w:eastAsia="en-GB"/>
        </w:rPr>
        <w:t>Publication of responses</w:t>
      </w:r>
    </w:p>
    <w:p w14:paraId="2CB6F0AF" w14:textId="77777777" w:rsidR="007D2B2C" w:rsidRPr="0064701F" w:rsidRDefault="007D2B2C" w:rsidP="007D2B2C">
      <w:pPr>
        <w:spacing w:after="240"/>
        <w:jc w:val="both"/>
        <w:rPr>
          <w:rStyle w:val="Accentuationdiscrte"/>
          <w:b w:val="0"/>
          <w:sz w:val="22"/>
          <w:lang w:eastAsia="en-GB"/>
        </w:rPr>
      </w:pPr>
      <w:r w:rsidRPr="0064701F">
        <w:rPr>
          <w:rStyle w:val="Accentuationdiscrte"/>
          <w:b w:val="0"/>
          <w:sz w:val="22"/>
          <w:lang w:eastAsia="en-GB"/>
        </w:rPr>
        <w:t xml:space="preserve">All contributions received will be published following the close of the consultation, unless you request otherwise. </w:t>
      </w:r>
      <w:r w:rsidRPr="0064701F">
        <w:rPr>
          <w:rStyle w:val="Accentuationdiscrte"/>
          <w:b w:val="0"/>
          <w:sz w:val="22"/>
          <w:u w:val="single"/>
          <w:lang w:eastAsia="en-GB"/>
        </w:rPr>
        <w:t>Please clearly indicate by ticking the appropriate checkbox on the website submission page if you do not wish your contribution to be publicly disclosed.</w:t>
      </w:r>
      <w:r w:rsidRPr="0064701F">
        <w:rPr>
          <w:rStyle w:val="Accentuationdiscrte"/>
          <w:b w:val="0"/>
          <w:sz w:val="22"/>
          <w:lang w:eastAsia="en-GB"/>
        </w:rPr>
        <w:t xml:space="preserve"> A standard conf</w:t>
      </w:r>
      <w:r w:rsidRPr="0064701F">
        <w:rPr>
          <w:rStyle w:val="Accentuationdiscrte"/>
          <w:b w:val="0"/>
          <w:sz w:val="22"/>
          <w:lang w:eastAsia="en-GB"/>
        </w:rPr>
        <w:t>i</w:t>
      </w:r>
      <w:r w:rsidRPr="0064701F">
        <w:rPr>
          <w:rStyle w:val="Accentuationdiscrte"/>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Accentuationdiscrte"/>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Accentuationdiscrte"/>
          <w:b w:val="0"/>
          <w:sz w:val="22"/>
          <w:lang w:eastAsia="en-GB"/>
        </w:rPr>
        <w:t>s</w:t>
      </w:r>
      <w:r w:rsidRPr="0064701F">
        <w:rPr>
          <w:rStyle w:val="Accentuationdiscrte"/>
          <w:b w:val="0"/>
          <w:sz w:val="22"/>
          <w:lang w:eastAsia="en-GB"/>
        </w:rPr>
        <w:t>man.</w:t>
      </w:r>
    </w:p>
    <w:p w14:paraId="013C449E" w14:textId="77777777" w:rsidR="007D2B2C" w:rsidRPr="0064701F" w:rsidRDefault="007D2B2C" w:rsidP="007D2B2C">
      <w:pPr>
        <w:spacing w:after="120"/>
        <w:jc w:val="both"/>
        <w:rPr>
          <w:rStyle w:val="Accentuationdiscrte"/>
          <w:sz w:val="22"/>
          <w:lang w:eastAsia="en-GB"/>
        </w:rPr>
      </w:pPr>
      <w:r w:rsidRPr="0064701F">
        <w:rPr>
          <w:rStyle w:val="Accentuationdiscrte"/>
          <w:sz w:val="22"/>
          <w:lang w:eastAsia="en-GB"/>
        </w:rPr>
        <w:t>Data protection</w:t>
      </w:r>
    </w:p>
    <w:p w14:paraId="0021091D" w14:textId="77777777" w:rsidR="007D2B2C" w:rsidRPr="0064701F" w:rsidRDefault="007D2B2C" w:rsidP="007D2B2C">
      <w:pPr>
        <w:spacing w:after="240"/>
        <w:jc w:val="both"/>
        <w:rPr>
          <w:rStyle w:val="Accentuationdiscrte"/>
          <w:b w:val="0"/>
          <w:sz w:val="22"/>
          <w:lang w:eastAsia="en-GB"/>
        </w:rPr>
      </w:pPr>
      <w:r w:rsidRPr="0064701F">
        <w:rPr>
          <w:rStyle w:val="Accentuationdiscrte"/>
          <w:b w:val="0"/>
          <w:sz w:val="22"/>
          <w:lang w:eastAsia="en-GB"/>
        </w:rPr>
        <w:t xml:space="preserve">Information on data protection can be found at </w:t>
      </w:r>
      <w:hyperlink r:id="rId19" w:history="1">
        <w:r w:rsidRPr="0064701F">
          <w:rPr>
            <w:rStyle w:val="Lienhypertexte"/>
            <w:rFonts w:cs="Arial"/>
            <w:sz w:val="22"/>
            <w:lang w:eastAsia="en-GB"/>
          </w:rPr>
          <w:t>www.esma.europa.eu</w:t>
        </w:r>
      </w:hyperlink>
      <w:r w:rsidRPr="0064701F">
        <w:rPr>
          <w:rStyle w:val="Accentuationdiscrte"/>
          <w:b w:val="0"/>
          <w:sz w:val="22"/>
          <w:lang w:eastAsia="en-GB"/>
        </w:rPr>
        <w:t xml:space="preserve"> under the heading ‘Data  protection’.</w:t>
      </w:r>
    </w:p>
    <w:p w14:paraId="0E675B5B" w14:textId="77777777" w:rsidR="007D2B2C" w:rsidRPr="0064701F" w:rsidRDefault="007D2B2C" w:rsidP="007D2B2C">
      <w:pPr>
        <w:spacing w:after="120"/>
        <w:jc w:val="both"/>
        <w:rPr>
          <w:rStyle w:val="Accentuationdiscrte"/>
          <w:sz w:val="22"/>
          <w:lang w:eastAsia="en-GB"/>
        </w:rPr>
      </w:pPr>
      <w:r w:rsidRPr="0064701F">
        <w:rPr>
          <w:rStyle w:val="Accentuationdiscrte"/>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Accentuationdiscrt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Accentuationdiscrte"/>
          <w:b w:val="0"/>
          <w:sz w:val="22"/>
          <w:lang w:eastAsia="en-GB"/>
        </w:rPr>
        <w:t>i</w:t>
      </w:r>
      <w:r w:rsidRPr="0064701F">
        <w:rPr>
          <w:rStyle w:val="Accentuationdiscrte"/>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13639435" w:rsidR="00B327E9" w:rsidRPr="00AB6D88" w:rsidRDefault="00954A84" w:rsidP="00954A84">
                <w:pPr>
                  <w:rPr>
                    <w:rStyle w:val="Textedelespacerserv"/>
                    <w:rFonts w:cs="Arial"/>
                  </w:rPr>
                </w:pPr>
                <w:r>
                  <w:rPr>
                    <w:rStyle w:val="Textedelespacerserv"/>
                    <w:rFonts w:cs="Arial"/>
                  </w:rPr>
                  <w:t xml:space="preserve">Association </w:t>
                </w:r>
                <w:proofErr w:type="spellStart"/>
                <w:r>
                  <w:rPr>
                    <w:rStyle w:val="Textedelespacerserv"/>
                    <w:rFonts w:cs="Arial"/>
                  </w:rPr>
                  <w:t>Nationale</w:t>
                </w:r>
                <w:proofErr w:type="spellEnd"/>
                <w:r>
                  <w:rPr>
                    <w:rStyle w:val="Textedelespacerserv"/>
                    <w:rFonts w:cs="Arial"/>
                  </w:rPr>
                  <w:t xml:space="preserve"> des </w:t>
                </w:r>
                <w:proofErr w:type="spellStart"/>
                <w:r>
                  <w:rPr>
                    <w:rStyle w:val="Textedelespacerserv"/>
                    <w:rFonts w:cs="Arial"/>
                  </w:rPr>
                  <w:t>Sociétés</w:t>
                </w:r>
                <w:proofErr w:type="spellEnd"/>
                <w:r>
                  <w:rPr>
                    <w:rStyle w:val="Textedelespacerserv"/>
                    <w:rFonts w:cs="Arial"/>
                  </w:rPr>
                  <w:t xml:space="preserve"> par Actions</w:t>
                </w:r>
                <w:r w:rsidR="006127DA">
                  <w:rPr>
                    <w:rStyle w:val="Textedelespacerserv"/>
                    <w:rFonts w:cs="Arial"/>
                  </w:rPr>
                  <w:t xml:space="preserve"> - ANSA</w:t>
                </w:r>
                <w:r>
                  <w:rPr>
                    <w:rStyle w:val="Textedelespacerserv"/>
                    <w:rFonts w:cs="Arial"/>
                  </w:rPr>
                  <w:t xml:space="preserve"> </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42DC2AD2" w:rsidR="00B327E9" w:rsidRPr="00AB6D88" w:rsidRDefault="00B327E9" w:rsidP="006127DA">
            <w:pPr>
              <w:rPr>
                <w:rFonts w:cs="Arial"/>
              </w:rPr>
            </w:pPr>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tc>
          <w:tcPr>
            <w:tcW w:w="5595" w:type="dxa"/>
            <w:shd w:val="clear" w:color="auto" w:fill="auto"/>
          </w:tcPr>
          <w:p w14:paraId="13737D6A" w14:textId="0761866C" w:rsidR="00B327E9" w:rsidRPr="00711082" w:rsidRDefault="00711082" w:rsidP="00504505">
            <w:pPr>
              <w:rPr>
                <w:rFonts w:cs="Arial"/>
                <w:lang w:val="fr-FR"/>
              </w:rPr>
            </w:pPr>
            <w:r>
              <w:rPr>
                <w:rFonts w:ascii="MS Gothic" w:eastAsia="MS Gothic" w:hAnsi="MS Gothic" w:cs="Arial"/>
                <w:lang w:val="fr-FR"/>
              </w:rPr>
              <w:t>x</w:t>
            </w:r>
          </w:p>
        </w:tc>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55E89E18" w:rsidR="00B327E9" w:rsidRPr="00AB6D88" w:rsidRDefault="00954A84" w:rsidP="00954A84">
                <w:pPr>
                  <w:rPr>
                    <w:rFonts w:cs="Arial"/>
                  </w:rPr>
                </w:pPr>
                <w:r>
                  <w:rPr>
                    <w:rFonts w:cs="Arial"/>
                  </w:rPr>
                  <w:t xml:space="preserve">France </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Forteaccentuation"/>
        </w:rPr>
      </w:pPr>
      <w:r w:rsidRPr="001D47A5">
        <w:rPr>
          <w:rStyle w:val="Forteaccentuation"/>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4A057DA8" w14:textId="77777777" w:rsidR="00D015B9" w:rsidRDefault="00D015B9" w:rsidP="00B327E9">
      <w:pPr>
        <w:rPr>
          <w:rStyle w:val="lev"/>
          <w:rFonts w:ascii="Times New Roman" w:hAnsi="Times New Roman"/>
          <w:b w:val="0"/>
          <w:sz w:val="22"/>
          <w:szCs w:val="22"/>
        </w:rPr>
      </w:pPr>
      <w:permStart w:id="1937050393" w:edGrp="everyone"/>
      <w:r w:rsidRPr="00D015B9">
        <w:rPr>
          <w:rFonts w:ascii="Times New Roman" w:hAnsi="Times New Roman"/>
          <w:sz w:val="22"/>
          <w:szCs w:val="22"/>
        </w:rPr>
        <w:t xml:space="preserve">ANSA (Association </w:t>
      </w:r>
      <w:proofErr w:type="spellStart"/>
      <w:r w:rsidRPr="00D015B9">
        <w:rPr>
          <w:rFonts w:ascii="Times New Roman" w:hAnsi="Times New Roman"/>
          <w:sz w:val="22"/>
          <w:szCs w:val="22"/>
        </w:rPr>
        <w:t>Nationale</w:t>
      </w:r>
      <w:proofErr w:type="spellEnd"/>
      <w:r w:rsidRPr="00D015B9">
        <w:rPr>
          <w:rFonts w:ascii="Times New Roman" w:hAnsi="Times New Roman"/>
          <w:sz w:val="22"/>
          <w:szCs w:val="22"/>
        </w:rPr>
        <w:t xml:space="preserve"> des </w:t>
      </w:r>
      <w:proofErr w:type="spellStart"/>
      <w:r w:rsidRPr="00D015B9">
        <w:rPr>
          <w:rFonts w:ascii="Times New Roman" w:hAnsi="Times New Roman"/>
          <w:sz w:val="22"/>
          <w:szCs w:val="22"/>
        </w:rPr>
        <w:t>Sociétés</w:t>
      </w:r>
      <w:proofErr w:type="spellEnd"/>
      <w:r w:rsidRPr="00D015B9">
        <w:rPr>
          <w:rFonts w:ascii="Times New Roman" w:hAnsi="Times New Roman"/>
          <w:sz w:val="22"/>
          <w:szCs w:val="22"/>
        </w:rPr>
        <w:t xml:space="preserve"> par Actions) is a</w:t>
      </w:r>
      <w:r w:rsidRPr="00D015B9">
        <w:rPr>
          <w:rFonts w:ascii="Times New Roman" w:hAnsi="Times New Roman"/>
          <w:b/>
          <w:sz w:val="22"/>
          <w:szCs w:val="22"/>
        </w:rPr>
        <w:t xml:space="preserve"> </w:t>
      </w:r>
      <w:r w:rsidRPr="00D015B9">
        <w:rPr>
          <w:rStyle w:val="lev"/>
          <w:rFonts w:ascii="Times New Roman" w:hAnsi="Times New Roman"/>
          <w:b w:val="0"/>
          <w:sz w:val="22"/>
          <w:szCs w:val="22"/>
        </w:rPr>
        <w:t>not for profit</w:t>
      </w:r>
      <w:r w:rsidRPr="00D015B9">
        <w:rPr>
          <w:rFonts w:ascii="Times New Roman" w:hAnsi="Times New Roman"/>
          <w:b/>
          <w:sz w:val="22"/>
          <w:szCs w:val="22"/>
        </w:rPr>
        <w:t xml:space="preserve"> </w:t>
      </w:r>
      <w:r w:rsidRPr="00D015B9">
        <w:rPr>
          <w:rFonts w:ascii="Times New Roman" w:hAnsi="Times New Roman"/>
          <w:sz w:val="22"/>
          <w:szCs w:val="22"/>
        </w:rPr>
        <w:t>membership association</w:t>
      </w:r>
      <w:r w:rsidRPr="00D015B9">
        <w:rPr>
          <w:rFonts w:ascii="Times New Roman" w:hAnsi="Times New Roman"/>
          <w:b/>
          <w:sz w:val="22"/>
          <w:szCs w:val="22"/>
        </w:rPr>
        <w:t xml:space="preserve">, </w:t>
      </w:r>
      <w:r w:rsidRPr="00D015B9">
        <w:rPr>
          <w:rFonts w:ascii="Times New Roman" w:hAnsi="Times New Roman"/>
          <w:sz w:val="22"/>
          <w:szCs w:val="22"/>
        </w:rPr>
        <w:t>which</w:t>
      </w:r>
      <w:r w:rsidRPr="00D015B9">
        <w:rPr>
          <w:rFonts w:ascii="Times New Roman" w:hAnsi="Times New Roman"/>
          <w:b/>
          <w:sz w:val="22"/>
          <w:szCs w:val="22"/>
        </w:rPr>
        <w:t xml:space="preserve"> </w:t>
      </w:r>
      <w:r w:rsidRPr="00D015B9">
        <w:rPr>
          <w:rStyle w:val="lev"/>
          <w:rFonts w:ascii="Times New Roman" w:hAnsi="Times New Roman"/>
          <w:b w:val="0"/>
          <w:sz w:val="22"/>
          <w:szCs w:val="22"/>
        </w:rPr>
        <w:t>represents the interests of French quoted and non-quoted joint-stock companies.</w:t>
      </w:r>
    </w:p>
    <w:p w14:paraId="0BA981CD" w14:textId="77777777" w:rsidR="006F5D62" w:rsidRDefault="006F5D62" w:rsidP="00B327E9">
      <w:pPr>
        <w:rPr>
          <w:rStyle w:val="lev"/>
          <w:rFonts w:ascii="Times New Roman" w:hAnsi="Times New Roman"/>
          <w:b w:val="0"/>
          <w:sz w:val="22"/>
          <w:szCs w:val="22"/>
        </w:rPr>
      </w:pPr>
    </w:p>
    <w:p w14:paraId="5C3FF8A1" w14:textId="77777777" w:rsidR="00D015B9" w:rsidRDefault="00D015B9" w:rsidP="00D015B9">
      <w:pPr>
        <w:widowControl w:val="0"/>
        <w:autoSpaceDE w:val="0"/>
        <w:autoSpaceDN w:val="0"/>
        <w:adjustRightInd w:val="0"/>
        <w:spacing w:line="240" w:lineRule="atLeast"/>
        <w:jc w:val="both"/>
        <w:rPr>
          <w:rFonts w:ascii="Times New Roman" w:hAnsi="Times New Roman"/>
          <w:color w:val="000000"/>
          <w:sz w:val="22"/>
          <w:szCs w:val="22"/>
        </w:rPr>
      </w:pPr>
      <w:r w:rsidRPr="00096BDF">
        <w:rPr>
          <w:rFonts w:ascii="Times New Roman" w:hAnsi="Times New Roman"/>
          <w:color w:val="000000"/>
          <w:sz w:val="22"/>
          <w:szCs w:val="22"/>
        </w:rPr>
        <w:t>While welcoming the simplification measures proposed by ESMA, we consider that there is additional scope for further alleviation of disclosure requirements. Moreover, we are concerned about the introdu</w:t>
      </w:r>
      <w:r w:rsidRPr="00096BDF">
        <w:rPr>
          <w:rFonts w:ascii="Times New Roman" w:hAnsi="Times New Roman"/>
          <w:color w:val="000000"/>
          <w:sz w:val="22"/>
          <w:szCs w:val="22"/>
        </w:rPr>
        <w:t>c</w:t>
      </w:r>
      <w:r w:rsidRPr="00096BDF">
        <w:rPr>
          <w:rFonts w:ascii="Times New Roman" w:hAnsi="Times New Roman"/>
          <w:color w:val="000000"/>
          <w:sz w:val="22"/>
          <w:szCs w:val="22"/>
        </w:rPr>
        <w:t xml:space="preserve">tion of new requirements, some of which are without legal basis, which run counter to the objective of simplification. Our concerns may be summarized as follows: </w:t>
      </w:r>
    </w:p>
    <w:p w14:paraId="4E86D612" w14:textId="77777777" w:rsidR="00196A4D" w:rsidRDefault="00196A4D" w:rsidP="00D015B9">
      <w:pPr>
        <w:widowControl w:val="0"/>
        <w:autoSpaceDE w:val="0"/>
        <w:autoSpaceDN w:val="0"/>
        <w:adjustRightInd w:val="0"/>
        <w:spacing w:line="240" w:lineRule="atLeast"/>
        <w:jc w:val="both"/>
        <w:rPr>
          <w:rFonts w:ascii="Times New Roman" w:hAnsi="Times New Roman"/>
          <w:color w:val="000000"/>
          <w:sz w:val="22"/>
          <w:szCs w:val="22"/>
        </w:rPr>
      </w:pPr>
    </w:p>
    <w:p w14:paraId="21A7BE6F" w14:textId="77777777" w:rsidR="00D015B9" w:rsidRPr="00096BDF" w:rsidRDefault="00D015B9" w:rsidP="00D015B9">
      <w:pPr>
        <w:widowControl w:val="0"/>
        <w:autoSpaceDE w:val="0"/>
        <w:autoSpaceDN w:val="0"/>
        <w:adjustRightInd w:val="0"/>
        <w:spacing w:line="240" w:lineRule="atLeast"/>
        <w:ind w:left="708"/>
        <w:jc w:val="both"/>
        <w:rPr>
          <w:rFonts w:ascii="Times New Roman" w:hAnsi="Times New Roman"/>
          <w:color w:val="333333"/>
          <w:lang w:val="en"/>
        </w:rPr>
      </w:pPr>
      <w:r w:rsidRPr="00096BDF">
        <w:rPr>
          <w:rFonts w:ascii="Times New Roman" w:hAnsi="Times New Roman"/>
          <w:color w:val="000000"/>
          <w:u w:val="single"/>
        </w:rPr>
        <w:t xml:space="preserve">Requirements not foreseen in the level 1 text: </w:t>
      </w:r>
      <w:r w:rsidRPr="00096BDF">
        <w:rPr>
          <w:rFonts w:ascii="Times New Roman" w:hAnsi="Times New Roman"/>
          <w:color w:val="333333"/>
          <w:lang w:val="en"/>
        </w:rPr>
        <w:t xml:space="preserve">Issuers are best placed to determine how to tell their “equity story” and deliver meaningful information. While the nature and extent of the information to be disclosed in a prospectus are legitimately set by the EU legislation, issuers should not be subject to excessive constraints regarding how such information is to be presented. </w:t>
      </w:r>
    </w:p>
    <w:p w14:paraId="3B4176A0" w14:textId="77777777" w:rsidR="00D015B9" w:rsidRPr="00096BDF" w:rsidRDefault="00D015B9" w:rsidP="00D015B9">
      <w:pPr>
        <w:widowControl w:val="0"/>
        <w:autoSpaceDE w:val="0"/>
        <w:autoSpaceDN w:val="0"/>
        <w:adjustRightInd w:val="0"/>
        <w:spacing w:line="240" w:lineRule="atLeast"/>
        <w:ind w:left="708"/>
        <w:jc w:val="both"/>
        <w:rPr>
          <w:rFonts w:ascii="Times New Roman" w:hAnsi="Times New Roman"/>
          <w:color w:val="333333"/>
          <w:lang w:val="en"/>
        </w:rPr>
      </w:pPr>
    </w:p>
    <w:p w14:paraId="5970AAD8" w14:textId="77777777" w:rsidR="00D015B9" w:rsidRPr="00096BDF" w:rsidRDefault="00D015B9" w:rsidP="00D015B9">
      <w:pPr>
        <w:widowControl w:val="0"/>
        <w:autoSpaceDE w:val="0"/>
        <w:autoSpaceDN w:val="0"/>
        <w:adjustRightInd w:val="0"/>
        <w:spacing w:line="240" w:lineRule="atLeast"/>
        <w:ind w:left="708"/>
        <w:jc w:val="both"/>
        <w:rPr>
          <w:rFonts w:ascii="Times New Roman" w:hAnsi="Times New Roman"/>
          <w:color w:val="333333"/>
          <w:lang w:val="en"/>
        </w:rPr>
      </w:pPr>
      <w:r w:rsidRPr="00096BDF">
        <w:rPr>
          <w:rFonts w:ascii="Times New Roman" w:hAnsi="Times New Roman"/>
          <w:color w:val="333333"/>
          <w:lang w:val="en"/>
        </w:rPr>
        <w:t xml:space="preserve">A case in point is ESMA’s proposal to mandate the disclosure of a cover note, a requirement  which is not provided for by the Level 1 text and runs counter to the stated aim of simplification. Rather,  issuers should be free to include or not a cover note and to choose the order of presentation of the different sections,  including where to place the risk factors. </w:t>
      </w:r>
    </w:p>
    <w:p w14:paraId="52570EB0" w14:textId="77777777" w:rsidR="00D015B9" w:rsidRPr="00096BDF" w:rsidRDefault="00D015B9" w:rsidP="00D015B9">
      <w:pPr>
        <w:widowControl w:val="0"/>
        <w:autoSpaceDE w:val="0"/>
        <w:autoSpaceDN w:val="0"/>
        <w:adjustRightInd w:val="0"/>
        <w:spacing w:line="240" w:lineRule="atLeast"/>
        <w:ind w:left="708"/>
        <w:jc w:val="both"/>
        <w:rPr>
          <w:rFonts w:ascii="Times New Roman" w:hAnsi="Times New Roman"/>
          <w:color w:val="000000"/>
          <w:u w:val="single"/>
        </w:rPr>
      </w:pPr>
    </w:p>
    <w:p w14:paraId="70DB5731" w14:textId="77777777" w:rsidR="00D015B9" w:rsidRPr="00096BDF" w:rsidRDefault="00D015B9" w:rsidP="00D015B9">
      <w:pPr>
        <w:ind w:left="708"/>
        <w:jc w:val="both"/>
        <w:rPr>
          <w:rFonts w:cs="Arial"/>
          <w:szCs w:val="20"/>
          <w:lang w:val="en"/>
        </w:rPr>
      </w:pPr>
      <w:r w:rsidRPr="00096BDF">
        <w:rPr>
          <w:rFonts w:ascii="Times New Roman" w:hAnsi="Times New Roman"/>
        </w:rPr>
        <w:t xml:space="preserve">Another example is </w:t>
      </w:r>
      <w:r w:rsidRPr="00096BDF">
        <w:rPr>
          <w:rFonts w:ascii="Times New Roman" w:hAnsi="Times New Roman"/>
          <w:lang w:val="en"/>
        </w:rPr>
        <w:t>ESMA’s proposal to require issuers to confirm that they have complied with the Transparency Directive and the Market Abuse Regulation in order to benefit from the alleviated secondary issuance regime (see below answer to question 74)</w:t>
      </w:r>
      <w:r w:rsidRPr="00096BDF">
        <w:rPr>
          <w:rFonts w:cs="Arial"/>
          <w:szCs w:val="20"/>
          <w:lang w:val="en"/>
        </w:rPr>
        <w:t xml:space="preserve">.   </w:t>
      </w:r>
    </w:p>
    <w:p w14:paraId="29ACEA2A" w14:textId="77777777" w:rsidR="00D015B9" w:rsidRPr="00096BDF" w:rsidRDefault="00D015B9" w:rsidP="00D015B9">
      <w:pPr>
        <w:widowControl w:val="0"/>
        <w:autoSpaceDE w:val="0"/>
        <w:autoSpaceDN w:val="0"/>
        <w:adjustRightInd w:val="0"/>
        <w:spacing w:line="240" w:lineRule="atLeast"/>
        <w:jc w:val="both"/>
        <w:rPr>
          <w:rFonts w:ascii="Times New Roman" w:hAnsi="Times New Roman"/>
          <w:color w:val="000000"/>
        </w:rPr>
      </w:pPr>
    </w:p>
    <w:p w14:paraId="2835681D" w14:textId="77777777" w:rsidR="00D015B9" w:rsidRDefault="00D015B9" w:rsidP="00D015B9">
      <w:pPr>
        <w:ind w:left="708"/>
        <w:jc w:val="both"/>
        <w:rPr>
          <w:rFonts w:ascii="Times" w:hAnsi="Times"/>
          <w:color w:val="000000"/>
          <w:sz w:val="22"/>
          <w:szCs w:val="22"/>
          <w:lang w:val="en" w:eastAsia="fr-FR"/>
        </w:rPr>
      </w:pPr>
      <w:r w:rsidRPr="00D015B9">
        <w:rPr>
          <w:rFonts w:ascii="Times" w:hAnsi="Times"/>
          <w:color w:val="000000"/>
          <w:sz w:val="22"/>
          <w:szCs w:val="22"/>
          <w:u w:val="single"/>
        </w:rPr>
        <w:t xml:space="preserve">Risk factors: </w:t>
      </w:r>
      <w:r w:rsidRPr="00D015B9">
        <w:rPr>
          <w:rFonts w:ascii="Times" w:hAnsi="Times"/>
          <w:color w:val="000000"/>
          <w:sz w:val="22"/>
          <w:szCs w:val="22"/>
          <w:lang w:val="en" w:eastAsia="fr-FR"/>
        </w:rPr>
        <w:t xml:space="preserve">ESMA indicates in the consultation </w:t>
      </w:r>
      <w:proofErr w:type="gramStart"/>
      <w:r w:rsidRPr="00D015B9">
        <w:rPr>
          <w:rFonts w:ascii="Times" w:hAnsi="Times"/>
          <w:color w:val="000000"/>
          <w:sz w:val="22"/>
          <w:szCs w:val="22"/>
          <w:lang w:val="en" w:eastAsia="fr-FR"/>
        </w:rPr>
        <w:t>paper that</w:t>
      </w:r>
      <w:proofErr w:type="gramEnd"/>
      <w:r w:rsidRPr="00D015B9">
        <w:rPr>
          <w:rFonts w:ascii="Times" w:hAnsi="Times"/>
          <w:color w:val="000000"/>
          <w:sz w:val="22"/>
          <w:szCs w:val="22"/>
          <w:lang w:val="en" w:eastAsia="fr-FR"/>
        </w:rPr>
        <w:t xml:space="preserve"> “</w:t>
      </w:r>
      <w:r w:rsidRPr="00D015B9">
        <w:rPr>
          <w:rFonts w:ascii="Times" w:hAnsi="Times"/>
          <w:i/>
          <w:iCs/>
          <w:color w:val="000000"/>
          <w:sz w:val="22"/>
          <w:szCs w:val="22"/>
          <w:lang w:val="en" w:eastAsia="fr-FR"/>
        </w:rPr>
        <w:t>The required contents of the risk factors section will be further elaborated through ESMA guidelines</w:t>
      </w:r>
      <w:r w:rsidRPr="00D015B9">
        <w:rPr>
          <w:rFonts w:ascii="Times" w:hAnsi="Times"/>
          <w:color w:val="000000"/>
          <w:sz w:val="22"/>
          <w:szCs w:val="22"/>
          <w:lang w:val="en" w:eastAsia="fr-FR"/>
        </w:rPr>
        <w:t xml:space="preserve">”. </w:t>
      </w:r>
    </w:p>
    <w:p w14:paraId="00C29CD5" w14:textId="77777777" w:rsidR="006F5D62" w:rsidRDefault="006F5D62" w:rsidP="00D015B9">
      <w:pPr>
        <w:ind w:left="708"/>
        <w:jc w:val="both"/>
        <w:rPr>
          <w:rFonts w:ascii="Times" w:hAnsi="Times"/>
          <w:color w:val="000000"/>
          <w:sz w:val="22"/>
          <w:szCs w:val="22"/>
          <w:lang w:val="en" w:eastAsia="fr-FR"/>
        </w:rPr>
      </w:pPr>
    </w:p>
    <w:p w14:paraId="61424841" w14:textId="77777777" w:rsidR="006F5D62" w:rsidRPr="003E2412" w:rsidRDefault="006F5D62" w:rsidP="006F5D62">
      <w:pPr>
        <w:autoSpaceDE w:val="0"/>
        <w:autoSpaceDN w:val="0"/>
        <w:spacing w:line="240" w:lineRule="atLeast"/>
        <w:ind w:left="708"/>
        <w:jc w:val="both"/>
        <w:rPr>
          <w:rFonts w:ascii="Times" w:hAnsi="Times"/>
          <w:color w:val="000000"/>
          <w:sz w:val="22"/>
          <w:szCs w:val="22"/>
        </w:rPr>
      </w:pPr>
      <w:r w:rsidRPr="003E2412">
        <w:rPr>
          <w:rFonts w:ascii="Times" w:hAnsi="Times"/>
          <w:color w:val="000000"/>
          <w:sz w:val="22"/>
          <w:szCs w:val="22"/>
          <w:lang w:val="en" w:eastAsia="fr-FR"/>
        </w:rPr>
        <w:t xml:space="preserve">We support the harmonisation of  practices among NCAs and consider that ESMA should focus on convergence and helping NCAs to improve their practices. </w:t>
      </w:r>
      <w:r w:rsidRPr="003E2412">
        <w:rPr>
          <w:rFonts w:ascii="Times" w:hAnsi="Times"/>
          <w:color w:val="000000"/>
          <w:sz w:val="22"/>
          <w:szCs w:val="22"/>
          <w:lang w:val="en-US"/>
        </w:rPr>
        <w:t>We would like to see more superv</w:t>
      </w:r>
      <w:r w:rsidRPr="003E2412">
        <w:rPr>
          <w:rFonts w:ascii="Times" w:hAnsi="Times"/>
          <w:color w:val="000000"/>
          <w:sz w:val="22"/>
          <w:szCs w:val="22"/>
          <w:lang w:val="en-US"/>
        </w:rPr>
        <w:t>i</w:t>
      </w:r>
      <w:r w:rsidRPr="003E2412">
        <w:rPr>
          <w:rFonts w:ascii="Times" w:hAnsi="Times"/>
          <w:color w:val="000000"/>
          <w:sz w:val="22"/>
          <w:szCs w:val="22"/>
          <w:lang w:val="en-US"/>
        </w:rPr>
        <w:t xml:space="preserve">sory convergence of administrative practices of NCAs when addressing risk factors. Whilst some NCAs allow or even encourage issuers to disclose risk mitigating techniques alongside their risk factors, other NCAs prohibit issuers from doing so. </w:t>
      </w:r>
      <w:r w:rsidRPr="003E2412">
        <w:rPr>
          <w:rFonts w:ascii="Times" w:hAnsi="Times"/>
          <w:color w:val="000000"/>
          <w:sz w:val="22"/>
          <w:szCs w:val="22"/>
          <w:lang w:val="en" w:eastAsia="fr-FR"/>
        </w:rPr>
        <w:t>This is a key issue in order to avoid diverging approaches on risk factors. The preferred approach regarding in particular the categories of risk factors should be a flexible approach with a non-exhaustive and non-binding list that could be adapted where necessary to allow</w:t>
      </w:r>
      <w:r w:rsidRPr="003E2412">
        <w:rPr>
          <w:rFonts w:ascii="Times" w:hAnsi="Times"/>
          <w:color w:val="000000"/>
          <w:sz w:val="22"/>
          <w:szCs w:val="22"/>
          <w:lang w:val="en"/>
        </w:rPr>
        <w:t xml:space="preserve"> </w:t>
      </w:r>
      <w:r w:rsidRPr="003E2412">
        <w:rPr>
          <w:rFonts w:ascii="Times" w:hAnsi="Times"/>
          <w:color w:val="000000"/>
          <w:sz w:val="22"/>
          <w:szCs w:val="22"/>
          <w:lang w:val="en-US"/>
        </w:rPr>
        <w:t>an alignment with the risk disclosure requirements under the Accounting Directive. Consequently, risk factors published in the management report mandated by the Accounting Directive could be incorporated in the prospectus, possibly completed by add</w:t>
      </w:r>
      <w:r w:rsidRPr="003E2412">
        <w:rPr>
          <w:rFonts w:ascii="Times" w:hAnsi="Times"/>
          <w:color w:val="000000"/>
          <w:sz w:val="22"/>
          <w:szCs w:val="22"/>
          <w:lang w:val="en-US"/>
        </w:rPr>
        <w:t>i</w:t>
      </w:r>
      <w:r w:rsidRPr="003E2412">
        <w:rPr>
          <w:rFonts w:ascii="Times" w:hAnsi="Times"/>
          <w:color w:val="000000"/>
          <w:sz w:val="22"/>
          <w:szCs w:val="22"/>
          <w:lang w:val="en-US"/>
        </w:rPr>
        <w:t xml:space="preserve">tional risk factors. </w:t>
      </w:r>
    </w:p>
    <w:p w14:paraId="46DAD4BB" w14:textId="77777777" w:rsidR="006F5D62" w:rsidRPr="003E2412" w:rsidRDefault="006F5D62" w:rsidP="006F5D62">
      <w:pPr>
        <w:ind w:left="708"/>
        <w:jc w:val="both"/>
        <w:rPr>
          <w:rFonts w:ascii="Times" w:hAnsi="Times"/>
          <w:color w:val="000000"/>
          <w:sz w:val="22"/>
          <w:szCs w:val="22"/>
        </w:rPr>
      </w:pPr>
      <w:r w:rsidRPr="003E2412">
        <w:rPr>
          <w:rFonts w:ascii="Times" w:hAnsi="Times"/>
          <w:color w:val="000000"/>
          <w:sz w:val="22"/>
          <w:szCs w:val="22"/>
          <w:lang w:val="en" w:eastAsia="fr-FR"/>
        </w:rPr>
        <w:t> </w:t>
      </w:r>
    </w:p>
    <w:p w14:paraId="541FF215" w14:textId="77777777" w:rsidR="006F5D62" w:rsidRPr="003E2412" w:rsidRDefault="006F5D62" w:rsidP="006F5D62">
      <w:pPr>
        <w:autoSpaceDE w:val="0"/>
        <w:autoSpaceDN w:val="0"/>
        <w:spacing w:line="240" w:lineRule="atLeast"/>
        <w:ind w:left="708"/>
        <w:jc w:val="both"/>
        <w:rPr>
          <w:rFonts w:ascii="Times" w:hAnsi="Times"/>
          <w:color w:val="000000"/>
          <w:sz w:val="22"/>
          <w:szCs w:val="22"/>
        </w:rPr>
      </w:pPr>
      <w:r w:rsidRPr="003E2412">
        <w:rPr>
          <w:rFonts w:ascii="Times" w:hAnsi="Times"/>
          <w:color w:val="000000"/>
          <w:sz w:val="22"/>
          <w:szCs w:val="22"/>
          <w:lang w:val="en-US"/>
        </w:rPr>
        <w:t xml:space="preserve">Furthermore, on the </w:t>
      </w:r>
      <w:proofErr w:type="spellStart"/>
      <w:r w:rsidRPr="003E2412">
        <w:rPr>
          <w:rFonts w:ascii="Times" w:hAnsi="Times"/>
          <w:color w:val="000000"/>
          <w:sz w:val="22"/>
          <w:szCs w:val="22"/>
          <w:lang w:val="en-US"/>
        </w:rPr>
        <w:t>prioritisation</w:t>
      </w:r>
      <w:proofErr w:type="spellEnd"/>
      <w:r w:rsidRPr="003E2412">
        <w:rPr>
          <w:rFonts w:ascii="Times" w:hAnsi="Times"/>
          <w:color w:val="000000"/>
          <w:sz w:val="22"/>
          <w:szCs w:val="22"/>
          <w:lang w:val="en-US"/>
        </w:rPr>
        <w:t xml:space="preserve"> of risk factors, we have concerns regarding the identification of the most important risk factors of each category and the requirement for a supplement when the order of risk factors within one category changes. </w:t>
      </w:r>
    </w:p>
    <w:p w14:paraId="6896FBE6" w14:textId="77777777" w:rsidR="006F5D62" w:rsidRPr="003E2412" w:rsidRDefault="006F5D62" w:rsidP="006F5D62">
      <w:pPr>
        <w:ind w:left="708"/>
        <w:jc w:val="both"/>
        <w:rPr>
          <w:rFonts w:ascii="Times" w:hAnsi="Times"/>
          <w:color w:val="000000"/>
          <w:sz w:val="22"/>
          <w:szCs w:val="22"/>
        </w:rPr>
      </w:pPr>
      <w:r w:rsidRPr="003E2412">
        <w:rPr>
          <w:rFonts w:ascii="Times" w:hAnsi="Times"/>
          <w:color w:val="000000"/>
          <w:sz w:val="22"/>
          <w:szCs w:val="22"/>
          <w:lang w:val="en" w:eastAsia="fr-FR"/>
        </w:rPr>
        <w:lastRenderedPageBreak/>
        <w:t> </w:t>
      </w:r>
    </w:p>
    <w:p w14:paraId="45073D71" w14:textId="77777777" w:rsidR="006F5D62" w:rsidRDefault="006F5D62" w:rsidP="006F5D62">
      <w:pPr>
        <w:widowControl w:val="0"/>
        <w:autoSpaceDE w:val="0"/>
        <w:autoSpaceDN w:val="0"/>
        <w:adjustRightInd w:val="0"/>
        <w:spacing w:line="240" w:lineRule="atLeast"/>
        <w:ind w:left="708"/>
        <w:jc w:val="both"/>
        <w:rPr>
          <w:rFonts w:ascii="Times" w:hAnsi="Times"/>
          <w:color w:val="000000"/>
          <w:sz w:val="22"/>
          <w:szCs w:val="22"/>
          <w:lang w:val="en" w:eastAsia="fr-FR"/>
        </w:rPr>
      </w:pPr>
      <w:r w:rsidRPr="003E2412">
        <w:rPr>
          <w:rFonts w:ascii="Times" w:hAnsi="Times"/>
          <w:color w:val="000000"/>
          <w:sz w:val="22"/>
          <w:szCs w:val="22"/>
          <w:lang w:val="en" w:eastAsia="fr-FR"/>
        </w:rPr>
        <w:t xml:space="preserve">As regards the Commission’s empowerment to develop delegated acts, we understood that the Commission will not envisage adopting any legislation on risk factors in the short term. Issuers already have measures in place to assess and mitigate the risks they face and have developed internal control environment either compliant with national or international frameworks (eg.: COSO) as well as reporting processes. </w:t>
      </w:r>
    </w:p>
    <w:p w14:paraId="6FFB02DB" w14:textId="77777777" w:rsidR="006F5D62" w:rsidRDefault="006F5D62" w:rsidP="006F5D62">
      <w:pPr>
        <w:widowControl w:val="0"/>
        <w:autoSpaceDE w:val="0"/>
        <w:autoSpaceDN w:val="0"/>
        <w:adjustRightInd w:val="0"/>
        <w:spacing w:line="240" w:lineRule="atLeast"/>
        <w:ind w:left="708"/>
        <w:jc w:val="both"/>
        <w:rPr>
          <w:rFonts w:ascii="Times" w:hAnsi="Times"/>
          <w:color w:val="000000"/>
          <w:sz w:val="22"/>
          <w:szCs w:val="22"/>
          <w:lang w:val="en" w:eastAsia="fr-FR"/>
        </w:rPr>
      </w:pPr>
    </w:p>
    <w:p w14:paraId="034A9275" w14:textId="41CCFC62" w:rsidR="006F5D62" w:rsidRPr="003E2412" w:rsidRDefault="006F5D62" w:rsidP="006F5D62">
      <w:pPr>
        <w:widowControl w:val="0"/>
        <w:autoSpaceDE w:val="0"/>
        <w:autoSpaceDN w:val="0"/>
        <w:adjustRightInd w:val="0"/>
        <w:spacing w:line="240" w:lineRule="atLeast"/>
        <w:ind w:left="708"/>
        <w:jc w:val="both"/>
        <w:rPr>
          <w:rFonts w:ascii="Times" w:hAnsi="Times"/>
          <w:color w:val="000000"/>
          <w:sz w:val="22"/>
          <w:szCs w:val="22"/>
        </w:rPr>
      </w:pPr>
      <w:r w:rsidRPr="003E2412">
        <w:rPr>
          <w:rFonts w:ascii="Times" w:hAnsi="Times"/>
          <w:color w:val="000000"/>
          <w:sz w:val="22"/>
          <w:szCs w:val="22"/>
          <w:lang w:val="en" w:eastAsia="fr-FR"/>
        </w:rPr>
        <w:t>Against this backdrop, we don’t see the added value guidelines or any additional piece of legislation would bring.</w:t>
      </w:r>
    </w:p>
    <w:p w14:paraId="5EE13532" w14:textId="77777777" w:rsidR="006F5D62" w:rsidRPr="003E2412" w:rsidRDefault="006F5D62" w:rsidP="006F5D62">
      <w:pPr>
        <w:widowControl w:val="0"/>
        <w:autoSpaceDE w:val="0"/>
        <w:autoSpaceDN w:val="0"/>
        <w:adjustRightInd w:val="0"/>
        <w:spacing w:line="240" w:lineRule="atLeast"/>
        <w:ind w:left="708"/>
        <w:jc w:val="both"/>
        <w:rPr>
          <w:rFonts w:ascii="Times" w:hAnsi="Times"/>
          <w:b/>
          <w:color w:val="000000"/>
          <w:sz w:val="22"/>
          <w:szCs w:val="22"/>
        </w:rPr>
      </w:pPr>
    </w:p>
    <w:p w14:paraId="6C9AA698" w14:textId="25CF47AF" w:rsidR="00B327E9" w:rsidRPr="00196A4D" w:rsidRDefault="006F5D62" w:rsidP="00196A4D">
      <w:pPr>
        <w:widowControl w:val="0"/>
        <w:autoSpaceDE w:val="0"/>
        <w:autoSpaceDN w:val="0"/>
        <w:adjustRightInd w:val="0"/>
        <w:spacing w:line="240" w:lineRule="atLeast"/>
        <w:ind w:left="708"/>
        <w:jc w:val="both"/>
        <w:rPr>
          <w:rFonts w:ascii="Times New Roman" w:hAnsi="Times New Roman"/>
          <w:color w:val="000000"/>
          <w:sz w:val="22"/>
          <w:szCs w:val="22"/>
        </w:rPr>
      </w:pPr>
      <w:r w:rsidRPr="006F5D62">
        <w:rPr>
          <w:rFonts w:ascii="Times New Roman" w:hAnsi="Times New Roman"/>
          <w:color w:val="000000"/>
          <w:sz w:val="22"/>
          <w:szCs w:val="22"/>
          <w:u w:val="single"/>
        </w:rPr>
        <w:t xml:space="preserve">Additional scope for prospectus alleviation: </w:t>
      </w:r>
      <w:r w:rsidRPr="006F5D62">
        <w:rPr>
          <w:rFonts w:ascii="Times New Roman" w:hAnsi="Times New Roman"/>
          <w:sz w:val="22"/>
          <w:szCs w:val="22"/>
        </w:rPr>
        <w:t xml:space="preserve">In addition to the proposed simplification, there is </w:t>
      </w:r>
      <w:r w:rsidRPr="006F5D62">
        <w:rPr>
          <w:rFonts w:ascii="Times New Roman" w:hAnsi="Times New Roman"/>
          <w:color w:val="000000"/>
          <w:sz w:val="22"/>
          <w:szCs w:val="22"/>
        </w:rPr>
        <w:t>still a good margin of manoeuvre at Level 2 to concretely alleviate the share registration document both for primary (full alignment of the Operating and Financial Review requirement with the management report required under the Accounting Directive; removal of the Strategy and Obje</w:t>
      </w:r>
      <w:r w:rsidRPr="006F5D62">
        <w:rPr>
          <w:rFonts w:ascii="Times New Roman" w:hAnsi="Times New Roman"/>
          <w:color w:val="000000"/>
          <w:sz w:val="22"/>
          <w:szCs w:val="22"/>
        </w:rPr>
        <w:t>c</w:t>
      </w:r>
      <w:r w:rsidRPr="006F5D62">
        <w:rPr>
          <w:rFonts w:ascii="Times New Roman" w:hAnsi="Times New Roman"/>
          <w:color w:val="000000"/>
          <w:sz w:val="22"/>
          <w:szCs w:val="22"/>
        </w:rPr>
        <w:t>tives disclosure requirement) and secondary offers (e.g. removal of the report of an independent accountant or auditor in case of profit forecast or estimate, as well as the disclosure requirement concerning property, plants and equipment, material contracts, operating and financial review e</w:t>
      </w:r>
      <w:r w:rsidRPr="006F5D62">
        <w:rPr>
          <w:rFonts w:ascii="Times New Roman" w:hAnsi="Times New Roman"/>
          <w:color w:val="000000"/>
          <w:sz w:val="22"/>
          <w:szCs w:val="22"/>
        </w:rPr>
        <w:t>x</w:t>
      </w:r>
      <w:r w:rsidRPr="006F5D62">
        <w:rPr>
          <w:rFonts w:ascii="Times New Roman" w:hAnsi="Times New Roman"/>
          <w:color w:val="000000"/>
          <w:sz w:val="22"/>
          <w:szCs w:val="22"/>
        </w:rPr>
        <w:t xml:space="preserve">cept in case of rescue situations, corporate governance information unless a major material change occurred, i.e. a merger or an acquisition). </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4"/>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3DE72FE7" w:rsidR="00357C60" w:rsidRPr="00386539" w:rsidRDefault="00386539" w:rsidP="00386539">
      <w:pPr>
        <w:widowControl w:val="0"/>
        <w:autoSpaceDE w:val="0"/>
        <w:autoSpaceDN w:val="0"/>
        <w:adjustRightInd w:val="0"/>
        <w:spacing w:line="240" w:lineRule="atLeast"/>
        <w:jc w:val="both"/>
        <w:rPr>
          <w:rFonts w:ascii="Times New Roman" w:hAnsi="Times New Roman"/>
          <w:i/>
          <w:color w:val="000000"/>
          <w:sz w:val="22"/>
          <w:szCs w:val="22"/>
        </w:rPr>
      </w:pPr>
      <w:permStart w:id="822574933" w:edGrp="everyone"/>
      <w:r w:rsidRPr="00096BDF">
        <w:rPr>
          <w:rFonts w:ascii="Times New Roman" w:hAnsi="Times New Roman"/>
          <w:color w:val="000000"/>
          <w:sz w:val="22"/>
          <w:szCs w:val="22"/>
        </w:rPr>
        <w:t xml:space="preserve">We oppose the proposal to make it mandatory to publish a three pages </w:t>
      </w:r>
      <w:r w:rsidRPr="00096BDF">
        <w:rPr>
          <w:rFonts w:ascii="Times New Roman" w:hAnsi="Times New Roman"/>
          <w:color w:val="333333"/>
          <w:sz w:val="22"/>
          <w:szCs w:val="22"/>
          <w:lang w:val="en"/>
        </w:rPr>
        <w:t xml:space="preserve">cover note. Such a cover note is not required under the Regulation, and its proposed content is already provided for elsewhere under the new regime. Furthermore, adding this new requirement would contradict the stated objective of simplifying the prospectus regime. </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w:t>
      </w:r>
      <w:r w:rsidRPr="0064701F">
        <w:rPr>
          <w:rFonts w:ascii="Arial" w:hAnsi="Arial" w:cs="Arial"/>
        </w:rPr>
        <w:t>s</w:t>
      </w:r>
      <w:r w:rsidRPr="0064701F">
        <w:rPr>
          <w:rFonts w:ascii="Arial" w:hAnsi="Arial" w:cs="Arial"/>
        </w:rPr>
        <w:t>es? Would this imply any material cost for issuers? If yes, please provide an est</w:t>
      </w:r>
      <w:r w:rsidRPr="0064701F">
        <w:rPr>
          <w:rFonts w:ascii="Arial" w:hAnsi="Arial" w:cs="Arial"/>
        </w:rPr>
        <w:t>i</w:t>
      </w:r>
      <w:r w:rsidRPr="0064701F">
        <w:rPr>
          <w:rFonts w:ascii="Arial" w:hAnsi="Arial" w:cs="Arial"/>
        </w:rPr>
        <w:t>mate of such cost.</w:t>
      </w:r>
    </w:p>
    <w:p w14:paraId="1681FD7D" w14:textId="77777777" w:rsidR="00357C60" w:rsidRDefault="00357C60" w:rsidP="00357C60">
      <w:pPr>
        <w:rPr>
          <w:rFonts w:cs="Arial"/>
        </w:rPr>
      </w:pPr>
      <w:r>
        <w:rPr>
          <w:rFonts w:cs="Arial"/>
        </w:rPr>
        <w:t>&lt;ESMA_QUESTION_FAC_2&gt;</w:t>
      </w:r>
    </w:p>
    <w:p w14:paraId="1355C22C" w14:textId="0C4D6684" w:rsidR="003E054E" w:rsidRPr="003E054E" w:rsidRDefault="003E054E" w:rsidP="003E054E">
      <w:pPr>
        <w:jc w:val="both"/>
        <w:rPr>
          <w:rFonts w:ascii="Times New Roman" w:hAnsi="Times New Roman"/>
          <w:sz w:val="22"/>
          <w:szCs w:val="22"/>
        </w:rPr>
      </w:pPr>
      <w:permStart w:id="1777273275" w:edGrp="everyone"/>
      <w:r w:rsidRPr="00096BDF">
        <w:rPr>
          <w:rFonts w:ascii="Times New Roman" w:hAnsi="Times New Roman"/>
          <w:sz w:val="22"/>
          <w:szCs w:val="22"/>
        </w:rPr>
        <w:t xml:space="preserve">Requiring a new section on how to use the base prospectus for non-equity offers to retail investors would entirely miss the point that, </w:t>
      </w:r>
      <w:bookmarkStart w:id="1" w:name="OLE_LINK3"/>
      <w:bookmarkStart w:id="2" w:name="OLE_LINK4"/>
      <w:bookmarkStart w:id="3" w:name="OLE_LINK1"/>
      <w:bookmarkStart w:id="4" w:name="OLE_LINK2"/>
      <w:r w:rsidRPr="00096BDF">
        <w:rPr>
          <w:rFonts w:ascii="Times New Roman" w:hAnsi="Times New Roman"/>
          <w:sz w:val="22"/>
          <w:szCs w:val="22"/>
        </w:rPr>
        <w:t xml:space="preserve">while advised to read the prospectus in full, retail investors base </w:t>
      </w:r>
      <w:bookmarkEnd w:id="1"/>
      <w:bookmarkEnd w:id="2"/>
      <w:r w:rsidRPr="00096BDF">
        <w:rPr>
          <w:rFonts w:ascii="Times New Roman" w:hAnsi="Times New Roman"/>
          <w:sz w:val="22"/>
          <w:szCs w:val="22"/>
        </w:rPr>
        <w:t xml:space="preserve">their decision primarily on </w:t>
      </w:r>
      <w:bookmarkEnd w:id="3"/>
      <w:bookmarkEnd w:id="4"/>
      <w:r w:rsidRPr="00096BDF">
        <w:rPr>
          <w:rFonts w:ascii="Times New Roman" w:hAnsi="Times New Roman"/>
          <w:sz w:val="22"/>
          <w:szCs w:val="22"/>
        </w:rPr>
        <w:t>advertisements. Some NCAs have thus developed the practice to systematically review the advertising material. We therefore don’t see the need for any additional disclosure requirement.</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6E0B6BEC" w:rsidR="00357C60" w:rsidRPr="00A15F56" w:rsidRDefault="00A15F56" w:rsidP="00A15F56">
      <w:pPr>
        <w:widowControl w:val="0"/>
        <w:autoSpaceDE w:val="0"/>
        <w:autoSpaceDN w:val="0"/>
        <w:adjustRightInd w:val="0"/>
        <w:spacing w:line="240" w:lineRule="atLeast"/>
        <w:jc w:val="both"/>
        <w:rPr>
          <w:rFonts w:ascii="Times New Roman" w:hAnsi="Times New Roman"/>
          <w:color w:val="333333"/>
          <w:sz w:val="22"/>
          <w:szCs w:val="22"/>
          <w:lang w:val="en"/>
        </w:rPr>
      </w:pPr>
      <w:permStart w:id="230376365" w:edGrp="everyone"/>
      <w:r w:rsidRPr="00096BDF">
        <w:rPr>
          <w:rFonts w:ascii="Times New Roman" w:hAnsi="Times New Roman"/>
          <w:color w:val="333333"/>
          <w:sz w:val="22"/>
          <w:szCs w:val="22"/>
          <w:lang w:val="en"/>
        </w:rPr>
        <w:t>Since issuers are best placed to determine how to tell their  “equity story” and deliver meaningful information, we insist on the need to leave them as much flexibility as possible in choosing how best to present themselves to investors and where to position risk factors.</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14:paraId="4446EA6D" w14:textId="77777777" w:rsidR="00357C60" w:rsidRDefault="00357C60" w:rsidP="00357C60">
      <w:pPr>
        <w:rPr>
          <w:rFonts w:cs="Arial"/>
        </w:rPr>
      </w:pPr>
      <w:r>
        <w:rPr>
          <w:rFonts w:cs="Arial"/>
        </w:rPr>
        <w:t>&lt;ESMA_QUESTION_FAC_4&gt;</w:t>
      </w:r>
    </w:p>
    <w:p w14:paraId="50CC1449" w14:textId="77777777" w:rsidR="00A15F56" w:rsidRPr="00096BDF" w:rsidRDefault="00A15F56" w:rsidP="00A15F56">
      <w:pPr>
        <w:widowControl w:val="0"/>
        <w:autoSpaceDE w:val="0"/>
        <w:autoSpaceDN w:val="0"/>
        <w:adjustRightInd w:val="0"/>
        <w:spacing w:line="240" w:lineRule="atLeast"/>
        <w:jc w:val="both"/>
        <w:rPr>
          <w:rFonts w:ascii="Times New Roman" w:hAnsi="Times New Roman"/>
          <w:color w:val="000000"/>
          <w:sz w:val="22"/>
          <w:szCs w:val="22"/>
        </w:rPr>
      </w:pPr>
      <w:permStart w:id="780303849" w:edGrp="everyone"/>
      <w:r w:rsidRPr="00096BDF">
        <w:rPr>
          <w:rFonts w:ascii="Times New Roman" w:hAnsi="Times New Roman"/>
          <w:color w:val="000000"/>
          <w:sz w:val="22"/>
          <w:szCs w:val="22"/>
        </w:rPr>
        <w:t>We consider that the order of presentation of information within the registration document should not be prescribed at EU level, and that issuers should have discretion on how best to present themselves to inve</w:t>
      </w:r>
      <w:r w:rsidRPr="00096BDF">
        <w:rPr>
          <w:rFonts w:ascii="Times New Roman" w:hAnsi="Times New Roman"/>
          <w:color w:val="000000"/>
          <w:sz w:val="22"/>
          <w:szCs w:val="22"/>
        </w:rPr>
        <w:t>s</w:t>
      </w:r>
      <w:r w:rsidRPr="00096BDF">
        <w:rPr>
          <w:rFonts w:ascii="Times New Roman" w:hAnsi="Times New Roman"/>
          <w:color w:val="000000"/>
          <w:sz w:val="22"/>
          <w:szCs w:val="22"/>
        </w:rPr>
        <w:t>tors</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4"/>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14:paraId="5786614F" w14:textId="77777777" w:rsidR="00357C60" w:rsidRDefault="00357C60" w:rsidP="00357C60">
      <w:pPr>
        <w:rPr>
          <w:rFonts w:cs="Arial"/>
        </w:rPr>
      </w:pPr>
      <w:r>
        <w:rPr>
          <w:rFonts w:cs="Arial"/>
        </w:rPr>
        <w:t>&lt;ESMA_QUESTION_FAC_5&gt;</w:t>
      </w:r>
    </w:p>
    <w:p w14:paraId="295C173E" w14:textId="6A64C416" w:rsidR="00E33021" w:rsidRPr="00E33021" w:rsidRDefault="00153B3A" w:rsidP="00E33021">
      <w:pPr>
        <w:jc w:val="both"/>
        <w:rPr>
          <w:rFonts w:ascii="Times" w:hAnsi="Times" w:cs="Arial"/>
          <w:sz w:val="22"/>
          <w:szCs w:val="22"/>
        </w:rPr>
      </w:pPr>
      <w:bookmarkStart w:id="5" w:name="_Hlk493595844"/>
      <w:permStart w:id="939810803" w:edGrp="everyone"/>
      <w:r w:rsidRPr="00153B3A">
        <w:rPr>
          <w:rFonts w:ascii="Times" w:hAnsi="Times" w:cs="Arial"/>
          <w:sz w:val="22"/>
          <w:szCs w:val="22"/>
        </w:rPr>
        <w:t>We agree that</w:t>
      </w:r>
      <w:r w:rsidR="0032762D">
        <w:rPr>
          <w:rFonts w:ascii="Times" w:hAnsi="Times" w:cs="Arial"/>
          <w:sz w:val="22"/>
          <w:szCs w:val="22"/>
        </w:rPr>
        <w:t>, in specific cases</w:t>
      </w:r>
      <w:proofErr w:type="gramStart"/>
      <w:r w:rsidR="0032762D">
        <w:rPr>
          <w:rFonts w:ascii="Times" w:hAnsi="Times" w:cs="Arial"/>
          <w:sz w:val="22"/>
          <w:szCs w:val="22"/>
        </w:rPr>
        <w:t xml:space="preserve">, </w:t>
      </w:r>
      <w:r w:rsidRPr="00153B3A">
        <w:rPr>
          <w:rFonts w:ascii="Times" w:hAnsi="Times" w:cs="Arial"/>
          <w:sz w:val="22"/>
          <w:szCs w:val="22"/>
        </w:rPr>
        <w:t xml:space="preserve"> the</w:t>
      </w:r>
      <w:proofErr w:type="gramEnd"/>
      <w:r w:rsidRPr="00153B3A">
        <w:rPr>
          <w:rFonts w:ascii="Times" w:hAnsi="Times" w:cs="Arial"/>
          <w:sz w:val="22"/>
          <w:szCs w:val="22"/>
        </w:rPr>
        <w:t xml:space="preserve"> use of proceeds</w:t>
      </w:r>
      <w:r w:rsidR="0032762D">
        <w:rPr>
          <w:rFonts w:ascii="Times" w:hAnsi="Times" w:cs="Arial"/>
          <w:sz w:val="22"/>
          <w:szCs w:val="22"/>
        </w:rPr>
        <w:t xml:space="preserve">  may be of importance</w:t>
      </w:r>
      <w:r w:rsidRPr="00153B3A">
        <w:rPr>
          <w:rFonts w:ascii="Times" w:hAnsi="Times" w:cs="Arial"/>
          <w:sz w:val="22"/>
          <w:szCs w:val="22"/>
        </w:rPr>
        <w:t xml:space="preserve"> to investors. However, E</w:t>
      </w:r>
      <w:r w:rsidRPr="00153B3A">
        <w:rPr>
          <w:rFonts w:ascii="Times" w:hAnsi="Times" w:cs="Arial"/>
          <w:sz w:val="22"/>
          <w:szCs w:val="22"/>
        </w:rPr>
        <w:t>S</w:t>
      </w:r>
      <w:r w:rsidRPr="00153B3A">
        <w:rPr>
          <w:rFonts w:ascii="Times" w:hAnsi="Times" w:cs="Arial"/>
          <w:sz w:val="22"/>
          <w:szCs w:val="22"/>
        </w:rPr>
        <w:t>MA’s</w:t>
      </w:r>
      <w:r w:rsidR="0032762D">
        <w:rPr>
          <w:rFonts w:ascii="Times" w:hAnsi="Times" w:cs="Arial"/>
          <w:sz w:val="22"/>
          <w:szCs w:val="22"/>
        </w:rPr>
        <w:t xml:space="preserve"> aim is not clearly stated. </w:t>
      </w:r>
      <w:r w:rsidR="000B7989">
        <w:rPr>
          <w:rFonts w:ascii="Times" w:hAnsi="Times" w:cs="Arial"/>
          <w:sz w:val="22"/>
          <w:szCs w:val="22"/>
        </w:rPr>
        <w:t>If it is to include a section on the reasons of the offer and the use of pr</w:t>
      </w:r>
      <w:r w:rsidR="000B7989">
        <w:rPr>
          <w:rFonts w:ascii="Times" w:hAnsi="Times" w:cs="Arial"/>
          <w:sz w:val="22"/>
          <w:szCs w:val="22"/>
        </w:rPr>
        <w:t>o</w:t>
      </w:r>
      <w:r w:rsidR="000B7989">
        <w:rPr>
          <w:rFonts w:ascii="Times" w:hAnsi="Times" w:cs="Arial"/>
          <w:sz w:val="22"/>
          <w:szCs w:val="22"/>
        </w:rPr>
        <w:t xml:space="preserve">ceeds, we don’t see its value added. If it </w:t>
      </w:r>
      <w:proofErr w:type="gramStart"/>
      <w:r w:rsidR="00E33021">
        <w:rPr>
          <w:rFonts w:ascii="Times" w:hAnsi="Times" w:cs="Arial"/>
          <w:sz w:val="22"/>
          <w:szCs w:val="22"/>
        </w:rPr>
        <w:t>is</w:t>
      </w:r>
      <w:proofErr w:type="gramEnd"/>
      <w:r w:rsidR="00E33021">
        <w:rPr>
          <w:rFonts w:ascii="Times" w:hAnsi="Times" w:cs="Arial"/>
          <w:sz w:val="22"/>
          <w:szCs w:val="22"/>
        </w:rPr>
        <w:t xml:space="preserve"> </w:t>
      </w:r>
      <w:r w:rsidRPr="00153B3A">
        <w:rPr>
          <w:rFonts w:ascii="Times" w:hAnsi="Times" w:cs="Arial"/>
          <w:sz w:val="22"/>
          <w:szCs w:val="22"/>
        </w:rPr>
        <w:t>to require more detailed information</w:t>
      </w:r>
      <w:r w:rsidR="000B7989">
        <w:rPr>
          <w:rFonts w:ascii="Times" w:hAnsi="Times" w:cs="Arial"/>
          <w:sz w:val="22"/>
          <w:szCs w:val="22"/>
        </w:rPr>
        <w:t>,</w:t>
      </w:r>
      <w:r w:rsidRPr="00153B3A">
        <w:rPr>
          <w:rFonts w:ascii="Times" w:hAnsi="Times" w:cs="Arial"/>
          <w:sz w:val="22"/>
          <w:szCs w:val="22"/>
        </w:rPr>
        <w:t xml:space="preserve"> including as mentioned in the consultation paper a “precise breakdown of how funds will be employed”, </w:t>
      </w:r>
      <w:r w:rsidRPr="000B7989">
        <w:rPr>
          <w:rFonts w:ascii="Times" w:hAnsi="Times" w:cs="Arial"/>
          <w:sz w:val="22"/>
          <w:szCs w:val="22"/>
        </w:rPr>
        <w:t xml:space="preserve">we would not support this </w:t>
      </w:r>
      <w:r w:rsidRPr="000B7989">
        <w:rPr>
          <w:rFonts w:ascii="Times" w:hAnsi="Times" w:cs="Arial"/>
          <w:sz w:val="22"/>
          <w:szCs w:val="22"/>
        </w:rPr>
        <w:lastRenderedPageBreak/>
        <w:t>overly prescriptive requirement.</w:t>
      </w:r>
      <w:bookmarkEnd w:id="5"/>
      <w:r w:rsidR="000B7989">
        <w:rPr>
          <w:rFonts w:ascii="Times" w:hAnsi="Times" w:cs="Arial"/>
          <w:sz w:val="22"/>
          <w:szCs w:val="22"/>
        </w:rPr>
        <w:t xml:space="preserve"> </w:t>
      </w:r>
      <w:r w:rsidR="00E33021" w:rsidRPr="00E33021">
        <w:rPr>
          <w:rFonts w:ascii="Times" w:hAnsi="Times"/>
          <w:sz w:val="22"/>
          <w:szCs w:val="22"/>
        </w:rPr>
        <w:t>The correct test to apply for such information is whether it is material to an investor for making an informed assessment; there should be no requirement to include overly granular or immaterial information, even if such infor</w:t>
      </w:r>
      <w:r w:rsidR="00E33021">
        <w:rPr>
          <w:rFonts w:ascii="Times" w:hAnsi="Times"/>
          <w:sz w:val="22"/>
          <w:szCs w:val="22"/>
        </w:rPr>
        <w:t xml:space="preserve">mation is </w:t>
      </w:r>
      <w:r w:rsidR="00E33021" w:rsidRPr="00E33021">
        <w:rPr>
          <w:rFonts w:ascii="Times" w:hAnsi="Times"/>
          <w:sz w:val="22"/>
          <w:szCs w:val="22"/>
        </w:rPr>
        <w:t>available.</w:t>
      </w:r>
    </w:p>
    <w:p w14:paraId="1E83BE39" w14:textId="5E1AA0FA" w:rsidR="00153B3A" w:rsidRPr="000B7989" w:rsidRDefault="00153B3A" w:rsidP="00153B3A">
      <w:pPr>
        <w:jc w:val="both"/>
        <w:rPr>
          <w:rFonts w:ascii="Times" w:hAnsi="Times" w:cs="Arial"/>
          <w:sz w:val="22"/>
          <w:szCs w:val="22"/>
        </w:rPr>
      </w:pP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14:paraId="1ED440F7" w14:textId="77777777" w:rsidR="00357C60" w:rsidRDefault="00357C60" w:rsidP="00357C60">
      <w:pPr>
        <w:rPr>
          <w:rFonts w:cs="Arial"/>
        </w:rPr>
      </w:pPr>
      <w:r>
        <w:rPr>
          <w:rFonts w:cs="Arial"/>
        </w:rPr>
        <w:t>&lt;ESMA_QUESTION_FAC_8&gt;</w:t>
      </w:r>
    </w:p>
    <w:p w14:paraId="766DE091" w14:textId="77777777" w:rsidR="00E33021" w:rsidRPr="00096BDF" w:rsidRDefault="00E33021" w:rsidP="00E33021">
      <w:pPr>
        <w:jc w:val="both"/>
        <w:rPr>
          <w:rFonts w:ascii="Times New Roman" w:hAnsi="Times New Roman"/>
          <w:sz w:val="22"/>
          <w:szCs w:val="22"/>
        </w:rPr>
      </w:pPr>
      <w:permStart w:id="510986610" w:edGrp="everyone"/>
      <w:r w:rsidRPr="00096BDF">
        <w:rPr>
          <w:rFonts w:ascii="Times New Roman" w:hAnsi="Times New Roman"/>
          <w:color w:val="000000"/>
          <w:sz w:val="22"/>
          <w:szCs w:val="22"/>
        </w:rPr>
        <w:t xml:space="preserve">The above technical advice adds new requirements with no benefits to investors but additional costs to issuers. </w:t>
      </w:r>
      <w:r w:rsidRPr="00096BDF">
        <w:rPr>
          <w:rFonts w:ascii="Times New Roman" w:hAnsi="Times New Roman"/>
          <w:sz w:val="22"/>
          <w:szCs w:val="22"/>
        </w:rPr>
        <w:t xml:space="preserve">That is why we oppose it. </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A679EBB" w14:textId="6C0AECC3" w:rsidR="00B86CA8" w:rsidRDefault="00B86CA8" w:rsidP="00B86CA8">
      <w:pPr>
        <w:jc w:val="both"/>
        <w:rPr>
          <w:rFonts w:cs="Arial"/>
        </w:rPr>
      </w:pPr>
      <w:permStart w:id="685058818" w:edGrp="everyone"/>
      <w:r w:rsidRPr="00B86CA8">
        <w:rPr>
          <w:rFonts w:cs="Arial"/>
        </w:rPr>
        <w:t>We consider that the scope of the scrutiny by the Competent Authority is clear</w:t>
      </w:r>
      <w:r>
        <w:rPr>
          <w:rFonts w:cs="Arial"/>
        </w:rPr>
        <w:t xml:space="preserve">ly defined at </w:t>
      </w:r>
      <w:r w:rsidRPr="00B86CA8">
        <w:rPr>
          <w:rFonts w:cs="Arial"/>
        </w:rPr>
        <w:t xml:space="preserve">Level 1. </w:t>
      </w:r>
      <w:r w:rsidRPr="00B86CA8">
        <w:t>In addition there are new items (</w:t>
      </w:r>
      <w:proofErr w:type="spellStart"/>
      <w:r w:rsidRPr="00B86CA8">
        <w:t>eg</w:t>
      </w:r>
      <w:proofErr w:type="spellEnd"/>
      <w:proofErr w:type="gramStart"/>
      <w:r w:rsidRPr="00B86CA8">
        <w:t>.:</w:t>
      </w:r>
      <w:proofErr w:type="gramEnd"/>
      <w:r w:rsidRPr="00B86CA8">
        <w:t xml:space="preserve"> item 1.5 of annex 1 and 7.4 of annexes 5 and 6) which include that information. </w:t>
      </w:r>
      <w:r w:rsidRPr="00B86CA8">
        <w:rPr>
          <w:rFonts w:cs="Arial"/>
        </w:rPr>
        <w:t>There is therefore no need for a new statement</w:t>
      </w:r>
      <w:r w:rsidRPr="00513ADE">
        <w:rPr>
          <w:rFonts w:cs="Arial"/>
          <w:b/>
        </w:rPr>
        <w:t>.</w:t>
      </w:r>
    </w:p>
    <w:p w14:paraId="44E58DA3" w14:textId="77777777" w:rsidR="00357C60" w:rsidRDefault="00357C60" w:rsidP="00357C60">
      <w:pPr>
        <w:rPr>
          <w:rFonts w:cs="Arial"/>
        </w:rPr>
      </w:pPr>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7D514ECD" w14:textId="77777777" w:rsidR="00A90814" w:rsidRPr="00096BDF" w:rsidRDefault="00A90814" w:rsidP="00A90814">
      <w:pPr>
        <w:widowControl w:val="0"/>
        <w:autoSpaceDE w:val="0"/>
        <w:autoSpaceDN w:val="0"/>
        <w:adjustRightInd w:val="0"/>
        <w:spacing w:line="240" w:lineRule="atLeast"/>
        <w:jc w:val="both"/>
        <w:rPr>
          <w:rFonts w:ascii="Times New Roman" w:hAnsi="Times New Roman"/>
          <w:color w:val="000000"/>
          <w:sz w:val="22"/>
          <w:szCs w:val="22"/>
        </w:rPr>
      </w:pPr>
      <w:permStart w:id="2034252493" w:edGrp="everyone"/>
      <w:r w:rsidRPr="00096BDF">
        <w:rPr>
          <w:rFonts w:ascii="Times New Roman" w:hAnsi="Times New Roman"/>
          <w:color w:val="000000"/>
          <w:sz w:val="22"/>
          <w:szCs w:val="22"/>
        </w:rPr>
        <w:t>We agree that the "selected financial information" section is unnecessary and should be removed, as article 7.6(b) of the Prospectus Regulation requires issuers to include historical information in the su</w:t>
      </w:r>
      <w:r w:rsidRPr="00096BDF">
        <w:rPr>
          <w:rFonts w:ascii="Times New Roman" w:hAnsi="Times New Roman"/>
          <w:color w:val="000000"/>
          <w:sz w:val="22"/>
          <w:szCs w:val="22"/>
        </w:rPr>
        <w:t>m</w:t>
      </w:r>
      <w:r w:rsidRPr="00096BDF">
        <w:rPr>
          <w:rFonts w:ascii="Times New Roman" w:hAnsi="Times New Roman"/>
          <w:color w:val="000000"/>
          <w:sz w:val="22"/>
          <w:szCs w:val="22"/>
        </w:rPr>
        <w:t>mary. In addition, as pointed out by ESMA, selected financial information is already mentioned in diffe</w:t>
      </w:r>
      <w:r w:rsidRPr="00096BDF">
        <w:rPr>
          <w:rFonts w:ascii="Times New Roman" w:hAnsi="Times New Roman"/>
          <w:color w:val="000000"/>
          <w:sz w:val="22"/>
          <w:szCs w:val="22"/>
        </w:rPr>
        <w:t>r</w:t>
      </w:r>
      <w:r w:rsidRPr="00096BDF">
        <w:rPr>
          <w:rFonts w:ascii="Times New Roman" w:hAnsi="Times New Roman"/>
          <w:color w:val="000000"/>
          <w:sz w:val="22"/>
          <w:szCs w:val="22"/>
        </w:rPr>
        <w:t xml:space="preserve">ent sections of the share registration document. </w:t>
      </w:r>
    </w:p>
    <w:permEnd w:id="2034252493"/>
    <w:p w14:paraId="52A8E79D" w14:textId="77777777" w:rsidR="00357C60" w:rsidRDefault="00357C60" w:rsidP="00357C60">
      <w:pPr>
        <w:rPr>
          <w:rFonts w:cs="Arial"/>
        </w:rPr>
      </w:pPr>
      <w:r>
        <w:rPr>
          <w:rFonts w:cs="Arial"/>
        </w:rPr>
        <w:lastRenderedPageBreak/>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5050CF11" w:rsidR="00357C60" w:rsidRPr="00F7174C" w:rsidRDefault="00343F5D" w:rsidP="00343F5D">
      <w:pPr>
        <w:jc w:val="both"/>
        <w:rPr>
          <w:rFonts w:ascii="Times" w:hAnsi="Times"/>
          <w:sz w:val="22"/>
          <w:szCs w:val="22"/>
          <w:lang w:val="en-US"/>
        </w:rPr>
      </w:pPr>
      <w:permStart w:id="1800363210" w:edGrp="everyone"/>
      <w:r w:rsidRPr="00F7174C">
        <w:rPr>
          <w:rFonts w:ascii="Times" w:hAnsi="Times"/>
          <w:sz w:val="22"/>
          <w:szCs w:val="22"/>
        </w:rPr>
        <w:t xml:space="preserve">Listed companies are already obliged under other pieces of EU legislation to operate </w:t>
      </w:r>
      <w:r w:rsidRPr="00F7174C">
        <w:rPr>
          <w:rFonts w:ascii="Times" w:hAnsi="Times"/>
          <w:sz w:val="22"/>
          <w:szCs w:val="22"/>
          <w:lang w:val="en-US"/>
        </w:rPr>
        <w:t xml:space="preserve">their own </w:t>
      </w:r>
      <w:r w:rsidRPr="00F7174C">
        <w:rPr>
          <w:rFonts w:ascii="Times" w:hAnsi="Times"/>
          <w:bCs/>
          <w:sz w:val="22"/>
          <w:szCs w:val="22"/>
          <w:lang w:val="en-US"/>
        </w:rPr>
        <w:t xml:space="preserve">web sites. </w:t>
      </w:r>
      <w:r w:rsidRPr="00F7174C">
        <w:rPr>
          <w:rFonts w:ascii="Times" w:hAnsi="Times"/>
          <w:sz w:val="22"/>
          <w:szCs w:val="22"/>
        </w:rPr>
        <w:t>Therefore, including a link to the website and making documents on display electronically available should not raise any issue. However, we are concerned about ESMA’s proposal to require a disclaimer that the information on the website does not form part of the prospectus. We don’t see the added value of such a disclaimer – circumstances under which an investor would consider that all the website is part of the prospectus are not clear – and we consider that it could even be confusing</w:t>
      </w:r>
      <w:r w:rsidR="000C403F" w:rsidRPr="00F7174C">
        <w:rPr>
          <w:rFonts w:ascii="Times" w:hAnsi="Times"/>
          <w:b/>
          <w:sz w:val="22"/>
          <w:szCs w:val="22"/>
        </w:rPr>
        <w:t xml:space="preserve"> </w:t>
      </w:r>
      <w:r w:rsidR="000C403F" w:rsidRPr="00F7174C">
        <w:rPr>
          <w:rFonts w:ascii="Times" w:hAnsi="Times"/>
          <w:sz w:val="22"/>
          <w:szCs w:val="22"/>
        </w:rPr>
        <w:t>since documents incorp</w:t>
      </w:r>
      <w:r w:rsidR="000C403F" w:rsidRPr="00F7174C">
        <w:rPr>
          <w:rFonts w:ascii="Times" w:hAnsi="Times"/>
          <w:sz w:val="22"/>
          <w:szCs w:val="22"/>
        </w:rPr>
        <w:t>o</w:t>
      </w:r>
      <w:r w:rsidR="000C403F" w:rsidRPr="00F7174C">
        <w:rPr>
          <w:rFonts w:ascii="Times" w:hAnsi="Times"/>
          <w:sz w:val="22"/>
          <w:szCs w:val="22"/>
        </w:rPr>
        <w:t>rated by reference in the prospectus could be available on the issuer’s website. The proposal to introduce this disclaimer should be removed.</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4161F786" w:rsidR="00357C60" w:rsidRPr="001F3B8E" w:rsidRDefault="001F3B8E" w:rsidP="001F3B8E">
      <w:pPr>
        <w:widowControl w:val="0"/>
        <w:autoSpaceDE w:val="0"/>
        <w:autoSpaceDN w:val="0"/>
        <w:adjustRightInd w:val="0"/>
        <w:spacing w:line="240" w:lineRule="atLeast"/>
        <w:jc w:val="both"/>
        <w:rPr>
          <w:rFonts w:ascii="Times New Roman" w:hAnsi="Times New Roman"/>
          <w:i/>
          <w:color w:val="000000"/>
        </w:rPr>
      </w:pPr>
      <w:permStart w:id="1788509601" w:edGrp="everyone"/>
      <w:r w:rsidRPr="00096BDF">
        <w:rPr>
          <w:rFonts w:ascii="Times New Roman" w:hAnsi="Times New Roman"/>
          <w:color w:val="000000"/>
        </w:rPr>
        <w:t xml:space="preserve">We consider that description in the schedule of past investment is redundant, as disclosure of tangible fixed assets is already required in the financial statements. More generally, we are of the view that the level 2 should pursue a less prescriptive approach as regards historical financial information. </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align the OFR requirement with the manag</w:t>
      </w:r>
      <w:r w:rsidRPr="0064701F">
        <w:rPr>
          <w:rFonts w:ascii="Arial" w:hAnsi="Arial" w:cs="Arial"/>
        </w:rPr>
        <w:t>e</w:t>
      </w:r>
      <w:r w:rsidRPr="0064701F">
        <w:rPr>
          <w:rFonts w:ascii="Arial" w:hAnsi="Arial" w:cs="Arial"/>
        </w:rPr>
        <w:t>ment reports required under the Accounting Directive? Would this materially r</w:t>
      </w:r>
      <w:r w:rsidRPr="0064701F">
        <w:rPr>
          <w:rFonts w:ascii="Arial" w:hAnsi="Arial" w:cs="Arial"/>
        </w:rPr>
        <w:t>e</w:t>
      </w:r>
      <w:r w:rsidRPr="0064701F">
        <w:rPr>
          <w:rFonts w:ascii="Arial" w:hAnsi="Arial" w:cs="Arial"/>
        </w:rPr>
        <w:t>duce costs for issuers?</w:t>
      </w:r>
    </w:p>
    <w:p w14:paraId="73EF5F94" w14:textId="77777777" w:rsidR="00357C60" w:rsidRDefault="00357C60" w:rsidP="00357C60">
      <w:pPr>
        <w:rPr>
          <w:rFonts w:cs="Arial"/>
        </w:rPr>
      </w:pPr>
      <w:r>
        <w:rPr>
          <w:rFonts w:cs="Arial"/>
        </w:rPr>
        <w:t>&lt;ESMA_QUESTION_FAC_13&gt;</w:t>
      </w:r>
    </w:p>
    <w:p w14:paraId="0260A16D" w14:textId="77777777" w:rsidR="00207526" w:rsidRPr="00207526" w:rsidRDefault="00207526" w:rsidP="00207526">
      <w:pPr>
        <w:widowControl w:val="0"/>
        <w:autoSpaceDE w:val="0"/>
        <w:autoSpaceDN w:val="0"/>
        <w:adjustRightInd w:val="0"/>
        <w:spacing w:line="240" w:lineRule="atLeast"/>
        <w:jc w:val="both"/>
        <w:rPr>
          <w:rFonts w:ascii="Times" w:hAnsi="Times"/>
          <w:color w:val="000000"/>
          <w:sz w:val="22"/>
          <w:szCs w:val="22"/>
        </w:rPr>
      </w:pPr>
      <w:permStart w:id="298938205" w:edGrp="everyone"/>
      <w:r w:rsidRPr="00207526">
        <w:rPr>
          <w:rFonts w:ascii="Times" w:hAnsi="Times"/>
          <w:color w:val="000000"/>
          <w:sz w:val="22"/>
          <w:szCs w:val="22"/>
        </w:rPr>
        <w:t>We welcome the proposal to align the Operational and Financial Review (OFR) with the management report required under the Accounting directive. This will ensure that all information relating to strategies, prospects and risks has been included in the OFR and facilitate incorporation by reference of the manag</w:t>
      </w:r>
      <w:r w:rsidRPr="00207526">
        <w:rPr>
          <w:rFonts w:ascii="Times" w:hAnsi="Times"/>
          <w:color w:val="000000"/>
          <w:sz w:val="22"/>
          <w:szCs w:val="22"/>
        </w:rPr>
        <w:t>e</w:t>
      </w:r>
      <w:r w:rsidRPr="00207526">
        <w:rPr>
          <w:rFonts w:ascii="Times" w:hAnsi="Times"/>
          <w:color w:val="000000"/>
          <w:sz w:val="22"/>
          <w:szCs w:val="22"/>
        </w:rPr>
        <w:t>ment report from the issuer’s annual report.</w:t>
      </w:r>
    </w:p>
    <w:p w14:paraId="501D8F97" w14:textId="77777777" w:rsidR="00207526" w:rsidRPr="00207526" w:rsidRDefault="00207526" w:rsidP="00207526">
      <w:pPr>
        <w:widowControl w:val="0"/>
        <w:autoSpaceDE w:val="0"/>
        <w:autoSpaceDN w:val="0"/>
        <w:adjustRightInd w:val="0"/>
        <w:spacing w:line="240" w:lineRule="atLeast"/>
        <w:jc w:val="both"/>
        <w:rPr>
          <w:rFonts w:ascii="Times" w:hAnsi="Times"/>
          <w:color w:val="000000"/>
          <w:sz w:val="22"/>
          <w:szCs w:val="22"/>
        </w:rPr>
      </w:pPr>
    </w:p>
    <w:p w14:paraId="41329625" w14:textId="0376F406" w:rsidR="00357C60" w:rsidRPr="00207526" w:rsidRDefault="00207526" w:rsidP="00207526">
      <w:pPr>
        <w:rPr>
          <w:rFonts w:ascii="Times" w:hAnsi="Times" w:cs="Arial"/>
          <w:sz w:val="22"/>
          <w:szCs w:val="22"/>
        </w:rPr>
      </w:pPr>
      <w:r w:rsidRPr="00207526">
        <w:rPr>
          <w:rFonts w:ascii="Times" w:hAnsi="Times"/>
          <w:color w:val="000000"/>
          <w:sz w:val="22"/>
          <w:szCs w:val="22"/>
        </w:rPr>
        <w:t>However, ESMA’s concrete proposals fall short of full alignment, with section 9.1 (Financial condition) being aligned with the management report whereas section 9.2 (Operating results) is not.  Hence we propose to extend the alignment principle to section 9.2</w:t>
      </w:r>
      <w:r w:rsidRPr="00207526">
        <w:rPr>
          <w:rFonts w:ascii="Times" w:hAnsi="Times" w:cs="Arial"/>
          <w:sz w:val="22"/>
          <w:szCs w:val="22"/>
        </w:rPr>
        <w:t>.</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4"/>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w:t>
      </w:r>
      <w:r w:rsidR="00357C60" w:rsidRPr="0064701F">
        <w:rPr>
          <w:rFonts w:ascii="Arial" w:hAnsi="Arial" w:cs="Arial"/>
        </w:rPr>
        <w:t>e</w:t>
      </w:r>
      <w:r w:rsidR="00357C60" w:rsidRPr="0064701F">
        <w:rPr>
          <w:rFonts w:ascii="Arial" w:hAnsi="Arial" w:cs="Arial"/>
        </w:rPr>
        <w:t>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211E53DD" w14:textId="77777777" w:rsidR="00045266" w:rsidRDefault="00045266" w:rsidP="00C46CCC">
      <w:pPr>
        <w:widowControl w:val="0"/>
        <w:autoSpaceDE w:val="0"/>
        <w:autoSpaceDN w:val="0"/>
        <w:adjustRightInd w:val="0"/>
        <w:spacing w:line="240" w:lineRule="atLeast"/>
        <w:jc w:val="both"/>
        <w:rPr>
          <w:rFonts w:ascii="Times" w:hAnsi="Times"/>
          <w:color w:val="000000"/>
          <w:sz w:val="22"/>
          <w:szCs w:val="22"/>
          <w:highlight w:val="yellow"/>
        </w:rPr>
      </w:pPr>
      <w:permStart w:id="4075115" w:edGrp="everyone"/>
    </w:p>
    <w:p w14:paraId="7A963761" w14:textId="259C05D1" w:rsidR="007A5624" w:rsidRPr="007A5624" w:rsidRDefault="00045266" w:rsidP="00C46CCC">
      <w:pPr>
        <w:widowControl w:val="0"/>
        <w:autoSpaceDE w:val="0"/>
        <w:autoSpaceDN w:val="0"/>
        <w:adjustRightInd w:val="0"/>
        <w:spacing w:line="240" w:lineRule="atLeast"/>
        <w:jc w:val="both"/>
        <w:rPr>
          <w:rFonts w:ascii="Times" w:hAnsi="Times"/>
          <w:color w:val="000000"/>
          <w:sz w:val="22"/>
          <w:szCs w:val="22"/>
        </w:rPr>
      </w:pPr>
      <w:r w:rsidRPr="007A5624">
        <w:rPr>
          <w:rFonts w:ascii="Times" w:hAnsi="Times"/>
          <w:color w:val="000000"/>
          <w:sz w:val="22"/>
          <w:szCs w:val="22"/>
        </w:rPr>
        <w:lastRenderedPageBreak/>
        <w:t>First, w</w:t>
      </w:r>
      <w:r w:rsidR="007C31B3" w:rsidRPr="007A5624">
        <w:rPr>
          <w:rFonts w:ascii="Times" w:hAnsi="Times"/>
          <w:color w:val="000000"/>
          <w:sz w:val="22"/>
          <w:szCs w:val="22"/>
        </w:rPr>
        <w:t>e</w:t>
      </w:r>
      <w:r w:rsidR="007A5624" w:rsidRPr="007A5624">
        <w:rPr>
          <w:rFonts w:ascii="Times" w:hAnsi="Times"/>
          <w:color w:val="000000"/>
          <w:sz w:val="22"/>
          <w:szCs w:val="22"/>
        </w:rPr>
        <w:t xml:space="preserve"> </w:t>
      </w:r>
      <w:r w:rsidR="007A5624" w:rsidRPr="007A5624">
        <w:rPr>
          <w:rFonts w:ascii="Times" w:hAnsi="Times"/>
          <w:color w:val="000000"/>
          <w:sz w:val="22"/>
          <w:szCs w:val="22"/>
        </w:rPr>
        <w:t>consider that profit forecasts should be limited to equity issuanc</w:t>
      </w:r>
      <w:r w:rsidR="002E315C">
        <w:rPr>
          <w:rFonts w:ascii="Times" w:hAnsi="Times"/>
          <w:color w:val="000000"/>
          <w:sz w:val="22"/>
          <w:szCs w:val="22"/>
        </w:rPr>
        <w:t xml:space="preserve">es and </w:t>
      </w:r>
      <w:r w:rsidR="007A5624" w:rsidRPr="007A5624">
        <w:rPr>
          <w:rFonts w:ascii="Times" w:hAnsi="Times"/>
          <w:color w:val="000000"/>
          <w:sz w:val="22"/>
          <w:szCs w:val="22"/>
        </w:rPr>
        <w:t>oppose the proposal to extend this requirement to non-equity issuances.</w:t>
      </w:r>
    </w:p>
    <w:p w14:paraId="6419F863" w14:textId="6D97E9A8" w:rsidR="007A5624" w:rsidRPr="007A5624" w:rsidRDefault="007A5624" w:rsidP="00C46CCC">
      <w:pPr>
        <w:widowControl w:val="0"/>
        <w:autoSpaceDE w:val="0"/>
        <w:autoSpaceDN w:val="0"/>
        <w:adjustRightInd w:val="0"/>
        <w:spacing w:line="240" w:lineRule="atLeast"/>
        <w:jc w:val="both"/>
        <w:rPr>
          <w:rFonts w:ascii="Times" w:hAnsi="Times"/>
          <w:color w:val="000000"/>
          <w:sz w:val="22"/>
          <w:szCs w:val="22"/>
        </w:rPr>
      </w:pPr>
      <w:r w:rsidRPr="007A5624">
        <w:rPr>
          <w:rFonts w:ascii="Times" w:hAnsi="Times"/>
          <w:color w:val="000000"/>
          <w:sz w:val="22"/>
          <w:szCs w:val="22"/>
        </w:rPr>
        <w:t xml:space="preserve">Second, </w:t>
      </w:r>
      <w:proofErr w:type="gramStart"/>
      <w:r w:rsidRPr="007A5624">
        <w:rPr>
          <w:rFonts w:ascii="Times" w:hAnsi="Times"/>
          <w:color w:val="000000"/>
          <w:sz w:val="22"/>
          <w:szCs w:val="22"/>
        </w:rPr>
        <w:t xml:space="preserve">we </w:t>
      </w:r>
      <w:r w:rsidR="007C31B3" w:rsidRPr="007A5624">
        <w:rPr>
          <w:rFonts w:ascii="Times" w:hAnsi="Times"/>
          <w:color w:val="000000"/>
          <w:sz w:val="22"/>
          <w:szCs w:val="22"/>
        </w:rPr>
        <w:t xml:space="preserve"> have</w:t>
      </w:r>
      <w:proofErr w:type="gramEnd"/>
      <w:r w:rsidR="007C31B3" w:rsidRPr="007A5624">
        <w:rPr>
          <w:rFonts w:ascii="Times" w:hAnsi="Times"/>
          <w:color w:val="000000"/>
          <w:sz w:val="22"/>
          <w:szCs w:val="22"/>
        </w:rPr>
        <w:t xml:space="preserve"> doubt about t</w:t>
      </w:r>
      <w:r w:rsidR="00045266" w:rsidRPr="007A5624">
        <w:rPr>
          <w:rFonts w:ascii="Times" w:hAnsi="Times"/>
          <w:color w:val="000000"/>
          <w:sz w:val="22"/>
          <w:szCs w:val="22"/>
        </w:rPr>
        <w:t>h</w:t>
      </w:r>
      <w:r w:rsidR="007C31B3" w:rsidRPr="007A5624">
        <w:rPr>
          <w:rFonts w:ascii="Times" w:hAnsi="Times"/>
          <w:color w:val="000000"/>
          <w:sz w:val="22"/>
          <w:szCs w:val="22"/>
        </w:rPr>
        <w:t xml:space="preserve">e deletion </w:t>
      </w:r>
      <w:r w:rsidR="00045266" w:rsidRPr="007A5624">
        <w:rPr>
          <w:rFonts w:ascii="Times" w:hAnsi="Times"/>
          <w:color w:val="000000"/>
          <w:sz w:val="22"/>
          <w:szCs w:val="22"/>
        </w:rPr>
        <w:t xml:space="preserve">of </w:t>
      </w:r>
      <w:r w:rsidR="00045266" w:rsidRPr="007A5624">
        <w:rPr>
          <w:rFonts w:ascii="Times" w:hAnsi="Times"/>
          <w:color w:val="000000"/>
          <w:sz w:val="22"/>
          <w:szCs w:val="22"/>
        </w:rPr>
        <w:t>the obligation to produce an auditor's report for outstanding profit for</w:t>
      </w:r>
      <w:r w:rsidR="00045266" w:rsidRPr="007A5624">
        <w:rPr>
          <w:rFonts w:ascii="Times" w:hAnsi="Times"/>
          <w:color w:val="000000"/>
          <w:sz w:val="22"/>
          <w:szCs w:val="22"/>
        </w:rPr>
        <w:t>e</w:t>
      </w:r>
      <w:r w:rsidR="00045266" w:rsidRPr="007A5624">
        <w:rPr>
          <w:rFonts w:ascii="Times" w:hAnsi="Times"/>
          <w:color w:val="000000"/>
          <w:sz w:val="22"/>
          <w:szCs w:val="22"/>
        </w:rPr>
        <w:t>cast</w:t>
      </w:r>
      <w:r w:rsidRPr="007A5624">
        <w:rPr>
          <w:rFonts w:ascii="Times" w:hAnsi="Times"/>
          <w:color w:val="000000"/>
          <w:sz w:val="22"/>
          <w:szCs w:val="22"/>
        </w:rPr>
        <w:t>s</w:t>
      </w:r>
      <w:r w:rsidR="00045266" w:rsidRPr="007A5624">
        <w:rPr>
          <w:rFonts w:ascii="Times" w:hAnsi="Times"/>
          <w:color w:val="000000"/>
          <w:sz w:val="22"/>
          <w:szCs w:val="22"/>
        </w:rPr>
        <w:t xml:space="preserve"> </w:t>
      </w:r>
      <w:r w:rsidR="007C31B3" w:rsidRPr="007A5624">
        <w:rPr>
          <w:rFonts w:ascii="Times" w:hAnsi="Times"/>
          <w:color w:val="000000"/>
          <w:sz w:val="22"/>
          <w:szCs w:val="22"/>
        </w:rPr>
        <w:t xml:space="preserve">if the other branch of the alternative is a </w:t>
      </w:r>
      <w:proofErr w:type="spellStart"/>
      <w:r w:rsidR="007C31B3" w:rsidRPr="007A5624">
        <w:rPr>
          <w:rFonts w:ascii="Times" w:hAnsi="Times"/>
          <w:color w:val="000000"/>
          <w:sz w:val="22"/>
          <w:szCs w:val="22"/>
        </w:rPr>
        <w:t>rquir</w:t>
      </w:r>
      <w:r w:rsidRPr="007A5624">
        <w:rPr>
          <w:rFonts w:ascii="Times" w:hAnsi="Times"/>
          <w:color w:val="000000"/>
          <w:sz w:val="22"/>
          <w:szCs w:val="22"/>
        </w:rPr>
        <w:t>ment</w:t>
      </w:r>
      <w:proofErr w:type="spellEnd"/>
      <w:r w:rsidRPr="007A5624">
        <w:rPr>
          <w:rFonts w:ascii="Times" w:hAnsi="Times"/>
          <w:color w:val="000000"/>
          <w:sz w:val="22"/>
          <w:szCs w:val="22"/>
        </w:rPr>
        <w:t xml:space="preserve"> to provide more detailed inf</w:t>
      </w:r>
      <w:r w:rsidR="007C31B3" w:rsidRPr="007A5624">
        <w:rPr>
          <w:rFonts w:ascii="Times" w:hAnsi="Times"/>
          <w:color w:val="000000"/>
          <w:sz w:val="22"/>
          <w:szCs w:val="22"/>
        </w:rPr>
        <w:t>orm</w:t>
      </w:r>
      <w:r w:rsidRPr="007A5624">
        <w:rPr>
          <w:rFonts w:ascii="Times" w:hAnsi="Times"/>
          <w:color w:val="000000"/>
          <w:sz w:val="22"/>
          <w:szCs w:val="22"/>
        </w:rPr>
        <w:t>a</w:t>
      </w:r>
      <w:r w:rsidR="007C31B3" w:rsidRPr="007A5624">
        <w:rPr>
          <w:rFonts w:ascii="Times" w:hAnsi="Times"/>
          <w:color w:val="000000"/>
          <w:sz w:val="22"/>
          <w:szCs w:val="22"/>
        </w:rPr>
        <w:t xml:space="preserve">tion on the </w:t>
      </w:r>
      <w:r w:rsidR="00045266" w:rsidRPr="007A5624">
        <w:rPr>
          <w:rFonts w:ascii="Times" w:hAnsi="Times"/>
          <w:color w:val="000000"/>
          <w:sz w:val="22"/>
          <w:szCs w:val="22"/>
        </w:rPr>
        <w:t>underl</w:t>
      </w:r>
      <w:r w:rsidR="00045266" w:rsidRPr="007A5624">
        <w:rPr>
          <w:rFonts w:ascii="Times" w:hAnsi="Times"/>
          <w:color w:val="000000"/>
          <w:sz w:val="22"/>
          <w:szCs w:val="22"/>
        </w:rPr>
        <w:t>y</w:t>
      </w:r>
      <w:r w:rsidR="00045266" w:rsidRPr="007A5624">
        <w:rPr>
          <w:rFonts w:ascii="Times" w:hAnsi="Times"/>
          <w:color w:val="000000"/>
          <w:sz w:val="22"/>
          <w:szCs w:val="22"/>
        </w:rPr>
        <w:t>ing assumptions</w:t>
      </w:r>
      <w:r w:rsidR="002E315C">
        <w:rPr>
          <w:rFonts w:ascii="Times" w:hAnsi="Times"/>
          <w:color w:val="000000"/>
          <w:sz w:val="22"/>
          <w:szCs w:val="22"/>
        </w:rPr>
        <w:t>,</w:t>
      </w:r>
      <w:r w:rsidR="00045266" w:rsidRPr="007A5624">
        <w:rPr>
          <w:rFonts w:ascii="Times" w:hAnsi="Times"/>
          <w:color w:val="000000"/>
          <w:sz w:val="22"/>
          <w:szCs w:val="22"/>
        </w:rPr>
        <w:t xml:space="preserve"> which </w:t>
      </w:r>
      <w:r w:rsidR="007C31B3" w:rsidRPr="007A5624">
        <w:rPr>
          <w:rFonts w:ascii="Times" w:hAnsi="Times"/>
          <w:color w:val="000000"/>
          <w:sz w:val="22"/>
          <w:szCs w:val="22"/>
        </w:rPr>
        <w:t xml:space="preserve">may be more burdensome for issuers . </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w:t>
      </w:r>
      <w:r w:rsidRPr="0064701F">
        <w:rPr>
          <w:rFonts w:ascii="Arial" w:hAnsi="Arial" w:cs="Arial"/>
        </w:rPr>
        <w:t>m</w:t>
      </w:r>
      <w:r w:rsidRPr="0064701F">
        <w:rPr>
          <w:rFonts w:ascii="Arial" w:hAnsi="Arial" w:cs="Arial"/>
        </w:rPr>
        <w:t>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239A7710" w:rsidR="00357C60" w:rsidRDefault="00E90505" w:rsidP="00357C60">
      <w:pPr>
        <w:rPr>
          <w:rFonts w:cs="Arial"/>
        </w:rPr>
      </w:pPr>
      <w:permStart w:id="1791062262" w:edGrp="everyone"/>
      <w:r w:rsidRPr="00096BDF">
        <w:rPr>
          <w:rFonts w:ascii="Times New Roman" w:hAnsi="Times New Roman"/>
          <w:color w:val="000000"/>
        </w:rPr>
        <w:t>We would not be in favour of adding such a disclosure requirement in so far as the information may be made avail</w:t>
      </w:r>
      <w:r w:rsidRPr="00096BDF">
        <w:rPr>
          <w:rFonts w:ascii="Times New Roman" w:hAnsi="Times New Roman"/>
          <w:color w:val="000000"/>
        </w:rPr>
        <w:t>a</w:t>
      </w:r>
      <w:r w:rsidRPr="00096BDF">
        <w:rPr>
          <w:rFonts w:ascii="Times New Roman" w:hAnsi="Times New Roman"/>
          <w:color w:val="000000"/>
        </w:rPr>
        <w:t>ble elsewhere</w:t>
      </w:r>
      <w:r>
        <w:rPr>
          <w:rFonts w:ascii="Times New Roman" w:hAnsi="Times New Roman"/>
          <w:color w:val="000000"/>
        </w:rPr>
        <w:t xml:space="preserve">. </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6AEA535C" w14:textId="77777777" w:rsidR="00CD34B6" w:rsidRPr="00096BDF" w:rsidRDefault="00CD34B6" w:rsidP="00CD34B6">
      <w:pPr>
        <w:widowControl w:val="0"/>
        <w:autoSpaceDE w:val="0"/>
        <w:autoSpaceDN w:val="0"/>
        <w:adjustRightInd w:val="0"/>
        <w:spacing w:line="240" w:lineRule="atLeast"/>
        <w:jc w:val="both"/>
        <w:rPr>
          <w:rFonts w:ascii="Times New Roman" w:hAnsi="Times New Roman"/>
          <w:color w:val="000000"/>
        </w:rPr>
      </w:pPr>
      <w:permStart w:id="837503568" w:edGrp="everyone"/>
      <w:r w:rsidRPr="00096BDF">
        <w:rPr>
          <w:rFonts w:ascii="Times New Roman" w:hAnsi="Times New Roman"/>
          <w:color w:val="000000"/>
        </w:rPr>
        <w:t xml:space="preserve">We agree with the proposed clarification that the requirement for restated financial information should be limited to circumstances where the issuer has changed the accounting framework. </w:t>
      </w:r>
    </w:p>
    <w:p w14:paraId="435ADFD7" w14:textId="77777777" w:rsidR="00357C60" w:rsidRDefault="00357C60" w:rsidP="00357C60">
      <w:pPr>
        <w:rPr>
          <w:rFonts w:cs="Arial"/>
        </w:rPr>
      </w:pPr>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2CC0C420" w:rsidR="00357C60" w:rsidRDefault="00FB6126" w:rsidP="00357C60">
      <w:pPr>
        <w:rPr>
          <w:rFonts w:cs="Arial"/>
        </w:rPr>
      </w:pPr>
      <w:permStart w:id="528625861" w:edGrp="everyone"/>
      <w:r>
        <w:rPr>
          <w:rFonts w:cs="Arial"/>
        </w:rPr>
        <w:t>Yes, w</w:t>
      </w:r>
      <w:r w:rsidR="00400E9F">
        <w:rPr>
          <w:rFonts w:cs="Arial"/>
        </w:rPr>
        <w:t xml:space="preserve">e agree with ESMA’s proposal. </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6A18F3E1" w14:textId="77777777" w:rsidR="00A4612C" w:rsidRPr="00FB6126" w:rsidRDefault="00A4612C" w:rsidP="00A4612C">
      <w:pPr>
        <w:widowControl w:val="0"/>
        <w:autoSpaceDE w:val="0"/>
        <w:autoSpaceDN w:val="0"/>
        <w:adjustRightInd w:val="0"/>
        <w:spacing w:line="240" w:lineRule="atLeast"/>
        <w:jc w:val="both"/>
        <w:rPr>
          <w:rFonts w:ascii="Times New Roman" w:hAnsi="Times New Roman"/>
          <w:color w:val="000000"/>
          <w:sz w:val="22"/>
          <w:szCs w:val="22"/>
        </w:rPr>
      </w:pPr>
      <w:permStart w:id="1415971191" w:edGrp="everyone"/>
      <w:r w:rsidRPr="00FB6126">
        <w:rPr>
          <w:rFonts w:ascii="Times New Roman" w:hAnsi="Times New Roman"/>
          <w:color w:val="000000"/>
          <w:sz w:val="22"/>
          <w:szCs w:val="22"/>
        </w:rPr>
        <w:t xml:space="preserve">We propose the following additional simplification measures to the share registration </w:t>
      </w:r>
      <w:proofErr w:type="gramStart"/>
      <w:r w:rsidRPr="00FB6126">
        <w:rPr>
          <w:rFonts w:ascii="Times New Roman" w:hAnsi="Times New Roman"/>
          <w:color w:val="000000"/>
          <w:sz w:val="22"/>
          <w:szCs w:val="22"/>
        </w:rPr>
        <w:t>document :</w:t>
      </w:r>
      <w:proofErr w:type="gramEnd"/>
      <w:r w:rsidRPr="00FB6126">
        <w:rPr>
          <w:rFonts w:ascii="Times New Roman" w:hAnsi="Times New Roman"/>
          <w:color w:val="000000"/>
          <w:sz w:val="22"/>
          <w:szCs w:val="22"/>
        </w:rPr>
        <w:t xml:space="preserve"> </w:t>
      </w:r>
    </w:p>
    <w:p w14:paraId="5A50E2EB" w14:textId="77777777" w:rsidR="00A4612C" w:rsidRPr="00FB6126" w:rsidRDefault="00A4612C" w:rsidP="00A4612C">
      <w:pPr>
        <w:widowControl w:val="0"/>
        <w:autoSpaceDE w:val="0"/>
        <w:autoSpaceDN w:val="0"/>
        <w:adjustRightInd w:val="0"/>
        <w:spacing w:line="240" w:lineRule="atLeast"/>
        <w:jc w:val="both"/>
        <w:rPr>
          <w:rFonts w:ascii="Times New Roman" w:hAnsi="Times New Roman"/>
          <w:i/>
          <w:color w:val="000000"/>
          <w:sz w:val="22"/>
          <w:szCs w:val="22"/>
        </w:rPr>
      </w:pPr>
    </w:p>
    <w:p w14:paraId="6C1E2597" w14:textId="741FA0A9" w:rsidR="00A4612C" w:rsidRPr="00FB6126" w:rsidRDefault="00A4612C" w:rsidP="00A4612C">
      <w:pPr>
        <w:pStyle w:val="Paragraphedeliste"/>
        <w:widowControl w:val="0"/>
        <w:autoSpaceDE w:val="0"/>
        <w:autoSpaceDN w:val="0"/>
        <w:adjustRightInd w:val="0"/>
        <w:spacing w:line="240" w:lineRule="atLeast"/>
        <w:ind w:left="991" w:hanging="283"/>
        <w:jc w:val="both"/>
        <w:rPr>
          <w:rFonts w:ascii="Times New Roman" w:hAnsi="Times New Roman"/>
          <w:color w:val="000000"/>
          <w:sz w:val="22"/>
          <w:szCs w:val="22"/>
        </w:rPr>
      </w:pPr>
      <w:r w:rsidRPr="00FB6126">
        <w:rPr>
          <w:rFonts w:ascii="Times New Roman" w:hAnsi="Times New Roman"/>
          <w:color w:val="000000"/>
          <w:sz w:val="22"/>
          <w:szCs w:val="22"/>
        </w:rPr>
        <w:t>1. Disclosure on strategy and objectives: we are opposed to the introduction of this new requir</w:t>
      </w:r>
      <w:r w:rsidRPr="00FB6126">
        <w:rPr>
          <w:rFonts w:ascii="Times New Roman" w:hAnsi="Times New Roman"/>
          <w:color w:val="000000"/>
          <w:sz w:val="22"/>
          <w:szCs w:val="22"/>
        </w:rPr>
        <w:t>e</w:t>
      </w:r>
      <w:r w:rsidRPr="00FB6126">
        <w:rPr>
          <w:rFonts w:ascii="Times New Roman" w:hAnsi="Times New Roman"/>
          <w:color w:val="000000"/>
          <w:sz w:val="22"/>
          <w:szCs w:val="22"/>
        </w:rPr>
        <w:t>ment in the share registration document, which would also be applicable to EU Growth pr</w:t>
      </w:r>
      <w:r w:rsidRPr="00FB6126">
        <w:rPr>
          <w:rFonts w:ascii="Times New Roman" w:hAnsi="Times New Roman"/>
          <w:color w:val="000000"/>
          <w:sz w:val="22"/>
          <w:szCs w:val="22"/>
        </w:rPr>
        <w:t>o</w:t>
      </w:r>
      <w:r w:rsidRPr="00FB6126">
        <w:rPr>
          <w:rFonts w:ascii="Times New Roman" w:hAnsi="Times New Roman"/>
          <w:color w:val="000000"/>
          <w:sz w:val="22"/>
          <w:szCs w:val="22"/>
        </w:rPr>
        <w:t xml:space="preserve">spectuses, as the Business overview section already provides for comparable information.  </w:t>
      </w:r>
    </w:p>
    <w:p w14:paraId="5B94F1FD" w14:textId="77777777" w:rsidR="00A4612C" w:rsidRPr="00FB6126" w:rsidRDefault="00A4612C" w:rsidP="00A4612C">
      <w:pPr>
        <w:pStyle w:val="Paragraphedeliste"/>
        <w:widowControl w:val="0"/>
        <w:autoSpaceDE w:val="0"/>
        <w:autoSpaceDN w:val="0"/>
        <w:adjustRightInd w:val="0"/>
        <w:spacing w:line="240" w:lineRule="atLeast"/>
        <w:ind w:left="282"/>
        <w:jc w:val="both"/>
        <w:rPr>
          <w:rFonts w:ascii="Times New Roman" w:hAnsi="Times New Roman"/>
          <w:color w:val="000000"/>
          <w:sz w:val="22"/>
          <w:szCs w:val="22"/>
        </w:rPr>
      </w:pPr>
    </w:p>
    <w:p w14:paraId="7C14528B" w14:textId="6194CFFA" w:rsidR="00A4612C" w:rsidRPr="00FB6126" w:rsidRDefault="00A4612C" w:rsidP="00A4612C">
      <w:pPr>
        <w:pStyle w:val="Paragraphedeliste"/>
        <w:ind w:left="993" w:hanging="284"/>
        <w:rPr>
          <w:rFonts w:ascii="Times New Roman" w:hAnsi="Times New Roman"/>
          <w:color w:val="000000"/>
          <w:sz w:val="22"/>
          <w:szCs w:val="22"/>
        </w:rPr>
      </w:pPr>
      <w:r w:rsidRPr="00FB6126">
        <w:rPr>
          <w:rFonts w:ascii="Times New Roman" w:hAnsi="Times New Roman"/>
          <w:color w:val="000000"/>
          <w:sz w:val="22"/>
          <w:szCs w:val="22"/>
        </w:rPr>
        <w:t xml:space="preserve">2.   Merging of the two following sections into one: Trend information and Significant changes in the issuer’s financial position. </w:t>
      </w:r>
    </w:p>
    <w:p w14:paraId="32AFA452" w14:textId="77777777" w:rsidR="00A4612C" w:rsidRPr="00FB6126" w:rsidRDefault="00A4612C" w:rsidP="00A4612C">
      <w:pPr>
        <w:pStyle w:val="Paragraphedeliste"/>
        <w:widowControl w:val="0"/>
        <w:autoSpaceDE w:val="0"/>
        <w:autoSpaceDN w:val="0"/>
        <w:adjustRightInd w:val="0"/>
        <w:spacing w:line="240" w:lineRule="atLeast"/>
        <w:ind w:left="282"/>
        <w:jc w:val="both"/>
        <w:rPr>
          <w:rFonts w:ascii="Times New Roman" w:hAnsi="Times New Roman"/>
          <w:color w:val="000000"/>
          <w:sz w:val="22"/>
          <w:szCs w:val="22"/>
        </w:rPr>
      </w:pPr>
    </w:p>
    <w:p w14:paraId="173FA127" w14:textId="77777777" w:rsidR="00A4612C" w:rsidRPr="00FB6126" w:rsidRDefault="00A4612C" w:rsidP="00FB6126">
      <w:pPr>
        <w:pStyle w:val="Paragraphedeliste"/>
        <w:widowControl w:val="0"/>
        <w:numPr>
          <w:ilvl w:val="0"/>
          <w:numId w:val="38"/>
        </w:numPr>
        <w:autoSpaceDE w:val="0"/>
        <w:autoSpaceDN w:val="0"/>
        <w:adjustRightInd w:val="0"/>
        <w:spacing w:line="240" w:lineRule="atLeast"/>
        <w:ind w:left="993" w:hanging="284"/>
        <w:jc w:val="both"/>
        <w:rPr>
          <w:rFonts w:ascii="Times New Roman" w:hAnsi="Times New Roman"/>
          <w:color w:val="000000"/>
          <w:sz w:val="22"/>
          <w:szCs w:val="22"/>
        </w:rPr>
      </w:pPr>
      <w:r w:rsidRPr="00FB6126">
        <w:rPr>
          <w:rFonts w:ascii="Times New Roman" w:hAnsi="Times New Roman"/>
          <w:color w:val="000000"/>
          <w:sz w:val="22"/>
          <w:szCs w:val="22"/>
        </w:rPr>
        <w:t>Disclosure regarding Board and Senior management: details of each person’s management e</w:t>
      </w:r>
      <w:r w:rsidRPr="00FB6126">
        <w:rPr>
          <w:rFonts w:ascii="Times New Roman" w:hAnsi="Times New Roman"/>
          <w:color w:val="000000"/>
          <w:sz w:val="22"/>
          <w:szCs w:val="22"/>
        </w:rPr>
        <w:t>x</w:t>
      </w:r>
      <w:r w:rsidRPr="00FB6126">
        <w:rPr>
          <w:rFonts w:ascii="Times New Roman" w:hAnsi="Times New Roman"/>
          <w:color w:val="000000"/>
          <w:sz w:val="22"/>
          <w:szCs w:val="22"/>
        </w:rPr>
        <w:t xml:space="preserve">perience and expertise could be reduced from the five to three previous years. </w:t>
      </w:r>
    </w:p>
    <w:p w14:paraId="7F1613F4" w14:textId="77777777" w:rsidR="00A4612C" w:rsidRPr="00FB6126" w:rsidRDefault="00A4612C" w:rsidP="00A4612C">
      <w:pPr>
        <w:widowControl w:val="0"/>
        <w:autoSpaceDE w:val="0"/>
        <w:autoSpaceDN w:val="0"/>
        <w:adjustRightInd w:val="0"/>
        <w:spacing w:line="240" w:lineRule="atLeast"/>
        <w:ind w:left="282"/>
        <w:jc w:val="both"/>
        <w:rPr>
          <w:rFonts w:ascii="Times New Roman" w:hAnsi="Times New Roman"/>
          <w:color w:val="000000"/>
          <w:sz w:val="22"/>
          <w:szCs w:val="22"/>
        </w:rPr>
      </w:pPr>
    </w:p>
    <w:p w14:paraId="2E430A41" w14:textId="75A8326A" w:rsidR="00357C60" w:rsidRPr="00AE68EA" w:rsidRDefault="00A4612C" w:rsidP="00357C60">
      <w:pPr>
        <w:pStyle w:val="Paragraphedeliste"/>
        <w:widowControl w:val="0"/>
        <w:numPr>
          <w:ilvl w:val="0"/>
          <w:numId w:val="38"/>
        </w:numPr>
        <w:autoSpaceDE w:val="0"/>
        <w:autoSpaceDN w:val="0"/>
        <w:adjustRightInd w:val="0"/>
        <w:spacing w:line="240" w:lineRule="atLeast"/>
        <w:ind w:left="993" w:hanging="284"/>
        <w:jc w:val="both"/>
        <w:rPr>
          <w:rFonts w:ascii="Times New Roman" w:hAnsi="Times New Roman"/>
          <w:color w:val="000000"/>
          <w:sz w:val="22"/>
          <w:szCs w:val="22"/>
        </w:rPr>
      </w:pPr>
      <w:r w:rsidRPr="00FB6126">
        <w:rPr>
          <w:rFonts w:ascii="Times New Roman" w:hAnsi="Times New Roman"/>
          <w:color w:val="000000"/>
          <w:sz w:val="22"/>
          <w:szCs w:val="22"/>
        </w:rPr>
        <w:t xml:space="preserve">List of significant subsidiaries and information on holdings: the disclosure requirement should be removed as similar information is provided under the notes to financial statements. </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4"/>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4"/>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w:t>
      </w:r>
      <w:r w:rsidRPr="0064701F">
        <w:rPr>
          <w:rFonts w:ascii="Arial" w:hAnsi="Arial" w:cs="Arial"/>
        </w:rPr>
        <w:t>a</w:t>
      </w:r>
      <w:r w:rsidRPr="0064701F">
        <w:rPr>
          <w:rFonts w:ascii="Arial" w:hAnsi="Arial" w:cs="Arial"/>
        </w:rPr>
        <w:t>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the changes to dilution requirements would be helpful to inve</w:t>
      </w:r>
      <w:r w:rsidRPr="0064701F">
        <w:rPr>
          <w:rFonts w:ascii="Arial" w:hAnsi="Arial" w:cs="Arial"/>
        </w:rPr>
        <w:t>s</w:t>
      </w:r>
      <w:r w:rsidRPr="0064701F">
        <w:rPr>
          <w:rFonts w:ascii="Arial" w:hAnsi="Arial" w:cs="Arial"/>
        </w:rPr>
        <w:t>tors at the same time as being feasible to provide for issuers?</w:t>
      </w:r>
    </w:p>
    <w:p w14:paraId="246928E6" w14:textId="77777777" w:rsidR="00357C60" w:rsidRDefault="00357C60" w:rsidP="00357C60">
      <w:pPr>
        <w:rPr>
          <w:rFonts w:cs="Arial"/>
        </w:rPr>
      </w:pPr>
      <w:r>
        <w:rPr>
          <w:rFonts w:cs="Arial"/>
        </w:rPr>
        <w:t>&lt;ESMA_QUESTION_FAC_24&gt;</w:t>
      </w:r>
    </w:p>
    <w:p w14:paraId="5C9659BA" w14:textId="77777777" w:rsidR="00AE68EA" w:rsidRPr="00096BDF" w:rsidRDefault="00AE68EA" w:rsidP="00AE68EA">
      <w:pPr>
        <w:widowControl w:val="0"/>
        <w:tabs>
          <w:tab w:val="left" w:pos="220"/>
          <w:tab w:val="left" w:pos="720"/>
        </w:tabs>
        <w:autoSpaceDE w:val="0"/>
        <w:autoSpaceDN w:val="0"/>
        <w:adjustRightInd w:val="0"/>
        <w:spacing w:line="240" w:lineRule="atLeast"/>
        <w:jc w:val="both"/>
        <w:rPr>
          <w:rFonts w:ascii="Times" w:hAnsi="Times"/>
          <w:color w:val="000000"/>
          <w:sz w:val="22"/>
          <w:szCs w:val="22"/>
        </w:rPr>
      </w:pPr>
      <w:permStart w:id="1470501143" w:edGrp="everyone"/>
      <w:r w:rsidRPr="00096BDF">
        <w:rPr>
          <w:rFonts w:ascii="Times" w:hAnsi="Times"/>
          <w:color w:val="000000"/>
          <w:sz w:val="22"/>
          <w:szCs w:val="22"/>
        </w:rPr>
        <w:t>In order to  harmonise the disclosure of the capitalisation and indebtedness table, ESMA proposes to follow the Commission Regulation 809/2004 requirement that a capitalisation and indebtedness statement should be made at a date no earlier than 90 days prior to the date of the prospectus</w:t>
      </w:r>
      <w:proofErr w:type="gramStart"/>
      <w:r w:rsidRPr="00096BDF">
        <w:rPr>
          <w:rFonts w:ascii="Times" w:hAnsi="Times"/>
          <w:color w:val="000000"/>
          <w:sz w:val="22"/>
          <w:szCs w:val="22"/>
        </w:rPr>
        <w:t>..</w:t>
      </w:r>
      <w:proofErr w:type="gramEnd"/>
      <w:r w:rsidRPr="00096BDF">
        <w:rPr>
          <w:rFonts w:ascii="Times" w:hAnsi="Times"/>
          <w:color w:val="000000"/>
          <w:sz w:val="22"/>
          <w:szCs w:val="22"/>
        </w:rPr>
        <w:t xml:space="preserve"> </w:t>
      </w:r>
    </w:p>
    <w:p w14:paraId="0EFD190D" w14:textId="77777777" w:rsidR="00AE68EA" w:rsidRPr="00096BDF" w:rsidRDefault="00AE68EA" w:rsidP="00AE68EA">
      <w:pPr>
        <w:widowControl w:val="0"/>
        <w:tabs>
          <w:tab w:val="left" w:pos="220"/>
          <w:tab w:val="left" w:pos="720"/>
        </w:tabs>
        <w:autoSpaceDE w:val="0"/>
        <w:autoSpaceDN w:val="0"/>
        <w:adjustRightInd w:val="0"/>
        <w:spacing w:line="240" w:lineRule="atLeast"/>
        <w:jc w:val="both"/>
        <w:rPr>
          <w:rFonts w:ascii="Times" w:hAnsi="Times"/>
          <w:color w:val="000000"/>
          <w:sz w:val="22"/>
          <w:szCs w:val="22"/>
        </w:rPr>
      </w:pPr>
    </w:p>
    <w:p w14:paraId="7152CB01" w14:textId="75400871" w:rsidR="00357C60" w:rsidRDefault="00AE68EA" w:rsidP="00AE68EA">
      <w:pPr>
        <w:rPr>
          <w:rFonts w:cs="Arial"/>
        </w:rPr>
      </w:pPr>
      <w:r w:rsidRPr="00096BDF">
        <w:rPr>
          <w:rFonts w:ascii="Times" w:hAnsi="Times" w:cs="Arial"/>
          <w:sz w:val="22"/>
          <w:szCs w:val="22"/>
        </w:rPr>
        <w:t xml:space="preserve">We do not support ESMA’s proposal to require a statement’s update in the case of material changes within the 90 days. The data used in establishing the capitalisation and indebtedness table are derived from the </w:t>
      </w:r>
      <w:r w:rsidRPr="00096BDF">
        <w:rPr>
          <w:rFonts w:ascii="Times" w:hAnsi="Times" w:cs="Arial"/>
          <w:sz w:val="22"/>
          <w:szCs w:val="22"/>
        </w:rPr>
        <w:lastRenderedPageBreak/>
        <w:t>issuer’s financial statements. Where there are significant changes impacting the issuer’s financial cond</w:t>
      </w:r>
      <w:r w:rsidRPr="00096BDF">
        <w:rPr>
          <w:rFonts w:ascii="Times" w:hAnsi="Times" w:cs="Arial"/>
          <w:sz w:val="22"/>
          <w:szCs w:val="22"/>
        </w:rPr>
        <w:t>i</w:t>
      </w:r>
      <w:r w:rsidRPr="00096BDF">
        <w:rPr>
          <w:rFonts w:ascii="Times" w:hAnsi="Times" w:cs="Arial"/>
          <w:sz w:val="22"/>
          <w:szCs w:val="22"/>
        </w:rPr>
        <w:t>tion, these changes and their impacts would fall under the “significant changes in the issuer’s financial position” section. Therefore all information useful to assess the issuer’s capitalisation and indebtedness would be disclosed in the prospectus</w:t>
      </w:r>
      <w:r>
        <w:rPr>
          <w:rFonts w:cs="Arial"/>
        </w:rPr>
        <w:t xml:space="preserve">. </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5B5580AE" w:rsidR="00357C60" w:rsidRPr="00AE68EA" w:rsidRDefault="00AE68EA" w:rsidP="00AE68EA">
      <w:pPr>
        <w:widowControl w:val="0"/>
        <w:autoSpaceDE w:val="0"/>
        <w:autoSpaceDN w:val="0"/>
        <w:adjustRightInd w:val="0"/>
        <w:spacing w:line="240" w:lineRule="atLeast"/>
        <w:jc w:val="both"/>
        <w:rPr>
          <w:rFonts w:ascii="Times New Roman" w:hAnsi="Times New Roman"/>
          <w:color w:val="000000"/>
          <w:sz w:val="22"/>
          <w:szCs w:val="22"/>
        </w:rPr>
      </w:pPr>
      <w:permStart w:id="1929457622" w:edGrp="everyone"/>
      <w:r w:rsidRPr="00096BDF">
        <w:rPr>
          <w:rFonts w:ascii="Times New Roman" w:hAnsi="Times New Roman"/>
          <w:color w:val="000000"/>
          <w:sz w:val="22"/>
          <w:szCs w:val="22"/>
        </w:rPr>
        <w:t xml:space="preserve">We are of the view that a new securities note should not be required when there is a change in the price range of the security to be offered to the public. As the information on tax treatment of investors is often too generic, the relevant section should be deleted, or be better tailored to the issuer's target investors. Institutional investors are deemed to be generally already </w:t>
      </w:r>
      <w:proofErr w:type="gramStart"/>
      <w:r w:rsidRPr="00096BDF">
        <w:rPr>
          <w:rFonts w:ascii="Times New Roman" w:hAnsi="Times New Roman"/>
          <w:color w:val="000000"/>
          <w:sz w:val="22"/>
          <w:szCs w:val="22"/>
        </w:rPr>
        <w:t>well-informed</w:t>
      </w:r>
      <w:proofErr w:type="gramEnd"/>
      <w:r w:rsidRPr="00096BDF">
        <w:rPr>
          <w:rFonts w:ascii="Times New Roman" w:hAnsi="Times New Roman"/>
          <w:color w:val="000000"/>
          <w:sz w:val="22"/>
          <w:szCs w:val="22"/>
        </w:rPr>
        <w:t xml:space="preserve"> of the taxation that applies to them. </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4"/>
        </w:numPr>
        <w:rPr>
          <w:rFonts w:ascii="Arial" w:hAnsi="Arial" w:cs="Arial"/>
        </w:rPr>
      </w:pPr>
      <w:r>
        <w:lastRenderedPageBreak/>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02083B37" w:rsidR="00357C60" w:rsidRDefault="00885BE1" w:rsidP="00357C60">
      <w:pPr>
        <w:rPr>
          <w:rFonts w:cs="Arial"/>
        </w:rPr>
      </w:pPr>
      <w:permStart w:id="603281020" w:edGrp="everyone"/>
      <w:proofErr w:type="gramStart"/>
      <w:r w:rsidRPr="00045266">
        <w:rPr>
          <w:rFonts w:ascii="Times" w:hAnsi="Times" w:cs="Arial"/>
          <w:sz w:val="22"/>
          <w:szCs w:val="22"/>
        </w:rPr>
        <w:t>No ,</w:t>
      </w:r>
      <w:proofErr w:type="gramEnd"/>
      <w:r w:rsidRPr="00045266">
        <w:rPr>
          <w:rFonts w:ascii="Times" w:hAnsi="Times" w:cs="Arial"/>
          <w:sz w:val="22"/>
          <w:szCs w:val="22"/>
        </w:rPr>
        <w:t xml:space="preserve"> we disagree for the reasons stated in </w:t>
      </w:r>
      <w:proofErr w:type="spellStart"/>
      <w:r w:rsidRPr="00045266">
        <w:rPr>
          <w:rFonts w:ascii="Times" w:hAnsi="Times" w:cs="Arial"/>
          <w:sz w:val="22"/>
          <w:szCs w:val="22"/>
        </w:rPr>
        <w:t>reponse</w:t>
      </w:r>
      <w:proofErr w:type="spellEnd"/>
      <w:r w:rsidRPr="00045266">
        <w:rPr>
          <w:rFonts w:ascii="Times" w:hAnsi="Times" w:cs="Arial"/>
          <w:sz w:val="22"/>
          <w:szCs w:val="22"/>
        </w:rPr>
        <w:t xml:space="preserve"> to question 14.</w:t>
      </w:r>
      <w:r>
        <w:rPr>
          <w:rFonts w:ascii="Times" w:hAnsi="Times" w:cs="Arial"/>
          <w:sz w:val="22"/>
          <w:szCs w:val="22"/>
        </w:rPr>
        <w:t xml:space="preserve"> </w:t>
      </w:r>
      <w:r>
        <w:rPr>
          <w:rFonts w:cs="Arial"/>
        </w:rPr>
        <w:t xml:space="preserve">  </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736DC2AB" w14:textId="77777777" w:rsidR="00357C60" w:rsidRDefault="00357C60" w:rsidP="00357C60">
      <w:pPr>
        <w:rPr>
          <w:rFonts w:cs="Arial"/>
        </w:rPr>
      </w:pPr>
      <w:permStart w:id="732902027" w:edGrp="everyone"/>
      <w:permEnd w:id="732902027"/>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50B75414" w:rsidR="00357C60" w:rsidRDefault="00AE60CA" w:rsidP="00357C60">
      <w:pPr>
        <w:rPr>
          <w:rFonts w:cs="Arial"/>
        </w:rPr>
      </w:pPr>
      <w:permStart w:id="563610120" w:edGrp="everyone"/>
      <w:r w:rsidRPr="00AE60CA">
        <w:rPr>
          <w:rFonts w:ascii="Times" w:hAnsi="Times" w:cs="Arial"/>
          <w:sz w:val="22"/>
          <w:szCs w:val="22"/>
        </w:rPr>
        <w:t xml:space="preserve">Yes, we agree with deletion of the disclosure requirement </w:t>
      </w:r>
      <w:proofErr w:type="spellStart"/>
      <w:r w:rsidRPr="00AE60CA">
        <w:rPr>
          <w:rFonts w:ascii="Times" w:hAnsi="Times" w:cs="Arial"/>
          <w:sz w:val="22"/>
          <w:szCs w:val="22"/>
        </w:rPr>
        <w:t>reltated</w:t>
      </w:r>
      <w:proofErr w:type="spellEnd"/>
      <w:r w:rsidRPr="00AE60CA">
        <w:rPr>
          <w:rFonts w:ascii="Times" w:hAnsi="Times" w:cs="Arial"/>
          <w:sz w:val="22"/>
          <w:szCs w:val="22"/>
        </w:rPr>
        <w:t xml:space="preserve"> to board practices.</w:t>
      </w:r>
      <w:r>
        <w:rPr>
          <w:rFonts w:cs="Arial"/>
        </w:rPr>
        <w:t xml:space="preserve"> </w:t>
      </w:r>
      <w:r w:rsidR="00357C60">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4BF0B0F4" w14:textId="77777777" w:rsidR="00043DA1" w:rsidRPr="00096BDF" w:rsidRDefault="00043DA1" w:rsidP="00043DA1">
      <w:pPr>
        <w:widowControl w:val="0"/>
        <w:autoSpaceDE w:val="0"/>
        <w:autoSpaceDN w:val="0"/>
        <w:adjustRightInd w:val="0"/>
        <w:spacing w:line="240" w:lineRule="atLeast"/>
        <w:jc w:val="both"/>
        <w:rPr>
          <w:rFonts w:ascii="Times" w:hAnsi="Times"/>
          <w:color w:val="000000"/>
        </w:rPr>
      </w:pPr>
      <w:permStart w:id="1391200765" w:edGrp="everyone"/>
      <w:r w:rsidRPr="00096BDF">
        <w:rPr>
          <w:rFonts w:ascii="Times" w:hAnsi="Times"/>
          <w:color w:val="000000"/>
        </w:rPr>
        <w:t xml:space="preserve">We propose the following additional simplification measures to the registration document: </w:t>
      </w:r>
    </w:p>
    <w:p w14:paraId="6BC17082" w14:textId="77777777" w:rsidR="00043DA1" w:rsidRPr="00096BDF" w:rsidRDefault="00043DA1" w:rsidP="00043DA1">
      <w:pPr>
        <w:rPr>
          <w:rFonts w:ascii="Times" w:hAnsi="Times"/>
        </w:rPr>
      </w:pPr>
    </w:p>
    <w:p w14:paraId="77060C55" w14:textId="77777777" w:rsidR="00043DA1" w:rsidRPr="00096BDF" w:rsidRDefault="00043DA1" w:rsidP="00043DA1">
      <w:pPr>
        <w:pStyle w:val="Paragraphedeliste"/>
        <w:widowControl w:val="0"/>
        <w:numPr>
          <w:ilvl w:val="0"/>
          <w:numId w:val="39"/>
        </w:numPr>
        <w:autoSpaceDE w:val="0"/>
        <w:autoSpaceDN w:val="0"/>
        <w:adjustRightInd w:val="0"/>
        <w:spacing w:line="240" w:lineRule="atLeast"/>
        <w:jc w:val="both"/>
        <w:rPr>
          <w:rFonts w:ascii="Times" w:hAnsi="Times"/>
          <w:color w:val="000000"/>
        </w:rPr>
      </w:pPr>
      <w:r w:rsidRPr="00096BDF">
        <w:rPr>
          <w:rFonts w:ascii="Times" w:hAnsi="Times"/>
          <w:color w:val="000000"/>
        </w:rPr>
        <w:t xml:space="preserve">Merging of the two following sections into one: Trend information and Significant changes in the issuer’s financial position. </w:t>
      </w:r>
    </w:p>
    <w:p w14:paraId="3E14024E" w14:textId="77777777" w:rsidR="00043DA1" w:rsidRPr="00096BDF" w:rsidRDefault="00043DA1" w:rsidP="00043DA1">
      <w:pPr>
        <w:pStyle w:val="Paragraphedeliste"/>
        <w:widowControl w:val="0"/>
        <w:numPr>
          <w:ilvl w:val="0"/>
          <w:numId w:val="39"/>
        </w:numPr>
        <w:autoSpaceDE w:val="0"/>
        <w:autoSpaceDN w:val="0"/>
        <w:adjustRightInd w:val="0"/>
        <w:spacing w:line="240" w:lineRule="atLeast"/>
        <w:jc w:val="both"/>
        <w:rPr>
          <w:rFonts w:ascii="Times" w:hAnsi="Times" w:cs="Arial"/>
        </w:rPr>
      </w:pPr>
      <w:r w:rsidRPr="00096BDF">
        <w:rPr>
          <w:rFonts w:ascii="Times" w:hAnsi="Times"/>
          <w:color w:val="000000"/>
        </w:rPr>
        <w:t xml:space="preserve">Disclosure requirement concerning material contracts should be </w:t>
      </w:r>
      <w:proofErr w:type="gramStart"/>
      <w:r w:rsidRPr="00096BDF">
        <w:rPr>
          <w:rFonts w:ascii="Times" w:hAnsi="Times"/>
          <w:color w:val="000000"/>
        </w:rPr>
        <w:t>redrafted</w:t>
      </w:r>
      <w:proofErr w:type="gramEnd"/>
      <w:r w:rsidRPr="00096BDF">
        <w:rPr>
          <w:rFonts w:ascii="Times" w:hAnsi="Times"/>
          <w:color w:val="000000"/>
        </w:rPr>
        <w:t xml:space="preserve"> </w:t>
      </w:r>
      <w:r>
        <w:rPr>
          <w:rFonts w:ascii="Times" w:hAnsi="Times"/>
          <w:color w:val="000000"/>
        </w:rPr>
        <w:t xml:space="preserve">as wording is confusing. </w:t>
      </w:r>
    </w:p>
    <w:p w14:paraId="20A933B1" w14:textId="77777777" w:rsidR="00043DA1" w:rsidRPr="00096BDF" w:rsidRDefault="00043DA1" w:rsidP="00043DA1">
      <w:pPr>
        <w:pStyle w:val="Paragraphedeliste"/>
        <w:numPr>
          <w:ilvl w:val="0"/>
          <w:numId w:val="39"/>
        </w:numPr>
        <w:jc w:val="both"/>
        <w:rPr>
          <w:rFonts w:ascii="Times" w:hAnsi="Times" w:cs="Arial"/>
        </w:rPr>
      </w:pPr>
      <w:r w:rsidRPr="00096BDF">
        <w:rPr>
          <w:rFonts w:ascii="Times" w:hAnsi="Times"/>
        </w:rPr>
        <w:t>Link to the issuer’s website:  making documents on display electronically available should not raise any i</w:t>
      </w:r>
      <w:r w:rsidRPr="00096BDF">
        <w:rPr>
          <w:rFonts w:ascii="Times" w:hAnsi="Times"/>
        </w:rPr>
        <w:t>s</w:t>
      </w:r>
      <w:r w:rsidRPr="00096BDF">
        <w:rPr>
          <w:rFonts w:ascii="Times" w:hAnsi="Times"/>
        </w:rPr>
        <w:t>sue. However, we are concerned about ESMA’s proposal to require a disclaimer that the information on the website does not form part of the prospectus. We don’t see the added value of this disclaimer – circu</w:t>
      </w:r>
      <w:r w:rsidRPr="00096BDF">
        <w:rPr>
          <w:rFonts w:ascii="Times" w:hAnsi="Times"/>
        </w:rPr>
        <w:t>m</w:t>
      </w:r>
      <w:r w:rsidRPr="00096BDF">
        <w:rPr>
          <w:rFonts w:ascii="Times" w:hAnsi="Times"/>
        </w:rPr>
        <w:t>stances under which an investor would consider that all the website is part of the prospectus are not clear – and we consider that it could even be confusing since documents incorporated by reference in the prospe</w:t>
      </w:r>
      <w:r w:rsidRPr="00096BDF">
        <w:rPr>
          <w:rFonts w:ascii="Times" w:hAnsi="Times"/>
        </w:rPr>
        <w:t>c</w:t>
      </w:r>
      <w:r w:rsidRPr="00096BDF">
        <w:rPr>
          <w:rFonts w:ascii="Times" w:hAnsi="Times"/>
        </w:rPr>
        <w:t xml:space="preserve">tus could be available on the issuer’s website. The proposal to introduce this disclaimer should be removed. </w:t>
      </w:r>
    </w:p>
    <w:p w14:paraId="1630E079" w14:textId="77777777" w:rsidR="00043DA1" w:rsidRPr="00096BDF" w:rsidRDefault="00043DA1" w:rsidP="00043DA1">
      <w:pPr>
        <w:spacing w:line="240" w:lineRule="atLeast"/>
        <w:jc w:val="both"/>
        <w:rPr>
          <w:rFonts w:ascii="Times" w:hAnsi="Times"/>
        </w:rPr>
      </w:pPr>
    </w:p>
    <w:p w14:paraId="6C204D42" w14:textId="77777777" w:rsidR="00043DA1" w:rsidRPr="00096BDF" w:rsidRDefault="00043DA1" w:rsidP="00043DA1">
      <w:pPr>
        <w:spacing w:line="240" w:lineRule="atLeast"/>
        <w:jc w:val="both"/>
        <w:rPr>
          <w:rFonts w:ascii="Times" w:hAnsi="Times"/>
        </w:rPr>
      </w:pPr>
      <w:r w:rsidRPr="00096BDF">
        <w:rPr>
          <w:rFonts w:ascii="Times" w:hAnsi="Times"/>
          <w:color w:val="000000"/>
        </w:rPr>
        <w:t>Moreover, a clearer distinction between the retail and wholesale debt prospectuses should be made. The wholesale debt prospectus should be much simpler and more straightforward than the retail debt prospectus. As regards the disclosure of non-financial information (e.g. ESG items) there should be no requirement to publish such ESG items in the wholesale prospectuses.</w:t>
      </w:r>
    </w:p>
    <w:p w14:paraId="2E40CBDF" w14:textId="77777777" w:rsidR="00043DA1" w:rsidRPr="00096BDF" w:rsidRDefault="00043DA1" w:rsidP="00043DA1">
      <w:pPr>
        <w:widowControl w:val="0"/>
        <w:autoSpaceDE w:val="0"/>
        <w:autoSpaceDN w:val="0"/>
        <w:adjustRightInd w:val="0"/>
        <w:spacing w:line="240" w:lineRule="atLeast"/>
        <w:jc w:val="both"/>
        <w:rPr>
          <w:rFonts w:ascii="Times" w:hAnsi="Times"/>
          <w:color w:val="000000"/>
        </w:rPr>
      </w:pPr>
      <w:r w:rsidRPr="00096BDF">
        <w:rPr>
          <w:rFonts w:ascii="Times" w:hAnsi="Times"/>
          <w:color w:val="000000"/>
        </w:rPr>
        <w:t xml:space="preserve"> </w:t>
      </w:r>
    </w:p>
    <w:p w14:paraId="06D9FD43" w14:textId="77777777" w:rsidR="00043DA1" w:rsidRPr="00096BDF" w:rsidRDefault="00043DA1" w:rsidP="00043DA1">
      <w:pPr>
        <w:widowControl w:val="0"/>
        <w:autoSpaceDE w:val="0"/>
        <w:autoSpaceDN w:val="0"/>
        <w:adjustRightInd w:val="0"/>
        <w:spacing w:line="240" w:lineRule="atLeast"/>
        <w:jc w:val="both"/>
        <w:rPr>
          <w:rFonts w:ascii="Times" w:hAnsi="Times"/>
          <w:color w:val="000000"/>
        </w:rPr>
      </w:pPr>
      <w:r w:rsidRPr="00096BDF">
        <w:rPr>
          <w:rFonts w:ascii="Times" w:hAnsi="Times"/>
          <w:color w:val="000000"/>
        </w:rPr>
        <w:t>Generally, we support a status quo of the minimum information requirements of the existing framework.</w:t>
      </w:r>
    </w:p>
    <w:p w14:paraId="73D59F3F" w14:textId="77777777" w:rsidR="00043DA1" w:rsidRPr="002D4D68" w:rsidRDefault="00043DA1" w:rsidP="00043DA1">
      <w:pPr>
        <w:widowControl w:val="0"/>
        <w:autoSpaceDE w:val="0"/>
        <w:autoSpaceDN w:val="0"/>
        <w:adjustRightInd w:val="0"/>
        <w:spacing w:line="240" w:lineRule="atLeast"/>
        <w:jc w:val="both"/>
        <w:rPr>
          <w:rFonts w:ascii="Times New Roman" w:hAnsi="Times New Roman"/>
          <w:i/>
          <w:color w:val="000000"/>
        </w:rPr>
      </w:pPr>
    </w:p>
    <w:p w14:paraId="73C6AA8A" w14:textId="77777777" w:rsidR="00357C60" w:rsidRDefault="00357C60" w:rsidP="00357C60">
      <w:pPr>
        <w:rPr>
          <w:rFonts w:cs="Arial"/>
        </w:rPr>
      </w:pPr>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removal of the requirement for wholesale non-equity iss</w:t>
      </w:r>
      <w:r w:rsidRPr="0064701F">
        <w:rPr>
          <w:rFonts w:ascii="Arial" w:hAnsi="Arial" w:cs="Arial"/>
        </w:rPr>
        <w:t>u</w:t>
      </w:r>
      <w:r w:rsidRPr="0064701F">
        <w:rPr>
          <w:rFonts w:ascii="Arial" w:hAnsi="Arial" w:cs="Arial"/>
        </w:rPr>
        <w:t>ers to restate their financial statements? Would this significantly affect the i</w:t>
      </w:r>
      <w:r w:rsidRPr="0064701F">
        <w:rPr>
          <w:rFonts w:ascii="Arial" w:hAnsi="Arial" w:cs="Arial"/>
        </w:rPr>
        <w:t>n</w:t>
      </w:r>
      <w:r w:rsidRPr="0064701F">
        <w:rPr>
          <w:rFonts w:ascii="Arial" w:hAnsi="Arial" w:cs="Arial"/>
        </w:rPr>
        <w:t>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414035E4" w14:textId="77777777" w:rsidR="005066A9" w:rsidRPr="00096BDF" w:rsidRDefault="005066A9" w:rsidP="005066A9">
      <w:pPr>
        <w:widowControl w:val="0"/>
        <w:autoSpaceDE w:val="0"/>
        <w:autoSpaceDN w:val="0"/>
        <w:adjustRightInd w:val="0"/>
        <w:spacing w:line="240" w:lineRule="atLeast"/>
        <w:jc w:val="both"/>
        <w:rPr>
          <w:rFonts w:ascii="Times" w:hAnsi="Times"/>
          <w:color w:val="000000"/>
        </w:rPr>
      </w:pPr>
      <w:permStart w:id="51848580" w:edGrp="everyone"/>
      <w:r w:rsidRPr="00096BDF">
        <w:rPr>
          <w:rFonts w:ascii="Times" w:hAnsi="Times"/>
          <w:color w:val="000000"/>
        </w:rPr>
        <w:t xml:space="preserve">We propose the following additional simplification measures to the registration document: </w:t>
      </w:r>
    </w:p>
    <w:p w14:paraId="5760316F" w14:textId="77777777" w:rsidR="005066A9" w:rsidRPr="00096BDF" w:rsidRDefault="005066A9" w:rsidP="005066A9">
      <w:pPr>
        <w:rPr>
          <w:rFonts w:ascii="Times" w:hAnsi="Times"/>
        </w:rPr>
      </w:pPr>
    </w:p>
    <w:p w14:paraId="205565B7" w14:textId="77777777" w:rsidR="005066A9" w:rsidRPr="00096BDF" w:rsidRDefault="005066A9" w:rsidP="005066A9">
      <w:pPr>
        <w:pStyle w:val="Paragraphedeliste"/>
        <w:widowControl w:val="0"/>
        <w:numPr>
          <w:ilvl w:val="0"/>
          <w:numId w:val="39"/>
        </w:numPr>
        <w:autoSpaceDE w:val="0"/>
        <w:autoSpaceDN w:val="0"/>
        <w:adjustRightInd w:val="0"/>
        <w:spacing w:line="240" w:lineRule="atLeast"/>
        <w:jc w:val="both"/>
        <w:rPr>
          <w:rFonts w:ascii="Times" w:hAnsi="Times"/>
          <w:color w:val="000000"/>
        </w:rPr>
      </w:pPr>
      <w:r w:rsidRPr="00096BDF">
        <w:rPr>
          <w:rFonts w:ascii="Times" w:hAnsi="Times"/>
          <w:color w:val="000000"/>
        </w:rPr>
        <w:t xml:space="preserve">Merging of the two following sections into one: Trend information and Significant changes in the issuer’s financial position. </w:t>
      </w:r>
    </w:p>
    <w:p w14:paraId="072BD0A9" w14:textId="77777777" w:rsidR="005066A9" w:rsidRPr="00096BDF" w:rsidRDefault="005066A9" w:rsidP="005066A9">
      <w:pPr>
        <w:pStyle w:val="Paragraphedeliste"/>
        <w:widowControl w:val="0"/>
        <w:numPr>
          <w:ilvl w:val="0"/>
          <w:numId w:val="39"/>
        </w:numPr>
        <w:autoSpaceDE w:val="0"/>
        <w:autoSpaceDN w:val="0"/>
        <w:adjustRightInd w:val="0"/>
        <w:spacing w:line="240" w:lineRule="atLeast"/>
        <w:jc w:val="both"/>
        <w:rPr>
          <w:rFonts w:ascii="Times" w:hAnsi="Times" w:cs="Arial"/>
        </w:rPr>
      </w:pPr>
      <w:r w:rsidRPr="00096BDF">
        <w:rPr>
          <w:rFonts w:ascii="Times" w:hAnsi="Times"/>
          <w:color w:val="000000"/>
        </w:rPr>
        <w:t xml:space="preserve">Disclosure requirement concerning material contracts should be </w:t>
      </w:r>
      <w:proofErr w:type="gramStart"/>
      <w:r w:rsidRPr="00096BDF">
        <w:rPr>
          <w:rFonts w:ascii="Times" w:hAnsi="Times"/>
          <w:color w:val="000000"/>
        </w:rPr>
        <w:t>redrafted</w:t>
      </w:r>
      <w:proofErr w:type="gramEnd"/>
      <w:r w:rsidRPr="00096BDF">
        <w:rPr>
          <w:rFonts w:ascii="Times" w:hAnsi="Times"/>
          <w:color w:val="000000"/>
        </w:rPr>
        <w:t xml:space="preserve"> </w:t>
      </w:r>
      <w:r>
        <w:rPr>
          <w:rFonts w:ascii="Times" w:hAnsi="Times"/>
          <w:color w:val="000000"/>
        </w:rPr>
        <w:t xml:space="preserve">as wording is confusing. </w:t>
      </w:r>
    </w:p>
    <w:p w14:paraId="36F09932" w14:textId="77777777" w:rsidR="005066A9" w:rsidRPr="00096BDF" w:rsidRDefault="005066A9" w:rsidP="005066A9">
      <w:pPr>
        <w:pStyle w:val="Paragraphedeliste"/>
        <w:numPr>
          <w:ilvl w:val="0"/>
          <w:numId w:val="39"/>
        </w:numPr>
        <w:jc w:val="both"/>
        <w:rPr>
          <w:rFonts w:ascii="Times" w:hAnsi="Times" w:cs="Arial"/>
        </w:rPr>
      </w:pPr>
      <w:r w:rsidRPr="00096BDF">
        <w:rPr>
          <w:rFonts w:ascii="Times" w:hAnsi="Times"/>
        </w:rPr>
        <w:t>Link to the issuer’s website:  making documents on display electronically available should not raise any i</w:t>
      </w:r>
      <w:r w:rsidRPr="00096BDF">
        <w:rPr>
          <w:rFonts w:ascii="Times" w:hAnsi="Times"/>
        </w:rPr>
        <w:t>s</w:t>
      </w:r>
      <w:r w:rsidRPr="00096BDF">
        <w:rPr>
          <w:rFonts w:ascii="Times" w:hAnsi="Times"/>
        </w:rPr>
        <w:t>sue. However, we are concerned about ESMA’s proposal to require a disclaimer that the information on the website does not form part of the prospectus. We don’t see the added value of this disclaimer – circu</w:t>
      </w:r>
      <w:r w:rsidRPr="00096BDF">
        <w:rPr>
          <w:rFonts w:ascii="Times" w:hAnsi="Times"/>
        </w:rPr>
        <w:t>m</w:t>
      </w:r>
      <w:r w:rsidRPr="00096BDF">
        <w:rPr>
          <w:rFonts w:ascii="Times" w:hAnsi="Times"/>
        </w:rPr>
        <w:t>stances under which an investor would consider that all the website is part of the prospectus are not clear – and we consider that it could even be confusing since documents incorporated by reference in the prospe</w:t>
      </w:r>
      <w:r w:rsidRPr="00096BDF">
        <w:rPr>
          <w:rFonts w:ascii="Times" w:hAnsi="Times"/>
        </w:rPr>
        <w:t>c</w:t>
      </w:r>
      <w:r w:rsidRPr="00096BDF">
        <w:rPr>
          <w:rFonts w:ascii="Times" w:hAnsi="Times"/>
        </w:rPr>
        <w:t xml:space="preserve">tus could be available on the issuer’s website. The proposal to introduce this disclaimer should be removed. </w:t>
      </w:r>
    </w:p>
    <w:p w14:paraId="4731D6AD" w14:textId="77777777" w:rsidR="005066A9" w:rsidRPr="00096BDF" w:rsidRDefault="005066A9" w:rsidP="005066A9">
      <w:pPr>
        <w:spacing w:line="240" w:lineRule="atLeast"/>
        <w:jc w:val="both"/>
        <w:rPr>
          <w:rFonts w:ascii="Times" w:hAnsi="Times"/>
        </w:rPr>
      </w:pPr>
    </w:p>
    <w:p w14:paraId="5E057793" w14:textId="77777777" w:rsidR="005066A9" w:rsidRPr="00096BDF" w:rsidRDefault="005066A9" w:rsidP="005066A9">
      <w:pPr>
        <w:spacing w:line="240" w:lineRule="atLeast"/>
        <w:jc w:val="both"/>
        <w:rPr>
          <w:rFonts w:ascii="Times" w:hAnsi="Times"/>
        </w:rPr>
      </w:pPr>
      <w:r w:rsidRPr="00096BDF">
        <w:rPr>
          <w:rFonts w:ascii="Times" w:hAnsi="Times"/>
          <w:color w:val="000000"/>
        </w:rPr>
        <w:t>Moreover, a clearer distinction between the retail and wholesale debt prospectuses should be made. The wholesale debt prospectus should be much simpler and more straightforward than the retail debt prospectus. As regards the disclosure of non-financial information (e.g. ESG items) there should be no requirement to publish such ESG items in the wholesale prospectuses.</w:t>
      </w:r>
    </w:p>
    <w:p w14:paraId="12C91C3F" w14:textId="77777777" w:rsidR="005066A9" w:rsidRPr="00096BDF" w:rsidRDefault="005066A9" w:rsidP="005066A9">
      <w:pPr>
        <w:widowControl w:val="0"/>
        <w:autoSpaceDE w:val="0"/>
        <w:autoSpaceDN w:val="0"/>
        <w:adjustRightInd w:val="0"/>
        <w:spacing w:line="240" w:lineRule="atLeast"/>
        <w:jc w:val="both"/>
        <w:rPr>
          <w:rFonts w:ascii="Times" w:hAnsi="Times"/>
          <w:color w:val="000000"/>
        </w:rPr>
      </w:pPr>
      <w:r w:rsidRPr="00096BDF">
        <w:rPr>
          <w:rFonts w:ascii="Times" w:hAnsi="Times"/>
          <w:color w:val="000000"/>
        </w:rPr>
        <w:t xml:space="preserve"> </w:t>
      </w:r>
    </w:p>
    <w:p w14:paraId="2E76CD67" w14:textId="02DE6CB5" w:rsidR="00357C60" w:rsidRPr="005066A9" w:rsidRDefault="005066A9" w:rsidP="005066A9">
      <w:pPr>
        <w:widowControl w:val="0"/>
        <w:autoSpaceDE w:val="0"/>
        <w:autoSpaceDN w:val="0"/>
        <w:adjustRightInd w:val="0"/>
        <w:spacing w:line="240" w:lineRule="atLeast"/>
        <w:jc w:val="both"/>
        <w:rPr>
          <w:rFonts w:ascii="Times" w:hAnsi="Times"/>
          <w:color w:val="000000"/>
        </w:rPr>
      </w:pPr>
      <w:r w:rsidRPr="00096BDF">
        <w:rPr>
          <w:rFonts w:ascii="Times" w:hAnsi="Times"/>
          <w:color w:val="000000"/>
        </w:rPr>
        <w:t>Generally, we support a status quo of the minimum information requirements of the existing framework.</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600C4FD7" w14:textId="77777777" w:rsidR="00357C60" w:rsidRDefault="00357C60" w:rsidP="00357C60">
      <w:pPr>
        <w:rPr>
          <w:rFonts w:cs="Arial"/>
        </w:rPr>
      </w:pPr>
      <w:permStart w:id="1932084204" w:edGrp="everyone"/>
      <w:permEnd w:id="1932084204"/>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4"/>
        </w:numPr>
        <w:rPr>
          <w:rFonts w:ascii="Arial" w:hAnsi="Arial" w:cs="Arial"/>
        </w:rPr>
      </w:pPr>
      <w:r>
        <w:lastRenderedPageBreak/>
        <w:t xml:space="preserve">: </w:t>
      </w:r>
      <w:r w:rsidRPr="0064701F">
        <w:rPr>
          <w:rFonts w:ascii="Arial" w:hAnsi="Arial" w:cs="Arial"/>
        </w:rPr>
        <w:t>Do you agree with the way in which disclosure on taxation has been reduced? Would this significantly affect the informative value of the prospectus for inve</w:t>
      </w:r>
      <w:r w:rsidRPr="0064701F">
        <w:rPr>
          <w:rFonts w:ascii="Arial" w:hAnsi="Arial" w:cs="Arial"/>
        </w:rPr>
        <w:t>s</w:t>
      </w:r>
      <w:r w:rsidRPr="0064701F">
        <w:rPr>
          <w:rFonts w:ascii="Arial" w:hAnsi="Arial" w:cs="Arial"/>
        </w:rPr>
        <w:t>tors?</w:t>
      </w:r>
    </w:p>
    <w:p w14:paraId="7FADE231" w14:textId="77777777" w:rsidR="00357C60" w:rsidRDefault="00357C60" w:rsidP="00357C60">
      <w:pPr>
        <w:rPr>
          <w:rFonts w:cs="Arial"/>
        </w:rPr>
      </w:pPr>
      <w:r>
        <w:rPr>
          <w:rFonts w:cs="Arial"/>
        </w:rPr>
        <w:t>&lt;ESMA_QUESTION_FAC_38&gt;</w:t>
      </w:r>
    </w:p>
    <w:p w14:paraId="4CCB61E5" w14:textId="2E32F6F0" w:rsidR="00357C60" w:rsidRDefault="00796E6D" w:rsidP="00357C60">
      <w:pPr>
        <w:rPr>
          <w:rFonts w:cs="Arial"/>
        </w:rPr>
      </w:pPr>
      <w:permStart w:id="164054991" w:edGrp="everyone"/>
      <w:r w:rsidRPr="00096BDF">
        <w:rPr>
          <w:rFonts w:ascii="Times" w:hAnsi="Times"/>
          <w:sz w:val="22"/>
          <w:szCs w:val="22"/>
        </w:rPr>
        <w:t xml:space="preserve">We support ESMA’s proposal to require a warning that the tax legislation may have an impact on the income received. We do not support, however, the requirement to issue a summary of the tax regime where </w:t>
      </w:r>
      <w:r w:rsidRPr="00096BDF">
        <w:rPr>
          <w:rFonts w:ascii="Times" w:hAnsi="Times"/>
          <w:color w:val="000000"/>
          <w:sz w:val="22"/>
          <w:szCs w:val="22"/>
        </w:rPr>
        <w:t xml:space="preserve">the investment entails a specific tax regime, which runs counter to the stated objective </w:t>
      </w:r>
      <w:r w:rsidRPr="00096BDF">
        <w:rPr>
          <w:rFonts w:ascii="Times" w:hAnsi="Times"/>
          <w:sz w:val="22"/>
          <w:szCs w:val="22"/>
        </w:rPr>
        <w:t>of alleviating disclosures on tax, since the issuer should not be required to advise investors on tax issues.</w:t>
      </w:r>
      <w:r w:rsidRPr="00572379">
        <w:rPr>
          <w:rFonts w:ascii="Times New Roman" w:hAnsi="Times New Roman"/>
          <w:b/>
        </w:rPr>
        <w:t xml:space="preserve"> </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271B37A0" w:rsidR="00357C60" w:rsidRDefault="00796E6D" w:rsidP="00357C60">
      <w:pPr>
        <w:rPr>
          <w:rFonts w:cs="Arial"/>
        </w:rPr>
      </w:pPr>
      <w:permStart w:id="452609042" w:edGrp="everyone"/>
      <w:r w:rsidRPr="00796E6D">
        <w:rPr>
          <w:rFonts w:ascii="Times" w:hAnsi="Times" w:cs="Arial"/>
          <w:sz w:val="22"/>
          <w:szCs w:val="22"/>
        </w:rPr>
        <w:t>We do not consider there would be any negative consequences</w:t>
      </w:r>
      <w:r>
        <w:rPr>
          <w:rFonts w:cs="Arial"/>
        </w:rPr>
        <w:t xml:space="preserve">. </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03B8843" w14:textId="77777777" w:rsidR="00357C60" w:rsidRDefault="00357C60" w:rsidP="00357C60">
      <w:pPr>
        <w:rPr>
          <w:rFonts w:cs="Arial"/>
        </w:rPr>
      </w:pPr>
      <w:permStart w:id="1034365782" w:edGrp="everyone"/>
      <w:permEnd w:id="1034365782"/>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that the issue price of the securities to be inclu</w:t>
      </w:r>
      <w:r w:rsidRPr="0064701F">
        <w:rPr>
          <w:rFonts w:ascii="Arial" w:hAnsi="Arial" w:cs="Arial"/>
        </w:rPr>
        <w:t>d</w:t>
      </w:r>
      <w:r w:rsidRPr="0064701F">
        <w:rPr>
          <w:rFonts w:ascii="Arial" w:hAnsi="Arial" w:cs="Arial"/>
        </w:rPr>
        <w:t>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any further changes be made to the retail debt and deriv</w:t>
      </w:r>
      <w:r w:rsidRPr="0064701F">
        <w:rPr>
          <w:rFonts w:ascii="Arial" w:hAnsi="Arial" w:cs="Arial"/>
        </w:rPr>
        <w:t>a</w:t>
      </w:r>
      <w:r w:rsidRPr="0064701F">
        <w:rPr>
          <w:rFonts w:ascii="Arial" w:hAnsi="Arial" w:cs="Arial"/>
        </w:rPr>
        <w:t>tives securities note? Please advise of any costs and benefits that would be i</w:t>
      </w:r>
      <w:r w:rsidRPr="0064701F">
        <w:rPr>
          <w:rFonts w:ascii="Arial" w:hAnsi="Arial" w:cs="Arial"/>
        </w:rPr>
        <w:t>n</w:t>
      </w:r>
      <w:r w:rsidRPr="0064701F">
        <w:rPr>
          <w:rFonts w:ascii="Arial" w:hAnsi="Arial" w:cs="Arial"/>
        </w:rPr>
        <w:t>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4"/>
        </w:numPr>
        <w:rPr>
          <w:rFonts w:ascii="Arial" w:hAnsi="Arial" w:cs="Arial"/>
        </w:rPr>
      </w:pPr>
      <w:r>
        <w:lastRenderedPageBreak/>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agree with ESMA’s proposals to enhance the disclosure in rel</w:t>
      </w:r>
      <w:r w:rsidRPr="0064701F">
        <w:rPr>
          <w:rFonts w:ascii="Arial" w:hAnsi="Arial" w:cs="Arial"/>
        </w:rPr>
        <w:t>a</w:t>
      </w:r>
      <w:r w:rsidRPr="0064701F">
        <w:rPr>
          <w:rFonts w:ascii="Arial" w:hAnsi="Arial" w:cs="Arial"/>
        </w:rPr>
        <w:t>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44D7C0C6" w14:textId="77777777" w:rsidR="00ED17A5" w:rsidRPr="00ED17A5" w:rsidRDefault="00ED17A5" w:rsidP="00ED17A5">
      <w:pPr>
        <w:jc w:val="both"/>
        <w:rPr>
          <w:rFonts w:ascii="Times" w:hAnsi="Times" w:cs="Arial"/>
          <w:sz w:val="22"/>
          <w:szCs w:val="22"/>
        </w:rPr>
      </w:pPr>
      <w:permStart w:id="2009017422" w:edGrp="everyone"/>
      <w:r w:rsidRPr="00ED17A5">
        <w:rPr>
          <w:rFonts w:ascii="Times" w:hAnsi="Times" w:cs="Arial"/>
          <w:b/>
          <w:sz w:val="22"/>
          <w:szCs w:val="22"/>
        </w:rPr>
        <w:t>No, we disagree with ESMA’s proposal to enhance the disclosure in relation to situations where investors may lose all or part of their investment.</w:t>
      </w:r>
      <w:r w:rsidRPr="00ED17A5">
        <w:rPr>
          <w:rFonts w:ascii="Times" w:hAnsi="Times" w:cs="Arial"/>
          <w:sz w:val="22"/>
          <w:szCs w:val="22"/>
        </w:rPr>
        <w:t xml:space="preserve"> Article 7(5) of the Regulation introduces a new warning in the summary that “the investor could lose all or part of the invested capital” and, where the investor’s liability is not limited to the amount of the investment, another warning that “the investor could lose more than the invested capital and the extent of such potential loss”.</w:t>
      </w:r>
    </w:p>
    <w:p w14:paraId="240B4519" w14:textId="77777777" w:rsidR="00ED17A5" w:rsidRPr="00ED17A5" w:rsidRDefault="00ED17A5" w:rsidP="00ED17A5">
      <w:pPr>
        <w:jc w:val="both"/>
        <w:rPr>
          <w:rFonts w:ascii="Times" w:hAnsi="Times" w:cs="Arial"/>
          <w:sz w:val="22"/>
          <w:szCs w:val="22"/>
        </w:rPr>
      </w:pPr>
      <w:r w:rsidRPr="00ED17A5">
        <w:rPr>
          <w:rFonts w:ascii="Times" w:hAnsi="Times" w:cs="Arial"/>
          <w:sz w:val="22"/>
          <w:szCs w:val="22"/>
        </w:rPr>
        <w:t>A summary would always be required except for wholesale non-equity prospectuses. Therefore we co</w:t>
      </w:r>
      <w:r w:rsidRPr="00ED17A5">
        <w:rPr>
          <w:rFonts w:ascii="Times" w:hAnsi="Times" w:cs="Arial"/>
          <w:sz w:val="22"/>
          <w:szCs w:val="22"/>
        </w:rPr>
        <w:t>n</w:t>
      </w:r>
      <w:r w:rsidRPr="00ED17A5">
        <w:rPr>
          <w:rFonts w:ascii="Times" w:hAnsi="Times" w:cs="Arial"/>
          <w:sz w:val="22"/>
          <w:szCs w:val="22"/>
        </w:rPr>
        <w:t xml:space="preserve">sider that retail </w:t>
      </w:r>
      <w:proofErr w:type="gramStart"/>
      <w:r w:rsidRPr="00ED17A5">
        <w:rPr>
          <w:rFonts w:ascii="Times" w:hAnsi="Times" w:cs="Arial"/>
          <w:sz w:val="22"/>
          <w:szCs w:val="22"/>
        </w:rPr>
        <w:t>investors</w:t>
      </w:r>
      <w:proofErr w:type="gramEnd"/>
      <w:r w:rsidRPr="00ED17A5">
        <w:rPr>
          <w:rFonts w:ascii="Times" w:hAnsi="Times" w:cs="Arial"/>
          <w:sz w:val="22"/>
          <w:szCs w:val="22"/>
        </w:rPr>
        <w:t xml:space="preserve"> awareness would be sufficiently enhanced in such circumstances and we don’t consider that it is necessary to require an additional warning as proposed by ESMA in the risk factors section.</w:t>
      </w:r>
    </w:p>
    <w:p w14:paraId="5A4E0E70" w14:textId="77777777" w:rsidR="00357C60" w:rsidRDefault="00357C60" w:rsidP="00357C60">
      <w:pPr>
        <w:rPr>
          <w:rFonts w:cs="Arial"/>
        </w:rPr>
      </w:pPr>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lastRenderedPageBreak/>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proposed amendments to the annex relating to the underl</w:t>
      </w:r>
      <w:r w:rsidRPr="0064701F">
        <w:rPr>
          <w:rFonts w:ascii="Arial" w:hAnsi="Arial" w:cs="Arial"/>
        </w:rPr>
        <w:t>y</w:t>
      </w:r>
      <w:r w:rsidRPr="0064701F">
        <w:rPr>
          <w:rFonts w:ascii="Arial" w:hAnsi="Arial" w:cs="Arial"/>
        </w:rPr>
        <w:t>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the annex for third countries and their regional and local a</w:t>
      </w:r>
      <w:r w:rsidRPr="0064701F">
        <w:rPr>
          <w:rFonts w:ascii="Arial" w:hAnsi="Arial" w:cs="Arial"/>
        </w:rPr>
        <w:t>u</w:t>
      </w:r>
      <w:r w:rsidRPr="0064701F">
        <w:rPr>
          <w:rFonts w:ascii="Arial" w:hAnsi="Arial" w:cs="Arial"/>
        </w:rPr>
        <w:t>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relating to the asset backed securities registr</w:t>
      </w:r>
      <w:r w:rsidRPr="0064701F">
        <w:rPr>
          <w:rFonts w:ascii="Arial" w:hAnsi="Arial" w:cs="Arial"/>
        </w:rPr>
        <w:t>a</w:t>
      </w:r>
      <w:r w:rsidRPr="0064701F">
        <w:rPr>
          <w:rFonts w:ascii="Arial" w:hAnsi="Arial" w:cs="Arial"/>
        </w:rPr>
        <w:t>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lastRenderedPageBreak/>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w:t>
      </w:r>
      <w:r w:rsidRPr="0064701F">
        <w:rPr>
          <w:rFonts w:ascii="Arial" w:hAnsi="Arial" w:cs="Arial"/>
        </w:rPr>
        <w:t>e</w:t>
      </w:r>
      <w:r w:rsidRPr="0064701F">
        <w:rPr>
          <w:rFonts w:ascii="Arial" w:hAnsi="Arial" w:cs="Arial"/>
        </w:rPr>
        <w:t>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4"/>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4"/>
        </w:numPr>
        <w:rPr>
          <w:rFonts w:ascii="Arial" w:hAnsi="Arial" w:cs="Arial"/>
        </w:rPr>
      </w:pPr>
      <w:r>
        <w:lastRenderedPageBreak/>
        <w:t xml:space="preserve">: </w:t>
      </w:r>
      <w:r w:rsidRPr="0064701F">
        <w:rPr>
          <w:rFonts w:ascii="Arial" w:hAnsi="Arial" w:cs="Arial"/>
        </w:rPr>
        <w:t>Do you consider that any changes are required to the existing regime for conver</w:t>
      </w:r>
      <w:r w:rsidRPr="0064701F">
        <w:rPr>
          <w:rFonts w:ascii="Arial" w:hAnsi="Arial" w:cs="Arial"/>
        </w:rPr>
        <w:t>t</w:t>
      </w:r>
      <w:r w:rsidRPr="0064701F">
        <w:rPr>
          <w:rFonts w:ascii="Arial" w:hAnsi="Arial" w:cs="Arial"/>
        </w:rPr>
        <w: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any other types of specialist issuers which should be ad</w:t>
      </w:r>
      <w:r w:rsidRPr="0064701F">
        <w:rPr>
          <w:rFonts w:ascii="Arial" w:hAnsi="Arial" w:cs="Arial"/>
        </w:rPr>
        <w:t>d</w:t>
      </w:r>
      <w:r w:rsidRPr="0064701F">
        <w:rPr>
          <w:rFonts w:ascii="Arial" w:hAnsi="Arial" w:cs="Arial"/>
        </w:rPr>
        <w:t>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00DEB10" w:rsidR="00357C60" w:rsidRPr="00DC01C2" w:rsidRDefault="00DC01C2" w:rsidP="00DC01C2">
      <w:pPr>
        <w:jc w:val="both"/>
        <w:rPr>
          <w:rFonts w:ascii="Times" w:hAnsi="Times" w:cs="Arial"/>
          <w:sz w:val="22"/>
          <w:szCs w:val="22"/>
        </w:rPr>
      </w:pPr>
      <w:permStart w:id="781917570" w:edGrp="everyone"/>
      <w:r w:rsidRPr="00DC01C2">
        <w:rPr>
          <w:rFonts w:ascii="Times" w:hAnsi="Times"/>
          <w:sz w:val="22"/>
          <w:szCs w:val="22"/>
        </w:rPr>
        <w:t>We agree that the URD’s content should be based on the share registration document plus the additional disclosure items mentioned in ESMA’s consultation paper:  statement whether the URD has been a</w:t>
      </w:r>
      <w:r w:rsidRPr="00DC01C2">
        <w:rPr>
          <w:rFonts w:ascii="Times" w:hAnsi="Times"/>
          <w:sz w:val="22"/>
          <w:szCs w:val="22"/>
        </w:rPr>
        <w:t>p</w:t>
      </w:r>
      <w:r w:rsidRPr="00DC01C2">
        <w:rPr>
          <w:rFonts w:ascii="Times" w:hAnsi="Times"/>
          <w:sz w:val="22"/>
          <w:szCs w:val="22"/>
        </w:rPr>
        <w:t>proved and may be used for the purpose of an offer or admission to trading on a regulated market, or has just been filed with the NCA and, when the issuer decides to include its Annual/Half-yearly Financial Report, the responsibility statement required under the Transparency Directive</w:t>
      </w:r>
      <w:r w:rsidRPr="00DC01C2">
        <w:rPr>
          <w:rFonts w:ascii="Times" w:hAnsi="Times" w:cs="Arial"/>
          <w:sz w:val="22"/>
          <w:szCs w:val="22"/>
        </w:rPr>
        <w:t>.</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666BFCAE" w14:textId="546FDDA4" w:rsidR="006011EC" w:rsidRPr="006011EC" w:rsidRDefault="006011EC" w:rsidP="006011EC">
      <w:pPr>
        <w:jc w:val="both"/>
        <w:rPr>
          <w:rFonts w:ascii="Times" w:hAnsi="Times" w:cs="Arial"/>
          <w:sz w:val="22"/>
          <w:szCs w:val="22"/>
        </w:rPr>
      </w:pPr>
      <w:permStart w:id="162021279" w:edGrp="everyone"/>
      <w:r w:rsidRPr="006011EC">
        <w:rPr>
          <w:rFonts w:ascii="Times" w:hAnsi="Times" w:cs="Arial"/>
          <w:b/>
          <w:sz w:val="22"/>
          <w:szCs w:val="22"/>
        </w:rPr>
        <w:t>Please refer to our answers to question 20</w:t>
      </w:r>
      <w:r w:rsidRPr="006011EC">
        <w:rPr>
          <w:rFonts w:ascii="Times" w:hAnsi="Times" w:cs="Arial"/>
          <w:sz w:val="22"/>
          <w:szCs w:val="22"/>
        </w:rPr>
        <w:t xml:space="preserve"> regarding additional alleviations that ESMA could take into consideration when defining the URD schedule. In particular we consider that disclosures required in the OFR are also included in the management report defined by article 19 and 29 of the Accounting Directive. Therefore we consider that section 9 could be entirely removed from the share registration document and the URD and the OFR fully aligned with the management report. </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lastRenderedPageBreak/>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24897FEF" w14:textId="77777777" w:rsidR="00954A84" w:rsidRPr="00954A84" w:rsidRDefault="00954A84" w:rsidP="00954A84">
      <w:pPr>
        <w:jc w:val="both"/>
        <w:rPr>
          <w:rFonts w:ascii="Times" w:hAnsi="Times" w:cs="Arial"/>
          <w:b/>
          <w:sz w:val="22"/>
          <w:szCs w:val="22"/>
          <w:u w:val="single"/>
          <w:lang w:val="en" w:eastAsia="fr-FR"/>
        </w:rPr>
      </w:pPr>
      <w:permStart w:id="616250092" w:edGrp="everyone"/>
      <w:r w:rsidRPr="00954A84">
        <w:rPr>
          <w:rFonts w:ascii="Times" w:hAnsi="Times" w:cs="Arial"/>
          <w:b/>
          <w:sz w:val="22"/>
          <w:szCs w:val="22"/>
          <w:u w:val="single"/>
          <w:lang w:val="en" w:eastAsia="fr-FR"/>
        </w:rPr>
        <w:t>Compliance statement</w:t>
      </w:r>
    </w:p>
    <w:p w14:paraId="7F40729E" w14:textId="32D0C4DD" w:rsidR="00954A84" w:rsidRPr="00954A84" w:rsidRDefault="00954A84" w:rsidP="00954A84">
      <w:pPr>
        <w:jc w:val="both"/>
        <w:rPr>
          <w:rFonts w:ascii="Times" w:hAnsi="Times" w:cs="Arial"/>
          <w:sz w:val="22"/>
          <w:szCs w:val="22"/>
          <w:lang w:val="en" w:eastAsia="fr-FR"/>
        </w:rPr>
      </w:pPr>
      <w:r w:rsidRPr="00954A84">
        <w:rPr>
          <w:rFonts w:ascii="Times" w:hAnsi="Times" w:cs="Arial"/>
          <w:sz w:val="22"/>
          <w:szCs w:val="22"/>
          <w:lang w:val="en" w:eastAsia="fr-FR"/>
        </w:rPr>
        <w:t>ESMA is proposing to require from issuers a compliance statement with the publication obligations of the Transparency Directive and Market Abuse Regulation in order to benefit from the secondary issuance regime. We strongly oppose the introduction of such a statement. The conditions to benefit from the secondary issuance regime are set in article 14 of the Regulation and do not incl</w:t>
      </w:r>
      <w:r>
        <w:rPr>
          <w:rFonts w:ascii="Times" w:hAnsi="Times" w:cs="Arial"/>
          <w:sz w:val="22"/>
          <w:szCs w:val="22"/>
          <w:lang w:val="en" w:eastAsia="fr-FR"/>
        </w:rPr>
        <w:t xml:space="preserve">ude any statement of compliance. </w:t>
      </w:r>
      <w:r w:rsidRPr="00954A84">
        <w:rPr>
          <w:rFonts w:ascii="Times" w:hAnsi="Times" w:cs="Arial"/>
          <w:b/>
          <w:sz w:val="22"/>
          <w:szCs w:val="22"/>
        </w:rPr>
        <w:t>We consider therefore that there is no legal basis for ESMA to require such a compl</w:t>
      </w:r>
      <w:r w:rsidRPr="00954A84">
        <w:rPr>
          <w:rFonts w:ascii="Times" w:hAnsi="Times" w:cs="Arial"/>
          <w:b/>
          <w:sz w:val="22"/>
          <w:szCs w:val="22"/>
        </w:rPr>
        <w:t>i</w:t>
      </w:r>
      <w:r w:rsidRPr="00954A84">
        <w:rPr>
          <w:rFonts w:ascii="Times" w:hAnsi="Times" w:cs="Arial"/>
          <w:b/>
          <w:sz w:val="22"/>
          <w:szCs w:val="22"/>
        </w:rPr>
        <w:t>ance statement.</w:t>
      </w:r>
    </w:p>
    <w:p w14:paraId="667A22C4" w14:textId="77777777" w:rsidR="00954A84" w:rsidRPr="00954A84" w:rsidRDefault="00954A84" w:rsidP="00954A84">
      <w:pPr>
        <w:jc w:val="both"/>
        <w:rPr>
          <w:rFonts w:ascii="Times" w:hAnsi="Times" w:cs="Arial"/>
          <w:sz w:val="22"/>
          <w:szCs w:val="22"/>
        </w:rPr>
      </w:pPr>
    </w:p>
    <w:p w14:paraId="76949BBB" w14:textId="77777777" w:rsidR="00954A84" w:rsidRPr="00954A84" w:rsidRDefault="00954A84" w:rsidP="00954A84">
      <w:pPr>
        <w:jc w:val="both"/>
        <w:rPr>
          <w:rFonts w:ascii="Times" w:hAnsi="Times" w:cs="Arial"/>
          <w:b/>
          <w:sz w:val="22"/>
          <w:szCs w:val="22"/>
          <w:u w:val="single"/>
        </w:rPr>
      </w:pPr>
      <w:r w:rsidRPr="00954A84">
        <w:rPr>
          <w:rFonts w:ascii="Times" w:hAnsi="Times" w:cs="Arial"/>
          <w:b/>
          <w:sz w:val="22"/>
          <w:szCs w:val="22"/>
          <w:u w:val="single"/>
        </w:rPr>
        <w:t>Share secondary issuance</w:t>
      </w:r>
    </w:p>
    <w:p w14:paraId="3E274FAB" w14:textId="77777777" w:rsidR="00954A84" w:rsidRPr="00954A84" w:rsidRDefault="00954A84" w:rsidP="00954A84">
      <w:pPr>
        <w:jc w:val="both"/>
        <w:rPr>
          <w:rFonts w:ascii="Times" w:hAnsi="Times" w:cs="Arial"/>
          <w:sz w:val="22"/>
          <w:szCs w:val="22"/>
        </w:rPr>
      </w:pPr>
      <w:r w:rsidRPr="00954A84">
        <w:rPr>
          <w:rFonts w:ascii="Times" w:hAnsi="Times" w:cs="Arial"/>
          <w:sz w:val="22"/>
          <w:szCs w:val="22"/>
        </w:rPr>
        <w:t>We agree with ESMA’s proposal to delete, from the share registration document for secondary issuance, disclosure requirements regarding Organisational structure, the OFR, Environmental matters, Capital resources, Remuneration and benefits, Board practices and Employees. As for the Additional information section, ESMA is also proposing to remove this item with the exception of disclosures regarding:</w:t>
      </w:r>
    </w:p>
    <w:p w14:paraId="05281AFB" w14:textId="77777777" w:rsidR="00954A84" w:rsidRPr="00954A84" w:rsidRDefault="00954A84" w:rsidP="00954A84">
      <w:pPr>
        <w:pStyle w:val="Paragraphedeliste"/>
        <w:numPr>
          <w:ilvl w:val="0"/>
          <w:numId w:val="42"/>
        </w:numPr>
        <w:jc w:val="both"/>
        <w:rPr>
          <w:rFonts w:ascii="Times" w:hAnsi="Times" w:cs="Arial"/>
          <w:sz w:val="22"/>
          <w:szCs w:val="22"/>
        </w:rPr>
      </w:pPr>
      <w:proofErr w:type="gramStart"/>
      <w:r w:rsidRPr="00954A84">
        <w:rPr>
          <w:rFonts w:ascii="Times" w:hAnsi="Times" w:cs="Arial"/>
          <w:sz w:val="22"/>
          <w:szCs w:val="22"/>
        </w:rPr>
        <w:t>the</w:t>
      </w:r>
      <w:proofErr w:type="gramEnd"/>
      <w:r w:rsidRPr="00954A84">
        <w:rPr>
          <w:rFonts w:ascii="Times" w:hAnsi="Times" w:cs="Arial"/>
          <w:sz w:val="22"/>
          <w:szCs w:val="22"/>
        </w:rPr>
        <w:t xml:space="preserve"> amount and terms of existing convertible, exchangeable securities and warrants;</w:t>
      </w:r>
    </w:p>
    <w:p w14:paraId="6E9FCA13" w14:textId="77777777" w:rsidR="00954A84" w:rsidRPr="00954A84" w:rsidRDefault="00954A84" w:rsidP="00954A84">
      <w:pPr>
        <w:pStyle w:val="Paragraphedeliste"/>
        <w:numPr>
          <w:ilvl w:val="0"/>
          <w:numId w:val="42"/>
        </w:numPr>
        <w:jc w:val="both"/>
        <w:rPr>
          <w:rFonts w:ascii="Times" w:hAnsi="Times" w:cs="Arial"/>
          <w:sz w:val="22"/>
          <w:szCs w:val="22"/>
        </w:rPr>
      </w:pPr>
      <w:proofErr w:type="gramStart"/>
      <w:r w:rsidRPr="00954A84">
        <w:rPr>
          <w:rFonts w:ascii="Times" w:hAnsi="Times" w:cs="Arial"/>
          <w:sz w:val="22"/>
          <w:szCs w:val="22"/>
        </w:rPr>
        <w:t>the</w:t>
      </w:r>
      <w:proofErr w:type="gramEnd"/>
      <w:r w:rsidRPr="00954A84">
        <w:rPr>
          <w:rFonts w:ascii="Times" w:hAnsi="Times" w:cs="Arial"/>
          <w:sz w:val="22"/>
          <w:szCs w:val="22"/>
        </w:rPr>
        <w:t xml:space="preserve"> terms of acquisition rights and/or obligations over authorised but unissued capital or an unde</w:t>
      </w:r>
      <w:r w:rsidRPr="00954A84">
        <w:rPr>
          <w:rFonts w:ascii="Times" w:hAnsi="Times" w:cs="Arial"/>
          <w:sz w:val="22"/>
          <w:szCs w:val="22"/>
        </w:rPr>
        <w:t>r</w:t>
      </w:r>
      <w:r w:rsidRPr="00954A84">
        <w:rPr>
          <w:rFonts w:ascii="Times" w:hAnsi="Times" w:cs="Arial"/>
          <w:sz w:val="22"/>
          <w:szCs w:val="22"/>
        </w:rPr>
        <w:t>taking to increase the capital;</w:t>
      </w:r>
    </w:p>
    <w:p w14:paraId="03183244" w14:textId="77777777" w:rsidR="00954A84" w:rsidRPr="00954A84" w:rsidRDefault="00954A84" w:rsidP="00954A84">
      <w:pPr>
        <w:pStyle w:val="Paragraphedeliste"/>
        <w:numPr>
          <w:ilvl w:val="0"/>
          <w:numId w:val="42"/>
        </w:numPr>
        <w:jc w:val="both"/>
        <w:rPr>
          <w:rFonts w:ascii="Times" w:hAnsi="Times" w:cs="Arial"/>
          <w:sz w:val="22"/>
          <w:szCs w:val="22"/>
        </w:rPr>
      </w:pPr>
      <w:proofErr w:type="gramStart"/>
      <w:r w:rsidRPr="00954A84">
        <w:rPr>
          <w:rFonts w:ascii="Times" w:hAnsi="Times" w:cs="Arial"/>
          <w:sz w:val="22"/>
          <w:szCs w:val="22"/>
        </w:rPr>
        <w:t>where</w:t>
      </w:r>
      <w:proofErr w:type="gramEnd"/>
      <w:r w:rsidRPr="00954A84">
        <w:rPr>
          <w:rFonts w:ascii="Times" w:hAnsi="Times" w:cs="Arial"/>
          <w:sz w:val="22"/>
          <w:szCs w:val="22"/>
        </w:rPr>
        <w:t xml:space="preserve"> there is more than one class of existing shares, the description of the rights, preferences and restrictions attaching to each class;</w:t>
      </w:r>
    </w:p>
    <w:p w14:paraId="524D1BD1" w14:textId="77777777" w:rsidR="00954A84" w:rsidRPr="00954A84" w:rsidRDefault="00954A84" w:rsidP="00954A84">
      <w:pPr>
        <w:pStyle w:val="Paragraphedeliste"/>
        <w:numPr>
          <w:ilvl w:val="0"/>
          <w:numId w:val="42"/>
        </w:numPr>
        <w:jc w:val="both"/>
        <w:rPr>
          <w:rFonts w:ascii="Times" w:hAnsi="Times" w:cs="Arial"/>
          <w:sz w:val="22"/>
          <w:szCs w:val="22"/>
        </w:rPr>
      </w:pPr>
      <w:proofErr w:type="gramStart"/>
      <w:r w:rsidRPr="00954A84">
        <w:rPr>
          <w:rFonts w:ascii="Times" w:hAnsi="Times" w:cs="Arial"/>
          <w:sz w:val="22"/>
          <w:szCs w:val="22"/>
        </w:rPr>
        <w:t>the</w:t>
      </w:r>
      <w:proofErr w:type="gramEnd"/>
      <w:r w:rsidRPr="00954A84">
        <w:rPr>
          <w:rFonts w:ascii="Times" w:hAnsi="Times" w:cs="Arial"/>
          <w:sz w:val="22"/>
          <w:szCs w:val="22"/>
        </w:rPr>
        <w:t xml:space="preserve"> brief description of any provision of the issuer's articles of association, statutes, charter or b</w:t>
      </w:r>
      <w:r w:rsidRPr="00954A84">
        <w:rPr>
          <w:rFonts w:ascii="Times" w:hAnsi="Times" w:cs="Arial"/>
          <w:sz w:val="22"/>
          <w:szCs w:val="22"/>
        </w:rPr>
        <w:t>y</w:t>
      </w:r>
      <w:r w:rsidRPr="00954A84">
        <w:rPr>
          <w:rFonts w:ascii="Times" w:hAnsi="Times" w:cs="Arial"/>
          <w:sz w:val="22"/>
          <w:szCs w:val="22"/>
        </w:rPr>
        <w:t>laws that would have an effect of delaying, deferring or preventing a change in control of the iss</w:t>
      </w:r>
      <w:r w:rsidRPr="00954A84">
        <w:rPr>
          <w:rFonts w:ascii="Times" w:hAnsi="Times" w:cs="Arial"/>
          <w:sz w:val="22"/>
          <w:szCs w:val="22"/>
        </w:rPr>
        <w:t>u</w:t>
      </w:r>
      <w:r w:rsidRPr="00954A84">
        <w:rPr>
          <w:rFonts w:ascii="Times" w:hAnsi="Times" w:cs="Arial"/>
          <w:sz w:val="22"/>
          <w:szCs w:val="22"/>
        </w:rPr>
        <w:t>er.</w:t>
      </w:r>
    </w:p>
    <w:p w14:paraId="7330F4D8" w14:textId="77777777" w:rsidR="00954A84" w:rsidRPr="00954A84" w:rsidRDefault="00954A84" w:rsidP="00954A84">
      <w:pPr>
        <w:jc w:val="both"/>
        <w:rPr>
          <w:rFonts w:ascii="Times" w:hAnsi="Times" w:cs="Arial"/>
          <w:sz w:val="22"/>
          <w:szCs w:val="22"/>
        </w:rPr>
      </w:pPr>
    </w:p>
    <w:p w14:paraId="382E0418" w14:textId="4290F935" w:rsidR="00954A84" w:rsidRPr="00954A84" w:rsidRDefault="00954A84" w:rsidP="00954A84">
      <w:pPr>
        <w:jc w:val="both"/>
        <w:rPr>
          <w:rFonts w:ascii="Times" w:hAnsi="Times" w:cs="Arial"/>
          <w:sz w:val="22"/>
          <w:szCs w:val="22"/>
        </w:rPr>
      </w:pPr>
      <w:r w:rsidRPr="00954A84">
        <w:rPr>
          <w:rFonts w:ascii="Times" w:hAnsi="Times" w:cs="Arial"/>
          <w:sz w:val="22"/>
          <w:szCs w:val="22"/>
        </w:rPr>
        <w:t xml:space="preserve">We consider that many of these items would also already </w:t>
      </w:r>
      <w:r w:rsidR="00045266">
        <w:rPr>
          <w:rFonts w:ascii="Times" w:hAnsi="Times" w:cs="Arial"/>
          <w:sz w:val="22"/>
          <w:szCs w:val="22"/>
        </w:rPr>
        <w:t xml:space="preserve">be </w:t>
      </w:r>
      <w:proofErr w:type="gramStart"/>
      <w:r w:rsidRPr="00954A84">
        <w:rPr>
          <w:rFonts w:ascii="Times" w:hAnsi="Times" w:cs="Arial"/>
          <w:sz w:val="22"/>
          <w:szCs w:val="22"/>
        </w:rPr>
        <w:t>public :</w:t>
      </w:r>
      <w:proofErr w:type="gramEnd"/>
      <w:r w:rsidRPr="00954A84">
        <w:rPr>
          <w:rFonts w:ascii="Times" w:hAnsi="Times" w:cs="Arial"/>
          <w:sz w:val="22"/>
          <w:szCs w:val="22"/>
        </w:rPr>
        <w:t xml:space="preserve"> item 3 in the list above, for instance, has to be made public pursuant to the provisions of the Takeover bid Directive (Directive 2004/25/EC). This directive however is only applicable to issuers listed on regulated markets and companies whose securities are traded on SME Growth Markets will not have to comply with the same requirements. Ho</w:t>
      </w:r>
      <w:r w:rsidRPr="00954A84">
        <w:rPr>
          <w:rFonts w:ascii="Times" w:hAnsi="Times" w:cs="Arial"/>
          <w:sz w:val="22"/>
          <w:szCs w:val="22"/>
        </w:rPr>
        <w:t>w</w:t>
      </w:r>
      <w:r w:rsidRPr="00954A84">
        <w:rPr>
          <w:rFonts w:ascii="Times" w:hAnsi="Times" w:cs="Arial"/>
          <w:sz w:val="22"/>
          <w:szCs w:val="22"/>
        </w:rPr>
        <w:t xml:space="preserve">ever we agree with ESMA’s proposal not to remove these items considering that when these items are already public, the issuer will be able to incorporate them by reference as long as they meet the conditions of article 19 of the Regulation. </w:t>
      </w:r>
    </w:p>
    <w:p w14:paraId="585FEFD9" w14:textId="77777777" w:rsidR="00954A84" w:rsidRPr="00954A84" w:rsidRDefault="00954A84" w:rsidP="00954A84">
      <w:pPr>
        <w:jc w:val="both"/>
        <w:rPr>
          <w:rFonts w:ascii="Times" w:hAnsi="Times" w:cs="Arial"/>
          <w:sz w:val="22"/>
          <w:szCs w:val="22"/>
        </w:rPr>
      </w:pPr>
    </w:p>
    <w:p w14:paraId="73813D95" w14:textId="77777777" w:rsidR="00954A84" w:rsidRPr="00954A84" w:rsidRDefault="00954A84" w:rsidP="00954A84">
      <w:pPr>
        <w:jc w:val="both"/>
        <w:rPr>
          <w:rFonts w:ascii="Times" w:hAnsi="Times" w:cs="Arial"/>
          <w:b/>
          <w:sz w:val="22"/>
          <w:szCs w:val="22"/>
          <w:u w:val="single"/>
        </w:rPr>
      </w:pPr>
      <w:r w:rsidRPr="00954A84">
        <w:rPr>
          <w:rFonts w:ascii="Times" w:hAnsi="Times" w:cs="Arial"/>
          <w:b/>
          <w:sz w:val="22"/>
          <w:szCs w:val="22"/>
          <w:u w:val="single"/>
        </w:rPr>
        <w:t>MAR Summary</w:t>
      </w:r>
    </w:p>
    <w:p w14:paraId="40247098" w14:textId="77777777" w:rsidR="00954A84" w:rsidRPr="00954A84" w:rsidRDefault="00954A84" w:rsidP="00954A84">
      <w:pPr>
        <w:jc w:val="both"/>
        <w:rPr>
          <w:rFonts w:ascii="Times" w:hAnsi="Times" w:cs="Arial"/>
          <w:b/>
          <w:sz w:val="22"/>
          <w:szCs w:val="22"/>
          <w:u w:val="single"/>
        </w:rPr>
      </w:pPr>
    </w:p>
    <w:p w14:paraId="51004D9C" w14:textId="77777777" w:rsidR="00954A84" w:rsidRPr="00954A84" w:rsidRDefault="00954A84" w:rsidP="00954A84">
      <w:pPr>
        <w:jc w:val="both"/>
        <w:rPr>
          <w:rFonts w:ascii="Times" w:hAnsi="Times"/>
          <w:sz w:val="22"/>
          <w:szCs w:val="22"/>
          <w:lang w:val="en-US" w:eastAsia="en-US"/>
        </w:rPr>
      </w:pPr>
      <w:r w:rsidRPr="00954A84">
        <w:rPr>
          <w:rFonts w:ascii="Times" w:hAnsi="Times"/>
          <w:sz w:val="22"/>
          <w:szCs w:val="22"/>
          <w:lang w:val="en-US"/>
        </w:rPr>
        <w:t>Article 14.3 (c) of the Regulation requires the issuer to include in the simplified prospectus for secondary issuances “</w:t>
      </w:r>
      <w:r w:rsidRPr="00954A84">
        <w:rPr>
          <w:rFonts w:ascii="Times" w:hAnsi="Times"/>
          <w:i/>
          <w:iCs/>
          <w:sz w:val="22"/>
          <w:szCs w:val="22"/>
          <w:lang w:val="en-US"/>
        </w:rPr>
        <w:t xml:space="preserve">a concise summary of the relevant information disclosed under Regulation (EU) </w:t>
      </w:r>
      <w:proofErr w:type="gramStart"/>
      <w:r w:rsidRPr="00954A84">
        <w:rPr>
          <w:rFonts w:ascii="Times" w:hAnsi="Times"/>
          <w:i/>
          <w:iCs/>
          <w:sz w:val="22"/>
          <w:szCs w:val="22"/>
          <w:lang w:val="en-US"/>
        </w:rPr>
        <w:t>No  596</w:t>
      </w:r>
      <w:proofErr w:type="gramEnd"/>
      <w:r w:rsidRPr="00954A84">
        <w:rPr>
          <w:rFonts w:ascii="Times" w:hAnsi="Times"/>
          <w:i/>
          <w:iCs/>
          <w:sz w:val="22"/>
          <w:szCs w:val="22"/>
          <w:lang w:val="en-US"/>
        </w:rPr>
        <w:t>/2014 over the 12 months prior to the approval of the prospectus</w:t>
      </w:r>
      <w:r w:rsidRPr="00954A84">
        <w:rPr>
          <w:rFonts w:ascii="Times" w:hAnsi="Times"/>
          <w:sz w:val="22"/>
          <w:szCs w:val="22"/>
          <w:lang w:val="en-US"/>
        </w:rPr>
        <w:t>”.</w:t>
      </w:r>
    </w:p>
    <w:p w14:paraId="13AE4413" w14:textId="77777777" w:rsidR="00954A84" w:rsidRPr="00954A84" w:rsidRDefault="00954A84" w:rsidP="00954A84">
      <w:pPr>
        <w:jc w:val="both"/>
        <w:rPr>
          <w:rFonts w:ascii="Times" w:hAnsi="Times"/>
          <w:sz w:val="22"/>
          <w:szCs w:val="22"/>
          <w:lang w:val="en-US"/>
        </w:rPr>
      </w:pPr>
    </w:p>
    <w:p w14:paraId="1F763DAF" w14:textId="77777777" w:rsidR="00954A84" w:rsidRPr="00954A84" w:rsidRDefault="00954A84" w:rsidP="00954A84">
      <w:pPr>
        <w:jc w:val="both"/>
        <w:rPr>
          <w:rFonts w:ascii="Times" w:hAnsi="Times"/>
          <w:sz w:val="22"/>
          <w:szCs w:val="22"/>
          <w:lang w:val="en-US"/>
        </w:rPr>
      </w:pPr>
      <w:r w:rsidRPr="00954A84">
        <w:rPr>
          <w:rFonts w:ascii="Times" w:hAnsi="Times"/>
          <w:sz w:val="22"/>
          <w:szCs w:val="22"/>
          <w:lang w:val="en-US"/>
        </w:rPr>
        <w:t xml:space="preserve">We agree with ESMA that this provision raises many questions and needs clarification. In this regard, </w:t>
      </w:r>
      <w:r w:rsidRPr="00954A84">
        <w:rPr>
          <w:rFonts w:ascii="Times" w:hAnsi="Times"/>
          <w:b/>
          <w:bCs/>
          <w:sz w:val="22"/>
          <w:szCs w:val="22"/>
          <w:lang w:val="en-US"/>
        </w:rPr>
        <w:t>guidance from ESMA and NCAs in the form of guidelines</w:t>
      </w:r>
      <w:r w:rsidRPr="00954A84">
        <w:rPr>
          <w:rFonts w:ascii="Times" w:hAnsi="Times"/>
          <w:sz w:val="22"/>
          <w:szCs w:val="22"/>
          <w:lang w:val="en-US"/>
        </w:rPr>
        <w:t xml:space="preserve"> could be helpful. However we don’t consi</w:t>
      </w:r>
      <w:r w:rsidRPr="00954A84">
        <w:rPr>
          <w:rFonts w:ascii="Times" w:hAnsi="Times"/>
          <w:sz w:val="22"/>
          <w:szCs w:val="22"/>
          <w:lang w:val="en-US"/>
        </w:rPr>
        <w:t>d</w:t>
      </w:r>
      <w:r w:rsidRPr="00954A84">
        <w:rPr>
          <w:rFonts w:ascii="Times" w:hAnsi="Times"/>
          <w:sz w:val="22"/>
          <w:szCs w:val="22"/>
          <w:lang w:val="en-US"/>
        </w:rPr>
        <w:t xml:space="preserve">er that detailed implementing measures laid down at Level 2 would be </w:t>
      </w:r>
      <w:proofErr w:type="gramStart"/>
      <w:r w:rsidRPr="00954A84">
        <w:rPr>
          <w:rFonts w:ascii="Times" w:hAnsi="Times"/>
          <w:sz w:val="22"/>
          <w:szCs w:val="22"/>
          <w:lang w:val="en-US"/>
        </w:rPr>
        <w:t>useful :</w:t>
      </w:r>
      <w:proofErr w:type="gramEnd"/>
      <w:r w:rsidRPr="00954A84">
        <w:rPr>
          <w:rFonts w:ascii="Times" w:hAnsi="Times"/>
          <w:sz w:val="22"/>
          <w:szCs w:val="22"/>
          <w:lang w:val="en-US"/>
        </w:rPr>
        <w:t xml:space="preserve"> this is a new requirement and a pragmatic and practical approach will best serve issuers and investors. Furthermore </w:t>
      </w:r>
      <w:r w:rsidRPr="00954A84">
        <w:rPr>
          <w:rFonts w:ascii="Times" w:hAnsi="Times"/>
          <w:b/>
          <w:bCs/>
          <w:sz w:val="22"/>
          <w:szCs w:val="22"/>
          <w:lang w:val="en-US"/>
        </w:rPr>
        <w:t>Level 1 does not require</w:t>
      </w:r>
      <w:r w:rsidRPr="00954A84">
        <w:rPr>
          <w:rFonts w:ascii="Times" w:hAnsi="Times"/>
          <w:sz w:val="22"/>
          <w:szCs w:val="22"/>
          <w:lang w:val="en-US"/>
        </w:rPr>
        <w:t xml:space="preserve"> </w:t>
      </w:r>
      <w:r w:rsidRPr="00954A84">
        <w:rPr>
          <w:rFonts w:ascii="Times" w:hAnsi="Times"/>
          <w:b/>
          <w:sz w:val="22"/>
          <w:szCs w:val="22"/>
          <w:lang w:val="en-US"/>
        </w:rPr>
        <w:t>information in the summary to be presented in different categories nor does it make any reference to the “evolutions”</w:t>
      </w:r>
      <w:r w:rsidRPr="00954A84">
        <w:rPr>
          <w:rFonts w:ascii="Times" w:hAnsi="Times"/>
          <w:sz w:val="22"/>
          <w:szCs w:val="22"/>
          <w:lang w:val="en-US"/>
        </w:rPr>
        <w:t xml:space="preserve"> of facts and figures, which could be interpreted as a new requirement to update the information.</w:t>
      </w:r>
    </w:p>
    <w:p w14:paraId="16291F92" w14:textId="77777777" w:rsidR="00954A84" w:rsidRPr="00954A84" w:rsidRDefault="00954A84" w:rsidP="00954A84">
      <w:pPr>
        <w:jc w:val="both"/>
        <w:rPr>
          <w:rFonts w:ascii="Times" w:hAnsi="Times"/>
          <w:sz w:val="22"/>
          <w:szCs w:val="22"/>
          <w:lang w:val="en-US"/>
        </w:rPr>
      </w:pPr>
    </w:p>
    <w:p w14:paraId="42ACD1F8" w14:textId="77777777" w:rsidR="00954A84" w:rsidRPr="00954A84" w:rsidRDefault="00954A84" w:rsidP="00954A84">
      <w:pPr>
        <w:jc w:val="both"/>
        <w:rPr>
          <w:rFonts w:ascii="Times" w:hAnsi="Times"/>
          <w:sz w:val="22"/>
          <w:szCs w:val="22"/>
          <w:lang w:val="en-US"/>
        </w:rPr>
      </w:pPr>
      <w:r w:rsidRPr="00954A84">
        <w:rPr>
          <w:rFonts w:ascii="Times" w:hAnsi="Times"/>
          <w:sz w:val="22"/>
          <w:szCs w:val="22"/>
          <w:lang w:val="en-US"/>
        </w:rPr>
        <w:t xml:space="preserve">Therefore, we would be in </w:t>
      </w:r>
      <w:proofErr w:type="spellStart"/>
      <w:r w:rsidRPr="00954A84">
        <w:rPr>
          <w:rFonts w:ascii="Times" w:hAnsi="Times"/>
          <w:sz w:val="22"/>
          <w:szCs w:val="22"/>
          <w:lang w:val="en-US"/>
        </w:rPr>
        <w:t>favour</w:t>
      </w:r>
      <w:proofErr w:type="spellEnd"/>
      <w:r w:rsidRPr="00954A84">
        <w:rPr>
          <w:rFonts w:ascii="Times" w:hAnsi="Times"/>
          <w:sz w:val="22"/>
          <w:szCs w:val="22"/>
          <w:lang w:val="en-US"/>
        </w:rPr>
        <w:t xml:space="preserve"> of redrafting section 13 (Regulatory disclosures) of annex 18 in a more neutral and straightforward way: </w:t>
      </w:r>
    </w:p>
    <w:p w14:paraId="7AFFFE31" w14:textId="77777777" w:rsidR="00954A84" w:rsidRPr="00954A84" w:rsidRDefault="00954A84" w:rsidP="00954A84">
      <w:pPr>
        <w:ind w:left="284"/>
        <w:jc w:val="both"/>
        <w:rPr>
          <w:rFonts w:ascii="Times" w:hAnsi="Times"/>
          <w:strike/>
          <w:sz w:val="22"/>
          <w:szCs w:val="22"/>
          <w:lang w:val="en-US"/>
        </w:rPr>
      </w:pPr>
      <w:r w:rsidRPr="00954A84">
        <w:rPr>
          <w:rFonts w:ascii="Times" w:hAnsi="Times"/>
          <w:sz w:val="22"/>
          <w:szCs w:val="22"/>
          <w:lang w:val="en-US"/>
        </w:rPr>
        <w:t xml:space="preserve"> “The summary of the relevant information disclosed under Regulation (EU) No596/2014 featured in a simplified prospectus (the “MAR disclosure summary”) shall be presented </w:t>
      </w:r>
      <w:proofErr w:type="gramStart"/>
      <w:r w:rsidRPr="00954A84">
        <w:rPr>
          <w:rFonts w:ascii="Times" w:hAnsi="Times"/>
          <w:sz w:val="22"/>
          <w:szCs w:val="22"/>
          <w:lang w:val="en-US"/>
        </w:rPr>
        <w:t>in  an</w:t>
      </w:r>
      <w:proofErr w:type="gramEnd"/>
      <w:r w:rsidRPr="00954A84">
        <w:rPr>
          <w:rFonts w:ascii="Times" w:hAnsi="Times"/>
          <w:sz w:val="22"/>
          <w:szCs w:val="22"/>
          <w:lang w:val="en-US"/>
        </w:rPr>
        <w:t xml:space="preserve"> easily </w:t>
      </w:r>
      <w:proofErr w:type="spellStart"/>
      <w:r w:rsidRPr="00954A84">
        <w:rPr>
          <w:rFonts w:ascii="Times" w:hAnsi="Times"/>
          <w:sz w:val="22"/>
          <w:szCs w:val="22"/>
          <w:lang w:val="en-US"/>
        </w:rPr>
        <w:t>analysable</w:t>
      </w:r>
      <w:proofErr w:type="spellEnd"/>
      <w:r w:rsidRPr="00954A84">
        <w:rPr>
          <w:rFonts w:ascii="Times" w:hAnsi="Times"/>
          <w:sz w:val="22"/>
          <w:szCs w:val="22"/>
          <w:lang w:val="en-US"/>
        </w:rPr>
        <w:t>, concise and comprehensible form. It shall not replicate all information already published under Regul</w:t>
      </w:r>
      <w:r w:rsidRPr="00954A84">
        <w:rPr>
          <w:rFonts w:ascii="Times" w:hAnsi="Times"/>
          <w:sz w:val="22"/>
          <w:szCs w:val="22"/>
          <w:lang w:val="en-US"/>
        </w:rPr>
        <w:t>a</w:t>
      </w:r>
      <w:r w:rsidRPr="00954A84">
        <w:rPr>
          <w:rFonts w:ascii="Times" w:hAnsi="Times"/>
          <w:sz w:val="22"/>
          <w:szCs w:val="22"/>
          <w:lang w:val="en-US"/>
        </w:rPr>
        <w:t>tion (EU) No 596/2014 and shall be an intelligible summary of the last relevant information.</w:t>
      </w:r>
      <w:r w:rsidRPr="00954A84">
        <w:rPr>
          <w:rFonts w:ascii="Times" w:hAnsi="Times"/>
          <w:strike/>
          <w:sz w:val="22"/>
          <w:szCs w:val="22"/>
          <w:lang w:val="en-US"/>
        </w:rPr>
        <w:t xml:space="preserve"> </w:t>
      </w:r>
    </w:p>
    <w:p w14:paraId="49C79B9B" w14:textId="77777777" w:rsidR="00954A84" w:rsidRPr="00954A84" w:rsidRDefault="00954A84" w:rsidP="00954A84">
      <w:pPr>
        <w:ind w:left="284"/>
        <w:jc w:val="both"/>
        <w:rPr>
          <w:rFonts w:ascii="Times" w:hAnsi="Times"/>
          <w:strike/>
          <w:sz w:val="22"/>
          <w:szCs w:val="22"/>
          <w:lang w:val="en-US"/>
        </w:rPr>
      </w:pPr>
      <w:r w:rsidRPr="00954A84">
        <w:rPr>
          <w:rFonts w:ascii="Times" w:hAnsi="Times"/>
          <w:strike/>
          <w:sz w:val="22"/>
          <w:szCs w:val="22"/>
          <w:lang w:val="en-US"/>
        </w:rPr>
        <w:t xml:space="preserve">The MAR disclosure summary shall be presented in a limited number of categories depending on their topics.  </w:t>
      </w:r>
    </w:p>
    <w:p w14:paraId="09A96241" w14:textId="77777777" w:rsidR="00954A84" w:rsidRPr="00954A84" w:rsidRDefault="00954A84" w:rsidP="00954A84">
      <w:pPr>
        <w:ind w:left="284"/>
        <w:jc w:val="both"/>
        <w:rPr>
          <w:rFonts w:ascii="Times" w:hAnsi="Times"/>
          <w:sz w:val="22"/>
          <w:szCs w:val="22"/>
          <w:lang w:val="en-US"/>
        </w:rPr>
      </w:pPr>
      <w:proofErr w:type="gramStart"/>
      <w:r w:rsidRPr="00954A84">
        <w:rPr>
          <w:rFonts w:ascii="Times" w:hAnsi="Times"/>
          <w:strike/>
          <w:sz w:val="22"/>
          <w:szCs w:val="22"/>
          <w:lang w:val="en-US"/>
        </w:rPr>
        <w:t>The  MAR</w:t>
      </w:r>
      <w:proofErr w:type="gramEnd"/>
      <w:r w:rsidRPr="00954A84">
        <w:rPr>
          <w:rFonts w:ascii="Times" w:hAnsi="Times"/>
          <w:strike/>
          <w:sz w:val="22"/>
          <w:szCs w:val="22"/>
          <w:lang w:val="en-US"/>
        </w:rPr>
        <w:t xml:space="preserve">  disclosure  summary  shall  provide a clear view of the evolutions and circumstances of facts and figures mentioned by the issuer. The summary shall not consist of simply a list of disclosures or links thereto and only MAR disclosures that are relevant to a particular offer shall be </w:t>
      </w:r>
      <w:proofErr w:type="spellStart"/>
      <w:r w:rsidRPr="00954A84">
        <w:rPr>
          <w:rFonts w:ascii="Times" w:hAnsi="Times"/>
          <w:strike/>
          <w:sz w:val="22"/>
          <w:szCs w:val="22"/>
          <w:lang w:val="en-US"/>
        </w:rPr>
        <w:t>summarised</w:t>
      </w:r>
      <w:proofErr w:type="spellEnd"/>
      <w:r w:rsidRPr="00954A84">
        <w:rPr>
          <w:rFonts w:ascii="Times" w:hAnsi="Times"/>
          <w:sz w:val="22"/>
          <w:szCs w:val="22"/>
          <w:lang w:val="en-US"/>
        </w:rPr>
        <w:t>.”</w:t>
      </w:r>
    </w:p>
    <w:p w14:paraId="422AFC07" w14:textId="77777777" w:rsidR="00954A84" w:rsidRPr="00954A84" w:rsidRDefault="00954A84" w:rsidP="00954A84">
      <w:pPr>
        <w:jc w:val="both"/>
        <w:rPr>
          <w:rFonts w:ascii="Times" w:hAnsi="Times" w:cs="Arial"/>
          <w:sz w:val="22"/>
          <w:szCs w:val="22"/>
        </w:rPr>
      </w:pPr>
    </w:p>
    <w:p w14:paraId="06137D07" w14:textId="77777777" w:rsidR="00954A84" w:rsidRPr="00954A84" w:rsidRDefault="00954A84" w:rsidP="00954A84">
      <w:pPr>
        <w:jc w:val="both"/>
        <w:rPr>
          <w:rFonts w:ascii="Times" w:hAnsi="Times" w:cs="Arial"/>
          <w:b/>
          <w:sz w:val="22"/>
          <w:szCs w:val="22"/>
          <w:u w:val="single"/>
        </w:rPr>
      </w:pPr>
      <w:r w:rsidRPr="00954A84">
        <w:rPr>
          <w:rFonts w:ascii="Times" w:hAnsi="Times" w:cs="Arial"/>
          <w:b/>
          <w:sz w:val="22"/>
          <w:szCs w:val="22"/>
          <w:u w:val="single"/>
        </w:rPr>
        <w:t>Non-equity securities secondary issuance</w:t>
      </w:r>
    </w:p>
    <w:p w14:paraId="34B018E9" w14:textId="77777777" w:rsidR="00954A84" w:rsidRPr="00954A84" w:rsidRDefault="00954A84" w:rsidP="00954A84">
      <w:pPr>
        <w:jc w:val="both"/>
        <w:rPr>
          <w:rFonts w:ascii="Times" w:hAnsi="Times" w:cs="Arial"/>
          <w:sz w:val="22"/>
          <w:szCs w:val="22"/>
        </w:rPr>
      </w:pPr>
    </w:p>
    <w:p w14:paraId="0FCDCE12" w14:textId="5B1569BF" w:rsidR="00357C60" w:rsidRPr="00954A84" w:rsidRDefault="00954A84" w:rsidP="00954A84">
      <w:pPr>
        <w:jc w:val="both"/>
        <w:rPr>
          <w:rFonts w:ascii="Times" w:hAnsi="Times" w:cs="Arial"/>
          <w:sz w:val="22"/>
          <w:szCs w:val="22"/>
        </w:rPr>
      </w:pPr>
      <w:r w:rsidRPr="00954A84">
        <w:rPr>
          <w:rFonts w:ascii="Times" w:hAnsi="Times" w:cs="Arial"/>
          <w:sz w:val="22"/>
          <w:szCs w:val="22"/>
        </w:rPr>
        <w:t xml:space="preserve">Regarding profit forecasts, although supportive of the removal of the obligation to include a report from the auditors when the issuer chooses to include forecasts in the prospectus, we consider that the non-equity regime should not be aligned with the equity </w:t>
      </w:r>
      <w:proofErr w:type="gramStart"/>
      <w:r w:rsidRPr="00954A84">
        <w:rPr>
          <w:rFonts w:ascii="Times" w:hAnsi="Times" w:cs="Arial"/>
          <w:sz w:val="22"/>
          <w:szCs w:val="22"/>
        </w:rPr>
        <w:t>regime :</w:t>
      </w:r>
      <w:proofErr w:type="gramEnd"/>
      <w:r w:rsidRPr="00954A84">
        <w:rPr>
          <w:rFonts w:ascii="Times" w:hAnsi="Times" w:cs="Arial"/>
          <w:sz w:val="22"/>
          <w:szCs w:val="22"/>
        </w:rPr>
        <w:t xml:space="preserve"> for both retail and wholesale debt issuances, there should not be any obligation to include in the prospectus outstanding profit forecasts previously published and still valid (please refer to our general comments in the introduction).</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1FA25B67" w14:textId="77777777" w:rsidR="00D24180" w:rsidRPr="00387734" w:rsidRDefault="00D24180" w:rsidP="00D24180">
      <w:pPr>
        <w:jc w:val="both"/>
        <w:rPr>
          <w:rFonts w:ascii="Times" w:hAnsi="Times" w:cs="Arial"/>
          <w:sz w:val="22"/>
          <w:szCs w:val="22"/>
        </w:rPr>
      </w:pPr>
      <w:permStart w:id="421747925" w:edGrp="everyone"/>
      <w:r w:rsidRPr="00387734">
        <w:rPr>
          <w:rFonts w:ascii="Times" w:hAnsi="Times" w:cs="Arial"/>
          <w:sz w:val="22"/>
          <w:szCs w:val="22"/>
        </w:rPr>
        <w:t>We agree with ESMA that the secondary disclosure should differ depending on whether the issuer is listed on a regulated market or on an SME Growth Market, especially if the standard regime is to be in the form suggested so that it would not be attractive to SMEs due to the costs of producing such a prospectus. For the SME Growth Market the regime for secondary issuances should be a proportionate version of the EU Growth Prospectus and not of the full prospectus.</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item 9.3 (information on corporate governance) is nece</w:t>
      </w:r>
      <w:r w:rsidRPr="0064701F">
        <w:rPr>
          <w:rFonts w:ascii="Arial" w:hAnsi="Arial" w:cs="Arial"/>
        </w:rPr>
        <w:t>s</w:t>
      </w:r>
      <w:r w:rsidRPr="0064701F">
        <w:rPr>
          <w:rFonts w:ascii="Arial" w:hAnsi="Arial" w:cs="Arial"/>
        </w:rPr>
        <w:t>sary?</w:t>
      </w:r>
    </w:p>
    <w:p w14:paraId="62C56D82" w14:textId="77777777" w:rsidR="00357C60" w:rsidRDefault="00357C60" w:rsidP="00357C60">
      <w:pPr>
        <w:rPr>
          <w:rFonts w:cs="Arial"/>
        </w:rPr>
      </w:pPr>
      <w:r>
        <w:rPr>
          <w:rFonts w:cs="Arial"/>
        </w:rPr>
        <w:t>&lt;ESMA_QUESTION_FAC_76&gt;</w:t>
      </w:r>
    </w:p>
    <w:p w14:paraId="50AE7DE2" w14:textId="77777777" w:rsidR="00387734" w:rsidRDefault="00387734" w:rsidP="00387734">
      <w:pPr>
        <w:rPr>
          <w:rFonts w:cs="Arial"/>
        </w:rPr>
      </w:pPr>
      <w:permStart w:id="2146308113" w:edGrp="everyone"/>
      <w:r>
        <w:rPr>
          <w:rFonts w:cs="Arial"/>
        </w:rPr>
        <w:t xml:space="preserve">Please refer to our answer to question 17. </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information on material contracts is necessary for secon</w:t>
      </w:r>
      <w:r w:rsidRPr="0064701F">
        <w:rPr>
          <w:rFonts w:ascii="Arial" w:hAnsi="Arial" w:cs="Arial"/>
        </w:rPr>
        <w:t>d</w:t>
      </w:r>
      <w:r w:rsidRPr="0064701F">
        <w:rPr>
          <w:rFonts w:ascii="Arial" w:hAnsi="Arial" w:cs="Arial"/>
        </w:rPr>
        <w:t>ary issuance?</w:t>
      </w:r>
    </w:p>
    <w:p w14:paraId="0FE650F9" w14:textId="77777777" w:rsidR="00357C60" w:rsidRDefault="00357C60" w:rsidP="00357C60">
      <w:pPr>
        <w:rPr>
          <w:rFonts w:cs="Arial"/>
        </w:rPr>
      </w:pPr>
      <w:r>
        <w:rPr>
          <w:rFonts w:cs="Arial"/>
        </w:rPr>
        <w:t>&lt;ESMA_QUESTION_FAC_77&gt;</w:t>
      </w:r>
    </w:p>
    <w:p w14:paraId="7CA9260C" w14:textId="77777777" w:rsidR="00D24180" w:rsidRDefault="00D24180" w:rsidP="00D24180">
      <w:pPr>
        <w:jc w:val="both"/>
        <w:rPr>
          <w:rFonts w:cs="Arial"/>
        </w:rPr>
      </w:pPr>
      <w:permStart w:id="1718430491" w:edGrp="everyone"/>
      <w:r>
        <w:rPr>
          <w:rFonts w:cs="Arial"/>
        </w:rPr>
        <w:t xml:space="preserve">We agree with ESMA that </w:t>
      </w:r>
      <w:r w:rsidRPr="00C95778">
        <w:rPr>
          <w:rFonts w:cs="Arial"/>
        </w:rPr>
        <w:t xml:space="preserve">in the case of a secondary equity issuance to fund a large acquisition, the issuer will often have entered into material contracts, including an acquisition agreement and agreements </w:t>
      </w:r>
      <w:proofErr w:type="gramStart"/>
      <w:r w:rsidRPr="00C95778">
        <w:rPr>
          <w:rFonts w:cs="Arial"/>
        </w:rPr>
        <w:t>relating  to</w:t>
      </w:r>
      <w:proofErr w:type="gramEnd"/>
      <w:r w:rsidRPr="00C95778">
        <w:rPr>
          <w:rFonts w:cs="Arial"/>
        </w:rPr>
        <w:t xml:space="preserve">  bank  debt  funding.  </w:t>
      </w:r>
      <w:r>
        <w:rPr>
          <w:rFonts w:cs="Arial"/>
        </w:rPr>
        <w:t>A significant acquisition and such agreements</w:t>
      </w:r>
      <w:r w:rsidRPr="00C95778">
        <w:rPr>
          <w:rFonts w:cs="Arial"/>
        </w:rPr>
        <w:t xml:space="preserve"> would likely be disclosed in the </w:t>
      </w:r>
      <w:r>
        <w:rPr>
          <w:rFonts w:cs="Arial"/>
        </w:rPr>
        <w:t xml:space="preserve">annual financial report, the </w:t>
      </w:r>
      <w:r w:rsidRPr="00C95778">
        <w:rPr>
          <w:rFonts w:cs="Arial"/>
        </w:rPr>
        <w:t>risk factors section</w:t>
      </w:r>
      <w:r>
        <w:rPr>
          <w:rFonts w:cs="Arial"/>
        </w:rPr>
        <w:t xml:space="preserve">…or could </w:t>
      </w:r>
      <w:r w:rsidRPr="00C95778">
        <w:rPr>
          <w:rFonts w:cs="Arial"/>
        </w:rPr>
        <w:t xml:space="preserve">constitute inside information which would be disclosed under </w:t>
      </w:r>
      <w:proofErr w:type="gramStart"/>
      <w:r w:rsidRPr="00C95778">
        <w:rPr>
          <w:rFonts w:cs="Arial"/>
        </w:rPr>
        <w:t>MAR  and</w:t>
      </w:r>
      <w:proofErr w:type="gramEnd"/>
      <w:r w:rsidRPr="00C95778">
        <w:rPr>
          <w:rFonts w:cs="Arial"/>
        </w:rPr>
        <w:t xml:space="preserve">  summarised  in  the  prospectus</w:t>
      </w:r>
      <w:r>
        <w:rPr>
          <w:rFonts w:cs="Arial"/>
        </w:rPr>
        <w:t>.</w:t>
      </w:r>
    </w:p>
    <w:p w14:paraId="00259459" w14:textId="77777777" w:rsidR="00D24180" w:rsidRDefault="00D24180" w:rsidP="00D24180">
      <w:pPr>
        <w:jc w:val="both"/>
        <w:rPr>
          <w:rFonts w:cs="Arial"/>
        </w:rPr>
      </w:pPr>
    </w:p>
    <w:p w14:paraId="3CB8C2B8" w14:textId="77777777" w:rsidR="00D24180" w:rsidRDefault="00D24180" w:rsidP="00D24180">
      <w:pPr>
        <w:jc w:val="both"/>
        <w:rPr>
          <w:rFonts w:cs="Arial"/>
        </w:rPr>
      </w:pPr>
      <w:r w:rsidRPr="008D6B99">
        <w:rPr>
          <w:rFonts w:cs="Arial"/>
          <w:b/>
        </w:rPr>
        <w:t>Therefore we don’t see the point in maintaining a disclosure requirement regarding material</w:t>
      </w:r>
      <w:r>
        <w:rPr>
          <w:rFonts w:cs="Arial"/>
        </w:rPr>
        <w:t xml:space="preserve"> co</w:t>
      </w:r>
      <w:r>
        <w:rPr>
          <w:rFonts w:cs="Arial"/>
        </w:rPr>
        <w:t>n</w:t>
      </w:r>
      <w:r>
        <w:rPr>
          <w:rFonts w:cs="Arial"/>
        </w:rPr>
        <w:t>tracts (not entered in the ordinary course of the issuer’s business) in the secondary issuance prospectus.</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41B48258" w:rsidR="00357C60" w:rsidRPr="001F5BF1" w:rsidRDefault="001F5BF1" w:rsidP="001F5BF1">
      <w:pPr>
        <w:pStyle w:val="Commentaire"/>
        <w:jc w:val="both"/>
        <w:rPr>
          <w:rFonts w:ascii="Times" w:hAnsi="Times"/>
          <w:sz w:val="22"/>
          <w:szCs w:val="22"/>
        </w:rPr>
      </w:pPr>
      <w:permStart w:id="229720561" w:edGrp="everyone"/>
      <w:r w:rsidRPr="001F5BF1">
        <w:rPr>
          <w:rFonts w:ascii="Times" w:hAnsi="Times"/>
          <w:sz w:val="22"/>
          <w:szCs w:val="22"/>
        </w:rPr>
        <w:t>We cannot see that the regime is sufficiently alleviated for it to be of material use to issuers, so the add</w:t>
      </w:r>
      <w:r w:rsidRPr="001F5BF1">
        <w:rPr>
          <w:rFonts w:ascii="Times" w:hAnsi="Times"/>
          <w:sz w:val="22"/>
          <w:szCs w:val="22"/>
        </w:rPr>
        <w:t>i</w:t>
      </w:r>
      <w:r w:rsidRPr="001F5BF1">
        <w:rPr>
          <w:rFonts w:ascii="Times" w:hAnsi="Times"/>
          <w:sz w:val="22"/>
          <w:szCs w:val="22"/>
        </w:rPr>
        <w:t>tional cost will be in not having an effective proportionate regime and effectively having to comply with the full prospectus regime when issuing additional shares in a secondary issuance.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Do you consider that there is further scope for alleviated disclosure in the secur</w:t>
      </w:r>
      <w:r w:rsidRPr="0064701F">
        <w:rPr>
          <w:rFonts w:ascii="Arial" w:hAnsi="Arial" w:cs="Arial"/>
        </w:rPr>
        <w:t>i</w:t>
      </w:r>
      <w:r w:rsidRPr="0064701F">
        <w:rPr>
          <w:rFonts w:ascii="Arial" w:hAnsi="Arial" w:cs="Arial"/>
        </w:rPr>
        <w:t>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1065CA4" w14:textId="0E4B7BD1" w:rsidR="001F5BF1" w:rsidRDefault="001F5BF1" w:rsidP="001F5BF1">
      <w:pPr>
        <w:jc w:val="both"/>
        <w:rPr>
          <w:rFonts w:cs="Arial"/>
        </w:rPr>
      </w:pPr>
      <w:permStart w:id="1333292354" w:edGrp="everyone"/>
      <w:r w:rsidRPr="001F5BF1">
        <w:rPr>
          <w:rFonts w:cs="Arial"/>
        </w:rPr>
        <w:t>Regarding the requirement to update the capitalisation and indebtedness table in case of material chan</w:t>
      </w:r>
      <w:r w:rsidRPr="001F5BF1">
        <w:rPr>
          <w:rFonts w:cs="Arial"/>
        </w:rPr>
        <w:t>g</w:t>
      </w:r>
      <w:r w:rsidRPr="001F5BF1">
        <w:rPr>
          <w:rFonts w:cs="Arial"/>
        </w:rPr>
        <w:t>es, please refer to our answer to Question</w:t>
      </w:r>
      <w:r w:rsidRPr="005A0B11">
        <w:rPr>
          <w:rFonts w:cs="Arial"/>
          <w:b/>
        </w:rPr>
        <w:t xml:space="preserve"> </w:t>
      </w:r>
      <w:r w:rsidRPr="001F5BF1">
        <w:rPr>
          <w:rFonts w:cs="Arial"/>
        </w:rPr>
        <w:t>23.</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Is a single securities note, separated by security type, clear or would it be prefe</w:t>
      </w:r>
      <w:r w:rsidRPr="0064701F">
        <w:rPr>
          <w:rFonts w:ascii="Arial" w:hAnsi="Arial" w:cs="Arial"/>
        </w:rPr>
        <w:t>r</w:t>
      </w:r>
      <w:r w:rsidRPr="0064701F">
        <w:rPr>
          <w:rFonts w:ascii="Arial" w:hAnsi="Arial" w:cs="Arial"/>
        </w:rPr>
        <w:t>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4"/>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CCAB0" w14:textId="77777777" w:rsidR="00387734" w:rsidRDefault="00387734">
      <w:r>
        <w:separator/>
      </w:r>
    </w:p>
    <w:p w14:paraId="31D8BEEB" w14:textId="77777777" w:rsidR="00387734" w:rsidRDefault="00387734"/>
  </w:endnote>
  <w:endnote w:type="continuationSeparator" w:id="0">
    <w:p w14:paraId="0761C5D8" w14:textId="77777777" w:rsidR="00387734" w:rsidRDefault="00387734">
      <w:r>
        <w:continuationSeparator/>
      </w:r>
    </w:p>
    <w:p w14:paraId="4CEFAD95" w14:textId="77777777" w:rsidR="00387734" w:rsidRDefault="00387734"/>
  </w:endnote>
  <w:endnote w:type="continuationNotice" w:id="1">
    <w:p w14:paraId="20E4E35C" w14:textId="77777777" w:rsidR="00387734" w:rsidRDefault="00387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87734" w:rsidRPr="00616B9B" w14:paraId="1A11FFC7" w14:textId="77777777" w:rsidTr="00315E96">
      <w:trPr>
        <w:trHeight w:val="284"/>
      </w:trPr>
      <w:tc>
        <w:tcPr>
          <w:tcW w:w="8460" w:type="dxa"/>
        </w:tcPr>
        <w:p w14:paraId="2CE11161" w14:textId="77777777" w:rsidR="00387734" w:rsidRPr="00315E96" w:rsidRDefault="00387734" w:rsidP="00315E96">
          <w:pPr>
            <w:pStyle w:val="00Footer"/>
            <w:rPr>
              <w:lang w:val="fr-FR"/>
            </w:rPr>
          </w:pPr>
        </w:p>
      </w:tc>
      <w:tc>
        <w:tcPr>
          <w:tcW w:w="952" w:type="dxa"/>
        </w:tcPr>
        <w:p w14:paraId="516490C0" w14:textId="49EBAB43" w:rsidR="00387734" w:rsidRPr="00616B9B" w:rsidRDefault="0038773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127DA">
            <w:rPr>
              <w:rFonts w:cs="Arial"/>
              <w:noProof/>
              <w:sz w:val="22"/>
              <w:szCs w:val="22"/>
            </w:rPr>
            <w:t>4</w:t>
          </w:r>
          <w:r w:rsidRPr="00616B9B">
            <w:rPr>
              <w:rFonts w:cs="Arial"/>
              <w:noProof/>
              <w:sz w:val="22"/>
              <w:szCs w:val="22"/>
            </w:rPr>
            <w:fldChar w:fldCharType="end"/>
          </w:r>
        </w:p>
      </w:tc>
    </w:tr>
  </w:tbl>
  <w:p w14:paraId="3F8E2998" w14:textId="77777777" w:rsidR="00387734" w:rsidRDefault="0038773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387734" w:rsidRDefault="0038773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2373F" w14:textId="77777777" w:rsidR="00387734" w:rsidRDefault="00387734">
      <w:r>
        <w:separator/>
      </w:r>
    </w:p>
    <w:p w14:paraId="223E6F8A" w14:textId="77777777" w:rsidR="00387734" w:rsidRDefault="00387734"/>
  </w:footnote>
  <w:footnote w:type="continuationSeparator" w:id="0">
    <w:p w14:paraId="37774CC6" w14:textId="77777777" w:rsidR="00387734" w:rsidRDefault="00387734">
      <w:r>
        <w:continuationSeparator/>
      </w:r>
    </w:p>
    <w:p w14:paraId="76C92344" w14:textId="77777777" w:rsidR="00387734" w:rsidRDefault="00387734"/>
  </w:footnote>
  <w:footnote w:type="continuationNotice" w:id="1">
    <w:p w14:paraId="4029C783" w14:textId="77777777" w:rsidR="00387734" w:rsidRDefault="0038773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387734" w:rsidRDefault="00387734">
    <w:pPr>
      <w:pStyle w:val="En-tte"/>
    </w:pPr>
    <w:r>
      <w:rPr>
        <w:noProof/>
        <w:lang w:val="fr-FR" w:eastAsia="fr-FR"/>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387734" w:rsidRDefault="00387734" w:rsidP="00013CCE">
    <w:pPr>
      <w:pStyle w:val="En-tte"/>
      <w:jc w:val="right"/>
    </w:pPr>
    <w:r>
      <w:rPr>
        <w:noProof/>
        <w:lang w:val="fr-FR" w:eastAsia="fr-FR"/>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387734" w:rsidRDefault="00387734"/>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87734" w:rsidRPr="002F4496" w14:paraId="5A9CC9DB" w14:textId="77777777" w:rsidTr="000C06C9">
      <w:trPr>
        <w:trHeight w:val="284"/>
      </w:trPr>
      <w:tc>
        <w:tcPr>
          <w:tcW w:w="8460" w:type="dxa"/>
        </w:tcPr>
        <w:p w14:paraId="56125542" w14:textId="77777777" w:rsidR="00387734" w:rsidRPr="000C3B6D" w:rsidRDefault="00387734" w:rsidP="000C06C9">
          <w:pPr>
            <w:pStyle w:val="00Footer"/>
            <w:rPr>
              <w:lang w:val="fr-FR"/>
            </w:rPr>
          </w:pPr>
        </w:p>
      </w:tc>
      <w:tc>
        <w:tcPr>
          <w:tcW w:w="952" w:type="dxa"/>
        </w:tcPr>
        <w:p w14:paraId="185D9EAB" w14:textId="77777777" w:rsidR="00387734" w:rsidRPr="00146B34" w:rsidRDefault="00387734" w:rsidP="000C06C9">
          <w:pPr>
            <w:pStyle w:val="00aPagenumber"/>
            <w:rPr>
              <w:lang w:val="fr-FR"/>
            </w:rPr>
          </w:pPr>
        </w:p>
      </w:tc>
    </w:tr>
  </w:tbl>
  <w:p w14:paraId="4BF8B831" w14:textId="77777777" w:rsidR="00387734" w:rsidRPr="00DB46C3" w:rsidRDefault="00387734">
    <w:pPr>
      <w:rPr>
        <w:lang w:val="fr-FR"/>
      </w:rPr>
    </w:pPr>
  </w:p>
  <w:p w14:paraId="1FBEFD47" w14:textId="77777777" w:rsidR="00387734" w:rsidRPr="002F4496" w:rsidRDefault="00387734">
    <w:pPr>
      <w:pStyle w:val="En-tte"/>
      <w:rPr>
        <w:lang w:val="fr-FR"/>
      </w:rPr>
    </w:pPr>
  </w:p>
  <w:p w14:paraId="7D075F96" w14:textId="77777777" w:rsidR="00387734" w:rsidRPr="002F4496" w:rsidRDefault="00387734" w:rsidP="000C06C9">
    <w:pPr>
      <w:pStyle w:val="En-tte"/>
      <w:tabs>
        <w:tab w:val="clear" w:pos="4536"/>
        <w:tab w:val="clear" w:pos="9072"/>
        <w:tab w:val="left" w:pos="8227"/>
      </w:tabs>
      <w:rPr>
        <w:lang w:val="fr-FR"/>
      </w:rPr>
    </w:pPr>
  </w:p>
  <w:p w14:paraId="1EEAF2AF" w14:textId="77777777" w:rsidR="00387734" w:rsidRPr="002F4496" w:rsidRDefault="00387734" w:rsidP="000C06C9">
    <w:pPr>
      <w:pStyle w:val="En-tte"/>
      <w:tabs>
        <w:tab w:val="clear" w:pos="4536"/>
        <w:tab w:val="clear" w:pos="9072"/>
        <w:tab w:val="left" w:pos="8227"/>
      </w:tabs>
      <w:rPr>
        <w:lang w:val="fr-FR"/>
      </w:rPr>
    </w:pPr>
  </w:p>
  <w:p w14:paraId="366CDA59" w14:textId="77777777" w:rsidR="00387734" w:rsidRPr="002F4496" w:rsidRDefault="00387734">
    <w:pPr>
      <w:pStyle w:val="En-tte"/>
      <w:rPr>
        <w:lang w:val="fr-FR"/>
      </w:rPr>
    </w:pPr>
  </w:p>
  <w:p w14:paraId="090159B5" w14:textId="77777777" w:rsidR="00387734" w:rsidRPr="002F4496" w:rsidRDefault="00387734">
    <w:pPr>
      <w:pStyle w:val="En-tte"/>
      <w:rPr>
        <w:lang w:val="fr-FR"/>
      </w:rPr>
    </w:pPr>
  </w:p>
  <w:p w14:paraId="13DB3246" w14:textId="77777777" w:rsidR="00387734" w:rsidRPr="002F4496" w:rsidRDefault="00387734">
    <w:pPr>
      <w:pStyle w:val="En-tte"/>
      <w:rPr>
        <w:lang w:val="fr-FR"/>
      </w:rPr>
    </w:pPr>
  </w:p>
  <w:p w14:paraId="5B245FC6" w14:textId="77777777" w:rsidR="00387734" w:rsidRPr="002F4496" w:rsidRDefault="00387734">
    <w:pPr>
      <w:pStyle w:val="En-tte"/>
      <w:rPr>
        <w:lang w:val="fr-FR"/>
      </w:rPr>
    </w:pPr>
  </w:p>
  <w:p w14:paraId="1D7B1F8D" w14:textId="77777777" w:rsidR="00387734" w:rsidRPr="002F4496" w:rsidRDefault="00387734">
    <w:pPr>
      <w:pStyle w:val="En-tte"/>
      <w:rPr>
        <w:highlight w:val="yellow"/>
        <w:lang w:val="fr-FR"/>
      </w:rPr>
    </w:pPr>
  </w:p>
  <w:p w14:paraId="177617ED" w14:textId="77777777" w:rsidR="00387734" w:rsidRDefault="00387734">
    <w:pPr>
      <w:pStyle w:val="En-tte"/>
    </w:pPr>
    <w:r>
      <w:rPr>
        <w:noProof/>
        <w:lang w:val="fr-FR" w:eastAsia="fr-FR"/>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736708"/>
    <w:multiLevelType w:val="hybridMultilevel"/>
    <w:tmpl w:val="EE8AD13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3748E5"/>
    <w:multiLevelType w:val="hybridMultilevel"/>
    <w:tmpl w:val="C7024A46"/>
    <w:lvl w:ilvl="0" w:tplc="3ADEC0D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081435"/>
    <w:multiLevelType w:val="hybridMultilevel"/>
    <w:tmpl w:val="DBA04D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04737B"/>
    <w:multiLevelType w:val="hybridMultilevel"/>
    <w:tmpl w:val="F5988058"/>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25B13B0"/>
    <w:multiLevelType w:val="hybridMultilevel"/>
    <w:tmpl w:val="032C00E4"/>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D43E7"/>
    <w:multiLevelType w:val="multilevel"/>
    <w:tmpl w:val="884E9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6"/>
  </w:num>
  <w:num w:numId="4">
    <w:abstractNumId w:val="28"/>
  </w:num>
  <w:num w:numId="5">
    <w:abstractNumId w:val="30"/>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2"/>
  </w:num>
  <w:num w:numId="16">
    <w:abstractNumId w:val="1"/>
  </w:num>
  <w:num w:numId="17">
    <w:abstractNumId w:val="19"/>
  </w:num>
  <w:num w:numId="18">
    <w:abstractNumId w:val="20"/>
  </w:num>
  <w:num w:numId="19">
    <w:abstractNumId w:val="22"/>
  </w:num>
  <w:num w:numId="20">
    <w:abstractNumId w:val="31"/>
  </w:num>
  <w:num w:numId="21">
    <w:abstractNumId w:val="41"/>
  </w:num>
  <w:num w:numId="22">
    <w:abstractNumId w:val="29"/>
  </w:num>
  <w:num w:numId="23">
    <w:abstractNumId w:val="11"/>
  </w:num>
  <w:num w:numId="24">
    <w:abstractNumId w:val="34"/>
  </w:num>
  <w:num w:numId="25">
    <w:abstractNumId w:val="33"/>
  </w:num>
  <w:num w:numId="26">
    <w:abstractNumId w:val="24"/>
  </w:num>
  <w:num w:numId="27">
    <w:abstractNumId w:val="37"/>
  </w:num>
  <w:num w:numId="28">
    <w:abstractNumId w:val="43"/>
  </w:num>
  <w:num w:numId="29">
    <w:abstractNumId w:val="9"/>
  </w:num>
  <w:num w:numId="30">
    <w:abstractNumId w:val="4"/>
  </w:num>
  <w:num w:numId="31">
    <w:abstractNumId w:val="26"/>
  </w:num>
  <w:num w:numId="32">
    <w:abstractNumId w:val="25"/>
  </w:num>
  <w:num w:numId="33">
    <w:abstractNumId w:val="39"/>
  </w:num>
  <w:num w:numId="34">
    <w:abstractNumId w:val="38"/>
  </w:num>
  <w:num w:numId="35">
    <w:abstractNumId w:val="1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
  </w:num>
  <w:num w:numId="39">
    <w:abstractNumId w:val="3"/>
  </w:num>
  <w:num w:numId="40">
    <w:abstractNumId w:val="14"/>
  </w:num>
  <w:num w:numId="41">
    <w:abstractNumId w:val="8"/>
  </w:num>
  <w:num w:numId="42">
    <w:abstractNumId w:val="5"/>
  </w:num>
  <w:num w:numId="43">
    <w:abstractNumId w:val="4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3DA1"/>
    <w:rsid w:val="0004526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192B"/>
    <w:rsid w:val="000B275C"/>
    <w:rsid w:val="000B2C3D"/>
    <w:rsid w:val="000B55C0"/>
    <w:rsid w:val="000B5DF2"/>
    <w:rsid w:val="000B7989"/>
    <w:rsid w:val="000C06C9"/>
    <w:rsid w:val="000C1DCC"/>
    <w:rsid w:val="000C1FBC"/>
    <w:rsid w:val="000C2B6A"/>
    <w:rsid w:val="000C2F88"/>
    <w:rsid w:val="000C403F"/>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3B3A"/>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6A4D"/>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3B8E"/>
    <w:rsid w:val="001F44A4"/>
    <w:rsid w:val="001F579D"/>
    <w:rsid w:val="001F5BF1"/>
    <w:rsid w:val="001F65EF"/>
    <w:rsid w:val="001F697B"/>
    <w:rsid w:val="002005A6"/>
    <w:rsid w:val="00204CBC"/>
    <w:rsid w:val="002051F1"/>
    <w:rsid w:val="002067BA"/>
    <w:rsid w:val="00207526"/>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6EAE"/>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15C"/>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2762D"/>
    <w:rsid w:val="0033194F"/>
    <w:rsid w:val="00332304"/>
    <w:rsid w:val="00332406"/>
    <w:rsid w:val="00332D8D"/>
    <w:rsid w:val="00336B56"/>
    <w:rsid w:val="00341B25"/>
    <w:rsid w:val="00341EC0"/>
    <w:rsid w:val="0034240C"/>
    <w:rsid w:val="00343F5D"/>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39"/>
    <w:rsid w:val="003865E5"/>
    <w:rsid w:val="00386BB8"/>
    <w:rsid w:val="0038773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54E"/>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0E9F"/>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3C"/>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66A9"/>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2F84"/>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1EC"/>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7D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5D62"/>
    <w:rsid w:val="006F6468"/>
    <w:rsid w:val="006F6AF9"/>
    <w:rsid w:val="00700247"/>
    <w:rsid w:val="00701051"/>
    <w:rsid w:val="007021C2"/>
    <w:rsid w:val="00702502"/>
    <w:rsid w:val="007033A8"/>
    <w:rsid w:val="0070421B"/>
    <w:rsid w:val="007043F0"/>
    <w:rsid w:val="0070482E"/>
    <w:rsid w:val="00704D25"/>
    <w:rsid w:val="00710519"/>
    <w:rsid w:val="00710F6E"/>
    <w:rsid w:val="00711082"/>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6D"/>
    <w:rsid w:val="00796EDE"/>
    <w:rsid w:val="00797297"/>
    <w:rsid w:val="007974B3"/>
    <w:rsid w:val="00797875"/>
    <w:rsid w:val="007A076C"/>
    <w:rsid w:val="007A2140"/>
    <w:rsid w:val="007A23E2"/>
    <w:rsid w:val="007A31A5"/>
    <w:rsid w:val="007A411B"/>
    <w:rsid w:val="007A45E6"/>
    <w:rsid w:val="007A4B28"/>
    <w:rsid w:val="007A5624"/>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31B3"/>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BE1"/>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84"/>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6E12"/>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5F56"/>
    <w:rsid w:val="00A160D3"/>
    <w:rsid w:val="00A16DC9"/>
    <w:rsid w:val="00A20225"/>
    <w:rsid w:val="00A24269"/>
    <w:rsid w:val="00A243E4"/>
    <w:rsid w:val="00A243FA"/>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12C"/>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0814"/>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0CA"/>
    <w:rsid w:val="00AE627C"/>
    <w:rsid w:val="00AE62B0"/>
    <w:rsid w:val="00AE68A2"/>
    <w:rsid w:val="00AE68EA"/>
    <w:rsid w:val="00AE753C"/>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4BE0"/>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CA8"/>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4331"/>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6CCC"/>
    <w:rsid w:val="00C47A2F"/>
    <w:rsid w:val="00C50D18"/>
    <w:rsid w:val="00C51179"/>
    <w:rsid w:val="00C5282C"/>
    <w:rsid w:val="00C52FBE"/>
    <w:rsid w:val="00C5355E"/>
    <w:rsid w:val="00C535E2"/>
    <w:rsid w:val="00C539FF"/>
    <w:rsid w:val="00C53FC1"/>
    <w:rsid w:val="00C556CD"/>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34B6"/>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5B9"/>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180"/>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1C2"/>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021"/>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56B"/>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505"/>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7A5"/>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74C"/>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6126"/>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qFormat="1"/>
    <w:lsdException w:name="footnote reference"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qFormat="1"/>
    <w:lsdException w:name="footnote reference"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hyperlink" Target="http://www.esma.europa.eu" TargetMode="External"/><Relationship Id="rId18" Type="http://schemas.openxmlformats.org/officeDocument/2006/relationships/hyperlink" Target="http://www.esma.europa.eu" TargetMode="External"/><Relationship Id="rId19" Type="http://schemas.openxmlformats.org/officeDocument/2006/relationships/hyperlink" Target="http://www.esma.europa.e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D91BE90F-7886-D44B-80D9-56CA6358EBE6}">
  <ds:schemaRefs>
    <ds:schemaRef ds:uri="http://schemas.openxmlformats.org/officeDocument/2006/bibliography"/>
  </ds:schemaRefs>
</ds:datastoreItem>
</file>

<file path=customXml/itemProps6.xml><?xml version="1.0" encoding="utf-8"?>
<ds:datastoreItem xmlns:ds="http://schemas.openxmlformats.org/officeDocument/2006/customXml" ds:itemID="{32707F0E-9791-B948-8263-BF5FF1CE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7361</Words>
  <Characters>40491</Characters>
  <Application>Microsoft Macintosh Word</Application>
  <DocSecurity>8</DocSecurity>
  <Lines>337</Lines>
  <Paragraphs>95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47757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Utilisateur de Microsoft Office</cp:lastModifiedBy>
  <cp:revision>3</cp:revision>
  <cp:lastPrinted>2017-09-27T15:00:00Z</cp:lastPrinted>
  <dcterms:created xsi:type="dcterms:W3CDTF">2017-09-28T11:13:00Z</dcterms:created>
  <dcterms:modified xsi:type="dcterms:W3CDTF">2017-09-28T11:14:00Z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