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A12525" w:rsidTr="006F4535">
        <w:trPr>
          <w:trHeight w:hRule="exact" w:val="1912"/>
        </w:trPr>
        <w:tc>
          <w:tcPr>
            <w:tcW w:w="9586" w:type="dxa"/>
            <w:vAlign w:val="bottom"/>
          </w:tcPr>
          <w:p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rsidTr="006F4535">
        <w:trPr>
          <w:trHeight w:hRule="exact" w:val="956"/>
        </w:trPr>
        <w:tc>
          <w:tcPr>
            <w:tcW w:w="9586" w:type="dxa"/>
            <w:tcMar>
              <w:top w:w="142" w:type="dxa"/>
            </w:tcMar>
          </w:tcPr>
          <w:p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D2B2C" w:rsidRPr="0064701F" w:rsidRDefault="007D2B2C" w:rsidP="007D2B2C">
      <w:pPr>
        <w:spacing w:after="240"/>
        <w:jc w:val="both"/>
        <w:rPr>
          <w:rStyle w:val="Emphaseple"/>
          <w:b w:val="0"/>
          <w:sz w:val="22"/>
        </w:rPr>
      </w:pPr>
      <w:r w:rsidRPr="0064701F">
        <w:rPr>
          <w:rStyle w:val="Emphaseple"/>
          <w:b w:val="0"/>
          <w:sz w:val="22"/>
        </w:rPr>
        <w:t>ESMA invites responses to the questions set out throughout this Consultation Paper. Responses are most helpful if they:</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respond to the question stated;</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contain a clear rationale; and</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describe any alternatives ESMA should consider.</w:t>
      </w:r>
    </w:p>
    <w:p w:rsidR="007D2B2C" w:rsidRPr="0064701F" w:rsidRDefault="007D2B2C" w:rsidP="007D2B2C">
      <w:pPr>
        <w:spacing w:after="240"/>
        <w:jc w:val="both"/>
        <w:rPr>
          <w:rStyle w:val="Emphaseple"/>
          <w:b w:val="0"/>
          <w:sz w:val="22"/>
        </w:rPr>
      </w:pPr>
      <w:r w:rsidRPr="0064701F">
        <w:rPr>
          <w:rStyle w:val="Emphaseple"/>
          <w:b w:val="0"/>
          <w:sz w:val="22"/>
        </w:rPr>
        <w:t>ESMA will consider all responses received by 28 September 2017.</w:t>
      </w:r>
    </w:p>
    <w:p w:rsidR="007D2B2C" w:rsidRPr="0064701F" w:rsidRDefault="007D2B2C" w:rsidP="007D2B2C">
      <w:pPr>
        <w:spacing w:after="120"/>
        <w:jc w:val="both"/>
        <w:rPr>
          <w:rStyle w:val="Emphaseple"/>
          <w:sz w:val="22"/>
        </w:rPr>
      </w:pPr>
      <w:r w:rsidRPr="0064701F">
        <w:rPr>
          <w:rStyle w:val="Emphaseple"/>
          <w:sz w:val="22"/>
        </w:rPr>
        <w:t>Instructions</w:t>
      </w:r>
    </w:p>
    <w:p w:rsidR="007D2B2C" w:rsidRPr="0064701F" w:rsidRDefault="007D2B2C" w:rsidP="007D2B2C">
      <w:pPr>
        <w:spacing w:after="240"/>
        <w:jc w:val="both"/>
        <w:rPr>
          <w:rStyle w:val="Emphaseple"/>
          <w:b w:val="0"/>
          <w:sz w:val="22"/>
        </w:rPr>
      </w:pPr>
      <w:r w:rsidRPr="0064701F">
        <w:rPr>
          <w:rStyle w:val="Emphaseple"/>
          <w:b w:val="0"/>
          <w:sz w:val="22"/>
        </w:rPr>
        <w:t>In order to facilitate analysis of responses to the Consultation Paper, respondents are requested to follow the below steps when preparing and submitting their response:</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Insert your responses to the questions in the Consultation Paper in the form “Response form_Consultation Paper on format and content</w:t>
      </w:r>
      <w:r w:rsidR="00D97B41" w:rsidRPr="0064701F">
        <w:rPr>
          <w:rStyle w:val="Emphaseple"/>
          <w:b w:val="0"/>
          <w:sz w:val="22"/>
        </w:rPr>
        <w:t xml:space="preserve"> of the prospectus</w:t>
      </w:r>
      <w:r w:rsidRPr="0064701F">
        <w:rPr>
          <w:rStyle w:val="Emphaseple"/>
          <w:b w:val="0"/>
          <w:sz w:val="22"/>
        </w:rPr>
        <w:t>”, available on ESMA’s website alongside the present Consultation Paper (</w:t>
      </w:r>
      <w:hyperlink r:id="rId16" w:history="1">
        <w:r w:rsidRPr="0064701F">
          <w:rPr>
            <w:rStyle w:val="Lienhypertexte"/>
            <w:sz w:val="22"/>
          </w:rPr>
          <w:t>www.esma.europa.eu</w:t>
        </w:r>
      </w:hyperlink>
      <w:r w:rsidRPr="0064701F">
        <w:rPr>
          <w:rStyle w:val="Emphaseple"/>
          <w:b w:val="0"/>
          <w:sz w:val="22"/>
        </w:rPr>
        <w:t xml:space="preserve"> </w:t>
      </w:r>
      <w:r w:rsidRPr="0064701F">
        <w:rPr>
          <w:rStyle w:val="Emphaseple"/>
          <w:b w:val="0"/>
          <w:sz w:val="22"/>
        </w:rPr>
        <w:sym w:font="Wingdings" w:char="F0E0"/>
      </w:r>
      <w:r w:rsidRPr="0064701F">
        <w:rPr>
          <w:rStyle w:val="Emphaseple"/>
          <w:b w:val="0"/>
          <w:sz w:val="22"/>
        </w:rPr>
        <w:t xml:space="preserve">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w:t>
      </w:r>
      <w:r w:rsidRPr="0064701F">
        <w:rPr>
          <w:rStyle w:val="Emphaseple"/>
          <w:b w:val="0"/>
          <w:sz w:val="22"/>
        </w:rPr>
        <w:t>u</w:t>
      </w:r>
      <w:r w:rsidRPr="0064701F">
        <w:rPr>
          <w:rStyle w:val="Emphaseple"/>
          <w:b w:val="0"/>
          <w:sz w:val="22"/>
        </w:rPr>
        <w:t>lation’).</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Please do not remove tags of the type &lt;ESMA_QUESTION_FAC_1&gt;. Your response to each question has to be framed by the two tags corresponding to the question.</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If you do not wish to respond to a given question, please do not delete it but simply leave the text “TYPE YOUR TEXT HERE” between the tags.</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When you have drafted your response, name your response form according to the follo</w:t>
      </w:r>
      <w:r w:rsidRPr="0064701F">
        <w:rPr>
          <w:rStyle w:val="Emphaseple"/>
          <w:b w:val="0"/>
          <w:sz w:val="22"/>
        </w:rPr>
        <w:t>w</w:t>
      </w:r>
      <w:r w:rsidRPr="0064701F">
        <w:rPr>
          <w:rStyle w:val="Emphaseple"/>
          <w:b w:val="0"/>
          <w:sz w:val="22"/>
        </w:rPr>
        <w:t>ing convention: ESMA_FAC_nameofrespondent_RESPONSEFORM. For example, for a respondent named ABCD, the response form would be entitled ESMA_FAC_ABCD_RESPONSEFORM.</w:t>
      </w:r>
    </w:p>
    <w:p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 xml:space="preserve">Upload the form containing your responses, </w:t>
      </w:r>
      <w:r w:rsidRPr="0064701F">
        <w:rPr>
          <w:rStyle w:val="Emphaseple"/>
          <w:b w:val="0"/>
          <w:sz w:val="22"/>
          <w:u w:val="single"/>
        </w:rPr>
        <w:t>in Word format</w:t>
      </w:r>
      <w:r w:rsidRPr="0064701F">
        <w:rPr>
          <w:rStyle w:val="Emphaseple"/>
          <w:b w:val="0"/>
          <w:sz w:val="22"/>
        </w:rPr>
        <w:t>, to ESMA’s website (</w:t>
      </w:r>
      <w:hyperlink r:id="rId17" w:history="1">
        <w:r w:rsidR="00504505" w:rsidRPr="0064701F">
          <w:rPr>
            <w:rStyle w:val="Lienhypertexte"/>
            <w:sz w:val="22"/>
          </w:rPr>
          <w:t>www.esma.europa.eu</w:t>
        </w:r>
      </w:hyperlink>
      <w:r w:rsidRPr="0064701F">
        <w:rPr>
          <w:rStyle w:val="Emphaseple"/>
          <w:b w:val="0"/>
          <w:sz w:val="22"/>
        </w:rPr>
        <w:t xml:space="preserve"> under the heading ‘Your input – Open consultations’ </w:t>
      </w:r>
      <w:r w:rsidRPr="0064701F">
        <w:rPr>
          <w:rStyle w:val="Emphaseple"/>
          <w:b w:val="0"/>
          <w:sz w:val="22"/>
        </w:rPr>
        <w:sym w:font="Wingdings" w:char="F0E0"/>
      </w:r>
      <w:r w:rsidRPr="0064701F">
        <w:rPr>
          <w:rStyle w:val="Emphaseple"/>
          <w:b w:val="0"/>
          <w:sz w:val="22"/>
        </w:rPr>
        <w:t xml:space="preserve"> ‘Consult</w:t>
      </w:r>
      <w:r w:rsidRPr="0064701F">
        <w:rPr>
          <w:rStyle w:val="Emphaseple"/>
          <w:b w:val="0"/>
          <w:sz w:val="22"/>
        </w:rPr>
        <w:t>a</w:t>
      </w:r>
      <w:r w:rsidRPr="0064701F">
        <w:rPr>
          <w:rStyle w:val="Emphaseple"/>
          <w:b w:val="0"/>
          <w:sz w:val="22"/>
        </w:rPr>
        <w:t>tion on technical advice under the new Prospectus Regulation’).</w:t>
      </w:r>
    </w:p>
    <w:p w:rsidR="007D2B2C" w:rsidRPr="0064701F" w:rsidRDefault="007D2B2C" w:rsidP="007D2B2C">
      <w:pPr>
        <w:spacing w:after="120"/>
        <w:jc w:val="both"/>
        <w:rPr>
          <w:rStyle w:val="Emphaseple"/>
          <w:sz w:val="22"/>
          <w:lang w:eastAsia="en-GB"/>
        </w:rPr>
      </w:pPr>
      <w:r w:rsidRPr="0064701F">
        <w:rPr>
          <w:rStyle w:val="Emphaseple"/>
          <w:sz w:val="22"/>
          <w:lang w:eastAsia="en-GB"/>
        </w:rPr>
        <w:t>Publication of responses</w:t>
      </w:r>
    </w:p>
    <w:p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All contributions received will be published following the close of the consultation, unless you request otherwise. </w:t>
      </w:r>
      <w:r w:rsidRPr="0064701F">
        <w:rPr>
          <w:rStyle w:val="Emphaseple"/>
          <w:b w:val="0"/>
          <w:sz w:val="22"/>
          <w:u w:val="single"/>
          <w:lang w:eastAsia="en-GB"/>
        </w:rPr>
        <w:t>Please clearly indicate by ticking the appropriate checkbox on the website submission page if you do not wish your contribution to be publicly disclosed.</w:t>
      </w:r>
      <w:r w:rsidRPr="0064701F">
        <w:rPr>
          <w:rStyle w:val="Emphaseple"/>
          <w:b w:val="0"/>
          <w:sz w:val="22"/>
          <w:lang w:eastAsia="en-GB"/>
        </w:rPr>
        <w:t xml:space="preserve"> A standard conf</w:t>
      </w:r>
      <w:r w:rsidRPr="0064701F">
        <w:rPr>
          <w:rStyle w:val="Emphaseple"/>
          <w:b w:val="0"/>
          <w:sz w:val="22"/>
          <w:lang w:eastAsia="en-GB"/>
        </w:rPr>
        <w:t>i</w:t>
      </w:r>
      <w:r w:rsidRPr="0064701F">
        <w:rPr>
          <w:rStyle w:val="Emphaseple"/>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Emphaseple"/>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Emphaseple"/>
          <w:b w:val="0"/>
          <w:sz w:val="22"/>
          <w:lang w:eastAsia="en-GB"/>
        </w:rPr>
        <w:t>s</w:t>
      </w:r>
      <w:r w:rsidRPr="0064701F">
        <w:rPr>
          <w:rStyle w:val="Emphaseple"/>
          <w:b w:val="0"/>
          <w:sz w:val="22"/>
          <w:lang w:eastAsia="en-GB"/>
        </w:rPr>
        <w:t>man.</w:t>
      </w:r>
    </w:p>
    <w:p w:rsidR="007D2B2C" w:rsidRPr="0064701F" w:rsidRDefault="007D2B2C" w:rsidP="007D2B2C">
      <w:pPr>
        <w:spacing w:after="120"/>
        <w:jc w:val="both"/>
        <w:rPr>
          <w:rStyle w:val="Emphaseple"/>
          <w:sz w:val="22"/>
          <w:lang w:eastAsia="en-GB"/>
        </w:rPr>
      </w:pPr>
      <w:r w:rsidRPr="0064701F">
        <w:rPr>
          <w:rStyle w:val="Emphaseple"/>
          <w:sz w:val="22"/>
          <w:lang w:eastAsia="en-GB"/>
        </w:rPr>
        <w:t>Data protection</w:t>
      </w:r>
    </w:p>
    <w:p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Information on data protection can be found at </w:t>
      </w:r>
      <w:hyperlink r:id="rId18" w:history="1">
        <w:r w:rsidRPr="0064701F">
          <w:rPr>
            <w:rStyle w:val="Lienhypertexte"/>
            <w:rFonts w:cs="Arial"/>
            <w:sz w:val="22"/>
            <w:lang w:eastAsia="en-GB"/>
          </w:rPr>
          <w:t>www.esma.europa.eu</w:t>
        </w:r>
      </w:hyperlink>
      <w:r w:rsidRPr="0064701F">
        <w:rPr>
          <w:rStyle w:val="Emphaseple"/>
          <w:b w:val="0"/>
          <w:sz w:val="22"/>
          <w:lang w:eastAsia="en-GB"/>
        </w:rPr>
        <w:t xml:space="preserve"> under the heading ‘Data  protection’.</w:t>
      </w:r>
    </w:p>
    <w:p w:rsidR="007D2B2C" w:rsidRPr="0064701F" w:rsidRDefault="007D2B2C" w:rsidP="007D2B2C">
      <w:pPr>
        <w:spacing w:after="120"/>
        <w:jc w:val="both"/>
        <w:rPr>
          <w:rStyle w:val="Emphaseple"/>
          <w:sz w:val="22"/>
          <w:lang w:eastAsia="en-GB"/>
        </w:rPr>
      </w:pPr>
      <w:r w:rsidRPr="0064701F">
        <w:rPr>
          <w:rStyle w:val="Emphaseple"/>
          <w:sz w:val="22"/>
          <w:lang w:eastAsia="en-GB"/>
        </w:rPr>
        <w:t>Who should read this Consultation Paper</w:t>
      </w:r>
    </w:p>
    <w:p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Emphaseple"/>
          <w:b w:val="0"/>
          <w:sz w:val="22"/>
          <w:lang w:eastAsia="en-GB"/>
        </w:rPr>
        <w:t>i</w:t>
      </w:r>
      <w:r w:rsidRPr="0064701F">
        <w:rPr>
          <w:rStyle w:val="Emphaseple"/>
          <w:b w:val="0"/>
          <w:sz w:val="22"/>
          <w:lang w:eastAsia="en-GB"/>
        </w:rPr>
        <w:t>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504505">
        <w:tc>
          <w:tcPr>
            <w:tcW w:w="3929" w:type="dxa"/>
            <w:shd w:val="clear" w:color="auto" w:fill="auto"/>
          </w:tcPr>
          <w:p w:rsidR="00B327E9" w:rsidRPr="0064701F" w:rsidRDefault="00B327E9" w:rsidP="00504505">
            <w:pPr>
              <w:rPr>
                <w:rFonts w:cs="Arial"/>
                <w:sz w:val="22"/>
              </w:rPr>
            </w:pPr>
            <w:permStart w:id="0" w:edGrp="everyone" w:colFirst="1" w:colLast="1"/>
            <w:r w:rsidRPr="0064701F">
              <w:rPr>
                <w:rFonts w:cs="Arial"/>
                <w:sz w:val="22"/>
              </w:rPr>
              <w:t>Name of the company / organisation</w:t>
            </w:r>
          </w:p>
        </w:tc>
        <w:sdt>
          <w:sdtPr>
            <w:rPr>
              <w:rStyle w:val="Textedelespacerserv"/>
              <w:rFonts w:cs="Arial"/>
              <w:lang w:val="fr-FR"/>
            </w:rPr>
            <w:id w:val="-1905066999"/>
            <w:text/>
          </w:sdtPr>
          <w:sdtContent>
            <w:tc>
              <w:tcPr>
                <w:tcW w:w="5595" w:type="dxa"/>
                <w:shd w:val="clear" w:color="auto" w:fill="auto"/>
              </w:tcPr>
              <w:p w:rsidR="00B327E9" w:rsidRPr="00976EE6" w:rsidRDefault="00357A51" w:rsidP="00357A51">
                <w:pPr>
                  <w:rPr>
                    <w:rStyle w:val="Textedelespacerserv"/>
                    <w:rFonts w:cs="Arial"/>
                    <w:lang w:val="fr-FR"/>
                  </w:rPr>
                </w:pPr>
                <w:r w:rsidRPr="00976EE6">
                  <w:rPr>
                    <w:rStyle w:val="Textedelespacerserv"/>
                    <w:rFonts w:cs="Arial"/>
                    <w:lang w:val="fr-FR"/>
                  </w:rPr>
                  <w:t xml:space="preserve">AMAFI </w:t>
                </w:r>
                <w:r w:rsidR="00976EE6" w:rsidRPr="00976EE6">
                  <w:rPr>
                    <w:rStyle w:val="Textedelespacerserv"/>
                    <w:rFonts w:cs="Arial"/>
                    <w:lang w:val="fr-FR"/>
                  </w:rPr>
                  <w:t xml:space="preserve">– Association française </w:t>
                </w:r>
                <w:proofErr w:type="gramStart"/>
                <w:r w:rsidR="00976EE6" w:rsidRPr="00976EE6">
                  <w:rPr>
                    <w:rStyle w:val="Textedelespacerserv"/>
                    <w:rFonts w:cs="Arial"/>
                    <w:lang w:val="fr-FR"/>
                  </w:rPr>
                  <w:t>des marches financiers</w:t>
                </w:r>
                <w:proofErr w:type="gramEnd"/>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1" w:edGrp="everyone" w:colFirst="1" w:colLast="1"/>
            <w:permEnd w:id="0"/>
            <w:r w:rsidRPr="0064701F">
              <w:rPr>
                <w:rFonts w:cs="Arial"/>
                <w:sz w:val="22"/>
              </w:rPr>
              <w:t>Activity</w:t>
            </w:r>
          </w:p>
        </w:tc>
        <w:tc>
          <w:tcPr>
            <w:tcW w:w="5595" w:type="dxa"/>
            <w:shd w:val="clear" w:color="auto" w:fill="auto"/>
          </w:tcPr>
          <w:p w:rsidR="00B327E9" w:rsidRPr="00AB6D88" w:rsidRDefault="002F45B2"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57A51">
                  <w:rPr>
                    <w:rFonts w:cs="Arial"/>
                  </w:rPr>
                  <w:t>Investment Services</w:t>
                </w:r>
              </w:sdtContent>
            </w:sdt>
          </w:p>
        </w:tc>
      </w:tr>
      <w:tr w:rsidR="00B327E9" w:rsidRPr="00AB6D88" w:rsidTr="00504505">
        <w:tc>
          <w:tcPr>
            <w:tcW w:w="3929" w:type="dxa"/>
            <w:shd w:val="clear" w:color="auto" w:fill="auto"/>
          </w:tcPr>
          <w:p w:rsidR="00B327E9" w:rsidRPr="0064701F" w:rsidRDefault="00B327E9" w:rsidP="00504505">
            <w:pPr>
              <w:rPr>
                <w:rFonts w:cs="Arial"/>
                <w:sz w:val="22"/>
              </w:rPr>
            </w:pPr>
            <w:permStart w:id="2" w:edGrp="everyone" w:colFirst="1" w:colLast="1"/>
            <w:permEnd w:id="1"/>
            <w:r w:rsidRPr="0064701F">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357A51" w:rsidP="00504505">
                <w:pPr>
                  <w:rPr>
                    <w:rFonts w:cs="Arial"/>
                  </w:rPr>
                </w:pPr>
                <w:r>
                  <w:rPr>
                    <w:rFonts w:cs="Arial"/>
                  </w:rPr>
                  <w:t xml:space="preserve">YES </w:t>
                </w:r>
                <w:r w:rsidR="00B327E9">
                  <w:rPr>
                    <w:rFonts w:ascii="MS Gothic" w:eastAsia="MS Gothic" w:hAnsi="MS Gothic" w:cs="Arial" w:hint="eastAsia"/>
                  </w:rPr>
                  <w:t>☐</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3" w:edGrp="everyone" w:colFirst="1" w:colLast="1"/>
            <w:permEnd w:id="2"/>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357A51" w:rsidP="00504505">
                <w:pPr>
                  <w:rPr>
                    <w:rFonts w:cs="Arial"/>
                  </w:rPr>
                </w:pPr>
                <w:r>
                  <w:rPr>
                    <w:rFonts w:cs="Arial"/>
                  </w:rPr>
                  <w:t>France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1D47A5" w:rsidRDefault="00B327E9" w:rsidP="00B327E9">
      <w:pPr>
        <w:rPr>
          <w:rStyle w:val="Emphaseintense"/>
        </w:rPr>
      </w:pPr>
      <w:r w:rsidRPr="001D47A5">
        <w:rPr>
          <w:rStyle w:val="Emphaseintense"/>
        </w:rPr>
        <w:t>Please make your introductory comments below, if any:</w:t>
      </w:r>
    </w:p>
    <w:p w:rsidR="00B327E9" w:rsidRPr="00BF28DA" w:rsidRDefault="00B327E9" w:rsidP="00B327E9"/>
    <w:p w:rsidR="00B327E9" w:rsidRPr="006F4535" w:rsidRDefault="00B327E9" w:rsidP="00B327E9">
      <w:r w:rsidRPr="006F4535">
        <w:t>&lt;ESMA_COMMENT_</w:t>
      </w:r>
      <w:r w:rsidR="00357C60">
        <w:t>FAC</w:t>
      </w:r>
      <w:r w:rsidRPr="006F4535">
        <w:t>_1&gt;</w:t>
      </w:r>
    </w:p>
    <w:p w:rsidR="00551A5D" w:rsidRDefault="00551A5D" w:rsidP="00551A5D">
      <w:pPr>
        <w:pStyle w:val="1AMAFI"/>
        <w:numPr>
          <w:ilvl w:val="0"/>
          <w:numId w:val="0"/>
        </w:numPr>
        <w:ind w:left="-284"/>
        <w:rPr>
          <w:lang w:val="en-GB"/>
        </w:rPr>
      </w:pPr>
      <w:permStart w:id="4" w:edGrp="everyone"/>
      <w:r>
        <w:rPr>
          <w:i/>
          <w:lang w:val="en-GB"/>
        </w:rPr>
        <w:t xml:space="preserve">Association </w:t>
      </w:r>
      <w:proofErr w:type="spellStart"/>
      <w:r>
        <w:rPr>
          <w:i/>
          <w:lang w:val="en-GB"/>
        </w:rPr>
        <w:t>française</w:t>
      </w:r>
      <w:proofErr w:type="spellEnd"/>
      <w:r>
        <w:rPr>
          <w:i/>
          <w:lang w:val="en-GB"/>
        </w:rPr>
        <w:t xml:space="preserve"> des </w:t>
      </w:r>
      <w:proofErr w:type="spellStart"/>
      <w:r>
        <w:rPr>
          <w:i/>
          <w:lang w:val="en-GB"/>
        </w:rPr>
        <w:t>marchés</w:t>
      </w:r>
      <w:proofErr w:type="spellEnd"/>
      <w:r>
        <w:rPr>
          <w:i/>
          <w:lang w:val="en-GB"/>
        </w:rPr>
        <w:t xml:space="preserve"> financiers</w:t>
      </w:r>
      <w:r>
        <w:rPr>
          <w:lang w:val="en-GB"/>
        </w:rPr>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members are subsidiaries or branches of non-French institutions</w:t>
      </w:r>
      <w:r w:rsidR="004D4835">
        <w:rPr>
          <w:lang w:val="en-GB"/>
        </w:rPr>
        <w:t>.</w:t>
      </w:r>
      <w:r>
        <w:rPr>
          <w:lang w:val="en-GB"/>
        </w:rPr>
        <w:t xml:space="preserve"> </w:t>
      </w:r>
    </w:p>
    <w:p w:rsidR="00551A5D" w:rsidRPr="000F6A8C" w:rsidRDefault="00551A5D" w:rsidP="00551A5D">
      <w:pPr>
        <w:pStyle w:val="1AMAFI"/>
        <w:numPr>
          <w:ilvl w:val="0"/>
          <w:numId w:val="0"/>
        </w:numPr>
        <w:tabs>
          <w:tab w:val="left" w:pos="708"/>
        </w:tabs>
        <w:ind w:left="-284"/>
        <w:rPr>
          <w:lang w:val="en-GB"/>
        </w:rPr>
      </w:pPr>
      <w:r>
        <w:rPr>
          <w:lang w:val="en-GB"/>
        </w:rPr>
        <w:t xml:space="preserve">For over two years, AMAFI has been paying </w:t>
      </w:r>
      <w:r w:rsidRPr="000F6A8C">
        <w:rPr>
          <w:lang w:val="en-GB"/>
        </w:rPr>
        <w:t>close attention to progress in the Capital</w:t>
      </w:r>
      <w:r>
        <w:rPr>
          <w:lang w:val="en-GB"/>
        </w:rPr>
        <w:t xml:space="preserve"> Markets Union (CMU) initiative and, within such initiative, to the proposals which </w:t>
      </w:r>
      <w:r w:rsidRPr="000F6A8C">
        <w:rPr>
          <w:lang w:val="en-GB"/>
        </w:rPr>
        <w:t xml:space="preserve">aimed at revising the Prospectus Directive </w:t>
      </w:r>
      <w:r>
        <w:rPr>
          <w:lang w:val="en-GB"/>
        </w:rPr>
        <w:t xml:space="preserve">with a view to making it easier and cheaper for companies, and in particular smaller companies, to access capital and improve prospectus accessibility for investors. </w:t>
      </w:r>
    </w:p>
    <w:p w:rsidR="00551A5D" w:rsidRDefault="00551A5D" w:rsidP="00551A5D">
      <w:pPr>
        <w:pStyle w:val="1AMAFI"/>
        <w:numPr>
          <w:ilvl w:val="0"/>
          <w:numId w:val="0"/>
        </w:numPr>
        <w:ind w:left="-284"/>
        <w:rPr>
          <w:lang w:val="en-GB"/>
        </w:rPr>
      </w:pPr>
      <w:r w:rsidRPr="007A365F">
        <w:rPr>
          <w:lang w:val="en-GB"/>
        </w:rPr>
        <w:t>Having contributed to the 2015 EC consultation on the review for the Prospectus Directive</w:t>
      </w:r>
      <w:r>
        <w:rPr>
          <w:lang w:val="en-GB"/>
        </w:rPr>
        <w:t xml:space="preserve"> (</w:t>
      </w:r>
      <w:r w:rsidRPr="005F4EF3">
        <w:rPr>
          <w:i/>
          <w:u w:val="single"/>
          <w:lang w:val="en-GB"/>
        </w:rPr>
        <w:t>AMAFI / 15-27</w:t>
      </w:r>
      <w:r>
        <w:rPr>
          <w:lang w:val="en-GB"/>
        </w:rPr>
        <w:t xml:space="preserve">), AMAFI is now keen, after the publication of the Prospectus Regulation, to contribute to the three consultations launched by ESMA on 6 July 2017 - until 28 September 2017- on the </w:t>
      </w:r>
      <w:r w:rsidRPr="00551A5D">
        <w:rPr>
          <w:lang w:val="en-GB"/>
        </w:rPr>
        <w:t xml:space="preserve">draft technical advice that it proposes to </w:t>
      </w:r>
      <w:r>
        <w:rPr>
          <w:lang w:val="en-GB"/>
        </w:rPr>
        <w:t>give to the EC</w:t>
      </w:r>
      <w:r w:rsidR="004D4835">
        <w:rPr>
          <w:lang w:val="en-GB"/>
        </w:rPr>
        <w:t xml:space="preserve"> in relation to each one of these consultations</w:t>
      </w:r>
      <w:r w:rsidR="00C21ED8">
        <w:rPr>
          <w:lang w:val="en-GB"/>
        </w:rPr>
        <w:t xml:space="preserve">. Below is AMAFI’s response to ESMA’s consultation </w:t>
      </w:r>
      <w:r>
        <w:rPr>
          <w:lang w:val="en-GB"/>
        </w:rPr>
        <w:t xml:space="preserve">on </w:t>
      </w:r>
      <w:r w:rsidRPr="00551A5D">
        <w:rPr>
          <w:lang w:val="en-GB"/>
        </w:rPr>
        <w:t xml:space="preserve">Format and content of the Prospectus </w:t>
      </w:r>
      <w:r w:rsidRPr="00955A60">
        <w:rPr>
          <w:i/>
          <w:lang w:val="en-GB"/>
        </w:rPr>
        <w:t>(ESMA31-62-532)</w:t>
      </w:r>
      <w:r>
        <w:rPr>
          <w:i/>
          <w:lang w:val="en-GB"/>
        </w:rPr>
        <w:t>.</w:t>
      </w:r>
    </w:p>
    <w:permEnd w:id="4"/>
    <w:p w:rsidR="00B327E9" w:rsidRPr="00BF28DA" w:rsidRDefault="00B327E9" w:rsidP="00B327E9">
      <w:r w:rsidRPr="00BF28DA">
        <w:t>&lt;ESMA_COMMENT_</w:t>
      </w:r>
      <w:r w:rsidR="00357C60">
        <w:rPr>
          <w:rFonts w:cs="Arial"/>
        </w:rPr>
        <w:t>FAC</w:t>
      </w:r>
      <w:r w:rsidRPr="00BF28DA">
        <w:t>_1&gt;</w:t>
      </w:r>
    </w:p>
    <w:p w:rsidR="002E7113" w:rsidRDefault="002E7113" w:rsidP="002E7113">
      <w:pPr>
        <w:pStyle w:val="Titre1"/>
        <w:numPr>
          <w:ilvl w:val="0"/>
          <w:numId w:val="0"/>
        </w:numPr>
      </w:pPr>
    </w:p>
    <w:p w:rsidR="00F31E57" w:rsidRPr="00BF28DA" w:rsidRDefault="00F31E57" w:rsidP="00D34282"/>
    <w:p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rsidR="00357C60" w:rsidRDefault="00357C60" w:rsidP="00357C60">
      <w:pPr>
        <w:rPr>
          <w:rFonts w:cs="Arial"/>
        </w:rPr>
      </w:pPr>
      <w:r>
        <w:rPr>
          <w:rFonts w:cs="Arial"/>
        </w:rPr>
        <w:t>&lt;ESMA_QUESTION_FAC_1&gt;</w:t>
      </w:r>
    </w:p>
    <w:p w:rsidR="00551A5D" w:rsidRDefault="00551A5D" w:rsidP="00EB05E5">
      <w:pPr>
        <w:spacing w:before="19" w:line="220" w:lineRule="exact"/>
        <w:jc w:val="both"/>
        <w:rPr>
          <w:lang w:val="en-US"/>
        </w:rPr>
      </w:pPr>
      <w:permStart w:id="5" w:edGrp="everyone"/>
      <w:r>
        <w:rPr>
          <w:lang w:val="en-US"/>
        </w:rPr>
        <w:t xml:space="preserve">No, AMAFI disagrees with that proposal for several reasons: the purpose of such cover notes is not clear; the principle of such notes is not provided by level 1 legislation and there is not ground for adding such a requirement at level 2; finally, it could duplicate the information contained in the summary and raise liability issues. </w:t>
      </w:r>
    </w:p>
    <w:p w:rsidR="00551A5D" w:rsidRDefault="00551A5D" w:rsidP="00EB05E5">
      <w:pPr>
        <w:spacing w:before="19" w:line="220" w:lineRule="exact"/>
        <w:jc w:val="both"/>
        <w:rPr>
          <w:lang w:val="en-US"/>
        </w:rPr>
      </w:pPr>
      <w:r>
        <w:rPr>
          <w:lang w:val="en-US"/>
        </w:rPr>
        <w:t>Therefore, cover notes should not be mandatory. The possibility of having cover notes should simply remain a possibility as provided in ESMA’s Q&amp;A § 9 (</w:t>
      </w:r>
      <w:r w:rsidRPr="005B0AD8">
        <w:rPr>
          <w:i/>
          <w:u w:val="single"/>
          <w:lang w:val="en-US"/>
        </w:rPr>
        <w:t>ESMA/2016/1674</w:t>
      </w:r>
      <w:r>
        <w:rPr>
          <w:lang w:val="en-US"/>
        </w:rPr>
        <w:t xml:space="preserve">). </w:t>
      </w:r>
    </w:p>
    <w:permEnd w:id="5"/>
    <w:p w:rsidR="00357C60" w:rsidRDefault="00357C60" w:rsidP="00357C60">
      <w:pPr>
        <w:rPr>
          <w:rFonts w:cs="Arial"/>
        </w:rPr>
      </w:pPr>
      <w:r>
        <w:rPr>
          <w:rFonts w:cs="Arial"/>
        </w:rPr>
        <w:t>&lt;ESMA_QUESTION_FAC_1&gt;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w:t>
      </w:r>
      <w:r w:rsidRPr="0064701F">
        <w:rPr>
          <w:rFonts w:ascii="Arial" w:hAnsi="Arial" w:cs="Arial"/>
        </w:rPr>
        <w:t>c</w:t>
      </w:r>
      <w:r w:rsidRPr="0064701F">
        <w:rPr>
          <w:rFonts w:ascii="Arial" w:hAnsi="Arial" w:cs="Arial"/>
        </w:rPr>
        <w:t>tuses? Would this imply any material cost for issuers? If yes, please provide an estimate of such cost.</w:t>
      </w:r>
    </w:p>
    <w:p w:rsidR="00357C60" w:rsidRDefault="00357C60" w:rsidP="00357C60">
      <w:pPr>
        <w:rPr>
          <w:rFonts w:cs="Arial"/>
        </w:rPr>
      </w:pPr>
      <w:r>
        <w:rPr>
          <w:rFonts w:cs="Arial"/>
        </w:rPr>
        <w:t>&lt;ESMA_QUESTION_FAC_2&gt;</w:t>
      </w:r>
    </w:p>
    <w:p w:rsidR="00450E4E" w:rsidRDefault="00450E4E" w:rsidP="00EB05E5">
      <w:pPr>
        <w:spacing w:before="19" w:line="220" w:lineRule="exact"/>
        <w:jc w:val="both"/>
        <w:rPr>
          <w:lang w:val="en-US"/>
        </w:rPr>
      </w:pPr>
      <w:permStart w:id="6" w:edGrp="everyone"/>
      <w:r>
        <w:rPr>
          <w:lang w:val="en-US"/>
        </w:rPr>
        <w:t>It is usual practice to have such a section in the base prospectus for retail investors. AMAFI considers that that it would be inappropriate to extend this practice to equity prospectuses for which there is no need for such a section</w:t>
      </w:r>
      <w:r w:rsidRPr="00D05ECD">
        <w:rPr>
          <w:lang w:val="en-US"/>
        </w:rPr>
        <w:t>. In addition, it can be noted that the URD, which is likely to be widely used in France, would not, by definition, contain such a section. As a result, this “how to use the prospectus” section in the pr</w:t>
      </w:r>
      <w:r w:rsidRPr="00D05ECD">
        <w:rPr>
          <w:lang w:val="en-US"/>
        </w:rPr>
        <w:t>o</w:t>
      </w:r>
      <w:r w:rsidRPr="00D05ECD">
        <w:rPr>
          <w:lang w:val="en-US"/>
        </w:rPr>
        <w:t>spectus may end up being more confusing than helpful.</w:t>
      </w:r>
      <w:r>
        <w:rPr>
          <w:lang w:val="en-US"/>
        </w:rPr>
        <w:t xml:space="preserve"> </w:t>
      </w:r>
    </w:p>
    <w:permEnd w:id="6"/>
    <w:p w:rsidR="00357C60" w:rsidRDefault="00357C60" w:rsidP="00357C60">
      <w:pPr>
        <w:rPr>
          <w:rFonts w:cs="Arial"/>
        </w:rPr>
      </w:pPr>
      <w:r>
        <w:rPr>
          <w:rFonts w:cs="Arial"/>
        </w:rPr>
        <w:t>&lt;ESMA_QUESTION_FAC_2&gt;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rsidR="00357C60" w:rsidRDefault="00357C60" w:rsidP="00357C60">
      <w:pPr>
        <w:rPr>
          <w:rFonts w:cs="Arial"/>
        </w:rPr>
      </w:pPr>
      <w:r>
        <w:rPr>
          <w:rFonts w:cs="Arial"/>
        </w:rPr>
        <w:t>&lt;ESMA_QUESTION_FAC_3&gt;</w:t>
      </w:r>
    </w:p>
    <w:p w:rsidR="00450E4E" w:rsidRPr="00C2302E" w:rsidRDefault="00450E4E" w:rsidP="009F7AB1">
      <w:pPr>
        <w:spacing w:before="19" w:line="220" w:lineRule="exact"/>
        <w:jc w:val="both"/>
        <w:rPr>
          <w:lang w:val="en-US"/>
        </w:rPr>
      </w:pPr>
      <w:permStart w:id="7" w:edGrp="everyone"/>
      <w:r>
        <w:rPr>
          <w:lang w:val="en-US"/>
        </w:rPr>
        <w:t>AMAFI is not opposed to having the location of risk factors in a prospectus prescribed in the legislation, save for URDs (see Question 4 below). This should make it easier for investors and all parties concerned to read and understand the key elements of the prospectus.</w:t>
      </w:r>
    </w:p>
    <w:permEnd w:id="7"/>
    <w:p w:rsidR="00357C60" w:rsidRDefault="00357C60" w:rsidP="00357C60">
      <w:pPr>
        <w:rPr>
          <w:rFonts w:cs="Arial"/>
        </w:rPr>
      </w:pPr>
      <w:r>
        <w:rPr>
          <w:rFonts w:cs="Arial"/>
        </w:rPr>
        <w:t>&lt;ESMA_QUESTION_FAC_3&gt;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rsidR="00357C60" w:rsidRDefault="00357C60" w:rsidP="00357C60">
      <w:pPr>
        <w:rPr>
          <w:rFonts w:cs="Arial"/>
        </w:rPr>
      </w:pPr>
      <w:r>
        <w:rPr>
          <w:rFonts w:cs="Arial"/>
        </w:rPr>
        <w:t>&lt;ESMA_QUESTION_FAC_4&gt;</w:t>
      </w:r>
    </w:p>
    <w:p w:rsidR="00450E4E" w:rsidRPr="00C2302E" w:rsidRDefault="00450E4E" w:rsidP="009F7AB1">
      <w:pPr>
        <w:spacing w:before="19" w:line="220" w:lineRule="exact"/>
        <w:jc w:val="both"/>
        <w:rPr>
          <w:lang w:val="en-US"/>
        </w:rPr>
      </w:pPr>
      <w:permStart w:id="8" w:edGrp="everyone"/>
      <w:r>
        <w:rPr>
          <w:lang w:val="en-US"/>
        </w:rPr>
        <w:t xml:space="preserve">AMAFI considers that the URD should benefit from a more flexible order of information than a prospectus because a URD is also a communication tool for the issuers who can choose the way and the order in which they will present the elements to be included in the URD. AMAFI fully agrees with ESMA’s position expressed in § 27 of the CP. Indeed, for as long as a cross reference list is provided, it is important to allow issuers to disclose information in an order and format that can be adapted, depending on the type of issuer and securities. </w:t>
      </w:r>
    </w:p>
    <w:permEnd w:id="8"/>
    <w:p w:rsidR="00357C60" w:rsidRDefault="00357C60" w:rsidP="00357C60">
      <w:pPr>
        <w:rPr>
          <w:rFonts w:cs="Arial"/>
        </w:rPr>
      </w:pPr>
      <w:r>
        <w:rPr>
          <w:rFonts w:cs="Arial"/>
        </w:rPr>
        <w:t>&lt;ESMA_QUESTION_FAC_4&gt;</w:t>
      </w:r>
    </w:p>
    <w:p w:rsidR="00357C60" w:rsidRDefault="00357C60" w:rsidP="00357C60">
      <w:pPr>
        <w:rPr>
          <w:rFonts w:cs="Arial"/>
        </w:rPr>
      </w:pPr>
    </w:p>
    <w:p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rsidR="00357C60" w:rsidRDefault="00357C60" w:rsidP="00357C60">
      <w:pPr>
        <w:rPr>
          <w:rFonts w:cs="Arial"/>
        </w:rPr>
      </w:pPr>
      <w:r>
        <w:rPr>
          <w:rFonts w:cs="Arial"/>
        </w:rPr>
        <w:t>&lt;ESMA_QUESTION_FAC_5&gt;</w:t>
      </w:r>
    </w:p>
    <w:p w:rsidR="00AC49D5" w:rsidRPr="00C2302E" w:rsidRDefault="00AC49D5" w:rsidP="00AC49D5">
      <w:pPr>
        <w:spacing w:before="19" w:line="220" w:lineRule="exact"/>
        <w:rPr>
          <w:lang w:val="en-US"/>
        </w:rPr>
      </w:pPr>
      <w:permStart w:id="9" w:edGrp="everyone"/>
      <w:r>
        <w:rPr>
          <w:lang w:val="en-US"/>
        </w:rPr>
        <w:lastRenderedPageBreak/>
        <w:t xml:space="preserve">Yes, AMAFI considers that a standalone and prominent “use of proceeds” section would be welcome. It already exists in the share securities note and in the base prospectus. </w:t>
      </w:r>
    </w:p>
    <w:permEnd w:id="9"/>
    <w:p w:rsidR="00357C60" w:rsidRDefault="00357C60" w:rsidP="00357C60">
      <w:pPr>
        <w:rPr>
          <w:rFonts w:cs="Arial"/>
        </w:rPr>
      </w:pPr>
      <w:r>
        <w:rPr>
          <w:rFonts w:cs="Arial"/>
        </w:rPr>
        <w:t>&lt;ESMA_QUESTION_FAC_5&gt;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rsidR="00357C60" w:rsidRDefault="00357C60" w:rsidP="00357C60">
      <w:pPr>
        <w:rPr>
          <w:rFonts w:cs="Arial"/>
        </w:rPr>
      </w:pPr>
      <w:r>
        <w:rPr>
          <w:rFonts w:cs="Arial"/>
        </w:rPr>
        <w:t>&lt;ESMA_QUESTION_FAC_6&gt;</w:t>
      </w:r>
    </w:p>
    <w:p w:rsidR="00357C60" w:rsidRDefault="00AC49D5" w:rsidP="00357C60">
      <w:pPr>
        <w:rPr>
          <w:rFonts w:cs="Arial"/>
        </w:rPr>
      </w:pPr>
      <w:permStart w:id="10" w:edGrp="everyone"/>
      <w:r w:rsidRPr="007E7127">
        <w:rPr>
          <w:rFonts w:eastAsia="Arial"/>
          <w:spacing w:val="-1"/>
          <w:lang w:val="en-US"/>
        </w:rPr>
        <w:t xml:space="preserve">Yes, but it would also be appropriate </w:t>
      </w:r>
      <w:r>
        <w:rPr>
          <w:rFonts w:eastAsia="Arial"/>
          <w:spacing w:val="-1"/>
          <w:lang w:val="en-US"/>
        </w:rPr>
        <w:t>t</w:t>
      </w:r>
      <w:r w:rsidRPr="007E7127">
        <w:rPr>
          <w:rFonts w:eastAsia="Arial"/>
          <w:spacing w:val="-1"/>
          <w:lang w:val="en-US"/>
        </w:rPr>
        <w:t>o</w:t>
      </w:r>
      <w:r>
        <w:rPr>
          <w:rFonts w:eastAsia="Arial"/>
          <w:spacing w:val="-1"/>
          <w:lang w:val="en-US"/>
        </w:rPr>
        <w:t xml:space="preserve"> add an item in Annex XXI to include specific listing disclosures</w:t>
      </w:r>
    </w:p>
    <w:permEnd w:id="10"/>
    <w:p w:rsidR="00357C60" w:rsidRDefault="00357C60" w:rsidP="00357C60">
      <w:pPr>
        <w:rPr>
          <w:rFonts w:cs="Arial"/>
        </w:rPr>
      </w:pPr>
      <w:r>
        <w:rPr>
          <w:rFonts w:cs="Arial"/>
        </w:rPr>
        <w:t>&lt;ESMA_QUESTION_FAC_6&gt;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rsidR="00357C60" w:rsidRDefault="00357C60" w:rsidP="00357C60">
      <w:pPr>
        <w:rPr>
          <w:rFonts w:cs="Arial"/>
        </w:rPr>
      </w:pPr>
      <w:r>
        <w:rPr>
          <w:rFonts w:cs="Arial"/>
        </w:rPr>
        <w:t>&lt;ESMA_QUESTION_FAC_7&gt;</w:t>
      </w:r>
    </w:p>
    <w:p w:rsidR="00AC49D5" w:rsidRDefault="00AC49D5" w:rsidP="009F7AB1">
      <w:pPr>
        <w:spacing w:before="19" w:line="220" w:lineRule="exact"/>
        <w:jc w:val="both"/>
        <w:rPr>
          <w:lang w:val="en-US"/>
        </w:rPr>
      </w:pPr>
      <w:permStart w:id="11" w:edGrp="everyone"/>
      <w:r>
        <w:rPr>
          <w:lang w:val="en-US"/>
        </w:rPr>
        <w:t xml:space="preserve">AMAFI agrees with the proposal to carry the existing definitions over to the new regime. </w:t>
      </w:r>
    </w:p>
    <w:p w:rsidR="00AC49D5" w:rsidRDefault="00AC49D5" w:rsidP="009F7AB1">
      <w:pPr>
        <w:jc w:val="both"/>
        <w:rPr>
          <w:lang w:val="en-US"/>
        </w:rPr>
      </w:pPr>
      <w:r>
        <w:rPr>
          <w:lang w:val="en-US"/>
        </w:rPr>
        <w:t>Regarding the definition of “debt securities” in Article A (d), AMAFI</w:t>
      </w:r>
      <w:r w:rsidRPr="00E33441">
        <w:rPr>
          <w:lang w:val="en-US"/>
        </w:rPr>
        <w:t xml:space="preserve"> assume</w:t>
      </w:r>
      <w:r>
        <w:rPr>
          <w:lang w:val="en-US"/>
        </w:rPr>
        <w:t>s</w:t>
      </w:r>
      <w:r w:rsidRPr="00E33441">
        <w:rPr>
          <w:lang w:val="en-US"/>
        </w:rPr>
        <w:t xml:space="preserve"> and understand</w:t>
      </w:r>
      <w:r>
        <w:rPr>
          <w:lang w:val="en-US"/>
        </w:rPr>
        <w:t>s</w:t>
      </w:r>
      <w:r w:rsidRPr="00E33441">
        <w:rPr>
          <w:lang w:val="en-US"/>
        </w:rPr>
        <w:t xml:space="preserve"> </w:t>
      </w:r>
      <w:r>
        <w:rPr>
          <w:lang w:val="en-US"/>
        </w:rPr>
        <w:t xml:space="preserve">it covers debt </w:t>
      </w:r>
      <w:r w:rsidRPr="00E33441">
        <w:rPr>
          <w:lang w:val="en-US"/>
        </w:rPr>
        <w:t xml:space="preserve">securities for which the interest is </w:t>
      </w:r>
      <w:proofErr w:type="spellStart"/>
      <w:r w:rsidRPr="00E33441">
        <w:rPr>
          <w:lang w:val="en-US"/>
        </w:rPr>
        <w:t>capitalised</w:t>
      </w:r>
      <w:proofErr w:type="spellEnd"/>
      <w:r w:rsidRPr="00E33441">
        <w:rPr>
          <w:lang w:val="en-US"/>
        </w:rPr>
        <w:t xml:space="preserve"> and paid at the same time as the principal debt</w:t>
      </w:r>
      <w:r>
        <w:rPr>
          <w:lang w:val="en-US"/>
        </w:rPr>
        <w:t>, such as, for instance, “the zero coupon bonds”.</w:t>
      </w:r>
    </w:p>
    <w:permEnd w:id="11"/>
    <w:p w:rsidR="00357C60" w:rsidRDefault="00357C60" w:rsidP="00357C60">
      <w:pPr>
        <w:rPr>
          <w:rFonts w:cs="Arial"/>
        </w:rPr>
      </w:pPr>
      <w:r>
        <w:rPr>
          <w:rFonts w:cs="Arial"/>
        </w:rPr>
        <w:t>&lt;ESMA_QUESTION_FAC_7&gt;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rsidR="00357C60" w:rsidRDefault="00357C60" w:rsidP="00357C60">
      <w:pPr>
        <w:rPr>
          <w:rFonts w:cs="Arial"/>
        </w:rPr>
      </w:pPr>
      <w:r>
        <w:rPr>
          <w:rFonts w:cs="Arial"/>
        </w:rPr>
        <w:t>&lt;ESMA_QUESTION_FAC_8&gt;</w:t>
      </w:r>
    </w:p>
    <w:p w:rsidR="009F7AB1" w:rsidRDefault="009F7AB1" w:rsidP="00357C60">
      <w:permStart w:id="12" w:edGrp="everyone"/>
      <w:r>
        <w:t>As a professional organisation, AMAFI is unable to respond to this question.</w:t>
      </w:r>
    </w:p>
    <w:permEnd w:id="12"/>
    <w:p w:rsidR="00357C60" w:rsidRDefault="00357C60" w:rsidP="00357C60">
      <w:pPr>
        <w:rPr>
          <w:rFonts w:cs="Arial"/>
        </w:rPr>
      </w:pPr>
      <w:r>
        <w:rPr>
          <w:rFonts w:cs="Arial"/>
        </w:rPr>
        <w:t>&lt;ESMA_QUESTION_FAC_8&gt;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rsidR="00357C60" w:rsidRDefault="00357C60" w:rsidP="00357C60">
      <w:pPr>
        <w:rPr>
          <w:rFonts w:cs="Arial"/>
        </w:rPr>
      </w:pPr>
      <w:r>
        <w:rPr>
          <w:rFonts w:cs="Arial"/>
        </w:rPr>
        <w:t>&lt;ESMA_QUESTION_FAC_9&gt;</w:t>
      </w:r>
    </w:p>
    <w:p w:rsidR="009F7AB1" w:rsidRDefault="009F7AB1" w:rsidP="009F7AB1">
      <w:pPr>
        <w:spacing w:before="19" w:line="220" w:lineRule="exact"/>
        <w:rPr>
          <w:lang w:val="en-US"/>
        </w:rPr>
      </w:pPr>
      <w:permStart w:id="13" w:edGrp="everyone"/>
      <w:r>
        <w:rPr>
          <w:lang w:val="en-US"/>
        </w:rPr>
        <w:t>AMAFI considers that it is not appropriate to provide for mandatory cover notes (please see our response to Question 1 above).</w:t>
      </w:r>
    </w:p>
    <w:p w:rsidR="00357C60" w:rsidRPr="009F7AB1" w:rsidRDefault="009F7AB1" w:rsidP="009F7AB1">
      <w:pPr>
        <w:spacing w:before="19" w:line="220" w:lineRule="exact"/>
        <w:jc w:val="both"/>
        <w:rPr>
          <w:lang w:val="en-US"/>
        </w:rPr>
      </w:pPr>
      <w:proofErr w:type="gramStart"/>
      <w:r>
        <w:rPr>
          <w:lang w:val="en-US"/>
        </w:rPr>
        <w:t>Having said that, on prospectuses approved by the French authority (AMF), a specific wording appears on the front page stating that the AMF has delivered a visa n°…on the said prospectus which has been prepared by the issuer and is the responsibility of the persons whose signatures appear therein.</w:t>
      </w:r>
      <w:proofErr w:type="gramEnd"/>
      <w:r>
        <w:rPr>
          <w:lang w:val="en-US"/>
        </w:rPr>
        <w:t xml:space="preserve"> It further specifies that such approval has been given after verification of the completeness, comprehensibility and consistency of the information given in the draft prospectus and that it does not imply approval of the appropriateness of the transaction or authentication of the accounting and financial elements presented.</w:t>
      </w:r>
      <w:r w:rsidRPr="009F7AB1">
        <w:rPr>
          <w:lang w:val="en-US"/>
        </w:rPr>
        <w:t xml:space="preserve"> </w:t>
      </w:r>
      <w:r>
        <w:rPr>
          <w:lang w:val="en-US"/>
        </w:rPr>
        <w:t>This wording could/should be maintained in the future. AMAFI considers that there is no need for anything further than that</w:t>
      </w:r>
    </w:p>
    <w:permEnd w:id="13"/>
    <w:p w:rsidR="00357C60" w:rsidRDefault="00357C60" w:rsidP="00357C60">
      <w:pPr>
        <w:rPr>
          <w:rFonts w:cs="Arial"/>
        </w:rPr>
      </w:pPr>
      <w:r>
        <w:rPr>
          <w:rFonts w:cs="Arial"/>
        </w:rPr>
        <w:t>&lt;ESMA_QUESTION_FAC_9&gt;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rsidR="00357C60" w:rsidRDefault="00357C60" w:rsidP="00357C60">
      <w:pPr>
        <w:rPr>
          <w:rFonts w:cs="Arial"/>
        </w:rPr>
      </w:pPr>
      <w:r>
        <w:rPr>
          <w:rFonts w:cs="Arial"/>
        </w:rPr>
        <w:t>&lt;ESMA_QUESTION_FAC_10&gt;</w:t>
      </w:r>
    </w:p>
    <w:p w:rsidR="00357C60" w:rsidRDefault="00EB05E5" w:rsidP="00EB05E5">
      <w:pPr>
        <w:jc w:val="both"/>
        <w:rPr>
          <w:rFonts w:cs="Arial"/>
        </w:rPr>
      </w:pPr>
      <w:permStart w:id="14" w:edGrp="everyone"/>
      <w:r>
        <w:rPr>
          <w:lang w:val="en-US"/>
        </w:rPr>
        <w:lastRenderedPageBreak/>
        <w:t>AMAFI agrees with that proposal, in particular as prospectuses for equity and retail non-equity will always include a summary and that summary will contain a selection of historical key financial information</w:t>
      </w:r>
    </w:p>
    <w:permEnd w:id="14"/>
    <w:p w:rsidR="00357C60" w:rsidRDefault="00357C60" w:rsidP="00357C60">
      <w:pPr>
        <w:rPr>
          <w:rFonts w:cs="Arial"/>
        </w:rPr>
      </w:pPr>
      <w:r>
        <w:rPr>
          <w:rFonts w:cs="Arial"/>
        </w:rPr>
        <w:t>&lt;ESMA_QUESTION_FAC_10&gt;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rsidR="00357C60" w:rsidRDefault="00357C60" w:rsidP="00357C60">
      <w:pPr>
        <w:rPr>
          <w:rFonts w:cs="Arial"/>
        </w:rPr>
      </w:pPr>
      <w:r>
        <w:rPr>
          <w:rFonts w:cs="Arial"/>
        </w:rPr>
        <w:t>&lt;ESMA_QUESTION_FAC_11&gt;</w:t>
      </w:r>
    </w:p>
    <w:p w:rsidR="00357C60" w:rsidRPr="00EB05E5" w:rsidRDefault="00EB05E5" w:rsidP="00EB05E5">
      <w:pPr>
        <w:spacing w:before="19" w:line="220" w:lineRule="exact"/>
        <w:jc w:val="both"/>
        <w:rPr>
          <w:lang w:val="en-US"/>
        </w:rPr>
      </w:pPr>
      <w:permStart w:id="15" w:edGrp="everyone"/>
      <w:r>
        <w:rPr>
          <w:lang w:val="en-US"/>
        </w:rPr>
        <w:t>AMAFI agrees that issuers should be required to include their website address in the prospectus and make documents on display electronically available. In a limited number of cases, this may require certain adjustments for small issuers, but in the end, it should be far less burdensome and costly for them</w:t>
      </w:r>
    </w:p>
    <w:permEnd w:id="15"/>
    <w:p w:rsidR="00357C60" w:rsidRDefault="00357C60" w:rsidP="00357C60">
      <w:pPr>
        <w:rPr>
          <w:rFonts w:cs="Arial"/>
        </w:rPr>
      </w:pPr>
      <w:r>
        <w:rPr>
          <w:rFonts w:cs="Arial"/>
        </w:rPr>
        <w:t>&lt;ESMA_QUESTION_FAC_11&gt;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rsidR="00357C60" w:rsidRDefault="00357C60" w:rsidP="00357C60">
      <w:pPr>
        <w:rPr>
          <w:rFonts w:cs="Arial"/>
        </w:rPr>
      </w:pPr>
      <w:r>
        <w:rPr>
          <w:rFonts w:cs="Arial"/>
        </w:rPr>
        <w:t>&lt;ESMA_QUESTION_FAC_12&gt;</w:t>
      </w:r>
    </w:p>
    <w:p w:rsidR="00EB05E5" w:rsidRPr="00610FD5" w:rsidRDefault="00EB05E5" w:rsidP="00EB05E5">
      <w:pPr>
        <w:spacing w:before="19" w:line="220" w:lineRule="exact"/>
        <w:rPr>
          <w:lang w:val="en-US"/>
        </w:rPr>
      </w:pPr>
      <w:permStart w:id="16" w:edGrp="everyone"/>
      <w:r>
        <w:rPr>
          <w:lang w:val="en-US"/>
        </w:rPr>
        <w:t>AMAFI considers that a description of material past investments is necessary.</w:t>
      </w:r>
    </w:p>
    <w:permEnd w:id="16"/>
    <w:p w:rsidR="00357C60" w:rsidRDefault="00357C60" w:rsidP="00357C60">
      <w:pPr>
        <w:rPr>
          <w:rFonts w:cs="Arial"/>
        </w:rPr>
      </w:pPr>
      <w:r>
        <w:rPr>
          <w:rFonts w:cs="Arial"/>
        </w:rPr>
        <w:t>&lt;ESMA_QUESTION_FAC_12&gt;</w:t>
      </w:r>
    </w:p>
    <w:p w:rsidR="00357C60" w:rsidRDefault="00357C60" w:rsidP="00357C60">
      <w:pPr>
        <w:rPr>
          <w:rFonts w:cs="Arial"/>
        </w:rPr>
      </w:pPr>
    </w:p>
    <w:p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w:t>
      </w:r>
      <w:r w:rsidRPr="0064701F">
        <w:rPr>
          <w:rFonts w:ascii="Arial" w:hAnsi="Arial" w:cs="Arial"/>
        </w:rPr>
        <w:t>e</w:t>
      </w:r>
      <w:r w:rsidRPr="0064701F">
        <w:rPr>
          <w:rFonts w:ascii="Arial" w:hAnsi="Arial" w:cs="Arial"/>
        </w:rPr>
        <w:t>ment reports required under the Accounting Directive? Would this materially r</w:t>
      </w:r>
      <w:r w:rsidRPr="0064701F">
        <w:rPr>
          <w:rFonts w:ascii="Arial" w:hAnsi="Arial" w:cs="Arial"/>
        </w:rPr>
        <w:t>e</w:t>
      </w:r>
      <w:r w:rsidRPr="0064701F">
        <w:rPr>
          <w:rFonts w:ascii="Arial" w:hAnsi="Arial" w:cs="Arial"/>
        </w:rPr>
        <w:t>duce costs for issuers?</w:t>
      </w:r>
    </w:p>
    <w:p w:rsidR="00357C60" w:rsidRDefault="00357C60" w:rsidP="00357C60">
      <w:pPr>
        <w:rPr>
          <w:rFonts w:cs="Arial"/>
        </w:rPr>
      </w:pPr>
      <w:r>
        <w:rPr>
          <w:rFonts w:cs="Arial"/>
        </w:rPr>
        <w:t>&lt;ESMA_QUESTION_FAC_13&gt;</w:t>
      </w:r>
    </w:p>
    <w:p w:rsidR="00357C60" w:rsidRPr="003478ED" w:rsidRDefault="003478ED" w:rsidP="00151EB8">
      <w:pPr>
        <w:spacing w:before="19" w:line="220" w:lineRule="exact"/>
        <w:rPr>
          <w:rFonts w:cs="Arial"/>
          <w:lang w:val="en-US"/>
        </w:rPr>
      </w:pPr>
      <w:permStart w:id="17" w:edGrp="everyone"/>
      <w:r>
        <w:rPr>
          <w:lang w:val="en-US"/>
        </w:rPr>
        <w:t>AMAFI agrees with the proposed alignment which s</w:t>
      </w:r>
      <w:r w:rsidR="00151EB8">
        <w:rPr>
          <w:lang w:val="en-US"/>
        </w:rPr>
        <w:t>hould reduce costs for issuers.</w:t>
      </w:r>
    </w:p>
    <w:permEnd w:id="17"/>
    <w:p w:rsidR="00357C60" w:rsidRDefault="00357C60" w:rsidP="00357C60">
      <w:pPr>
        <w:rPr>
          <w:rFonts w:cs="Arial"/>
        </w:rPr>
      </w:pPr>
      <w:r>
        <w:rPr>
          <w:rFonts w:cs="Arial"/>
        </w:rPr>
        <w:t>&lt;ESMA_QUESTION_FAC_13&gt;</w:t>
      </w:r>
    </w:p>
    <w:p w:rsidR="00357C60" w:rsidRDefault="00357C60" w:rsidP="00357C60">
      <w:pPr>
        <w:rPr>
          <w:rFonts w:cs="Arial"/>
        </w:rPr>
      </w:pPr>
    </w:p>
    <w:p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w:t>
      </w:r>
      <w:r w:rsidR="00357C60" w:rsidRPr="0064701F">
        <w:rPr>
          <w:rFonts w:ascii="Arial" w:hAnsi="Arial" w:cs="Arial"/>
        </w:rPr>
        <w:t>e</w:t>
      </w:r>
      <w:r w:rsidR="00357C60" w:rsidRPr="0064701F">
        <w:rPr>
          <w:rFonts w:ascii="Arial" w:hAnsi="Arial" w:cs="Arial"/>
        </w:rPr>
        <w:t>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rsidR="00357C60" w:rsidRDefault="00357C60" w:rsidP="00357C60">
      <w:pPr>
        <w:rPr>
          <w:rFonts w:cs="Arial"/>
        </w:rPr>
      </w:pPr>
      <w:r>
        <w:rPr>
          <w:rFonts w:cs="Arial"/>
        </w:rPr>
        <w:t>&lt;ESMA_QUESTION_FAC_14&gt;</w:t>
      </w:r>
    </w:p>
    <w:p w:rsidR="00151EB8" w:rsidRDefault="00151EB8" w:rsidP="00151EB8">
      <w:pPr>
        <w:spacing w:before="19" w:line="220" w:lineRule="exact"/>
        <w:jc w:val="both"/>
        <w:rPr>
          <w:lang w:val="en-US"/>
        </w:rPr>
      </w:pPr>
      <w:permStart w:id="18" w:edGrp="everyone"/>
      <w:r>
        <w:rPr>
          <w:lang w:val="en-US"/>
        </w:rPr>
        <w:t xml:space="preserve">Please note that AMAFI is not in a position to respond to this question for non-equity issuances. Therefore please consider that </w:t>
      </w:r>
      <w:r w:rsidRPr="004F6654">
        <w:rPr>
          <w:b/>
          <w:lang w:val="en-US"/>
        </w:rPr>
        <w:t>the response below concerns exclusively equity issuances</w:t>
      </w:r>
      <w:r>
        <w:rPr>
          <w:lang w:val="en-US"/>
        </w:rPr>
        <w:t xml:space="preserve">. </w:t>
      </w:r>
    </w:p>
    <w:p w:rsidR="00151EB8" w:rsidRPr="00600DDE" w:rsidRDefault="00151EB8" w:rsidP="00151EB8">
      <w:pPr>
        <w:spacing w:before="19" w:line="220" w:lineRule="exact"/>
        <w:jc w:val="both"/>
        <w:rPr>
          <w:lang w:val="en-US"/>
        </w:rPr>
      </w:pPr>
      <w:r w:rsidRPr="00600DDE">
        <w:rPr>
          <w:lang w:val="en-US"/>
        </w:rPr>
        <w:t xml:space="preserve">AMAFI is fully aware of the pros and cons of requiring the inclusion of </w:t>
      </w:r>
      <w:r>
        <w:rPr>
          <w:lang w:val="en-US"/>
        </w:rPr>
        <w:t xml:space="preserve">profit </w:t>
      </w:r>
      <w:r w:rsidRPr="00600DDE">
        <w:rPr>
          <w:lang w:val="en-US"/>
        </w:rPr>
        <w:t xml:space="preserve">forecasts in the prospectus together </w:t>
      </w:r>
      <w:r>
        <w:rPr>
          <w:lang w:val="en-US"/>
        </w:rPr>
        <w:t xml:space="preserve">or without </w:t>
      </w:r>
      <w:r w:rsidRPr="00600DDE">
        <w:rPr>
          <w:lang w:val="en-US"/>
        </w:rPr>
        <w:t xml:space="preserve">an auditor’s report on such forecasts. </w:t>
      </w:r>
    </w:p>
    <w:p w:rsidR="00151EB8" w:rsidRDefault="00151EB8" w:rsidP="00151EB8">
      <w:pPr>
        <w:spacing w:before="19" w:line="220" w:lineRule="exact"/>
        <w:jc w:val="both"/>
        <w:rPr>
          <w:lang w:val="en-US"/>
        </w:rPr>
      </w:pPr>
      <w:r w:rsidRPr="00600DDE">
        <w:rPr>
          <w:lang w:val="en-US"/>
        </w:rPr>
        <w:t xml:space="preserve">For AMAFI, there is no doubt that outstanding profit forecasts should be included in the prospectus. As to the auditor’s report, unlike </w:t>
      </w:r>
      <w:r>
        <w:rPr>
          <w:lang w:val="en-US"/>
        </w:rPr>
        <w:t>for EU Growth prospectuses for which</w:t>
      </w:r>
      <w:r w:rsidRPr="00600DDE">
        <w:rPr>
          <w:lang w:val="en-US"/>
        </w:rPr>
        <w:t xml:space="preserve"> the cost of requiring an auditor’s report is a major concern for the small and medium size issuers concerned (see AMAFI’s response to Question 7 of the CP on </w:t>
      </w:r>
      <w:r>
        <w:rPr>
          <w:lang w:val="en-US"/>
        </w:rPr>
        <w:t xml:space="preserve">the </w:t>
      </w:r>
      <w:r w:rsidRPr="00600DDE">
        <w:rPr>
          <w:lang w:val="en-US"/>
        </w:rPr>
        <w:t>EU Growth Prospectus), AMAFI considers that for “regular” issuers (outs</w:t>
      </w:r>
      <w:r>
        <w:rPr>
          <w:lang w:val="en-US"/>
        </w:rPr>
        <w:t xml:space="preserve">ide the scope of the EU Growth </w:t>
      </w:r>
      <w:r w:rsidRPr="00600DDE">
        <w:rPr>
          <w:lang w:val="en-US"/>
        </w:rPr>
        <w:t>Prospectus)</w:t>
      </w:r>
      <w:r>
        <w:rPr>
          <w:lang w:val="en-US"/>
        </w:rPr>
        <w:t>,</w:t>
      </w:r>
      <w:r w:rsidRPr="00600DDE">
        <w:rPr>
          <w:lang w:val="en-US"/>
        </w:rPr>
        <w:t xml:space="preserve"> this is not an incommensurable requirement. And on the other hand,</w:t>
      </w:r>
      <w:r>
        <w:rPr>
          <w:lang w:val="en-US"/>
        </w:rPr>
        <w:t xml:space="preserve"> it is a requirement that can be very beneficial to investors, for their information and protection, and it can ther</w:t>
      </w:r>
      <w:r>
        <w:rPr>
          <w:lang w:val="en-US"/>
        </w:rPr>
        <w:t>e</w:t>
      </w:r>
      <w:r>
        <w:rPr>
          <w:lang w:val="en-US"/>
        </w:rPr>
        <w:t xml:space="preserve">fore contribute to the success of the operation for the issuer. </w:t>
      </w:r>
    </w:p>
    <w:p w:rsidR="00151EB8" w:rsidRPr="00610FD5" w:rsidRDefault="00151EB8" w:rsidP="00151EB8">
      <w:pPr>
        <w:spacing w:before="19" w:line="220" w:lineRule="exact"/>
        <w:jc w:val="both"/>
        <w:rPr>
          <w:lang w:val="en-US"/>
        </w:rPr>
      </w:pPr>
      <w:r>
        <w:rPr>
          <w:lang w:val="en-US"/>
        </w:rPr>
        <w:t xml:space="preserve">Consequently, AMAFI disagrees with ESMA’s proposal, regarding the proposed deletion of the </w:t>
      </w:r>
      <w:r w:rsidRPr="005B5037">
        <w:rPr>
          <w:rFonts w:eastAsia="Arial"/>
          <w:spacing w:val="-1"/>
          <w:lang w:val="en-US"/>
        </w:rPr>
        <w:t xml:space="preserve">obligation to include an accountant’s or an auditor’s report </w:t>
      </w:r>
      <w:r w:rsidRPr="00796069">
        <w:rPr>
          <w:rFonts w:eastAsia="Arial"/>
          <w:b/>
          <w:spacing w:val="-1"/>
          <w:lang w:val="en-US"/>
        </w:rPr>
        <w:t>for equity issuances</w:t>
      </w:r>
      <w:r>
        <w:rPr>
          <w:rFonts w:eastAsia="Arial"/>
          <w:spacing w:val="-1"/>
          <w:lang w:val="en-US"/>
        </w:rPr>
        <w:t>.</w:t>
      </w:r>
    </w:p>
    <w:permEnd w:id="18"/>
    <w:p w:rsidR="00357C60" w:rsidRDefault="00357C60" w:rsidP="00357C60">
      <w:pPr>
        <w:rPr>
          <w:rFonts w:cs="Arial"/>
        </w:rPr>
      </w:pPr>
      <w:r>
        <w:rPr>
          <w:rFonts w:cs="Arial"/>
        </w:rPr>
        <w:t>&lt;ESMA_QUESTION_FAC_14&gt;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to explain any ‘emphasis of matter’ identified in the audit report?</w:t>
      </w:r>
    </w:p>
    <w:p w:rsidR="00357C60" w:rsidRDefault="00357C60" w:rsidP="00357C60">
      <w:pPr>
        <w:rPr>
          <w:rFonts w:cs="Arial"/>
        </w:rPr>
      </w:pPr>
      <w:r>
        <w:rPr>
          <w:rFonts w:cs="Arial"/>
        </w:rPr>
        <w:t>&lt;ESMA_QUESTION_FAC_15&gt;</w:t>
      </w:r>
    </w:p>
    <w:p w:rsidR="00893EDB" w:rsidRPr="00610FD5" w:rsidRDefault="00893EDB" w:rsidP="00893EDB">
      <w:pPr>
        <w:spacing w:before="19" w:line="220" w:lineRule="exact"/>
        <w:jc w:val="both"/>
        <w:rPr>
          <w:lang w:val="en-US"/>
        </w:rPr>
      </w:pPr>
      <w:permStart w:id="19" w:edGrp="everyone"/>
      <w:r>
        <w:rPr>
          <w:lang w:val="en-US"/>
        </w:rPr>
        <w:t>No, AMAFI does not agree with that proposal. In the audit report, the point raised by the auditor is e</w:t>
      </w:r>
      <w:r>
        <w:rPr>
          <w:lang w:val="en-US"/>
        </w:rPr>
        <w:t>x</w:t>
      </w:r>
      <w:r>
        <w:rPr>
          <w:lang w:val="en-US"/>
        </w:rPr>
        <w:t>plained. There is no need - and furthermore it would be inappropriate - for the issuer to add any comment to the auditor’s statement and explanations.</w:t>
      </w:r>
    </w:p>
    <w:permEnd w:id="19"/>
    <w:p w:rsidR="00357C60" w:rsidRDefault="00357C60" w:rsidP="00357C60">
      <w:pPr>
        <w:rPr>
          <w:rFonts w:cs="Arial"/>
        </w:rPr>
      </w:pPr>
      <w:r>
        <w:rPr>
          <w:rFonts w:cs="Arial"/>
        </w:rPr>
        <w:t>&lt;ESMA_QUESTION_FAC_15&gt;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w:t>
      </w:r>
      <w:r w:rsidRPr="0064701F">
        <w:rPr>
          <w:rFonts w:ascii="Arial" w:hAnsi="Arial" w:cs="Arial"/>
        </w:rPr>
        <w:t>m</w:t>
      </w:r>
      <w:r w:rsidRPr="0064701F">
        <w:rPr>
          <w:rFonts w:ascii="Arial" w:hAnsi="Arial" w:cs="Arial"/>
        </w:rPr>
        <w:t>ply any material additional costs to issuers?</w:t>
      </w:r>
    </w:p>
    <w:p w:rsidR="00357C60" w:rsidRDefault="00357C60" w:rsidP="00357C60">
      <w:pPr>
        <w:rPr>
          <w:rFonts w:cs="Arial"/>
        </w:rPr>
      </w:pPr>
      <w:r>
        <w:rPr>
          <w:rFonts w:cs="Arial"/>
        </w:rPr>
        <w:t>&lt;ESMA_QUESTION_FAC_16&gt;</w:t>
      </w:r>
    </w:p>
    <w:p w:rsidR="00357C60" w:rsidRDefault="00893EDB" w:rsidP="00893EDB">
      <w:pPr>
        <w:jc w:val="both"/>
        <w:rPr>
          <w:rFonts w:cs="Arial"/>
        </w:rPr>
      </w:pPr>
      <w:permStart w:id="20" w:edGrp="everyone"/>
      <w:r>
        <w:rPr>
          <w:lang w:val="en-US"/>
        </w:rPr>
        <w:t>AMAFI supports this proposal which is already standard practice in France. It seems important however to add some language to make it clear that the disclosure requirements in that respect (i.e. the different scenarios to be disclosed) should be proportionate and reasonable.</w:t>
      </w:r>
    </w:p>
    <w:permEnd w:id="20"/>
    <w:p w:rsidR="00357C60" w:rsidRDefault="00357C60" w:rsidP="00357C60">
      <w:pPr>
        <w:rPr>
          <w:rFonts w:cs="Arial"/>
        </w:rPr>
      </w:pPr>
      <w:r>
        <w:rPr>
          <w:rFonts w:cs="Arial"/>
        </w:rPr>
        <w:t>&lt;ESMA_QUESTION_FAC_16&gt;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rsidR="00357C60" w:rsidRDefault="00357C60" w:rsidP="00357C60">
      <w:pPr>
        <w:rPr>
          <w:rFonts w:cs="Arial"/>
        </w:rPr>
      </w:pPr>
      <w:r>
        <w:rPr>
          <w:rFonts w:cs="Arial"/>
        </w:rPr>
        <w:t>&lt;ESMA_QUESTION_FAC_17&gt;</w:t>
      </w:r>
    </w:p>
    <w:p w:rsidR="00893EDB" w:rsidRDefault="00893EDB" w:rsidP="00357C60">
      <w:pPr>
        <w:rPr>
          <w:lang w:val="en-US"/>
        </w:rPr>
      </w:pPr>
      <w:permStart w:id="21" w:edGrp="everyone"/>
      <w:r>
        <w:rPr>
          <w:lang w:val="en-US"/>
        </w:rPr>
        <w:t>Yes, AMAFI considers that this new requirement would provide valuable information to investors. In fact, it is even surprising that this requirement is not yet applicable.</w:t>
      </w:r>
    </w:p>
    <w:permEnd w:id="21"/>
    <w:p w:rsidR="00357C60" w:rsidRDefault="00357C60" w:rsidP="00357C60">
      <w:pPr>
        <w:rPr>
          <w:rFonts w:cs="Arial"/>
        </w:rPr>
      </w:pPr>
      <w:r>
        <w:rPr>
          <w:rFonts w:cs="Arial"/>
        </w:rPr>
        <w:t>&lt;ESMA_QUESTION_FAC_17&gt;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rsidR="00357C60" w:rsidRDefault="00357C60" w:rsidP="00357C60">
      <w:pPr>
        <w:rPr>
          <w:rFonts w:cs="Arial"/>
        </w:rPr>
      </w:pPr>
      <w:r>
        <w:rPr>
          <w:rFonts w:cs="Arial"/>
        </w:rPr>
        <w:t>&lt;ESMA_QUESTION_FAC_18&gt;</w:t>
      </w:r>
    </w:p>
    <w:p w:rsidR="00357C60" w:rsidRPr="00893EDB" w:rsidRDefault="00893EDB" w:rsidP="002C39E3">
      <w:pPr>
        <w:spacing w:before="19" w:line="220" w:lineRule="exact"/>
        <w:jc w:val="both"/>
        <w:rPr>
          <w:rFonts w:cs="Arial"/>
          <w:lang w:val="en-US"/>
        </w:rPr>
      </w:pPr>
      <w:permStart w:id="22" w:edGrp="everyone"/>
      <w:r>
        <w:rPr>
          <w:lang w:val="en-US"/>
        </w:rPr>
        <w:t xml:space="preserve">AMAFI would agree with the proposal to have </w:t>
      </w:r>
      <w:r w:rsidRPr="00245F5A">
        <w:rPr>
          <w:lang w:val="en-US"/>
        </w:rPr>
        <w:t>one</w:t>
      </w:r>
      <w:r>
        <w:rPr>
          <w:lang w:val="en-US"/>
        </w:rPr>
        <w:t xml:space="preserve"> full set of financial statements (instead of having two years’ financial information) which is consistent with the next financial statements (taking into account that such financial statement would also have the comparative figures for the previous second year). In the case of </w:t>
      </w:r>
      <w:r w:rsidRPr="00ED346B">
        <w:rPr>
          <w:lang w:val="en-US"/>
        </w:rPr>
        <w:t>IPOs</w:t>
      </w:r>
      <w:r>
        <w:rPr>
          <w:lang w:val="en-US"/>
        </w:rPr>
        <w:t xml:space="preserve">, it is generally useful, for marketing reasons, to have three years of financial statements and for that reason, issuers doing an IPO are often advised to produce three years of financial statements but there is no need </w:t>
      </w:r>
      <w:r w:rsidR="002C39E3">
        <w:rPr>
          <w:lang w:val="en-US"/>
        </w:rPr>
        <w:t>to include that in legislation.</w:t>
      </w:r>
    </w:p>
    <w:permEnd w:id="22"/>
    <w:p w:rsidR="00357C60" w:rsidRDefault="00357C60" w:rsidP="00357C60">
      <w:pPr>
        <w:rPr>
          <w:rFonts w:cs="Arial"/>
        </w:rPr>
      </w:pPr>
      <w:r>
        <w:rPr>
          <w:rFonts w:cs="Arial"/>
        </w:rPr>
        <w:t>&lt;ESMA_QUESTION_FAC_18&gt;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rsidR="00357C60" w:rsidRDefault="00357C60" w:rsidP="00357C60">
      <w:pPr>
        <w:rPr>
          <w:rFonts w:cs="Arial"/>
        </w:rPr>
      </w:pPr>
      <w:r>
        <w:rPr>
          <w:rFonts w:cs="Arial"/>
        </w:rPr>
        <w:t>&lt;ESMA_QUESTION_FAC_19&gt;</w:t>
      </w:r>
    </w:p>
    <w:p w:rsidR="00357C60" w:rsidRDefault="002C39E3" w:rsidP="00357C60">
      <w:pPr>
        <w:rPr>
          <w:rFonts w:cs="Arial"/>
        </w:rPr>
      </w:pPr>
      <w:permStart w:id="23" w:edGrp="everyone"/>
      <w:r>
        <w:rPr>
          <w:lang w:val="en-US"/>
        </w:rPr>
        <w:t>AMAFI agrees with that proposal</w:t>
      </w:r>
    </w:p>
    <w:permEnd w:id="23"/>
    <w:p w:rsidR="00357C60" w:rsidRDefault="00357C60" w:rsidP="00357C60">
      <w:pPr>
        <w:rPr>
          <w:rFonts w:cs="Arial"/>
        </w:rPr>
      </w:pPr>
      <w:r>
        <w:rPr>
          <w:rFonts w:cs="Arial"/>
        </w:rPr>
        <w:t>&lt;ESMA_QUESTION_FAC_19&gt;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rsidR="00357C60" w:rsidRDefault="00357C60" w:rsidP="00357C60">
      <w:pPr>
        <w:rPr>
          <w:rFonts w:cs="Arial"/>
        </w:rPr>
      </w:pPr>
      <w:r>
        <w:rPr>
          <w:rFonts w:cs="Arial"/>
        </w:rPr>
        <w:t>&lt;ESMA_QUESTION_FAC_20&gt;</w:t>
      </w:r>
    </w:p>
    <w:p w:rsidR="00357C60" w:rsidRPr="002C39E3" w:rsidRDefault="002C39E3" w:rsidP="002C39E3">
      <w:pPr>
        <w:spacing w:before="19" w:line="220" w:lineRule="exact"/>
        <w:rPr>
          <w:rFonts w:cs="Arial"/>
          <w:lang w:val="en-US"/>
        </w:rPr>
      </w:pPr>
      <w:permStart w:id="24" w:edGrp="everyone"/>
      <w:r>
        <w:rPr>
          <w:lang w:val="en-US"/>
        </w:rPr>
        <w:t>No.</w:t>
      </w:r>
    </w:p>
    <w:permEnd w:id="24"/>
    <w:p w:rsidR="00357C60" w:rsidRDefault="00357C60" w:rsidP="00357C60">
      <w:pPr>
        <w:rPr>
          <w:rFonts w:cs="Arial"/>
        </w:rPr>
      </w:pPr>
      <w:r>
        <w:rPr>
          <w:rFonts w:cs="Arial"/>
        </w:rPr>
        <w:t>&lt;ESMA_QUESTION_FAC_20&gt;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&lt;ESMA_QUESTION_FAC_21&gt;</w:t>
      </w:r>
    </w:p>
    <w:p w:rsidR="00357C60" w:rsidRDefault="002C39E3" w:rsidP="00357C60">
      <w:pPr>
        <w:rPr>
          <w:rFonts w:cs="Arial"/>
        </w:rPr>
      </w:pPr>
      <w:permStart w:id="25" w:edGrp="everyone"/>
      <w:r>
        <w:t>As a professional organisation, AMAFI is unable to respond to this question</w:t>
      </w:r>
    </w:p>
    <w:permEnd w:id="25"/>
    <w:p w:rsidR="00357C60" w:rsidRDefault="00357C60" w:rsidP="00357C60">
      <w:pPr>
        <w:rPr>
          <w:rFonts w:cs="Arial"/>
        </w:rPr>
      </w:pPr>
      <w:r>
        <w:rPr>
          <w:rFonts w:cs="Arial"/>
        </w:rPr>
        <w:t>&lt;ESMA_QUESTION_FAC_21&gt;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rsidR="00357C60" w:rsidRDefault="00357C60" w:rsidP="00357C60">
      <w:pPr>
        <w:rPr>
          <w:rFonts w:cs="Arial"/>
        </w:rPr>
      </w:pPr>
      <w:r>
        <w:rPr>
          <w:rFonts w:cs="Arial"/>
        </w:rPr>
        <w:t>&lt;ESMA_QUESTION_FAC_22&gt;</w:t>
      </w:r>
    </w:p>
    <w:p w:rsidR="00357C60" w:rsidRPr="002C39E3" w:rsidRDefault="002C39E3" w:rsidP="00954C43">
      <w:pPr>
        <w:spacing w:before="19" w:line="220" w:lineRule="exact"/>
        <w:jc w:val="both"/>
        <w:rPr>
          <w:rFonts w:cs="Arial"/>
          <w:lang w:val="en-US"/>
        </w:rPr>
      </w:pPr>
      <w:permStart w:id="26" w:edGrp="everyone"/>
      <w:r>
        <w:rPr>
          <w:lang w:val="en-US"/>
        </w:rPr>
        <w:t>Yes, the requirement for a working capital statement could be different in the case of credit institutions and insurance companies, although it may be necessary to provide for differences also between these two categories. AMAFI however cannot comment further on this as ESMA does not clearly indicate w</w:t>
      </w:r>
      <w:r w:rsidR="00954C43">
        <w:rPr>
          <w:lang w:val="en-US"/>
        </w:rPr>
        <w:t>hat those differences might be.</w:t>
      </w:r>
    </w:p>
    <w:permEnd w:id="26"/>
    <w:p w:rsidR="00357C60" w:rsidRDefault="00357C60" w:rsidP="00357C60">
      <w:pPr>
        <w:rPr>
          <w:rFonts w:cs="Arial"/>
        </w:rPr>
      </w:pPr>
      <w:r>
        <w:rPr>
          <w:rFonts w:cs="Arial"/>
        </w:rPr>
        <w:t>&lt;ESMA_QUESTION_FAC_22&gt;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w:t>
      </w:r>
      <w:r w:rsidRPr="0064701F">
        <w:rPr>
          <w:rFonts w:ascii="Arial" w:hAnsi="Arial" w:cs="Arial"/>
        </w:rPr>
        <w:t>a</w:t>
      </w:r>
      <w:r w:rsidRPr="0064701F">
        <w:rPr>
          <w:rFonts w:ascii="Arial" w:hAnsi="Arial" w:cs="Arial"/>
        </w:rPr>
        <w:t>tion.</w:t>
      </w:r>
    </w:p>
    <w:p w:rsidR="00357C60" w:rsidRDefault="00357C60" w:rsidP="00357C60">
      <w:pPr>
        <w:rPr>
          <w:rFonts w:cs="Arial"/>
        </w:rPr>
      </w:pPr>
      <w:r>
        <w:rPr>
          <w:rFonts w:cs="Arial"/>
        </w:rPr>
        <w:t>&lt;ESMA_QUESTION_FAC_23&gt;</w:t>
      </w:r>
    </w:p>
    <w:p w:rsidR="00954C43" w:rsidRDefault="00954C43" w:rsidP="00954C43">
      <w:pPr>
        <w:spacing w:before="19" w:line="220" w:lineRule="exact"/>
        <w:rPr>
          <w:lang w:val="en-US"/>
        </w:rPr>
      </w:pPr>
      <w:permStart w:id="27" w:edGrp="everyone"/>
      <w:r>
        <w:rPr>
          <w:lang w:val="en-US"/>
        </w:rPr>
        <w:t xml:space="preserve">Yes, AMAFI agrees with that proposal which seems legitimate, provided that such request applies only in the case of “material change”. </w:t>
      </w:r>
    </w:p>
    <w:permEnd w:id="27"/>
    <w:p w:rsidR="00357C60" w:rsidRDefault="00357C60" w:rsidP="00357C60">
      <w:pPr>
        <w:rPr>
          <w:rFonts w:cs="Arial"/>
        </w:rPr>
      </w:pPr>
      <w:r>
        <w:rPr>
          <w:rFonts w:cs="Arial"/>
        </w:rPr>
        <w:t>&lt;ESMA_QUESTION_FAC_23&gt;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 changes to dilution requirements would be helpful to inve</w:t>
      </w:r>
      <w:r w:rsidRPr="0064701F">
        <w:rPr>
          <w:rFonts w:ascii="Arial" w:hAnsi="Arial" w:cs="Arial"/>
        </w:rPr>
        <w:t>s</w:t>
      </w:r>
      <w:r w:rsidRPr="0064701F">
        <w:rPr>
          <w:rFonts w:ascii="Arial" w:hAnsi="Arial" w:cs="Arial"/>
        </w:rPr>
        <w:t>tors at the same time as being feasible to provide for issuers?</w:t>
      </w:r>
    </w:p>
    <w:p w:rsidR="00357C60" w:rsidRDefault="00357C60" w:rsidP="00357C60">
      <w:pPr>
        <w:rPr>
          <w:rFonts w:cs="Arial"/>
        </w:rPr>
      </w:pPr>
      <w:r>
        <w:rPr>
          <w:rFonts w:cs="Arial"/>
        </w:rPr>
        <w:t>&lt;ESMA_QUESTION_FAC_24&gt;</w:t>
      </w:r>
    </w:p>
    <w:p w:rsidR="00954C43" w:rsidRDefault="00954C43" w:rsidP="00954C43">
      <w:pPr>
        <w:spacing w:before="19" w:line="220" w:lineRule="exact"/>
        <w:rPr>
          <w:lang w:val="en-US"/>
        </w:rPr>
      </w:pPr>
      <w:permStart w:id="28" w:edGrp="everyone"/>
    </w:p>
    <w:p w:rsidR="00954C43" w:rsidRDefault="00954C43" w:rsidP="009431F2">
      <w:pPr>
        <w:spacing w:before="19" w:line="220" w:lineRule="exact"/>
        <w:jc w:val="both"/>
        <w:rPr>
          <w:lang w:val="en-US"/>
        </w:rPr>
      </w:pPr>
      <w:r>
        <w:rPr>
          <w:lang w:val="en-US"/>
        </w:rPr>
        <w:t>Yes, AMAFI agrees with that proposal, provided, as mentioned above (see Question 16) that the reques</w:t>
      </w:r>
      <w:r>
        <w:rPr>
          <w:lang w:val="en-US"/>
        </w:rPr>
        <w:t>t</w:t>
      </w:r>
      <w:r>
        <w:rPr>
          <w:lang w:val="en-US"/>
        </w:rPr>
        <w:t>ed disclosure be reasonable and proportionate, failing which it will be too costly/complex for the issuer and it might even not be helpful to investor</w:t>
      </w:r>
      <w:r w:rsidR="009431F2">
        <w:rPr>
          <w:lang w:val="en-US"/>
        </w:rPr>
        <w:t>s</w:t>
      </w:r>
      <w:r>
        <w:rPr>
          <w:lang w:val="en-US"/>
        </w:rPr>
        <w:t xml:space="preserve"> if the information provided is too complicated and envisage an exaggerate number of scenarios. </w:t>
      </w:r>
    </w:p>
    <w:p w:rsidR="00954C43" w:rsidRDefault="00954C43" w:rsidP="009431F2">
      <w:pPr>
        <w:spacing w:before="19" w:line="220" w:lineRule="exact"/>
        <w:jc w:val="both"/>
        <w:rPr>
          <w:lang w:val="en-US"/>
        </w:rPr>
      </w:pPr>
    </w:p>
    <w:p w:rsidR="00954C43" w:rsidRDefault="00954C43" w:rsidP="009431F2">
      <w:pPr>
        <w:spacing w:before="19" w:line="220" w:lineRule="exact"/>
        <w:jc w:val="both"/>
        <w:rPr>
          <w:lang w:val="en-US"/>
        </w:rPr>
      </w:pPr>
      <w:r>
        <w:rPr>
          <w:lang w:val="en-US"/>
        </w:rPr>
        <w:t>AMAFI would also like to suggest a modification of item 9.1, as mentioned below, in order to make it clearer and to reflect the fact that the proposed comparison only makes sense if it takes into account the situation of one shareholder which does not participate in the operation and not the situation of all the shareholders.</w:t>
      </w:r>
    </w:p>
    <w:p w:rsidR="00954C43" w:rsidRDefault="00954C43" w:rsidP="009431F2">
      <w:pPr>
        <w:spacing w:before="19" w:line="220" w:lineRule="exact"/>
        <w:jc w:val="both"/>
        <w:rPr>
          <w:lang w:val="en-US"/>
        </w:rPr>
      </w:pPr>
    </w:p>
    <w:p w:rsidR="00954C43" w:rsidRDefault="00954C43" w:rsidP="00954C43">
      <w:pPr>
        <w:spacing w:before="19" w:line="220" w:lineRule="exact"/>
        <w:rPr>
          <w:lang w:val="en-US"/>
        </w:rPr>
      </w:pPr>
      <w:r>
        <w:rPr>
          <w:u w:val="single"/>
          <w:lang w:val="en-US"/>
        </w:rPr>
        <w:t>Proposed m</w:t>
      </w:r>
      <w:r w:rsidRPr="00846C2E">
        <w:rPr>
          <w:u w:val="single"/>
          <w:lang w:val="en-US"/>
        </w:rPr>
        <w:t>odification</w:t>
      </w:r>
      <w:r>
        <w:rPr>
          <w:lang w:val="en-US"/>
        </w:rPr>
        <w:t>:</w:t>
      </w:r>
    </w:p>
    <w:p w:rsidR="00954C43" w:rsidRDefault="00954C43" w:rsidP="00954C43">
      <w:pPr>
        <w:spacing w:before="19" w:line="220" w:lineRule="exact"/>
        <w:rPr>
          <w:lang w:val="en-US"/>
        </w:rPr>
      </w:pPr>
    </w:p>
    <w:p w:rsidR="00954C43" w:rsidRPr="00824992" w:rsidRDefault="00954C43" w:rsidP="00954C43">
      <w:pPr>
        <w:spacing w:before="19" w:line="220" w:lineRule="exact"/>
        <w:rPr>
          <w:i/>
          <w:lang w:val="en-US"/>
        </w:rPr>
      </w:pPr>
      <w:r>
        <w:rPr>
          <w:lang w:val="en-US"/>
        </w:rPr>
        <w:t xml:space="preserve">9.1 </w:t>
      </w:r>
      <w:r w:rsidRPr="00824992">
        <w:rPr>
          <w:i/>
          <w:lang w:val="en-US"/>
        </w:rPr>
        <w:t>A comparison of:</w:t>
      </w:r>
    </w:p>
    <w:p w:rsidR="00954C43" w:rsidRPr="00824992" w:rsidRDefault="00954C43" w:rsidP="00954C43">
      <w:pPr>
        <w:spacing w:before="19" w:line="220" w:lineRule="exact"/>
        <w:rPr>
          <w:i/>
          <w:lang w:val="en-US"/>
        </w:rPr>
      </w:pPr>
    </w:p>
    <w:p w:rsidR="00954C43" w:rsidRPr="00824992" w:rsidRDefault="00954C43" w:rsidP="00954C43">
      <w:pPr>
        <w:pStyle w:val="Paragraphedeliste"/>
        <w:numPr>
          <w:ilvl w:val="0"/>
          <w:numId w:val="41"/>
        </w:numPr>
        <w:spacing w:before="19" w:line="220" w:lineRule="exact"/>
        <w:jc w:val="both"/>
        <w:rPr>
          <w:i/>
          <w:lang w:val="en-US"/>
        </w:rPr>
      </w:pPr>
      <w:r w:rsidRPr="00824992">
        <w:rPr>
          <w:i/>
          <w:lang w:val="en-US"/>
        </w:rPr>
        <w:t xml:space="preserve">Participation in share capital and voting rights of </w:t>
      </w:r>
      <w:r w:rsidRPr="00824992">
        <w:rPr>
          <w:b/>
          <w:i/>
          <w:u w:val="single"/>
          <w:lang w:val="en-US"/>
        </w:rPr>
        <w:t>an</w:t>
      </w:r>
      <w:r>
        <w:rPr>
          <w:i/>
          <w:lang w:val="en-US"/>
        </w:rPr>
        <w:t xml:space="preserve"> </w:t>
      </w:r>
      <w:r w:rsidRPr="00824992">
        <w:rPr>
          <w:i/>
          <w:lang w:val="en-US"/>
        </w:rPr>
        <w:t>existing shareholder</w:t>
      </w:r>
      <w:r w:rsidRPr="00824992">
        <w:rPr>
          <w:i/>
          <w:strike/>
          <w:lang w:val="en-US"/>
        </w:rPr>
        <w:t>s</w:t>
      </w:r>
      <w:r w:rsidRPr="00824992">
        <w:rPr>
          <w:i/>
          <w:lang w:val="en-US"/>
        </w:rPr>
        <w:t xml:space="preserve"> before and after the capital increase resulting from the public offer, with the assumption that</w:t>
      </w:r>
      <w:r>
        <w:rPr>
          <w:i/>
          <w:lang w:val="en-US"/>
        </w:rPr>
        <w:t xml:space="preserve"> </w:t>
      </w:r>
      <w:r w:rsidRPr="00C912B6">
        <w:rPr>
          <w:b/>
          <w:i/>
          <w:u w:val="single"/>
          <w:lang w:val="en-US"/>
        </w:rPr>
        <w:t>such</w:t>
      </w:r>
      <w:r w:rsidRPr="00824992">
        <w:rPr>
          <w:i/>
          <w:lang w:val="en-US"/>
        </w:rPr>
        <w:t xml:space="preserve"> existing sharehol</w:t>
      </w:r>
      <w:r w:rsidRPr="00824992">
        <w:rPr>
          <w:i/>
          <w:lang w:val="en-US"/>
        </w:rPr>
        <w:t>d</w:t>
      </w:r>
      <w:r w:rsidRPr="00824992">
        <w:rPr>
          <w:i/>
          <w:lang w:val="en-US"/>
        </w:rPr>
        <w:t>er</w:t>
      </w:r>
      <w:r w:rsidRPr="00C912B6">
        <w:rPr>
          <w:i/>
          <w:strike/>
          <w:lang w:val="en-US"/>
        </w:rPr>
        <w:t>s</w:t>
      </w:r>
      <w:r w:rsidRPr="00824992">
        <w:rPr>
          <w:i/>
          <w:lang w:val="en-US"/>
        </w:rPr>
        <w:t xml:space="preserve"> do</w:t>
      </w:r>
      <w:r w:rsidRPr="00C912B6">
        <w:rPr>
          <w:b/>
          <w:i/>
          <w:u w:val="single"/>
          <w:lang w:val="en-US"/>
        </w:rPr>
        <w:t>es</w:t>
      </w:r>
      <w:r w:rsidRPr="00824992">
        <w:rPr>
          <w:i/>
          <w:lang w:val="en-US"/>
        </w:rPr>
        <w:t xml:space="preserve"> not subscribe for the new shares; and</w:t>
      </w:r>
    </w:p>
    <w:p w:rsidR="00357C60" w:rsidRPr="00954C43" w:rsidRDefault="00954C43" w:rsidP="00357C60">
      <w:pPr>
        <w:pStyle w:val="Paragraphedeliste"/>
        <w:numPr>
          <w:ilvl w:val="0"/>
          <w:numId w:val="41"/>
        </w:numPr>
        <w:spacing w:before="19" w:line="220" w:lineRule="exact"/>
        <w:jc w:val="both"/>
        <w:rPr>
          <w:rFonts w:cs="Arial"/>
          <w:lang w:val="en-US"/>
        </w:rPr>
      </w:pPr>
      <w:r w:rsidRPr="00954C43">
        <w:rPr>
          <w:i/>
          <w:lang w:val="en-US"/>
        </w:rPr>
        <w:lastRenderedPageBreak/>
        <w:t xml:space="preserve">The net asset value…….. </w:t>
      </w:r>
      <w:proofErr w:type="gramStart"/>
      <w:r w:rsidRPr="00954C43">
        <w:rPr>
          <w:i/>
          <w:lang w:val="en-US"/>
        </w:rPr>
        <w:t>that</w:t>
      </w:r>
      <w:proofErr w:type="gramEnd"/>
      <w:r w:rsidRPr="00954C43">
        <w:rPr>
          <w:i/>
          <w:lang w:val="en-US"/>
        </w:rPr>
        <w:t xml:space="preserve"> public offer</w:t>
      </w:r>
      <w:r>
        <w:rPr>
          <w:i/>
          <w:lang w:val="en-US"/>
        </w:rPr>
        <w:t>.</w:t>
      </w:r>
    </w:p>
    <w:permEnd w:id="28"/>
    <w:p w:rsidR="00357C60" w:rsidRDefault="00357C60" w:rsidP="00357C60">
      <w:pPr>
        <w:rPr>
          <w:rFonts w:cs="Arial"/>
        </w:rPr>
      </w:pPr>
      <w:r>
        <w:rPr>
          <w:rFonts w:cs="Arial"/>
        </w:rPr>
        <w:t>&lt;ESMA_QUESTION_FAC_24&gt;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rsidR="00357C60" w:rsidRDefault="00357C60" w:rsidP="00357C60">
      <w:pPr>
        <w:rPr>
          <w:rFonts w:cs="Arial"/>
        </w:rPr>
      </w:pPr>
      <w:r>
        <w:rPr>
          <w:rFonts w:cs="Arial"/>
        </w:rPr>
        <w:t>&lt;ESMA_QUESTION_FAC_25&gt;</w:t>
      </w:r>
    </w:p>
    <w:p w:rsidR="009431F2" w:rsidRPr="00B1104F" w:rsidRDefault="009431F2" w:rsidP="009431F2">
      <w:pPr>
        <w:spacing w:before="19" w:line="220" w:lineRule="exact"/>
        <w:jc w:val="both"/>
        <w:rPr>
          <w:lang w:val="en-US"/>
        </w:rPr>
      </w:pPr>
      <w:permStart w:id="29" w:edGrp="everyone"/>
      <w:r>
        <w:rPr>
          <w:lang w:val="en-US"/>
        </w:rPr>
        <w:t xml:space="preserve">Yes, AMAFI considers that this information is important for investors. It is already required in France to provide such information. </w:t>
      </w:r>
    </w:p>
    <w:permEnd w:id="29"/>
    <w:p w:rsidR="00357C60" w:rsidRDefault="00357C60" w:rsidP="00357C60">
      <w:pPr>
        <w:rPr>
          <w:rFonts w:cs="Arial"/>
        </w:rPr>
      </w:pPr>
      <w:r>
        <w:rPr>
          <w:rFonts w:cs="Arial"/>
        </w:rPr>
        <w:t>&lt;ESMA_QUESTION_FAC_25&gt;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rsidR="00357C60" w:rsidRDefault="00357C60" w:rsidP="00357C60">
      <w:pPr>
        <w:rPr>
          <w:rFonts w:cs="Arial"/>
        </w:rPr>
      </w:pPr>
      <w:r>
        <w:rPr>
          <w:rFonts w:cs="Arial"/>
        </w:rPr>
        <w:t>&lt;ESMA_QUESTION_FAC_26&gt;</w:t>
      </w:r>
    </w:p>
    <w:p w:rsidR="009431F2" w:rsidRDefault="009431F2" w:rsidP="00FE69C9">
      <w:pPr>
        <w:spacing w:line="256" w:lineRule="auto"/>
        <w:ind w:right="198"/>
        <w:jc w:val="both"/>
        <w:rPr>
          <w:lang w:val="en-US"/>
        </w:rPr>
      </w:pPr>
      <w:permStart w:id="30" w:edGrp="everyone"/>
      <w:r>
        <w:rPr>
          <w:lang w:val="en-US"/>
        </w:rPr>
        <w:t>AMAFI suggests amending the first sentence of article 5.3.1 regarding Pricing to specify that the r</w:t>
      </w:r>
      <w:r>
        <w:rPr>
          <w:lang w:val="en-US"/>
        </w:rPr>
        <w:t>e</w:t>
      </w:r>
      <w:r>
        <w:rPr>
          <w:lang w:val="en-US"/>
        </w:rPr>
        <w:t xml:space="preserve">quirement to indicate the amount of expenses and taxes charged to the subscriber or purchaser can only refer to the expenses charged by the issuer or the </w:t>
      </w:r>
      <w:proofErr w:type="spellStart"/>
      <w:r>
        <w:rPr>
          <w:lang w:val="en-US"/>
        </w:rPr>
        <w:t>offeror</w:t>
      </w:r>
      <w:proofErr w:type="spellEnd"/>
      <w:r>
        <w:rPr>
          <w:lang w:val="en-US"/>
        </w:rPr>
        <w:t xml:space="preserve">. </w:t>
      </w:r>
    </w:p>
    <w:p w:rsidR="009431F2" w:rsidRDefault="009431F2" w:rsidP="00FE69C9">
      <w:pPr>
        <w:spacing w:line="256" w:lineRule="auto"/>
        <w:ind w:right="198"/>
        <w:jc w:val="both"/>
        <w:rPr>
          <w:lang w:val="en-US"/>
        </w:rPr>
      </w:pPr>
    </w:p>
    <w:p w:rsidR="009431F2" w:rsidRDefault="009431F2" w:rsidP="00FE69C9">
      <w:pPr>
        <w:spacing w:line="256" w:lineRule="auto"/>
        <w:ind w:right="198"/>
        <w:jc w:val="both"/>
        <w:rPr>
          <w:lang w:val="en-US"/>
        </w:rPr>
      </w:pPr>
      <w:r>
        <w:rPr>
          <w:lang w:val="en-US"/>
        </w:rPr>
        <w:t>Therefore, the first sentence should be amended as follows:</w:t>
      </w:r>
    </w:p>
    <w:p w:rsidR="00357C60" w:rsidRPr="009431F2" w:rsidRDefault="009431F2" w:rsidP="00FE69C9">
      <w:pPr>
        <w:spacing w:line="256" w:lineRule="auto"/>
        <w:ind w:right="198"/>
        <w:jc w:val="both"/>
        <w:rPr>
          <w:rFonts w:cs="Arial"/>
          <w:lang w:val="en-US"/>
        </w:rPr>
      </w:pPr>
      <w:r>
        <w:rPr>
          <w:lang w:val="en-US"/>
        </w:rPr>
        <w:t>“</w:t>
      </w:r>
      <w:r w:rsidRPr="00032AE7">
        <w:rPr>
          <w:i/>
          <w:lang w:val="en-US"/>
        </w:rPr>
        <w:t xml:space="preserve">An indication of the price at which the securities will be offered and the amount of any expenses and taxes charged to the subscriber or purchaser </w:t>
      </w:r>
      <w:r w:rsidRPr="00032AE7">
        <w:rPr>
          <w:b/>
          <w:i/>
          <w:u w:val="single"/>
          <w:lang w:val="en-US"/>
        </w:rPr>
        <w:t xml:space="preserve">by the issuer or </w:t>
      </w:r>
      <w:proofErr w:type="spellStart"/>
      <w:r w:rsidRPr="00032AE7">
        <w:rPr>
          <w:b/>
          <w:i/>
          <w:u w:val="single"/>
          <w:lang w:val="en-US"/>
        </w:rPr>
        <w:t>offeror</w:t>
      </w:r>
      <w:proofErr w:type="spellEnd"/>
      <w:r w:rsidRPr="00E6648E">
        <w:rPr>
          <w:b/>
          <w:i/>
          <w:lang w:val="en-US"/>
        </w:rPr>
        <w:t>”</w:t>
      </w:r>
      <w:r w:rsidRPr="00E6648E">
        <w:rPr>
          <w:i/>
          <w:lang w:val="en-US"/>
        </w:rPr>
        <w:t>.</w:t>
      </w:r>
      <w:r>
        <w:rPr>
          <w:lang w:val="en-US"/>
        </w:rPr>
        <w:t xml:space="preserve"> </w:t>
      </w:r>
    </w:p>
    <w:permEnd w:id="30"/>
    <w:p w:rsidR="00357C60" w:rsidRDefault="00357C60" w:rsidP="00357C60">
      <w:pPr>
        <w:rPr>
          <w:rFonts w:cs="Arial"/>
        </w:rPr>
      </w:pPr>
      <w:r>
        <w:rPr>
          <w:rFonts w:cs="Arial"/>
        </w:rPr>
        <w:t>&lt;ESMA_QUESTION_FAC_26&gt;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&lt;ESMA_QUESTION_FAC_27&gt;</w:t>
      </w:r>
    </w:p>
    <w:p w:rsidR="00357C60" w:rsidRDefault="00FE69C9" w:rsidP="00357C60">
      <w:pPr>
        <w:rPr>
          <w:rFonts w:cs="Arial"/>
        </w:rPr>
      </w:pPr>
      <w:permStart w:id="31" w:edGrp="everyone"/>
      <w:r>
        <w:t>As a professional organisation, AMAFI is unable to respond to this question.</w:t>
      </w:r>
    </w:p>
    <w:permEnd w:id="31"/>
    <w:p w:rsidR="00357C60" w:rsidRDefault="00357C60" w:rsidP="00357C60">
      <w:pPr>
        <w:rPr>
          <w:rFonts w:cs="Arial"/>
        </w:rPr>
      </w:pPr>
      <w:r>
        <w:rPr>
          <w:rFonts w:cs="Arial"/>
        </w:rPr>
        <w:t>&lt;ESMA_QUESTION_FAC_27&gt;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rsidR="00357C60" w:rsidRDefault="00357C60" w:rsidP="00357C60">
      <w:pPr>
        <w:rPr>
          <w:rFonts w:cs="Arial"/>
        </w:rPr>
      </w:pPr>
      <w:r>
        <w:rPr>
          <w:rFonts w:cs="Arial"/>
        </w:rPr>
        <w:t>&lt;ESMA_QUESTION_FAC_28&gt;</w:t>
      </w:r>
    </w:p>
    <w:p w:rsidR="00357C60" w:rsidRPr="00FE69C9" w:rsidRDefault="00FE69C9" w:rsidP="00FE69C9">
      <w:pPr>
        <w:spacing w:before="19" w:line="220" w:lineRule="exact"/>
        <w:rPr>
          <w:rFonts w:cs="Arial"/>
          <w:lang w:val="en-US"/>
        </w:rPr>
      </w:pPr>
      <w:permStart w:id="32" w:edGrp="everyone"/>
      <w:r>
        <w:rPr>
          <w:lang w:val="en-US"/>
        </w:rPr>
        <w:t>Yes.</w:t>
      </w:r>
    </w:p>
    <w:permEnd w:id="32"/>
    <w:p w:rsidR="00357C60" w:rsidRDefault="00357C60" w:rsidP="00357C60">
      <w:pPr>
        <w:rPr>
          <w:rFonts w:cs="Arial"/>
        </w:rPr>
      </w:pPr>
      <w:r>
        <w:rPr>
          <w:rFonts w:cs="Arial"/>
        </w:rPr>
        <w:t>&lt;ESMA_QUESTION_FAC_28&gt;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rsidR="00357C60" w:rsidRDefault="00357C60" w:rsidP="00357C60">
      <w:pPr>
        <w:rPr>
          <w:rFonts w:cs="Arial"/>
        </w:rPr>
      </w:pPr>
      <w:r>
        <w:rPr>
          <w:rFonts w:cs="Arial"/>
        </w:rPr>
        <w:t>&lt;ESMA_QUESTION_FAC_29&gt;</w:t>
      </w:r>
    </w:p>
    <w:p w:rsidR="00357C60" w:rsidRDefault="00FE69C9" w:rsidP="00FE69C9">
      <w:pPr>
        <w:spacing w:before="19" w:line="220" w:lineRule="exact"/>
        <w:rPr>
          <w:rFonts w:cs="Arial"/>
        </w:rPr>
      </w:pPr>
      <w:permStart w:id="33" w:edGrp="everyone"/>
      <w:r>
        <w:rPr>
          <w:lang w:val="en-US"/>
        </w:rPr>
        <w:t>Yes.</w:t>
      </w:r>
    </w:p>
    <w:permEnd w:id="33"/>
    <w:p w:rsidR="00357C60" w:rsidRDefault="00357C60" w:rsidP="00357C60">
      <w:pPr>
        <w:rPr>
          <w:rFonts w:cs="Arial"/>
        </w:rPr>
      </w:pPr>
      <w:r>
        <w:rPr>
          <w:rFonts w:cs="Arial"/>
        </w:rPr>
        <w:t>&lt;ESMA_QUESTION_FAC_29&gt;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rsidR="00357C60" w:rsidRDefault="00357C60" w:rsidP="00357C60">
      <w:pPr>
        <w:rPr>
          <w:rFonts w:cs="Arial"/>
        </w:rPr>
      </w:pPr>
      <w:r>
        <w:rPr>
          <w:rFonts w:cs="Arial"/>
        </w:rPr>
        <w:t>&lt;ESMA_QUESTION_FAC_30&gt;</w:t>
      </w:r>
    </w:p>
    <w:p w:rsidR="00357C60" w:rsidRDefault="00357C60" w:rsidP="00357C60">
      <w:pPr>
        <w:rPr>
          <w:rFonts w:cs="Arial"/>
        </w:rPr>
      </w:pPr>
      <w:permStart w:id="34" w:edGrp="everyone"/>
      <w:r>
        <w:rPr>
          <w:rFonts w:cs="Arial"/>
        </w:rPr>
        <w:t>TYPE YOUR TEXT HERE</w:t>
      </w:r>
    </w:p>
    <w:permEnd w:id="34"/>
    <w:p w:rsidR="00357C60" w:rsidRDefault="00357C60" w:rsidP="00357C60">
      <w:pPr>
        <w:rPr>
          <w:rFonts w:cs="Arial"/>
        </w:rPr>
      </w:pPr>
      <w:r>
        <w:rPr>
          <w:rFonts w:cs="Arial"/>
        </w:rPr>
        <w:t>&lt;ESMA_QUESTION_FAC_30&gt;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rsidR="00357C60" w:rsidRDefault="00357C60" w:rsidP="00357C60">
      <w:pPr>
        <w:rPr>
          <w:rFonts w:cs="Arial"/>
        </w:rPr>
      </w:pPr>
      <w:r>
        <w:rPr>
          <w:rFonts w:cs="Arial"/>
        </w:rPr>
        <w:t>&lt;ESMA_QUESTION_FAC_31&gt;</w:t>
      </w:r>
    </w:p>
    <w:p w:rsidR="00357C60" w:rsidRDefault="00357C60" w:rsidP="00357C60">
      <w:pPr>
        <w:rPr>
          <w:rFonts w:cs="Arial"/>
        </w:rPr>
      </w:pPr>
      <w:permStart w:id="35" w:edGrp="everyone"/>
      <w:r>
        <w:rPr>
          <w:rFonts w:cs="Arial"/>
        </w:rPr>
        <w:t>TYPE YOUR TEXT HERE</w:t>
      </w:r>
    </w:p>
    <w:permEnd w:id="35"/>
    <w:p w:rsidR="00357C60" w:rsidRDefault="00357C60" w:rsidP="00357C60">
      <w:pPr>
        <w:rPr>
          <w:rFonts w:cs="Arial"/>
        </w:rPr>
      </w:pPr>
      <w:r>
        <w:rPr>
          <w:rFonts w:cs="Arial"/>
        </w:rPr>
        <w:t>&lt;ESMA_QUESTION_FAC_31&gt;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rsidR="00357C60" w:rsidRDefault="00357C60" w:rsidP="00357C60">
      <w:pPr>
        <w:rPr>
          <w:rFonts w:cs="Arial"/>
        </w:rPr>
      </w:pPr>
      <w:r>
        <w:rPr>
          <w:rFonts w:cs="Arial"/>
        </w:rPr>
        <w:t>&lt;ESMA_QUESTION_FAC_32&gt;</w:t>
      </w:r>
    </w:p>
    <w:p w:rsidR="00357C60" w:rsidRDefault="00357C60" w:rsidP="00357C60">
      <w:pPr>
        <w:rPr>
          <w:rFonts w:cs="Arial"/>
        </w:rPr>
      </w:pPr>
      <w:permStart w:id="36" w:edGrp="everyone"/>
      <w:r>
        <w:rPr>
          <w:rFonts w:cs="Arial"/>
        </w:rPr>
        <w:t>TYPE YOUR TEXT HERE</w:t>
      </w:r>
    </w:p>
    <w:permEnd w:id="36"/>
    <w:p w:rsidR="00357C60" w:rsidRDefault="00357C60" w:rsidP="00357C60">
      <w:pPr>
        <w:rPr>
          <w:rFonts w:cs="Arial"/>
        </w:rPr>
      </w:pPr>
      <w:r>
        <w:rPr>
          <w:rFonts w:cs="Arial"/>
        </w:rPr>
        <w:t>&lt;ESMA_QUESTION_FAC_32&gt;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&lt;ESMA_QUESTION_FAC_33&gt;</w:t>
      </w:r>
    </w:p>
    <w:p w:rsidR="00357C60" w:rsidRDefault="00357C60" w:rsidP="00357C60">
      <w:pPr>
        <w:rPr>
          <w:rFonts w:cs="Arial"/>
        </w:rPr>
      </w:pPr>
      <w:permStart w:id="37" w:edGrp="everyone"/>
      <w:r>
        <w:rPr>
          <w:rFonts w:cs="Arial"/>
        </w:rPr>
        <w:t>TYPE YOUR TEXT HERE</w:t>
      </w:r>
    </w:p>
    <w:permEnd w:id="37"/>
    <w:p w:rsidR="00357C60" w:rsidRDefault="00357C60" w:rsidP="00357C60">
      <w:pPr>
        <w:rPr>
          <w:rFonts w:cs="Arial"/>
        </w:rPr>
      </w:pPr>
      <w:r>
        <w:rPr>
          <w:rFonts w:cs="Arial"/>
        </w:rPr>
        <w:t>&lt;ESMA_QUESTION_FAC_33&gt;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&lt;ESMA_QUESTION_FAC_34&gt;</w:t>
      </w:r>
    </w:p>
    <w:p w:rsidR="00357C60" w:rsidRDefault="001F6240" w:rsidP="001F6240">
      <w:pPr>
        <w:spacing w:before="19" w:line="220" w:lineRule="exact"/>
        <w:rPr>
          <w:rFonts w:cs="Arial"/>
        </w:rPr>
      </w:pPr>
      <w:permStart w:id="38" w:edGrp="everyone"/>
      <w:r>
        <w:t>As a professional organisation, AMAFI is unable to respond to this question.</w:t>
      </w:r>
    </w:p>
    <w:permEnd w:id="38"/>
    <w:p w:rsidR="00357C60" w:rsidRDefault="00357C60" w:rsidP="00357C60">
      <w:pPr>
        <w:rPr>
          <w:rFonts w:cs="Arial"/>
        </w:rPr>
      </w:pPr>
      <w:r>
        <w:rPr>
          <w:rFonts w:cs="Arial"/>
        </w:rPr>
        <w:t>&lt;ESMA_QUESTION_FAC_34&gt;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w:t>
      </w:r>
      <w:r w:rsidRPr="0064701F">
        <w:rPr>
          <w:rFonts w:ascii="Arial" w:hAnsi="Arial" w:cs="Arial"/>
        </w:rPr>
        <w:t>u</w:t>
      </w:r>
      <w:r w:rsidRPr="0064701F">
        <w:rPr>
          <w:rFonts w:ascii="Arial" w:hAnsi="Arial" w:cs="Arial"/>
        </w:rPr>
        <w:t>ers to restate their financial statements? Would this significantly affect the info</w:t>
      </w:r>
      <w:r w:rsidRPr="0064701F">
        <w:rPr>
          <w:rFonts w:ascii="Arial" w:hAnsi="Arial" w:cs="Arial"/>
        </w:rPr>
        <w:t>r</w:t>
      </w:r>
      <w:r w:rsidRPr="0064701F">
        <w:rPr>
          <w:rFonts w:ascii="Arial" w:hAnsi="Arial" w:cs="Arial"/>
        </w:rPr>
        <w:t>mative value of the prospectus for investors?</w:t>
      </w:r>
    </w:p>
    <w:p w:rsidR="00357C60" w:rsidRDefault="00357C60" w:rsidP="00357C60">
      <w:pPr>
        <w:rPr>
          <w:rFonts w:cs="Arial"/>
        </w:rPr>
      </w:pPr>
      <w:r>
        <w:rPr>
          <w:rFonts w:cs="Arial"/>
        </w:rPr>
        <w:t>&lt;ESMA_QUESTION_FAC_35&gt;</w:t>
      </w:r>
    </w:p>
    <w:p w:rsidR="00357C60" w:rsidRPr="001F6240" w:rsidRDefault="001F6240" w:rsidP="001F6240">
      <w:pPr>
        <w:spacing w:before="19" w:line="220" w:lineRule="exact"/>
        <w:rPr>
          <w:rFonts w:cs="Arial"/>
          <w:lang w:val="en-US"/>
        </w:rPr>
      </w:pPr>
      <w:permStart w:id="39" w:edGrp="everyone"/>
      <w:r>
        <w:rPr>
          <w:lang w:val="en-US"/>
        </w:rPr>
        <w:t>Yes.</w:t>
      </w:r>
    </w:p>
    <w:permEnd w:id="39"/>
    <w:p w:rsidR="00357C60" w:rsidRDefault="00357C60" w:rsidP="00357C60">
      <w:pPr>
        <w:rPr>
          <w:rFonts w:cs="Arial"/>
        </w:rPr>
      </w:pPr>
      <w:r>
        <w:rPr>
          <w:rFonts w:cs="Arial"/>
        </w:rPr>
        <w:t>&lt;ESMA_QUESTION_FAC_35&gt;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&lt;ESMA_QUESTION_FAC_36&gt;</w:t>
      </w:r>
    </w:p>
    <w:p w:rsidR="00357C60" w:rsidRPr="001F6240" w:rsidRDefault="001F6240" w:rsidP="001F6240">
      <w:pPr>
        <w:spacing w:before="19" w:line="220" w:lineRule="exact"/>
        <w:rPr>
          <w:rFonts w:cs="Arial"/>
          <w:lang w:val="en-US"/>
        </w:rPr>
      </w:pPr>
      <w:permStart w:id="40" w:edGrp="everyone"/>
      <w:r>
        <w:rPr>
          <w:lang w:val="en-US"/>
        </w:rPr>
        <w:t>No.</w:t>
      </w:r>
    </w:p>
    <w:permEnd w:id="40"/>
    <w:p w:rsidR="00357C60" w:rsidRDefault="00357C60" w:rsidP="00357C60">
      <w:pPr>
        <w:rPr>
          <w:rFonts w:cs="Arial"/>
        </w:rPr>
      </w:pPr>
      <w:r>
        <w:rPr>
          <w:rFonts w:cs="Arial"/>
        </w:rPr>
        <w:t>&lt;ESMA_QUESTION_FAC_36&gt;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&lt;ESMA_QUESTION_FAC_37&gt;</w:t>
      </w:r>
    </w:p>
    <w:p w:rsidR="00357C60" w:rsidRDefault="00357C60" w:rsidP="00357C60">
      <w:pPr>
        <w:rPr>
          <w:rFonts w:cs="Arial"/>
        </w:rPr>
      </w:pPr>
      <w:permStart w:id="41" w:edGrp="everyone"/>
      <w:r>
        <w:rPr>
          <w:rFonts w:cs="Arial"/>
        </w:rPr>
        <w:t>TYPE YOUR TEXT HERE</w:t>
      </w:r>
    </w:p>
    <w:permEnd w:id="41"/>
    <w:p w:rsidR="00357C60" w:rsidRDefault="00357C60" w:rsidP="00357C60">
      <w:pPr>
        <w:rPr>
          <w:rFonts w:cs="Arial"/>
        </w:rPr>
      </w:pPr>
      <w:r>
        <w:rPr>
          <w:rFonts w:cs="Arial"/>
        </w:rPr>
        <w:t>&lt;ESMA_QUESTION_FAC_37&gt;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w:t>
      </w:r>
      <w:r w:rsidRPr="0064701F">
        <w:rPr>
          <w:rFonts w:ascii="Arial" w:hAnsi="Arial" w:cs="Arial"/>
        </w:rPr>
        <w:t>s</w:t>
      </w:r>
      <w:r w:rsidRPr="0064701F">
        <w:rPr>
          <w:rFonts w:ascii="Arial" w:hAnsi="Arial" w:cs="Arial"/>
        </w:rPr>
        <w:t>tors?</w:t>
      </w:r>
    </w:p>
    <w:p w:rsidR="00357C60" w:rsidRDefault="00357C60" w:rsidP="00357C60">
      <w:pPr>
        <w:rPr>
          <w:rFonts w:cs="Arial"/>
        </w:rPr>
      </w:pPr>
      <w:r>
        <w:rPr>
          <w:rFonts w:cs="Arial"/>
        </w:rPr>
        <w:t>&lt;ESMA_QUESTION_FAC_38&gt;</w:t>
      </w:r>
    </w:p>
    <w:p w:rsidR="001F6240" w:rsidRDefault="001F6240" w:rsidP="001F6240">
      <w:pPr>
        <w:spacing w:before="19" w:line="220" w:lineRule="exact"/>
        <w:rPr>
          <w:lang w:val="en-US"/>
        </w:rPr>
      </w:pPr>
      <w:permStart w:id="42" w:edGrp="everyone"/>
      <w:r>
        <w:rPr>
          <w:lang w:val="en-US"/>
        </w:rPr>
        <w:t xml:space="preserve">In principle, AMAFI supports the proposed reduction, with two limits however: </w:t>
      </w:r>
    </w:p>
    <w:p w:rsidR="001F6240" w:rsidRDefault="001F6240" w:rsidP="001F6240">
      <w:pPr>
        <w:spacing w:before="19" w:line="220" w:lineRule="exact"/>
        <w:rPr>
          <w:lang w:val="en-US"/>
        </w:rPr>
      </w:pPr>
    </w:p>
    <w:p w:rsidR="001F6240" w:rsidRDefault="001F6240" w:rsidP="00620404">
      <w:pPr>
        <w:pStyle w:val="Paragraphedeliste"/>
        <w:numPr>
          <w:ilvl w:val="0"/>
          <w:numId w:val="42"/>
        </w:numPr>
        <w:spacing w:before="19" w:line="220" w:lineRule="exact"/>
        <w:jc w:val="both"/>
        <w:rPr>
          <w:lang w:val="en-US"/>
        </w:rPr>
      </w:pPr>
      <w:proofErr w:type="gramStart"/>
      <w:r>
        <w:rPr>
          <w:lang w:val="en-US"/>
        </w:rPr>
        <w:t>the</w:t>
      </w:r>
      <w:proofErr w:type="gramEnd"/>
      <w:r>
        <w:rPr>
          <w:lang w:val="en-US"/>
        </w:rPr>
        <w:t xml:space="preserve"> first </w:t>
      </w:r>
      <w:r w:rsidRPr="002240CF">
        <w:rPr>
          <w:lang w:val="en-US"/>
        </w:rPr>
        <w:t>one concerns the requirement to include a summarized description of the “specific tax r</w:t>
      </w:r>
      <w:r w:rsidRPr="002240CF">
        <w:rPr>
          <w:lang w:val="en-US"/>
        </w:rPr>
        <w:t>e</w:t>
      </w:r>
      <w:r w:rsidRPr="002240CF">
        <w:rPr>
          <w:lang w:val="en-US"/>
        </w:rPr>
        <w:t>gime” which an investment may entail. If this requirement were to be maintained, this notion of “specific tax regime” should be clearly explained. This notion is not clear enough and in the end, this may affect the effectiveness of the proposed simplificat</w:t>
      </w:r>
      <w:r>
        <w:rPr>
          <w:lang w:val="en-US"/>
        </w:rPr>
        <w:t xml:space="preserve">ion as regards tax disclosures; </w:t>
      </w:r>
    </w:p>
    <w:p w:rsidR="001F6240" w:rsidRDefault="001F6240" w:rsidP="00620404">
      <w:pPr>
        <w:pStyle w:val="Paragraphedeliste"/>
        <w:spacing w:before="19" w:line="220" w:lineRule="exact"/>
        <w:jc w:val="both"/>
        <w:rPr>
          <w:lang w:val="en-US"/>
        </w:rPr>
      </w:pPr>
    </w:p>
    <w:p w:rsidR="00357C60" w:rsidRPr="001F6240" w:rsidRDefault="001F6240" w:rsidP="00620404">
      <w:pPr>
        <w:pStyle w:val="Paragraphedeliste"/>
        <w:numPr>
          <w:ilvl w:val="0"/>
          <w:numId w:val="42"/>
        </w:numPr>
        <w:spacing w:before="19" w:line="220" w:lineRule="exact"/>
        <w:jc w:val="both"/>
        <w:rPr>
          <w:rFonts w:cs="Arial"/>
          <w:lang w:val="en-US"/>
        </w:rPr>
      </w:pPr>
      <w:proofErr w:type="gramStart"/>
      <w:r w:rsidRPr="001F6240">
        <w:rPr>
          <w:lang w:val="en-US"/>
        </w:rPr>
        <w:t>the</w:t>
      </w:r>
      <w:proofErr w:type="gramEnd"/>
      <w:r w:rsidRPr="001F6240">
        <w:rPr>
          <w:lang w:val="en-US"/>
        </w:rPr>
        <w:t xml:space="preserve"> second limit is that the warning could be interpreted as a “risk” with the consequences a</w:t>
      </w:r>
      <w:r w:rsidRPr="001F6240">
        <w:rPr>
          <w:lang w:val="en-US"/>
        </w:rPr>
        <w:t>t</w:t>
      </w:r>
      <w:r w:rsidRPr="001F6240">
        <w:rPr>
          <w:lang w:val="en-US"/>
        </w:rPr>
        <w:t>tached to that interpretation. Therefore, AMAFI suggest replacing the word “warning” by a more neutral word such as “</w:t>
      </w:r>
      <w:r w:rsidRPr="001F6240">
        <w:rPr>
          <w:i/>
          <w:lang w:val="en-US"/>
        </w:rPr>
        <w:t>an indication</w:t>
      </w:r>
      <w:r w:rsidRPr="001F6240">
        <w:rPr>
          <w:lang w:val="en-US"/>
        </w:rPr>
        <w:t>” or “</w:t>
      </w:r>
      <w:r w:rsidRPr="001F6240">
        <w:rPr>
          <w:i/>
          <w:lang w:val="en-US"/>
        </w:rPr>
        <w:t>a statement indicating that…</w:t>
      </w:r>
      <w:proofErr w:type="gramStart"/>
      <w:r w:rsidRPr="001F6240">
        <w:rPr>
          <w:lang w:val="en-US"/>
        </w:rPr>
        <w:t>”.</w:t>
      </w:r>
      <w:proofErr w:type="gramEnd"/>
    </w:p>
    <w:permEnd w:id="42"/>
    <w:p w:rsidR="00357C60" w:rsidRDefault="00357C60" w:rsidP="00357C60">
      <w:pPr>
        <w:rPr>
          <w:rFonts w:cs="Arial"/>
        </w:rPr>
      </w:pPr>
      <w:r>
        <w:rPr>
          <w:rFonts w:cs="Arial"/>
        </w:rPr>
        <w:t>&lt;ESMA_QUESTION_FAC_38&gt;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rsidR="00357C60" w:rsidRDefault="00357C60" w:rsidP="00357C60">
      <w:pPr>
        <w:rPr>
          <w:rFonts w:cs="Arial"/>
        </w:rPr>
      </w:pPr>
      <w:r>
        <w:rPr>
          <w:rFonts w:cs="Arial"/>
        </w:rPr>
        <w:t>&lt;ESMA_QUESTION_FAC_39&gt;</w:t>
      </w:r>
    </w:p>
    <w:p w:rsidR="00620404" w:rsidRDefault="00620404" w:rsidP="00620404">
      <w:pPr>
        <w:spacing w:before="19" w:line="220" w:lineRule="exact"/>
        <w:jc w:val="both"/>
        <w:rPr>
          <w:lang w:val="en-US"/>
        </w:rPr>
      </w:pPr>
      <w:permStart w:id="43" w:edGrp="everyone"/>
      <w:r>
        <w:rPr>
          <w:lang w:val="en-US"/>
        </w:rPr>
        <w:t>In France, these details are included in the terms of conditions of prospectuses and therefore, they are already made available to security holders.</w:t>
      </w:r>
    </w:p>
    <w:permEnd w:id="43"/>
    <w:p w:rsidR="00357C60" w:rsidRDefault="00357C60" w:rsidP="00357C60">
      <w:pPr>
        <w:rPr>
          <w:rFonts w:cs="Arial"/>
        </w:rPr>
      </w:pPr>
      <w:r>
        <w:rPr>
          <w:rFonts w:cs="Arial"/>
        </w:rPr>
        <w:t>&lt;ESMA_QUESTION_FAC_39&gt;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rsidR="00357C60" w:rsidRDefault="00357C60" w:rsidP="00357C60">
      <w:pPr>
        <w:rPr>
          <w:rFonts w:cs="Arial"/>
        </w:rPr>
      </w:pPr>
      <w:r>
        <w:rPr>
          <w:rFonts w:cs="Arial"/>
        </w:rPr>
        <w:t>&lt;ESMA_QUESTION_FAC_40&gt;</w:t>
      </w:r>
    </w:p>
    <w:p w:rsidR="00357C60" w:rsidRPr="00620404" w:rsidRDefault="00620404" w:rsidP="00620404">
      <w:pPr>
        <w:spacing w:before="19" w:line="220" w:lineRule="exact"/>
        <w:rPr>
          <w:rFonts w:cs="Arial"/>
          <w:lang w:val="en-US"/>
        </w:rPr>
      </w:pPr>
      <w:permStart w:id="44" w:edGrp="everyone"/>
      <w:r>
        <w:rPr>
          <w:lang w:val="en-US"/>
        </w:rPr>
        <w:t>No, AMAFI considers that this is unrealistic.</w:t>
      </w:r>
    </w:p>
    <w:permEnd w:id="44"/>
    <w:p w:rsidR="00357C60" w:rsidRDefault="00357C60" w:rsidP="00357C60">
      <w:pPr>
        <w:rPr>
          <w:rFonts w:cs="Arial"/>
        </w:rPr>
      </w:pPr>
      <w:r>
        <w:rPr>
          <w:rFonts w:cs="Arial"/>
        </w:rPr>
        <w:t>&lt;ESMA_QUESTION_FAC_40&gt;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that the issue price of the securities to be i</w:t>
      </w:r>
      <w:r w:rsidRPr="0064701F">
        <w:rPr>
          <w:rFonts w:ascii="Arial" w:hAnsi="Arial" w:cs="Arial"/>
        </w:rPr>
        <w:t>n</w:t>
      </w:r>
      <w:r w:rsidRPr="0064701F">
        <w:rPr>
          <w:rFonts w:ascii="Arial" w:hAnsi="Arial" w:cs="Arial"/>
        </w:rPr>
        <w:t>cluded in the prospectus in the case of an admission to trading?</w:t>
      </w:r>
    </w:p>
    <w:p w:rsidR="00357C60" w:rsidRDefault="00357C60" w:rsidP="00357C60">
      <w:pPr>
        <w:rPr>
          <w:rFonts w:cs="Arial"/>
        </w:rPr>
      </w:pPr>
      <w:r>
        <w:rPr>
          <w:rFonts w:cs="Arial"/>
        </w:rPr>
        <w:t>&lt;ESMA_QUESTION_FAC_41&gt;</w:t>
      </w:r>
    </w:p>
    <w:p w:rsidR="00357C60" w:rsidRPr="00620404" w:rsidRDefault="00620404" w:rsidP="00620404">
      <w:pPr>
        <w:spacing w:before="19" w:line="220" w:lineRule="exact"/>
        <w:rPr>
          <w:rFonts w:cs="Arial"/>
          <w:lang w:val="en-US"/>
        </w:rPr>
      </w:pPr>
      <w:permStart w:id="45" w:edGrp="everyone"/>
      <w:r>
        <w:rPr>
          <w:lang w:val="en-US"/>
        </w:rPr>
        <w:t>Yes, AMAFI agrees with that proposal.</w:t>
      </w:r>
    </w:p>
    <w:permEnd w:id="45"/>
    <w:p w:rsidR="00357C60" w:rsidRDefault="00357C60" w:rsidP="00357C60">
      <w:pPr>
        <w:rPr>
          <w:rFonts w:cs="Arial"/>
        </w:rPr>
      </w:pPr>
      <w:r>
        <w:rPr>
          <w:rFonts w:cs="Arial"/>
        </w:rPr>
        <w:t>&lt;ESMA_QUESTION_FAC_41&gt;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w:t>
      </w:r>
      <w:r w:rsidRPr="0064701F">
        <w:rPr>
          <w:rFonts w:ascii="Arial" w:hAnsi="Arial" w:cs="Arial"/>
        </w:rPr>
        <w:t>a</w:t>
      </w:r>
      <w:r w:rsidRPr="0064701F">
        <w:rPr>
          <w:rFonts w:ascii="Arial" w:hAnsi="Arial" w:cs="Arial"/>
        </w:rPr>
        <w:t>tives securities note? Please advise of any costs and benefits that would be i</w:t>
      </w:r>
      <w:r w:rsidRPr="0064701F">
        <w:rPr>
          <w:rFonts w:ascii="Arial" w:hAnsi="Arial" w:cs="Arial"/>
        </w:rPr>
        <w:t>n</w:t>
      </w:r>
      <w:r w:rsidRPr="0064701F">
        <w:rPr>
          <w:rFonts w:ascii="Arial" w:hAnsi="Arial" w:cs="Arial"/>
        </w:rPr>
        <w:t>curred by the further changes you propose.</w:t>
      </w:r>
    </w:p>
    <w:p w:rsidR="00357C60" w:rsidRDefault="00357C60" w:rsidP="00357C60">
      <w:pPr>
        <w:rPr>
          <w:rFonts w:cs="Arial"/>
        </w:rPr>
      </w:pPr>
      <w:r>
        <w:rPr>
          <w:rFonts w:cs="Arial"/>
        </w:rPr>
        <w:t>&lt;ESMA_QUESTION_FAC_42&gt;</w:t>
      </w:r>
    </w:p>
    <w:p w:rsidR="00073382" w:rsidRDefault="00620404" w:rsidP="00357C60">
      <w:pPr>
        <w:rPr>
          <w:lang w:val="en-US"/>
        </w:rPr>
      </w:pPr>
      <w:permStart w:id="46" w:edGrp="everyone"/>
      <w:r>
        <w:rPr>
          <w:lang w:val="en-US"/>
        </w:rPr>
        <w:t>AMAFI noticed that the item “type of securities” has been moved from category B to A. It would be nece</w:t>
      </w:r>
      <w:r>
        <w:rPr>
          <w:lang w:val="en-US"/>
        </w:rPr>
        <w:t>s</w:t>
      </w:r>
      <w:r>
        <w:rPr>
          <w:lang w:val="en-US"/>
        </w:rPr>
        <w:t xml:space="preserve">sary to understand what additional type of information is expected. </w:t>
      </w:r>
    </w:p>
    <w:permEnd w:id="46"/>
    <w:p w:rsidR="00357C60" w:rsidRDefault="00357C60" w:rsidP="00357C60">
      <w:pPr>
        <w:rPr>
          <w:rFonts w:cs="Arial"/>
        </w:rPr>
      </w:pPr>
      <w:r>
        <w:rPr>
          <w:rFonts w:cs="Arial"/>
        </w:rPr>
        <w:t>&lt;ESMA_QUESTION_FAC_42&gt;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&lt;ESMA_QUESTION_FAC_43&gt;</w:t>
      </w:r>
    </w:p>
    <w:p w:rsidR="00357C60" w:rsidRDefault="00073382" w:rsidP="00357C60">
      <w:pPr>
        <w:rPr>
          <w:rFonts w:cs="Arial"/>
        </w:rPr>
      </w:pPr>
      <w:permStart w:id="47" w:edGrp="everyone"/>
      <w:r>
        <w:t>As a professional organisation, AMAFI is unable to respond to this question.</w:t>
      </w:r>
    </w:p>
    <w:permEnd w:id="47"/>
    <w:p w:rsidR="00357C60" w:rsidRDefault="00357C60" w:rsidP="00357C60">
      <w:pPr>
        <w:rPr>
          <w:rFonts w:cs="Arial"/>
        </w:rPr>
      </w:pPr>
      <w:r>
        <w:rPr>
          <w:rFonts w:cs="Arial"/>
        </w:rPr>
        <w:t>&lt;ESMA_QUESTION_FAC_43&gt;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&lt;ESMA_QUESTION_FAC_44&gt;</w:t>
      </w:r>
    </w:p>
    <w:p w:rsidR="00357C60" w:rsidRDefault="00357C60" w:rsidP="00357C60">
      <w:pPr>
        <w:rPr>
          <w:rFonts w:cs="Arial"/>
        </w:rPr>
      </w:pPr>
      <w:permStart w:id="48" w:edGrp="everyone"/>
      <w:r>
        <w:rPr>
          <w:rFonts w:cs="Arial"/>
        </w:rPr>
        <w:t>TYPE YOUR TEXT HERE</w:t>
      </w:r>
    </w:p>
    <w:permEnd w:id="48"/>
    <w:p w:rsidR="00357C60" w:rsidRDefault="00357C60" w:rsidP="00357C60">
      <w:pPr>
        <w:rPr>
          <w:rFonts w:cs="Arial"/>
        </w:rPr>
      </w:pPr>
      <w:r>
        <w:rPr>
          <w:rFonts w:cs="Arial"/>
        </w:rPr>
        <w:t>&lt;ESMA_QUESTION_FAC_44&gt;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&lt;ESMA_QUESTION_FAC_45&gt;</w:t>
      </w:r>
    </w:p>
    <w:p w:rsidR="00357C60" w:rsidRPr="00073382" w:rsidRDefault="00073382" w:rsidP="00073382">
      <w:pPr>
        <w:spacing w:before="19" w:line="220" w:lineRule="exact"/>
        <w:rPr>
          <w:rFonts w:cs="Arial"/>
          <w:lang w:val="en-US"/>
        </w:rPr>
      </w:pPr>
      <w:permStart w:id="49" w:edGrp="everyone"/>
      <w:r>
        <w:t>As a professional organisation, AMAFI is unable to respond to this question.</w:t>
      </w:r>
    </w:p>
    <w:permEnd w:id="49"/>
    <w:p w:rsidR="00357C60" w:rsidRDefault="00357C60" w:rsidP="00357C60">
      <w:pPr>
        <w:rPr>
          <w:rFonts w:cs="Arial"/>
        </w:rPr>
      </w:pPr>
      <w:r>
        <w:rPr>
          <w:rFonts w:cs="Arial"/>
        </w:rPr>
        <w:t>&lt;ESMA_QUESTION_FAC_45&gt;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rsidR="00357C60" w:rsidRDefault="00357C60" w:rsidP="00357C60">
      <w:pPr>
        <w:rPr>
          <w:rFonts w:cs="Arial"/>
        </w:rPr>
      </w:pPr>
      <w:r>
        <w:rPr>
          <w:rFonts w:cs="Arial"/>
        </w:rPr>
        <w:t>&lt;ESMA_QUESTION_FAC_46&gt;</w:t>
      </w:r>
    </w:p>
    <w:p w:rsidR="00357C60" w:rsidRPr="00073382" w:rsidRDefault="00073382" w:rsidP="00073382">
      <w:pPr>
        <w:spacing w:before="19" w:line="220" w:lineRule="exact"/>
        <w:rPr>
          <w:rFonts w:cs="Arial"/>
          <w:lang w:val="en-US"/>
        </w:rPr>
      </w:pPr>
      <w:permStart w:id="50" w:edGrp="everyone"/>
      <w:r>
        <w:rPr>
          <w:lang w:val="en-US"/>
        </w:rPr>
        <w:t>Yes, AMAFI agrees with that proposal.</w:t>
      </w:r>
    </w:p>
    <w:permEnd w:id="50"/>
    <w:p w:rsidR="00357C60" w:rsidRDefault="00357C60" w:rsidP="00357C60">
      <w:pPr>
        <w:rPr>
          <w:rFonts w:cs="Arial"/>
        </w:rPr>
      </w:pPr>
      <w:r>
        <w:rPr>
          <w:rFonts w:cs="Arial"/>
        </w:rPr>
        <w:t>&lt;ESMA_QUESTION_FAC_46&gt;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to reclassify the how the return on derivatives take place from B to A? If not, please explain why.</w:t>
      </w:r>
    </w:p>
    <w:p w:rsidR="00357C60" w:rsidRDefault="00357C60" w:rsidP="00357C60">
      <w:pPr>
        <w:rPr>
          <w:rFonts w:cs="Arial"/>
        </w:rPr>
      </w:pPr>
      <w:r>
        <w:rPr>
          <w:rFonts w:cs="Arial"/>
        </w:rPr>
        <w:t>&lt;ESMA_QUESTION_FAC_47&gt;</w:t>
      </w:r>
    </w:p>
    <w:p w:rsidR="00357C60" w:rsidRDefault="00073382" w:rsidP="00457391">
      <w:pPr>
        <w:spacing w:before="19" w:line="220" w:lineRule="exact"/>
        <w:jc w:val="both"/>
        <w:rPr>
          <w:rFonts w:cs="Arial"/>
        </w:rPr>
      </w:pPr>
      <w:permStart w:id="51" w:edGrp="everyone"/>
      <w:r>
        <w:rPr>
          <w:lang w:val="en-US"/>
        </w:rPr>
        <w:t xml:space="preserve">AMAFI disagrees with this proposal, the implementation of which might be costly without any significant value to such change. In additions, since pay-offs used under structured </w:t>
      </w:r>
      <w:proofErr w:type="spellStart"/>
      <w:r>
        <w:rPr>
          <w:lang w:val="en-US"/>
        </w:rPr>
        <w:t>programmes</w:t>
      </w:r>
      <w:proofErr w:type="spellEnd"/>
      <w:r>
        <w:rPr>
          <w:lang w:val="en-US"/>
        </w:rPr>
        <w:t xml:space="preserve"> are already fully disclosed in the base prospectus, it is unclear what additional disclosure is expected. Clarification on this poin</w:t>
      </w:r>
      <w:r w:rsidR="00457391">
        <w:rPr>
          <w:lang w:val="en-US"/>
        </w:rPr>
        <w:t>t from ESMA appears necessary.</w:t>
      </w:r>
    </w:p>
    <w:permEnd w:id="51"/>
    <w:p w:rsidR="00357C60" w:rsidRDefault="00357C60" w:rsidP="00357C60">
      <w:pPr>
        <w:rPr>
          <w:rFonts w:cs="Arial"/>
        </w:rPr>
      </w:pPr>
      <w:r>
        <w:rPr>
          <w:rFonts w:cs="Arial"/>
        </w:rPr>
        <w:t>&lt;ESMA_QUESTION_FAC_47&gt;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w:t>
      </w:r>
      <w:r w:rsidRPr="0064701F">
        <w:rPr>
          <w:rFonts w:ascii="Arial" w:hAnsi="Arial" w:cs="Arial"/>
        </w:rPr>
        <w:t>a</w:t>
      </w:r>
      <w:r w:rsidRPr="0064701F">
        <w:rPr>
          <w:rFonts w:ascii="Arial" w:hAnsi="Arial" w:cs="Arial"/>
        </w:rPr>
        <w:t>tion to situations where investors may lose all or part of their investment?</w:t>
      </w:r>
    </w:p>
    <w:p w:rsidR="00357C60" w:rsidRDefault="00357C60" w:rsidP="00357C60">
      <w:pPr>
        <w:rPr>
          <w:rFonts w:cs="Arial"/>
        </w:rPr>
      </w:pPr>
      <w:r>
        <w:rPr>
          <w:rFonts w:cs="Arial"/>
        </w:rPr>
        <w:t>&lt;ESMA_QUESTION_FAC_48&gt;</w:t>
      </w:r>
    </w:p>
    <w:p w:rsidR="00457391" w:rsidRPr="004033F6" w:rsidRDefault="00457391" w:rsidP="00457391">
      <w:pPr>
        <w:spacing w:before="19" w:line="220" w:lineRule="exact"/>
        <w:jc w:val="both"/>
        <w:rPr>
          <w:lang w:val="en-US"/>
        </w:rPr>
      </w:pPr>
      <w:permStart w:id="52" w:edGrp="everyone"/>
      <w:r>
        <w:rPr>
          <w:lang w:val="en-US"/>
        </w:rPr>
        <w:t>No, AMAFI does not agree with ESMA’s proposal. What is proposed seems too complex and burde</w:t>
      </w:r>
      <w:r>
        <w:rPr>
          <w:lang w:val="en-US"/>
        </w:rPr>
        <w:t>n</w:t>
      </w:r>
      <w:r>
        <w:rPr>
          <w:lang w:val="en-US"/>
        </w:rPr>
        <w:t xml:space="preserve">some. It is likely to make the prospectus longer which is not the general objective of the new prospectus legislation. </w:t>
      </w:r>
    </w:p>
    <w:p w:rsidR="00457391" w:rsidRDefault="00457391" w:rsidP="00457391">
      <w:pPr>
        <w:spacing w:before="19" w:line="220" w:lineRule="exact"/>
        <w:jc w:val="both"/>
        <w:rPr>
          <w:lang w:val="en-US"/>
        </w:rPr>
      </w:pPr>
      <w:r>
        <w:rPr>
          <w:lang w:val="en-US"/>
        </w:rPr>
        <w:t xml:space="preserve">In particular, for structured </w:t>
      </w:r>
      <w:proofErr w:type="spellStart"/>
      <w:r>
        <w:rPr>
          <w:lang w:val="en-US"/>
        </w:rPr>
        <w:t>programmes</w:t>
      </w:r>
      <w:proofErr w:type="spellEnd"/>
      <w:r>
        <w:rPr>
          <w:lang w:val="en-US"/>
        </w:rPr>
        <w:t xml:space="preserve">, it is not possible to provide this level of disclosure since on the approval date of base prospectuses, if the type of underlying that will be used (i.e. shares, indices…) is known, it is not yet the case, for instance, for the issuer of the underlying </w:t>
      </w:r>
      <w:r w:rsidRPr="00B15C45">
        <w:rPr>
          <w:lang w:val="en-US"/>
        </w:rPr>
        <w:t>shares</w:t>
      </w:r>
      <w:r>
        <w:rPr>
          <w:lang w:val="en-US"/>
        </w:rPr>
        <w:t xml:space="preserve"> and therefore it is not possible to provide information on such issuer. Indeed, the underlying shares used for the issue will be determined at the time of the issue under the </w:t>
      </w:r>
      <w:proofErr w:type="spellStart"/>
      <w:r>
        <w:rPr>
          <w:lang w:val="en-US"/>
        </w:rPr>
        <w:t>programme</w:t>
      </w:r>
      <w:proofErr w:type="spellEnd"/>
      <w:r>
        <w:rPr>
          <w:lang w:val="en-US"/>
        </w:rPr>
        <w:t xml:space="preserve"> and will be set out in the final terms. </w:t>
      </w:r>
    </w:p>
    <w:p w:rsidR="00457391" w:rsidRDefault="00457391" w:rsidP="00457391">
      <w:pPr>
        <w:spacing w:before="19" w:line="220" w:lineRule="exact"/>
        <w:jc w:val="both"/>
        <w:rPr>
          <w:lang w:val="en-US"/>
        </w:rPr>
      </w:pPr>
      <w:r>
        <w:rPr>
          <w:lang w:val="en-US"/>
        </w:rPr>
        <w:t xml:space="preserve">In addition, if issuers of these </w:t>
      </w:r>
      <w:proofErr w:type="spellStart"/>
      <w:r>
        <w:rPr>
          <w:lang w:val="en-US"/>
        </w:rPr>
        <w:t>underlyings</w:t>
      </w:r>
      <w:proofErr w:type="spellEnd"/>
      <w:r>
        <w:rPr>
          <w:lang w:val="en-US"/>
        </w:rPr>
        <w:t xml:space="preserve"> were to be described in the base prospectus, issuers would have to prepare supplements each time there is a new material information affecting the issuers of these </w:t>
      </w:r>
      <w:proofErr w:type="spellStart"/>
      <w:r>
        <w:rPr>
          <w:lang w:val="en-US"/>
        </w:rPr>
        <w:t>underlyings</w:t>
      </w:r>
      <w:proofErr w:type="spellEnd"/>
      <w:r>
        <w:rPr>
          <w:lang w:val="en-US"/>
        </w:rPr>
        <w:t>. This would be very cumbersome for issuers.</w:t>
      </w:r>
    </w:p>
    <w:p w:rsidR="00457391" w:rsidRPr="004033F6" w:rsidRDefault="00457391" w:rsidP="00457391">
      <w:pPr>
        <w:spacing w:before="19"/>
        <w:jc w:val="both"/>
        <w:rPr>
          <w:lang w:val="en-US"/>
        </w:rPr>
      </w:pPr>
      <w:r>
        <w:rPr>
          <w:lang w:val="en-US"/>
        </w:rPr>
        <w:t>The fact that this level of information is required for asset backed securities is relevant but this is not the case for derivative securities.</w:t>
      </w:r>
    </w:p>
    <w:p w:rsidR="00457391" w:rsidRPr="004033F6" w:rsidRDefault="00457391" w:rsidP="00457391">
      <w:pPr>
        <w:spacing w:before="19"/>
        <w:jc w:val="both"/>
        <w:rPr>
          <w:lang w:val="en-US"/>
        </w:rPr>
      </w:pPr>
      <w:r>
        <w:rPr>
          <w:lang w:val="en-US"/>
        </w:rPr>
        <w:t>This type of information should be left to the marketing documentation.</w:t>
      </w:r>
    </w:p>
    <w:permEnd w:id="52"/>
    <w:p w:rsidR="00357C60" w:rsidRDefault="00357C60" w:rsidP="00357C60">
      <w:pPr>
        <w:rPr>
          <w:rFonts w:cs="Arial"/>
        </w:rPr>
      </w:pPr>
      <w:r>
        <w:rPr>
          <w:rFonts w:cs="Arial"/>
        </w:rPr>
        <w:t>&lt;ESMA_QUESTION_FAC_48&gt;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rsidR="00357C60" w:rsidRDefault="00357C60" w:rsidP="00357C60">
      <w:pPr>
        <w:rPr>
          <w:rFonts w:cs="Arial"/>
        </w:rPr>
      </w:pPr>
      <w:r>
        <w:rPr>
          <w:rFonts w:cs="Arial"/>
        </w:rPr>
        <w:t>&lt;ESMA_QUESTION_FAC_49&gt;</w:t>
      </w:r>
    </w:p>
    <w:p w:rsidR="00357C60" w:rsidRPr="00457391" w:rsidRDefault="00457391" w:rsidP="00457391">
      <w:pPr>
        <w:tabs>
          <w:tab w:val="left" w:pos="0"/>
        </w:tabs>
        <w:spacing w:line="256" w:lineRule="auto"/>
        <w:ind w:right="198"/>
        <w:rPr>
          <w:lang w:val="en-US"/>
        </w:rPr>
      </w:pPr>
      <w:permStart w:id="53" w:edGrp="everyone"/>
      <w:r w:rsidRPr="005915B8">
        <w:rPr>
          <w:lang w:val="en-US"/>
        </w:rPr>
        <w:t>No,</w:t>
      </w:r>
      <w:r>
        <w:rPr>
          <w:lang w:val="en-US"/>
        </w:rPr>
        <w:t xml:space="preserve"> please refer to AMAFI’s answer to Question 48. It is not possible in the base prospectus to already set out reference obligations of the credit linked securities</w:t>
      </w:r>
      <w:r w:rsidRPr="005915B8">
        <w:t xml:space="preserve"> </w:t>
      </w:r>
      <w:r>
        <w:t xml:space="preserve">and their </w:t>
      </w:r>
      <w:r>
        <w:rPr>
          <w:lang w:val="en-US"/>
        </w:rPr>
        <w:t>issuers. This information can only be known on the issue date.</w:t>
      </w:r>
    </w:p>
    <w:permEnd w:id="53"/>
    <w:p w:rsidR="00357C60" w:rsidRDefault="00357C60" w:rsidP="00357C60">
      <w:pPr>
        <w:rPr>
          <w:rFonts w:cs="Arial"/>
        </w:rPr>
      </w:pPr>
      <w:r>
        <w:rPr>
          <w:rFonts w:cs="Arial"/>
        </w:rPr>
        <w:t>&lt;ESMA_QUESTION_FAC_49&gt;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rsidR="00357C60" w:rsidRDefault="00357C60" w:rsidP="00357C60">
      <w:pPr>
        <w:rPr>
          <w:rFonts w:cs="Arial"/>
        </w:rPr>
      </w:pPr>
      <w:r>
        <w:rPr>
          <w:rFonts w:cs="Arial"/>
        </w:rPr>
        <w:t>&lt;ESMA_QUESTION_FAC_50&gt;</w:t>
      </w:r>
    </w:p>
    <w:p w:rsidR="00357C60" w:rsidRDefault="00357C60" w:rsidP="00357C60">
      <w:pPr>
        <w:rPr>
          <w:rFonts w:cs="Arial"/>
        </w:rPr>
      </w:pPr>
      <w:permStart w:id="54" w:edGrp="everyone"/>
      <w:r>
        <w:rPr>
          <w:rFonts w:cs="Arial"/>
        </w:rPr>
        <w:t>TYPE YOUR TEXT HERE</w:t>
      </w:r>
    </w:p>
    <w:permEnd w:id="54"/>
    <w:p w:rsidR="00357C60" w:rsidRDefault="00357C60" w:rsidP="00357C60">
      <w:pPr>
        <w:rPr>
          <w:rFonts w:cs="Arial"/>
        </w:rPr>
      </w:pPr>
      <w:r>
        <w:rPr>
          <w:rFonts w:cs="Arial"/>
        </w:rPr>
        <w:t>&lt;ESMA_QUESTION_FAC_50&gt;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lastRenderedPageBreak/>
        <w:t>&lt;ESMA_QUESTION_FAC_51&gt;</w:t>
      </w:r>
    </w:p>
    <w:p w:rsidR="00357C60" w:rsidRPr="00457391" w:rsidRDefault="00457391" w:rsidP="0017568A">
      <w:pPr>
        <w:spacing w:before="19" w:line="220" w:lineRule="exact"/>
        <w:rPr>
          <w:rFonts w:cs="Arial"/>
          <w:lang w:val="en-US"/>
        </w:rPr>
      </w:pPr>
      <w:permStart w:id="55" w:edGrp="everyone"/>
      <w:r>
        <w:t>As a professional organisation, AMAFI is unable to respond to this question.</w:t>
      </w:r>
    </w:p>
    <w:permEnd w:id="55"/>
    <w:p w:rsidR="00357C60" w:rsidRDefault="00357C60" w:rsidP="00357C60">
      <w:pPr>
        <w:rPr>
          <w:rFonts w:cs="Arial"/>
        </w:rPr>
      </w:pPr>
      <w:r>
        <w:rPr>
          <w:rFonts w:cs="Arial"/>
        </w:rPr>
        <w:t>&lt;ESMA_QUESTION_FAC_51&gt;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w:t>
      </w:r>
      <w:r w:rsidRPr="0064701F">
        <w:rPr>
          <w:rFonts w:ascii="Arial" w:hAnsi="Arial" w:cs="Arial"/>
        </w:rPr>
        <w:t>y</w:t>
      </w:r>
      <w:r w:rsidRPr="0064701F">
        <w:rPr>
          <w:rFonts w:ascii="Arial" w:hAnsi="Arial" w:cs="Arial"/>
        </w:rPr>
        <w:t>ing share?</w:t>
      </w:r>
    </w:p>
    <w:p w:rsidR="00357C60" w:rsidRDefault="00357C60" w:rsidP="00357C60">
      <w:pPr>
        <w:rPr>
          <w:rFonts w:cs="Arial"/>
        </w:rPr>
      </w:pPr>
      <w:r>
        <w:rPr>
          <w:rFonts w:cs="Arial"/>
        </w:rPr>
        <w:t>&lt;ESMA_QUESTION_FAC_52&gt;</w:t>
      </w:r>
    </w:p>
    <w:p w:rsidR="0017568A" w:rsidRDefault="0017568A" w:rsidP="0017568A">
      <w:pPr>
        <w:spacing w:before="19" w:line="220" w:lineRule="exact"/>
        <w:jc w:val="both"/>
        <w:rPr>
          <w:lang w:val="en-US"/>
        </w:rPr>
      </w:pPr>
      <w:permStart w:id="56" w:edGrp="everyone"/>
      <w:r>
        <w:rPr>
          <w:lang w:val="en-US"/>
        </w:rPr>
        <w:t>AMAFI agrees with the proposed amendments which are already in effect in France, except as regards item 1.11 in respect of which it has two observations:</w:t>
      </w:r>
    </w:p>
    <w:p w:rsidR="0017568A" w:rsidRDefault="0017568A" w:rsidP="0017568A">
      <w:pPr>
        <w:spacing w:before="19" w:line="220" w:lineRule="exact"/>
        <w:jc w:val="both"/>
        <w:rPr>
          <w:lang w:val="en-US"/>
        </w:rPr>
      </w:pPr>
      <w:r>
        <w:rPr>
          <w:lang w:val="en-US"/>
        </w:rPr>
        <w:t>The first one is that the language of a) of item 1.11 should be modified, as mentioned below, in order to make it clearer and to reflect the fact that what is proposed only makes sense if it takes into account the situation of one shareholder which does not participate in the operation and not the situation of all the shareholders</w:t>
      </w:r>
    </w:p>
    <w:p w:rsidR="0017568A" w:rsidRDefault="0017568A" w:rsidP="0017568A">
      <w:pPr>
        <w:spacing w:line="220" w:lineRule="exact"/>
        <w:jc w:val="both"/>
        <w:rPr>
          <w:lang w:val="en-US"/>
        </w:rPr>
      </w:pPr>
      <w:r>
        <w:rPr>
          <w:lang w:val="en-US"/>
        </w:rPr>
        <w:t xml:space="preserve">The second observation is that for equity-linked products, the dilution calculation </w:t>
      </w:r>
      <w:r w:rsidRPr="00D33ADC">
        <w:rPr>
          <w:lang w:val="en-US"/>
        </w:rPr>
        <w:t>on the basis of the net asset value per share makes no sense.</w:t>
      </w:r>
      <w:r>
        <w:rPr>
          <w:lang w:val="en-US"/>
        </w:rPr>
        <w:t xml:space="preserve"> Therefore the b) paragraph should be deleted.</w:t>
      </w:r>
    </w:p>
    <w:p w:rsidR="0017568A" w:rsidRDefault="0017568A" w:rsidP="0017568A">
      <w:pPr>
        <w:spacing w:line="276" w:lineRule="auto"/>
        <w:jc w:val="both"/>
        <w:rPr>
          <w:lang w:val="en-US"/>
        </w:rPr>
      </w:pPr>
      <w:r>
        <w:rPr>
          <w:lang w:val="en-US"/>
        </w:rPr>
        <w:t>Consequently, it is proposed to modify item 1.11 as follows:</w:t>
      </w:r>
    </w:p>
    <w:p w:rsidR="0017568A" w:rsidRDefault="0017568A" w:rsidP="0017568A">
      <w:pPr>
        <w:spacing w:before="19" w:line="220" w:lineRule="exact"/>
        <w:rPr>
          <w:lang w:val="en-US"/>
        </w:rPr>
      </w:pPr>
    </w:p>
    <w:p w:rsidR="0017568A" w:rsidRDefault="0017568A" w:rsidP="0017568A">
      <w:pPr>
        <w:spacing w:before="19" w:line="220" w:lineRule="exact"/>
        <w:rPr>
          <w:lang w:val="en-US"/>
        </w:rPr>
      </w:pPr>
      <w:r>
        <w:rPr>
          <w:u w:val="single"/>
          <w:lang w:val="en-US"/>
        </w:rPr>
        <w:t>Proposed m</w:t>
      </w:r>
      <w:r w:rsidRPr="00846C2E">
        <w:rPr>
          <w:u w:val="single"/>
          <w:lang w:val="en-US"/>
        </w:rPr>
        <w:t>odification</w:t>
      </w:r>
      <w:r>
        <w:rPr>
          <w:lang w:val="en-US"/>
        </w:rPr>
        <w:t>:</w:t>
      </w:r>
    </w:p>
    <w:p w:rsidR="0017568A" w:rsidRDefault="0017568A" w:rsidP="0017568A">
      <w:pPr>
        <w:spacing w:before="19" w:line="220" w:lineRule="exact"/>
        <w:rPr>
          <w:lang w:val="en-US"/>
        </w:rPr>
      </w:pPr>
    </w:p>
    <w:p w:rsidR="0017568A" w:rsidRPr="00D33ADC" w:rsidRDefault="0017568A" w:rsidP="0017568A">
      <w:pPr>
        <w:spacing w:before="19" w:line="220" w:lineRule="exact"/>
        <w:rPr>
          <w:i/>
          <w:strike/>
          <w:lang w:val="en-US"/>
        </w:rPr>
      </w:pPr>
      <w:r>
        <w:rPr>
          <w:lang w:val="en-US"/>
        </w:rPr>
        <w:t xml:space="preserve">1.1 </w:t>
      </w:r>
      <w:r w:rsidRPr="00D33ADC">
        <w:rPr>
          <w:i/>
          <w:strike/>
          <w:lang w:val="en-US"/>
        </w:rPr>
        <w:t>A comparison of:</w:t>
      </w:r>
    </w:p>
    <w:p w:rsidR="0017568A" w:rsidRPr="00D33ADC" w:rsidRDefault="0017568A" w:rsidP="0017568A">
      <w:pPr>
        <w:pStyle w:val="Paragraphedeliste"/>
        <w:numPr>
          <w:ilvl w:val="0"/>
          <w:numId w:val="43"/>
        </w:numPr>
        <w:spacing w:before="19" w:line="220" w:lineRule="exact"/>
        <w:jc w:val="both"/>
        <w:rPr>
          <w:i/>
          <w:lang w:val="en-US"/>
        </w:rPr>
      </w:pPr>
      <w:r w:rsidRPr="00824992">
        <w:rPr>
          <w:i/>
          <w:lang w:val="en-US"/>
        </w:rPr>
        <w:t xml:space="preserve">Participation in share capital and voting rights of </w:t>
      </w:r>
      <w:r w:rsidRPr="00824992">
        <w:rPr>
          <w:b/>
          <w:i/>
          <w:u w:val="single"/>
          <w:lang w:val="en-US"/>
        </w:rPr>
        <w:t>an</w:t>
      </w:r>
      <w:r>
        <w:rPr>
          <w:i/>
          <w:lang w:val="en-US"/>
        </w:rPr>
        <w:t xml:space="preserve"> </w:t>
      </w:r>
      <w:r w:rsidRPr="00824992">
        <w:rPr>
          <w:i/>
          <w:lang w:val="en-US"/>
        </w:rPr>
        <w:t>existing shareholder</w:t>
      </w:r>
      <w:r w:rsidRPr="00824992">
        <w:rPr>
          <w:i/>
          <w:strike/>
          <w:lang w:val="en-US"/>
        </w:rPr>
        <w:t>s</w:t>
      </w:r>
      <w:r w:rsidRPr="00824992">
        <w:rPr>
          <w:i/>
          <w:lang w:val="en-US"/>
        </w:rPr>
        <w:t xml:space="preserve"> before and after the capital increase resulting from the public offer, with the assumption that</w:t>
      </w:r>
      <w:r>
        <w:rPr>
          <w:i/>
          <w:lang w:val="en-US"/>
        </w:rPr>
        <w:t xml:space="preserve"> </w:t>
      </w:r>
      <w:r w:rsidRPr="00C912B6">
        <w:rPr>
          <w:b/>
          <w:i/>
          <w:u w:val="single"/>
          <w:lang w:val="en-US"/>
        </w:rPr>
        <w:t>such</w:t>
      </w:r>
      <w:r w:rsidRPr="00824992">
        <w:rPr>
          <w:i/>
          <w:lang w:val="en-US"/>
        </w:rPr>
        <w:t xml:space="preserve"> existing sharehol</w:t>
      </w:r>
      <w:r w:rsidRPr="00824992">
        <w:rPr>
          <w:i/>
          <w:lang w:val="en-US"/>
        </w:rPr>
        <w:t>d</w:t>
      </w:r>
      <w:r w:rsidRPr="00824992">
        <w:rPr>
          <w:i/>
          <w:lang w:val="en-US"/>
        </w:rPr>
        <w:t>er</w:t>
      </w:r>
      <w:r w:rsidRPr="00C912B6">
        <w:rPr>
          <w:i/>
          <w:strike/>
          <w:lang w:val="en-US"/>
        </w:rPr>
        <w:t>s</w:t>
      </w:r>
      <w:r w:rsidRPr="00824992">
        <w:rPr>
          <w:i/>
          <w:lang w:val="en-US"/>
        </w:rPr>
        <w:t xml:space="preserve"> do</w:t>
      </w:r>
      <w:r w:rsidRPr="00C912B6">
        <w:rPr>
          <w:b/>
          <w:i/>
          <w:u w:val="single"/>
          <w:lang w:val="en-US"/>
        </w:rPr>
        <w:t>es</w:t>
      </w:r>
      <w:r w:rsidRPr="00824992">
        <w:rPr>
          <w:i/>
          <w:lang w:val="en-US"/>
        </w:rPr>
        <w:t xml:space="preserve"> not subscribe for the new shares; </w:t>
      </w:r>
      <w:r w:rsidRPr="00D33ADC">
        <w:rPr>
          <w:i/>
          <w:strike/>
          <w:lang w:val="en-US"/>
        </w:rPr>
        <w:t>and</w:t>
      </w:r>
    </w:p>
    <w:p w:rsidR="0017568A" w:rsidRPr="00824992" w:rsidRDefault="0017568A" w:rsidP="0017568A">
      <w:pPr>
        <w:pStyle w:val="Paragraphedeliste"/>
        <w:numPr>
          <w:ilvl w:val="0"/>
          <w:numId w:val="43"/>
        </w:numPr>
        <w:spacing w:before="19" w:line="220" w:lineRule="exact"/>
        <w:jc w:val="both"/>
        <w:rPr>
          <w:i/>
          <w:lang w:val="en-US"/>
        </w:rPr>
      </w:pPr>
      <w:r>
        <w:rPr>
          <w:i/>
          <w:strike/>
          <w:lang w:val="en-US"/>
        </w:rPr>
        <w:t xml:space="preserve">The net asset value per share as of the date of the latest balance before the public offer (selling offer and / or capital increase) and the offering price per share within that public offer. </w:t>
      </w:r>
    </w:p>
    <w:p w:rsidR="0017568A" w:rsidRDefault="0017568A" w:rsidP="0017568A">
      <w:pPr>
        <w:spacing w:after="200" w:line="276" w:lineRule="auto"/>
        <w:rPr>
          <w:lang w:val="en-US"/>
        </w:rPr>
      </w:pPr>
    </w:p>
    <w:permEnd w:id="56"/>
    <w:p w:rsidR="00357C60" w:rsidRDefault="00357C60" w:rsidP="00357C60">
      <w:pPr>
        <w:rPr>
          <w:rFonts w:cs="Arial"/>
        </w:rPr>
      </w:pPr>
      <w:r>
        <w:rPr>
          <w:rFonts w:cs="Arial"/>
        </w:rPr>
        <w:t>&lt;ESMA_QUESTION_FAC_52&gt;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&lt;ESMA_QUESTION_FAC_53&gt;</w:t>
      </w:r>
    </w:p>
    <w:p w:rsidR="00357C60" w:rsidRDefault="0017568A" w:rsidP="0017568A">
      <w:pPr>
        <w:tabs>
          <w:tab w:val="left" w:pos="1418"/>
        </w:tabs>
        <w:spacing w:line="256" w:lineRule="auto"/>
        <w:ind w:left="1418" w:right="198" w:hanging="1418"/>
        <w:rPr>
          <w:rFonts w:cs="Arial"/>
        </w:rPr>
      </w:pPr>
      <w:permStart w:id="57" w:edGrp="everyone"/>
      <w:r>
        <w:t>As a professional organisation, AMAFI is unable to respond to this question.</w:t>
      </w:r>
    </w:p>
    <w:permEnd w:id="57"/>
    <w:p w:rsidR="00357C60" w:rsidRDefault="00357C60" w:rsidP="00357C60">
      <w:pPr>
        <w:rPr>
          <w:rFonts w:cs="Arial"/>
        </w:rPr>
      </w:pPr>
      <w:r>
        <w:rPr>
          <w:rFonts w:cs="Arial"/>
        </w:rPr>
        <w:t>&lt;ESMA_QUESTION_FAC_53&gt;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w:t>
      </w:r>
      <w:r w:rsidRPr="0064701F">
        <w:rPr>
          <w:rFonts w:ascii="Arial" w:hAnsi="Arial" w:cs="Arial"/>
        </w:rPr>
        <w:t>u</w:t>
      </w:r>
      <w:r w:rsidRPr="0064701F">
        <w:rPr>
          <w:rFonts w:ascii="Arial" w:hAnsi="Arial" w:cs="Arial"/>
        </w:rPr>
        <w:t>thorities should remain unchanged (with the exception of the reference to Member States)?</w:t>
      </w:r>
    </w:p>
    <w:p w:rsidR="00357C60" w:rsidRDefault="00357C60" w:rsidP="00357C60">
      <w:pPr>
        <w:rPr>
          <w:rFonts w:cs="Arial"/>
        </w:rPr>
      </w:pPr>
      <w:r>
        <w:rPr>
          <w:rFonts w:cs="Arial"/>
        </w:rPr>
        <w:t>&lt;ESMA_QUESTION_FAC_54&gt;</w:t>
      </w:r>
    </w:p>
    <w:p w:rsidR="00357C60" w:rsidRDefault="00357C60" w:rsidP="00357C60">
      <w:pPr>
        <w:rPr>
          <w:rFonts w:cs="Arial"/>
        </w:rPr>
      </w:pPr>
      <w:permStart w:id="58" w:edGrp="everyone"/>
      <w:r>
        <w:rPr>
          <w:rFonts w:cs="Arial"/>
        </w:rPr>
        <w:t>TYPE YOUR TEXT HERE</w:t>
      </w:r>
    </w:p>
    <w:permEnd w:id="58"/>
    <w:p w:rsidR="00357C60" w:rsidRDefault="00357C60" w:rsidP="00357C60">
      <w:pPr>
        <w:rPr>
          <w:rFonts w:cs="Arial"/>
        </w:rPr>
      </w:pPr>
      <w:r>
        <w:rPr>
          <w:rFonts w:cs="Arial"/>
        </w:rPr>
        <w:t>&lt;ESMA_QUESTION_FAC_54&gt;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w:t>
      </w:r>
      <w:r w:rsidRPr="0064701F">
        <w:rPr>
          <w:rFonts w:ascii="Arial" w:hAnsi="Arial" w:cs="Arial"/>
        </w:rPr>
        <w:t>a</w:t>
      </w:r>
      <w:r w:rsidRPr="0064701F">
        <w:rPr>
          <w:rFonts w:ascii="Arial" w:hAnsi="Arial" w:cs="Arial"/>
        </w:rPr>
        <w:t>tion document?</w:t>
      </w:r>
    </w:p>
    <w:p w:rsidR="00357C60" w:rsidRDefault="00357C60" w:rsidP="00357C60">
      <w:pPr>
        <w:rPr>
          <w:rFonts w:cs="Arial"/>
        </w:rPr>
      </w:pPr>
      <w:r>
        <w:rPr>
          <w:rFonts w:cs="Arial"/>
        </w:rPr>
        <w:t>&lt;ESMA_QUESTION_FAC_55&gt;</w:t>
      </w:r>
    </w:p>
    <w:p w:rsidR="00357C60" w:rsidRDefault="00357C60" w:rsidP="00357C60">
      <w:pPr>
        <w:rPr>
          <w:rFonts w:cs="Arial"/>
        </w:rPr>
      </w:pPr>
      <w:permStart w:id="59" w:edGrp="everyone"/>
      <w:r>
        <w:rPr>
          <w:rFonts w:cs="Arial"/>
        </w:rPr>
        <w:t>TYPE YOUR TEXT HERE</w:t>
      </w:r>
    </w:p>
    <w:permEnd w:id="59"/>
    <w:p w:rsidR="00357C60" w:rsidRDefault="00357C60" w:rsidP="00357C60">
      <w:pPr>
        <w:rPr>
          <w:rFonts w:cs="Arial"/>
        </w:rPr>
      </w:pPr>
      <w:r>
        <w:rPr>
          <w:rFonts w:cs="Arial"/>
        </w:rPr>
        <w:lastRenderedPageBreak/>
        <w:t>&lt;ESMA_QUESTION_FAC_55&gt;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&lt;ESMA_QUESTION_FAC_56&gt;</w:t>
      </w:r>
    </w:p>
    <w:p w:rsidR="00357C60" w:rsidRDefault="00357C60" w:rsidP="00357C60">
      <w:pPr>
        <w:rPr>
          <w:rFonts w:cs="Arial"/>
        </w:rPr>
      </w:pPr>
      <w:permStart w:id="60" w:edGrp="everyone"/>
      <w:r>
        <w:rPr>
          <w:rFonts w:cs="Arial"/>
        </w:rPr>
        <w:t>TYPE YOUR TEXT HERE</w:t>
      </w:r>
    </w:p>
    <w:permEnd w:id="60"/>
    <w:p w:rsidR="00357C60" w:rsidRDefault="00357C60" w:rsidP="00357C60">
      <w:pPr>
        <w:rPr>
          <w:rFonts w:cs="Arial"/>
        </w:rPr>
      </w:pPr>
      <w:r>
        <w:rPr>
          <w:rFonts w:cs="Arial"/>
        </w:rPr>
        <w:t>&lt;ESMA_QUESTION_FAC_56&gt;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rsidR="00357C60" w:rsidRDefault="00357C60" w:rsidP="00357C60">
      <w:pPr>
        <w:rPr>
          <w:rFonts w:cs="Arial"/>
        </w:rPr>
      </w:pPr>
      <w:r>
        <w:rPr>
          <w:rFonts w:cs="Arial"/>
        </w:rPr>
        <w:t>&lt;ESMA_QUESTION_FAC_57&gt;</w:t>
      </w:r>
    </w:p>
    <w:p w:rsidR="00357C60" w:rsidRDefault="00357C60" w:rsidP="00357C60">
      <w:pPr>
        <w:rPr>
          <w:rFonts w:cs="Arial"/>
        </w:rPr>
      </w:pPr>
      <w:permStart w:id="61" w:edGrp="everyone"/>
      <w:r>
        <w:rPr>
          <w:rFonts w:cs="Arial"/>
        </w:rPr>
        <w:t>TYPE YOUR TEXT HERE</w:t>
      </w:r>
    </w:p>
    <w:permEnd w:id="61"/>
    <w:p w:rsidR="00357C60" w:rsidRDefault="00357C60" w:rsidP="00357C60">
      <w:pPr>
        <w:rPr>
          <w:rFonts w:cs="Arial"/>
        </w:rPr>
      </w:pPr>
      <w:r>
        <w:rPr>
          <w:rFonts w:cs="Arial"/>
        </w:rPr>
        <w:t>&lt;ESMA_QUESTION_FAC_57&gt;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rsidR="00357C60" w:rsidRDefault="00357C60" w:rsidP="00357C60">
      <w:pPr>
        <w:rPr>
          <w:rFonts w:cs="Arial"/>
        </w:rPr>
      </w:pPr>
      <w:r>
        <w:rPr>
          <w:rFonts w:cs="Arial"/>
        </w:rPr>
        <w:t>&lt;ESMA_QUESTION_FAC_58&gt;</w:t>
      </w:r>
    </w:p>
    <w:p w:rsidR="00357C60" w:rsidRDefault="00357C60" w:rsidP="00357C60">
      <w:pPr>
        <w:rPr>
          <w:rFonts w:cs="Arial"/>
        </w:rPr>
      </w:pPr>
      <w:permStart w:id="62" w:edGrp="everyone"/>
      <w:r>
        <w:rPr>
          <w:rFonts w:cs="Arial"/>
        </w:rPr>
        <w:t>TYPE YOUR TEXT HERE</w:t>
      </w:r>
    </w:p>
    <w:permEnd w:id="62"/>
    <w:p w:rsidR="00357C60" w:rsidRDefault="00357C60" w:rsidP="00357C60">
      <w:pPr>
        <w:rPr>
          <w:rFonts w:cs="Arial"/>
        </w:rPr>
      </w:pPr>
      <w:r>
        <w:rPr>
          <w:rFonts w:cs="Arial"/>
        </w:rPr>
        <w:t>&lt;ESMA_QUESTION_FAC_58&gt;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&lt;ESMA_QUESTION_FAC_59&gt;</w:t>
      </w:r>
    </w:p>
    <w:p w:rsidR="00357C60" w:rsidRDefault="00357C60" w:rsidP="00357C60">
      <w:pPr>
        <w:rPr>
          <w:rFonts w:cs="Arial"/>
        </w:rPr>
      </w:pPr>
      <w:permStart w:id="63" w:edGrp="everyone"/>
      <w:r>
        <w:rPr>
          <w:rFonts w:cs="Arial"/>
        </w:rPr>
        <w:t>TYPE YOUR TEXT HERE</w:t>
      </w:r>
    </w:p>
    <w:permEnd w:id="63"/>
    <w:p w:rsidR="00357C60" w:rsidRDefault="00357C60" w:rsidP="00357C60">
      <w:pPr>
        <w:rPr>
          <w:rFonts w:cs="Arial"/>
        </w:rPr>
      </w:pPr>
      <w:r>
        <w:rPr>
          <w:rFonts w:cs="Arial"/>
        </w:rPr>
        <w:t>&lt;ESMA_QUESTION_FAC_59&gt;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w:t>
      </w:r>
      <w:r w:rsidRPr="0064701F">
        <w:rPr>
          <w:rFonts w:ascii="Arial" w:hAnsi="Arial" w:cs="Arial"/>
        </w:rPr>
        <w:t>e</w:t>
      </w:r>
      <w:r w:rsidRPr="0064701F">
        <w:rPr>
          <w:rFonts w:ascii="Arial" w:hAnsi="Arial" w:cs="Arial"/>
        </w:rPr>
        <w:t>fits implied by the further changes you propose.</w:t>
      </w:r>
    </w:p>
    <w:p w:rsidR="00357C60" w:rsidRDefault="00357C60" w:rsidP="00357C60">
      <w:pPr>
        <w:rPr>
          <w:rFonts w:cs="Arial"/>
        </w:rPr>
      </w:pPr>
      <w:r>
        <w:rPr>
          <w:rFonts w:cs="Arial"/>
        </w:rPr>
        <w:t>&lt;ESMA_QUESTION_FAC_60&gt;</w:t>
      </w:r>
    </w:p>
    <w:p w:rsidR="00357C60" w:rsidRPr="003E6758" w:rsidRDefault="003E6758" w:rsidP="003E6758">
      <w:pPr>
        <w:tabs>
          <w:tab w:val="left" w:pos="1418"/>
        </w:tabs>
        <w:spacing w:line="256" w:lineRule="auto"/>
        <w:ind w:left="1418" w:right="198" w:hanging="1418"/>
        <w:rPr>
          <w:rFonts w:cs="Arial"/>
          <w:lang w:val="en-US"/>
        </w:rPr>
      </w:pPr>
      <w:permStart w:id="64" w:edGrp="everyone"/>
      <w:r>
        <w:rPr>
          <w:lang w:val="en-US"/>
        </w:rPr>
        <w:t>AMAFI agrees with the proposed amendments.</w:t>
      </w:r>
    </w:p>
    <w:permEnd w:id="64"/>
    <w:p w:rsidR="00357C60" w:rsidRDefault="00357C60" w:rsidP="00357C60">
      <w:pPr>
        <w:rPr>
          <w:rFonts w:cs="Arial"/>
        </w:rPr>
      </w:pPr>
      <w:r>
        <w:rPr>
          <w:rFonts w:cs="Arial"/>
        </w:rPr>
        <w:t>&lt;ESMA_QUESTION_FAC_60&gt;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rsidR="00357C60" w:rsidRDefault="00357C60" w:rsidP="00357C60">
      <w:pPr>
        <w:rPr>
          <w:rFonts w:cs="Arial"/>
        </w:rPr>
      </w:pPr>
      <w:r>
        <w:rPr>
          <w:rFonts w:cs="Arial"/>
        </w:rPr>
        <w:t>&lt;ESMA_QUESTION_FAC_61&gt;</w:t>
      </w:r>
    </w:p>
    <w:p w:rsidR="00357C60" w:rsidRPr="003E6758" w:rsidRDefault="003E6758" w:rsidP="00357C60">
      <w:pPr>
        <w:rPr>
          <w:rFonts w:cs="Arial"/>
          <w:lang w:val="en-US"/>
        </w:rPr>
      </w:pPr>
      <w:permStart w:id="65" w:edGrp="everyone"/>
      <w:r>
        <w:rPr>
          <w:lang w:val="en-US"/>
        </w:rPr>
        <w:t>AMAFI agrees that the additional building block for guarantees does not need any further change</w:t>
      </w:r>
    </w:p>
    <w:permEnd w:id="65"/>
    <w:p w:rsidR="00357C60" w:rsidRDefault="00357C60" w:rsidP="00357C60">
      <w:pPr>
        <w:rPr>
          <w:rFonts w:cs="Arial"/>
        </w:rPr>
      </w:pPr>
      <w:r>
        <w:rPr>
          <w:rFonts w:cs="Arial"/>
        </w:rPr>
        <w:t>&lt;ESMA_QUESTION_FAC_61&gt;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rsidR="00357C60" w:rsidRDefault="00357C60" w:rsidP="00357C60">
      <w:pPr>
        <w:rPr>
          <w:rFonts w:cs="Arial"/>
        </w:rPr>
      </w:pPr>
      <w:r>
        <w:rPr>
          <w:rFonts w:cs="Arial"/>
        </w:rPr>
        <w:t>&lt;ESMA_QUESTION_FAC_62&gt;</w:t>
      </w:r>
    </w:p>
    <w:p w:rsidR="00357C60" w:rsidRDefault="003E6758" w:rsidP="003E6758">
      <w:pPr>
        <w:rPr>
          <w:rFonts w:cs="Arial"/>
        </w:rPr>
      </w:pPr>
      <w:permStart w:id="66" w:edGrp="everyone"/>
      <w:r>
        <w:rPr>
          <w:lang w:val="en-US"/>
        </w:rPr>
        <w:t xml:space="preserve">AMAFI cannot disagree with this analysis and, in consequence, with the requirement of </w:t>
      </w:r>
      <w:r w:rsidRPr="007342C7">
        <w:rPr>
          <w:lang w:val="en-US"/>
        </w:rPr>
        <w:t xml:space="preserve">a </w:t>
      </w:r>
      <w:r>
        <w:rPr>
          <w:rFonts w:eastAsia="Arial"/>
          <w:spacing w:val="-1"/>
          <w:lang w:val="en-US"/>
        </w:rPr>
        <w:t xml:space="preserve">working </w:t>
      </w:r>
      <w:r w:rsidRPr="007342C7">
        <w:rPr>
          <w:rFonts w:eastAsia="Arial"/>
          <w:spacing w:val="-1"/>
          <w:lang w:val="en-US"/>
        </w:rPr>
        <w:t xml:space="preserve">capital statement and / or a </w:t>
      </w:r>
      <w:proofErr w:type="spellStart"/>
      <w:r w:rsidRPr="007342C7">
        <w:rPr>
          <w:rFonts w:eastAsia="Arial"/>
          <w:spacing w:val="-1"/>
          <w:lang w:val="en-US"/>
        </w:rPr>
        <w:t>capitalisation</w:t>
      </w:r>
      <w:proofErr w:type="spellEnd"/>
    </w:p>
    <w:permEnd w:id="66"/>
    <w:p w:rsidR="00357C60" w:rsidRDefault="00357C60" w:rsidP="00357C60">
      <w:pPr>
        <w:rPr>
          <w:rFonts w:cs="Arial"/>
        </w:rPr>
      </w:pPr>
      <w:r>
        <w:rPr>
          <w:rFonts w:cs="Arial"/>
        </w:rPr>
        <w:t>&lt;ESMA_QUESTION_FAC_62&gt;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&lt;ESMA_QUESTION_FAC_63&gt;</w:t>
      </w:r>
    </w:p>
    <w:p w:rsidR="00357C60" w:rsidRPr="003E6758" w:rsidRDefault="003E6758" w:rsidP="003E6758">
      <w:pPr>
        <w:tabs>
          <w:tab w:val="left" w:pos="1418"/>
        </w:tabs>
        <w:spacing w:line="256" w:lineRule="auto"/>
        <w:ind w:left="1418" w:right="198" w:hanging="1418"/>
      </w:pPr>
      <w:permStart w:id="67" w:edGrp="everyone"/>
      <w:r>
        <w:t>As a professional organisation, AMAFI is unable to respond to this question.</w:t>
      </w:r>
    </w:p>
    <w:permEnd w:id="67"/>
    <w:p w:rsidR="00357C60" w:rsidRDefault="00357C60" w:rsidP="00357C60">
      <w:pPr>
        <w:rPr>
          <w:rFonts w:cs="Arial"/>
        </w:rPr>
      </w:pPr>
      <w:r>
        <w:rPr>
          <w:rFonts w:cs="Arial"/>
        </w:rPr>
        <w:t>&lt;ESMA_QUESTION_FAC_63&gt;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rsidR="00357C60" w:rsidRDefault="00357C60" w:rsidP="00357C60">
      <w:pPr>
        <w:rPr>
          <w:rFonts w:cs="Arial"/>
        </w:rPr>
      </w:pPr>
      <w:r>
        <w:rPr>
          <w:rFonts w:cs="Arial"/>
        </w:rPr>
        <w:t>&lt;ESMA_QUESTION_FAC_64&gt;</w:t>
      </w:r>
    </w:p>
    <w:p w:rsidR="00357C60" w:rsidRDefault="00357C60" w:rsidP="00357C60">
      <w:pPr>
        <w:rPr>
          <w:rFonts w:cs="Arial"/>
        </w:rPr>
      </w:pPr>
      <w:permStart w:id="68" w:edGrp="everyone"/>
      <w:r>
        <w:rPr>
          <w:rFonts w:cs="Arial"/>
        </w:rPr>
        <w:t>TYPE YOUR TEXT HERE</w:t>
      </w:r>
    </w:p>
    <w:permEnd w:id="68"/>
    <w:p w:rsidR="00357C60" w:rsidRDefault="00357C60" w:rsidP="00357C60">
      <w:pPr>
        <w:rPr>
          <w:rFonts w:cs="Arial"/>
        </w:rPr>
      </w:pPr>
      <w:r>
        <w:rPr>
          <w:rFonts w:cs="Arial"/>
        </w:rPr>
        <w:t>&lt;ESMA_QUESTION_FAC_64&gt;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rsidR="00357C60" w:rsidRDefault="00357C60" w:rsidP="00357C60">
      <w:pPr>
        <w:rPr>
          <w:rFonts w:cs="Arial"/>
        </w:rPr>
      </w:pPr>
      <w:r>
        <w:rPr>
          <w:rFonts w:cs="Arial"/>
        </w:rPr>
        <w:t>&lt;ESMA_QUESTION_FAC_65&gt;</w:t>
      </w:r>
    </w:p>
    <w:p w:rsidR="00357C60" w:rsidRDefault="00357C60" w:rsidP="00357C60">
      <w:pPr>
        <w:rPr>
          <w:rFonts w:cs="Arial"/>
        </w:rPr>
      </w:pPr>
      <w:permStart w:id="69" w:edGrp="everyone"/>
      <w:r>
        <w:rPr>
          <w:rFonts w:cs="Arial"/>
        </w:rPr>
        <w:t>TYPE YOUR TEXT HERE</w:t>
      </w:r>
    </w:p>
    <w:permEnd w:id="69"/>
    <w:p w:rsidR="00357C60" w:rsidRDefault="00357C60" w:rsidP="00357C60">
      <w:pPr>
        <w:rPr>
          <w:rFonts w:cs="Arial"/>
        </w:rPr>
      </w:pPr>
      <w:r>
        <w:rPr>
          <w:rFonts w:cs="Arial"/>
        </w:rPr>
        <w:t>&lt;ESMA_QUESTION_FAC_65&gt;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rsidR="00357C60" w:rsidRDefault="00357C60" w:rsidP="00357C60">
      <w:pPr>
        <w:rPr>
          <w:rFonts w:cs="Arial"/>
        </w:rPr>
      </w:pPr>
      <w:r>
        <w:rPr>
          <w:rFonts w:cs="Arial"/>
        </w:rPr>
        <w:t>&lt;ESMA_QUESTION_FAC_66&gt;</w:t>
      </w:r>
    </w:p>
    <w:p w:rsidR="00357C60" w:rsidRDefault="00357C60" w:rsidP="00357C60">
      <w:pPr>
        <w:rPr>
          <w:rFonts w:cs="Arial"/>
        </w:rPr>
      </w:pPr>
      <w:permStart w:id="70" w:edGrp="everyone"/>
      <w:r>
        <w:rPr>
          <w:rFonts w:cs="Arial"/>
        </w:rPr>
        <w:t>TYPE YOUR TEXT HERE</w:t>
      </w:r>
    </w:p>
    <w:permEnd w:id="70"/>
    <w:p w:rsidR="00357C60" w:rsidRDefault="00357C60" w:rsidP="00357C60">
      <w:pPr>
        <w:rPr>
          <w:rFonts w:cs="Arial"/>
        </w:rPr>
      </w:pPr>
      <w:r>
        <w:rPr>
          <w:rFonts w:cs="Arial"/>
        </w:rPr>
        <w:t>&lt;ESMA_QUESTION_FAC_66&gt;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&lt;ESMA_QUESTION_FAC_67&gt;</w:t>
      </w:r>
    </w:p>
    <w:p w:rsidR="00357C60" w:rsidRDefault="00357C60" w:rsidP="00357C60">
      <w:pPr>
        <w:rPr>
          <w:rFonts w:cs="Arial"/>
        </w:rPr>
      </w:pPr>
      <w:permStart w:id="71" w:edGrp="everyone"/>
      <w:r>
        <w:rPr>
          <w:rFonts w:cs="Arial"/>
        </w:rPr>
        <w:t>TYPE YOUR TEXT HERE</w:t>
      </w:r>
    </w:p>
    <w:permEnd w:id="71"/>
    <w:p w:rsidR="00357C60" w:rsidRDefault="00357C60" w:rsidP="00357C60">
      <w:pPr>
        <w:rPr>
          <w:rFonts w:cs="Arial"/>
        </w:rPr>
      </w:pPr>
      <w:r>
        <w:rPr>
          <w:rFonts w:cs="Arial"/>
        </w:rPr>
        <w:t>&lt;ESMA_QUESTION_FAC_67&gt;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that any changes are required to the existing regime for co</w:t>
      </w:r>
      <w:r w:rsidRPr="0064701F">
        <w:rPr>
          <w:rFonts w:ascii="Arial" w:hAnsi="Arial" w:cs="Arial"/>
        </w:rPr>
        <w:t>n</w:t>
      </w:r>
      <w:r w:rsidRPr="0064701F">
        <w:rPr>
          <w:rFonts w:ascii="Arial" w:hAnsi="Arial" w:cs="Arial"/>
        </w:rPr>
        <w:t>vertible and exchangeable securities? If so, please specify.</w:t>
      </w:r>
    </w:p>
    <w:p w:rsidR="00357C60" w:rsidRDefault="00357C60" w:rsidP="00357C60">
      <w:pPr>
        <w:rPr>
          <w:rFonts w:cs="Arial"/>
        </w:rPr>
      </w:pPr>
      <w:r>
        <w:rPr>
          <w:rFonts w:cs="Arial"/>
        </w:rPr>
        <w:t>&lt;ESMA_QUESTION_FAC_68&gt;</w:t>
      </w:r>
    </w:p>
    <w:p w:rsidR="00357C60" w:rsidRPr="003E6758" w:rsidRDefault="003E6758" w:rsidP="00992ADB">
      <w:pPr>
        <w:spacing w:line="256" w:lineRule="auto"/>
        <w:ind w:right="198"/>
        <w:rPr>
          <w:rFonts w:cs="Arial"/>
          <w:lang w:val="en-US"/>
        </w:rPr>
      </w:pPr>
      <w:permStart w:id="72" w:edGrp="everyone"/>
      <w:r>
        <w:rPr>
          <w:lang w:val="en-US"/>
        </w:rPr>
        <w:t>AMAFI considers that no changes other than those proposed are required regarding convertible and exchangeable securities.</w:t>
      </w:r>
    </w:p>
    <w:permEnd w:id="72"/>
    <w:p w:rsidR="00357C60" w:rsidRDefault="00357C60" w:rsidP="00357C60">
      <w:pPr>
        <w:rPr>
          <w:rFonts w:cs="Arial"/>
        </w:rPr>
      </w:pPr>
      <w:r>
        <w:rPr>
          <w:rFonts w:cs="Arial"/>
        </w:rPr>
        <w:t>&lt;ESMA_QUESTION_FAC_68&gt;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rsidR="00357C60" w:rsidRDefault="00357C60" w:rsidP="00357C60">
      <w:pPr>
        <w:rPr>
          <w:rFonts w:cs="Arial"/>
        </w:rPr>
      </w:pPr>
      <w:r>
        <w:rPr>
          <w:rFonts w:cs="Arial"/>
        </w:rPr>
        <w:t>&lt;ESMA_QUESTION_FAC_69&gt;</w:t>
      </w:r>
    </w:p>
    <w:p w:rsidR="00357C60" w:rsidRPr="00992ADB" w:rsidRDefault="00992ADB" w:rsidP="00992ADB">
      <w:pPr>
        <w:spacing w:line="256" w:lineRule="auto"/>
        <w:ind w:right="198"/>
        <w:rPr>
          <w:rFonts w:cs="Arial"/>
          <w:lang w:val="en-US"/>
        </w:rPr>
      </w:pPr>
      <w:permStart w:id="73" w:edGrp="everyone"/>
      <w:r>
        <w:rPr>
          <w:lang w:val="en-US"/>
        </w:rPr>
        <w:t>AMAFI disagrees with the proposed replacement of the notion of “</w:t>
      </w:r>
      <w:r w:rsidRPr="00ED74FB">
        <w:rPr>
          <w:i/>
          <w:lang w:val="en-US"/>
        </w:rPr>
        <w:t>Companies with less than three years of existence”</w:t>
      </w:r>
      <w:r>
        <w:rPr>
          <w:i/>
          <w:lang w:val="en-US"/>
        </w:rPr>
        <w:t xml:space="preserve"> </w:t>
      </w:r>
      <w:r w:rsidRPr="00ED74FB">
        <w:rPr>
          <w:lang w:val="en-US"/>
        </w:rPr>
        <w:t>by that of</w:t>
      </w:r>
      <w:r>
        <w:rPr>
          <w:i/>
          <w:lang w:val="en-US"/>
        </w:rPr>
        <w:t xml:space="preserve"> “Start-up companies”, </w:t>
      </w:r>
      <w:r w:rsidRPr="00B036B3">
        <w:rPr>
          <w:lang w:val="en-US"/>
        </w:rPr>
        <w:t>the latter being a notion which is far more difficult to un</w:t>
      </w:r>
      <w:r>
        <w:rPr>
          <w:lang w:val="en-US"/>
        </w:rPr>
        <w:t>derstand than the former. Explanations concerning all categories of “</w:t>
      </w:r>
      <w:r w:rsidRPr="00000784">
        <w:rPr>
          <w:i/>
          <w:lang w:val="en-US"/>
        </w:rPr>
        <w:t>specialist issuers</w:t>
      </w:r>
      <w:r>
        <w:rPr>
          <w:lang w:val="en-US"/>
        </w:rPr>
        <w:t>” should be given at Level 2.</w:t>
      </w:r>
    </w:p>
    <w:permEnd w:id="73"/>
    <w:p w:rsidR="00357C60" w:rsidRDefault="00357C60" w:rsidP="00357C60">
      <w:pPr>
        <w:rPr>
          <w:rFonts w:cs="Arial"/>
        </w:rPr>
      </w:pPr>
      <w:r>
        <w:rPr>
          <w:rFonts w:cs="Arial"/>
        </w:rPr>
        <w:t>&lt;ESMA_QUESTION_FAC_69&gt;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rsidR="00357C60" w:rsidRDefault="00357C60" w:rsidP="00357C60">
      <w:pPr>
        <w:rPr>
          <w:rFonts w:cs="Arial"/>
        </w:rPr>
      </w:pPr>
      <w:r>
        <w:rPr>
          <w:rFonts w:cs="Arial"/>
        </w:rPr>
        <w:t>&lt;ESMA_QUESTION_FAC_70&gt;</w:t>
      </w:r>
    </w:p>
    <w:p w:rsidR="00357C60" w:rsidRDefault="00357C60" w:rsidP="00357C60">
      <w:pPr>
        <w:rPr>
          <w:rFonts w:cs="Arial"/>
        </w:rPr>
      </w:pPr>
      <w:permStart w:id="74" w:edGrp="everyone"/>
      <w:r>
        <w:rPr>
          <w:rFonts w:cs="Arial"/>
        </w:rPr>
        <w:t>TYPE YOUR TEXT HERE</w:t>
      </w:r>
    </w:p>
    <w:permEnd w:id="74"/>
    <w:p w:rsidR="00357C60" w:rsidRDefault="00357C60" w:rsidP="00357C60">
      <w:pPr>
        <w:rPr>
          <w:rFonts w:cs="Arial"/>
        </w:rPr>
      </w:pPr>
      <w:r>
        <w:rPr>
          <w:rFonts w:cs="Arial"/>
        </w:rPr>
        <w:t>&lt;ESMA_QUESTION_FAC_70&gt;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rsidR="00357C60" w:rsidRDefault="00357C60" w:rsidP="00357C60">
      <w:pPr>
        <w:rPr>
          <w:rFonts w:cs="Arial"/>
        </w:rPr>
      </w:pPr>
      <w:r>
        <w:rPr>
          <w:rFonts w:cs="Arial"/>
        </w:rPr>
        <w:t>&lt;ESMA_QUESTION_FAC_71&gt;</w:t>
      </w:r>
    </w:p>
    <w:p w:rsidR="00992ADB" w:rsidRDefault="00992ADB" w:rsidP="00992ADB">
      <w:pPr>
        <w:spacing w:before="19" w:line="220" w:lineRule="exact"/>
        <w:jc w:val="both"/>
        <w:rPr>
          <w:lang w:val="en-US"/>
        </w:rPr>
      </w:pPr>
      <w:permStart w:id="75" w:edGrp="everyone"/>
      <w:r>
        <w:rPr>
          <w:lang w:val="en-US"/>
        </w:rPr>
        <w:t>AMAFI agrees with that proposal.</w:t>
      </w:r>
      <w:r w:rsidRPr="001457A0">
        <w:rPr>
          <w:lang w:val="en-US"/>
        </w:rPr>
        <w:t xml:space="preserve"> </w:t>
      </w:r>
    </w:p>
    <w:p w:rsidR="00992ADB" w:rsidRDefault="00992ADB" w:rsidP="00992ADB">
      <w:pPr>
        <w:spacing w:before="19" w:line="220" w:lineRule="exact"/>
        <w:jc w:val="both"/>
        <w:rPr>
          <w:lang w:val="en-US"/>
        </w:rPr>
      </w:pPr>
      <w:r>
        <w:rPr>
          <w:lang w:val="en-US"/>
        </w:rPr>
        <w:t>First of all, AMAFI considers that the URD can be a very useful tool for certain issuers who want to seize market opportunities and be in a position to complete a transaction rapidly.</w:t>
      </w:r>
    </w:p>
    <w:p w:rsidR="00992ADB" w:rsidRPr="00C2302E" w:rsidRDefault="00992ADB" w:rsidP="00992ADB">
      <w:pPr>
        <w:spacing w:before="19" w:line="220" w:lineRule="exact"/>
        <w:jc w:val="both"/>
        <w:rPr>
          <w:lang w:val="en-US"/>
        </w:rPr>
      </w:pPr>
      <w:r>
        <w:rPr>
          <w:lang w:val="en-US"/>
        </w:rPr>
        <w:t>Secondly, the URD is also, generally speaking, a communication tool for issuers (please refer to AMAFI’s response to Question 4) who should therefore benefit from a more flexible order of information than a prospectus and be able to choose the way and the order in which they will present the elements to be included in the URD. AMAFI fully agrees with ESMA’s position expressed in § 27 of the CP. Indeed, for as long as a cross reference list is provided, it is important to allow issuers, in the URD, to disclose info</w:t>
      </w:r>
      <w:r>
        <w:rPr>
          <w:lang w:val="en-US"/>
        </w:rPr>
        <w:t>r</w:t>
      </w:r>
      <w:r>
        <w:rPr>
          <w:lang w:val="en-US"/>
        </w:rPr>
        <w:t>mation in an order and format that can be adapted depending on the type of issuer and securities.</w:t>
      </w:r>
    </w:p>
    <w:permEnd w:id="75"/>
    <w:p w:rsidR="00357C60" w:rsidRDefault="00357C60" w:rsidP="00357C60">
      <w:pPr>
        <w:rPr>
          <w:rFonts w:cs="Arial"/>
        </w:rPr>
      </w:pPr>
      <w:r>
        <w:rPr>
          <w:rFonts w:cs="Arial"/>
        </w:rPr>
        <w:t>&lt;ESMA_QUESTION_FAC_71&gt;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rsidR="00357C60" w:rsidRDefault="00357C60" w:rsidP="00357C60">
      <w:pPr>
        <w:rPr>
          <w:rFonts w:cs="Arial"/>
        </w:rPr>
      </w:pPr>
      <w:r>
        <w:rPr>
          <w:rFonts w:cs="Arial"/>
        </w:rPr>
        <w:t>&lt;ESMA_QUESTION_FAC_72&gt;</w:t>
      </w:r>
    </w:p>
    <w:p w:rsidR="00357C60" w:rsidRDefault="00992ADB" w:rsidP="00357C60">
      <w:pPr>
        <w:rPr>
          <w:rFonts w:cs="Arial"/>
        </w:rPr>
      </w:pPr>
      <w:permStart w:id="76" w:edGrp="everyone"/>
      <w:r>
        <w:rPr>
          <w:lang w:val="en-US"/>
        </w:rPr>
        <w:t>No</w:t>
      </w:r>
    </w:p>
    <w:permEnd w:id="76"/>
    <w:p w:rsidR="00357C60" w:rsidRDefault="00357C60" w:rsidP="00357C60">
      <w:pPr>
        <w:rPr>
          <w:rFonts w:cs="Arial"/>
        </w:rPr>
      </w:pPr>
      <w:r>
        <w:rPr>
          <w:rFonts w:cs="Arial"/>
        </w:rPr>
        <w:t>&lt;ESMA_QUESTION_FAC_72&gt;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lastRenderedPageBreak/>
        <w:t>&lt;ESMA_QUESTION_FAC_73&gt;</w:t>
      </w:r>
    </w:p>
    <w:p w:rsidR="00357C60" w:rsidRPr="00893E9C" w:rsidRDefault="00893E9C" w:rsidP="00893E9C">
      <w:pPr>
        <w:tabs>
          <w:tab w:val="left" w:pos="1418"/>
        </w:tabs>
        <w:spacing w:line="256" w:lineRule="auto"/>
        <w:ind w:left="1418" w:right="198" w:hanging="1418"/>
        <w:rPr>
          <w:rFonts w:cs="Arial"/>
          <w:lang w:val="en-US"/>
        </w:rPr>
      </w:pPr>
      <w:permStart w:id="77" w:edGrp="everyone"/>
      <w:r>
        <w:t>As a professional organisation, AMAFI is unable to respond to this question.</w:t>
      </w:r>
    </w:p>
    <w:permEnd w:id="77"/>
    <w:p w:rsidR="00357C60" w:rsidRDefault="00357C60" w:rsidP="00357C60">
      <w:pPr>
        <w:rPr>
          <w:rFonts w:cs="Arial"/>
        </w:rPr>
      </w:pPr>
      <w:r>
        <w:rPr>
          <w:rFonts w:cs="Arial"/>
        </w:rPr>
        <w:t>&lt;ESMA_QUESTION_FAC_73&gt;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rsidR="00357C60" w:rsidRDefault="00357C60" w:rsidP="00357C60">
      <w:pPr>
        <w:rPr>
          <w:rFonts w:cs="Arial"/>
        </w:rPr>
      </w:pPr>
      <w:r>
        <w:rPr>
          <w:rFonts w:cs="Arial"/>
        </w:rPr>
        <w:t>&lt;ESMA_QUESTION_FAC_74&gt;</w:t>
      </w:r>
    </w:p>
    <w:p w:rsidR="00893E9C" w:rsidRPr="008A4DB6" w:rsidRDefault="00893E9C" w:rsidP="00893E9C">
      <w:pPr>
        <w:spacing w:line="256" w:lineRule="auto"/>
        <w:ind w:right="198"/>
        <w:jc w:val="both"/>
        <w:rPr>
          <w:i/>
          <w:lang w:val="en-US"/>
        </w:rPr>
      </w:pPr>
      <w:permStart w:id="78" w:edGrp="everyone"/>
      <w:r>
        <w:rPr>
          <w:lang w:val="en-US"/>
        </w:rPr>
        <w:t xml:space="preserve">AMAFI strongly disagrees with the proposal in § 13.1 (explained in § 245 of the CP) to have </w:t>
      </w:r>
      <w:r w:rsidRPr="008A4DB6">
        <w:rPr>
          <w:i/>
          <w:lang w:val="en-US"/>
        </w:rPr>
        <w:t>“a su</w:t>
      </w:r>
      <w:r w:rsidRPr="008A4DB6">
        <w:rPr>
          <w:i/>
          <w:lang w:val="en-US"/>
        </w:rPr>
        <w:t>m</w:t>
      </w:r>
      <w:r w:rsidRPr="008A4DB6">
        <w:rPr>
          <w:i/>
          <w:lang w:val="en-US"/>
        </w:rPr>
        <w:t xml:space="preserve">mary… presented in an easily </w:t>
      </w:r>
      <w:proofErr w:type="spellStart"/>
      <w:r>
        <w:rPr>
          <w:i/>
          <w:lang w:val="en-US"/>
        </w:rPr>
        <w:t>analys</w:t>
      </w:r>
      <w:r w:rsidRPr="008A4DB6">
        <w:rPr>
          <w:i/>
          <w:lang w:val="en-US"/>
        </w:rPr>
        <w:t>able</w:t>
      </w:r>
      <w:proofErr w:type="spellEnd"/>
      <w:r w:rsidRPr="008A4DB6">
        <w:rPr>
          <w:i/>
          <w:lang w:val="en-US"/>
        </w:rPr>
        <w:t>, concise and comprehensible form and shall not be a replic</w:t>
      </w:r>
      <w:r w:rsidRPr="008A4DB6">
        <w:rPr>
          <w:i/>
          <w:lang w:val="en-US"/>
        </w:rPr>
        <w:t>a</w:t>
      </w:r>
      <w:r w:rsidRPr="008A4DB6">
        <w:rPr>
          <w:i/>
          <w:lang w:val="en-US"/>
        </w:rPr>
        <w:t>tion of information already published under Regulation (EU) N) 596/2014”</w:t>
      </w:r>
      <w:r>
        <w:rPr>
          <w:i/>
          <w:lang w:val="en-US"/>
        </w:rPr>
        <w:t xml:space="preserve">. </w:t>
      </w:r>
      <w:r w:rsidRPr="00B40AB4">
        <w:rPr>
          <w:lang w:val="en-US"/>
        </w:rPr>
        <w:t>Furthermore, it is specified in §</w:t>
      </w:r>
      <w:r>
        <w:rPr>
          <w:lang w:val="en-US"/>
        </w:rPr>
        <w:t xml:space="preserve"> </w:t>
      </w:r>
      <w:r w:rsidRPr="00B40AB4">
        <w:rPr>
          <w:lang w:val="en-US"/>
        </w:rPr>
        <w:t xml:space="preserve">245 of the CP that </w:t>
      </w:r>
      <w:r>
        <w:rPr>
          <w:i/>
          <w:lang w:val="en-US"/>
        </w:rPr>
        <w:t xml:space="preserve">“The summary shall not consist of simply a list of disclosures or links thereto and only MAR disclosures that are relevant to a particular offer shall be summarized”. </w:t>
      </w:r>
    </w:p>
    <w:p w:rsidR="00357C60" w:rsidRPr="00893E9C" w:rsidRDefault="00893E9C" w:rsidP="00893E9C">
      <w:pPr>
        <w:spacing w:line="256" w:lineRule="auto"/>
        <w:ind w:right="198"/>
        <w:jc w:val="both"/>
        <w:rPr>
          <w:rFonts w:cs="Arial"/>
          <w:lang w:val="en-US"/>
        </w:rPr>
      </w:pPr>
      <w:r>
        <w:rPr>
          <w:lang w:val="en-US"/>
        </w:rPr>
        <w:t>AMAFI considers that this requirement is far too burdensome. It should be possible to simply give a list of disclosures already made with links giving access to such information. Requiring a specific summary goes against the objective of simplification.</w:t>
      </w:r>
    </w:p>
    <w:permEnd w:id="78"/>
    <w:p w:rsidR="00357C60" w:rsidRDefault="00357C60" w:rsidP="00357C60">
      <w:pPr>
        <w:rPr>
          <w:rFonts w:cs="Arial"/>
        </w:rPr>
      </w:pPr>
      <w:r>
        <w:rPr>
          <w:rFonts w:cs="Arial"/>
        </w:rPr>
        <w:t>&lt;ESMA_QUESTION_FAC_74&gt;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rsidR="00357C60" w:rsidRDefault="00357C60" w:rsidP="00357C60">
      <w:pPr>
        <w:rPr>
          <w:rFonts w:cs="Arial"/>
        </w:rPr>
      </w:pPr>
      <w:r>
        <w:rPr>
          <w:rFonts w:cs="Arial"/>
        </w:rPr>
        <w:t>&lt;ESMA_QUESTION_FAC_75&gt;</w:t>
      </w:r>
    </w:p>
    <w:p w:rsidR="00357C60" w:rsidRPr="00893E9C" w:rsidRDefault="00893E9C" w:rsidP="002C25C9">
      <w:pPr>
        <w:spacing w:line="256" w:lineRule="auto"/>
        <w:ind w:right="198"/>
        <w:jc w:val="both"/>
        <w:rPr>
          <w:rFonts w:cs="Arial"/>
          <w:lang w:val="en-US"/>
        </w:rPr>
      </w:pPr>
      <w:permStart w:id="79" w:edGrp="everyone"/>
      <w:r>
        <w:rPr>
          <w:lang w:val="en-US"/>
        </w:rPr>
        <w:t>No, there is no reason to make a difference depending on whether the issuer is listed on a regulated market or an SME Growth Market, as the issuer in both cases is subject to both the Transparency Directive and MAR.  In addition, making such a difference would complicate signifi</w:t>
      </w:r>
      <w:r w:rsidR="002C25C9">
        <w:rPr>
          <w:lang w:val="en-US"/>
        </w:rPr>
        <w:t>cantly the disclosure process.</w:t>
      </w:r>
    </w:p>
    <w:permEnd w:id="79"/>
    <w:p w:rsidR="00357C60" w:rsidRDefault="00357C60" w:rsidP="00357C60">
      <w:pPr>
        <w:rPr>
          <w:rFonts w:cs="Arial"/>
        </w:rPr>
      </w:pPr>
      <w:r>
        <w:rPr>
          <w:rFonts w:cs="Arial"/>
        </w:rPr>
        <w:t>&lt;ESMA_QUESTION_FAC_75&gt;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w:t>
      </w:r>
      <w:r w:rsidRPr="0064701F">
        <w:rPr>
          <w:rFonts w:ascii="Arial" w:hAnsi="Arial" w:cs="Arial"/>
        </w:rPr>
        <w:t>s</w:t>
      </w:r>
      <w:r w:rsidRPr="0064701F">
        <w:rPr>
          <w:rFonts w:ascii="Arial" w:hAnsi="Arial" w:cs="Arial"/>
        </w:rPr>
        <w:t>sary?</w:t>
      </w:r>
    </w:p>
    <w:p w:rsidR="00357C60" w:rsidRDefault="00357C60" w:rsidP="00357C60">
      <w:pPr>
        <w:rPr>
          <w:rFonts w:cs="Arial"/>
        </w:rPr>
      </w:pPr>
      <w:r>
        <w:rPr>
          <w:rFonts w:cs="Arial"/>
        </w:rPr>
        <w:t>&lt;ESMA_QUESTION_FAC_76&gt;</w:t>
      </w:r>
    </w:p>
    <w:p w:rsidR="00357C60" w:rsidRPr="002C25C9" w:rsidRDefault="002C25C9" w:rsidP="002C25C9">
      <w:pPr>
        <w:spacing w:line="256" w:lineRule="auto"/>
        <w:ind w:right="198"/>
        <w:jc w:val="both"/>
        <w:rPr>
          <w:rFonts w:cs="Arial"/>
          <w:lang w:val="en-US"/>
        </w:rPr>
      </w:pPr>
      <w:permStart w:id="80" w:edGrp="everyone"/>
      <w:r>
        <w:rPr>
          <w:lang w:val="en-US"/>
        </w:rPr>
        <w:t>Information on corporate governance appears in item 8.3. AMAFI agrees with the proposal (and also with what is proposed in item 9.3).</w:t>
      </w:r>
    </w:p>
    <w:permEnd w:id="80"/>
    <w:p w:rsidR="00357C60" w:rsidRDefault="00357C60" w:rsidP="00357C60">
      <w:pPr>
        <w:rPr>
          <w:rFonts w:cs="Arial"/>
        </w:rPr>
      </w:pPr>
      <w:r>
        <w:rPr>
          <w:rFonts w:cs="Arial"/>
        </w:rPr>
        <w:t>&lt;ESMA_QUESTION_FAC_76&gt;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w:t>
      </w:r>
      <w:r w:rsidRPr="0064701F">
        <w:rPr>
          <w:rFonts w:ascii="Arial" w:hAnsi="Arial" w:cs="Arial"/>
        </w:rPr>
        <w:t>n</w:t>
      </w:r>
      <w:r w:rsidRPr="0064701F">
        <w:rPr>
          <w:rFonts w:ascii="Arial" w:hAnsi="Arial" w:cs="Arial"/>
        </w:rPr>
        <w:t>dary issuance?</w:t>
      </w:r>
    </w:p>
    <w:p w:rsidR="00357C60" w:rsidRDefault="00357C60" w:rsidP="00357C60">
      <w:pPr>
        <w:rPr>
          <w:rFonts w:cs="Arial"/>
        </w:rPr>
      </w:pPr>
      <w:r>
        <w:rPr>
          <w:rFonts w:cs="Arial"/>
        </w:rPr>
        <w:t>&lt;ESMA_QUESTION_FAC_77&gt;</w:t>
      </w:r>
    </w:p>
    <w:p w:rsidR="00357C60" w:rsidRPr="002C25C9" w:rsidRDefault="002C25C9" w:rsidP="002C25C9">
      <w:pPr>
        <w:spacing w:line="256" w:lineRule="auto"/>
        <w:ind w:right="198"/>
        <w:jc w:val="both"/>
        <w:rPr>
          <w:rFonts w:cs="Arial"/>
          <w:lang w:val="en-US"/>
        </w:rPr>
      </w:pPr>
      <w:permStart w:id="81" w:edGrp="everyone"/>
      <w:r>
        <w:rPr>
          <w:lang w:val="en-US"/>
        </w:rPr>
        <w:t xml:space="preserve">Information on material contracts should already appear in Section 5 (Business overview) and / or in Section 13 (Regulatory Disclosures). Having regard to the objective of alleviating prospectuses for secondary issuances, it does not </w:t>
      </w:r>
      <w:proofErr w:type="gramStart"/>
      <w:r>
        <w:rPr>
          <w:lang w:val="en-US"/>
        </w:rPr>
        <w:t>seems</w:t>
      </w:r>
      <w:proofErr w:type="gramEnd"/>
      <w:r>
        <w:rPr>
          <w:lang w:val="en-US"/>
        </w:rPr>
        <w:t xml:space="preserve"> necessary to have a specific item dedicated to material co</w:t>
      </w:r>
      <w:r>
        <w:rPr>
          <w:lang w:val="en-US"/>
        </w:rPr>
        <w:t>n</w:t>
      </w:r>
      <w:r>
        <w:rPr>
          <w:lang w:val="en-US"/>
        </w:rPr>
        <w:t>tracts.</w:t>
      </w:r>
    </w:p>
    <w:permEnd w:id="81"/>
    <w:p w:rsidR="00357C60" w:rsidRDefault="00357C60" w:rsidP="00357C60">
      <w:pPr>
        <w:rPr>
          <w:rFonts w:cs="Arial"/>
        </w:rPr>
      </w:pPr>
      <w:r>
        <w:rPr>
          <w:rFonts w:cs="Arial"/>
        </w:rPr>
        <w:t>&lt;ESMA_QUESTION_FAC_77&gt;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rsidR="00357C60" w:rsidRDefault="00357C60" w:rsidP="00357C60">
      <w:pPr>
        <w:rPr>
          <w:rFonts w:cs="Arial"/>
        </w:rPr>
      </w:pPr>
      <w:r>
        <w:rPr>
          <w:rFonts w:cs="Arial"/>
        </w:rPr>
        <w:t>&lt;ESMA_QUESTION_FAC_78&gt;</w:t>
      </w:r>
    </w:p>
    <w:p w:rsidR="00357C60" w:rsidRDefault="00E14F9B" w:rsidP="00357C60">
      <w:pPr>
        <w:rPr>
          <w:rFonts w:cs="Arial"/>
        </w:rPr>
      </w:pPr>
      <w:permStart w:id="82" w:edGrp="everyone"/>
      <w:r>
        <w:t>As a professional organisation, AMAFI is unable to respond to this question</w:t>
      </w:r>
    </w:p>
    <w:permEnd w:id="82"/>
    <w:p w:rsidR="00357C60" w:rsidRDefault="00357C60" w:rsidP="00357C60">
      <w:pPr>
        <w:rPr>
          <w:rFonts w:cs="Arial"/>
        </w:rPr>
      </w:pPr>
      <w:r>
        <w:rPr>
          <w:rFonts w:cs="Arial"/>
        </w:rPr>
        <w:t>&lt;ESMA_QUESTION_FAC_78&gt;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w:t>
      </w:r>
      <w:r w:rsidRPr="0064701F">
        <w:rPr>
          <w:rFonts w:ascii="Arial" w:hAnsi="Arial" w:cs="Arial"/>
        </w:rPr>
        <w:t>i</w:t>
      </w:r>
      <w:r w:rsidRPr="0064701F">
        <w:rPr>
          <w:rFonts w:ascii="Arial" w:hAnsi="Arial" w:cs="Arial"/>
        </w:rPr>
        <w:t>ties note ? Please advise of any costs and benefits implied by the further changes you propose.</w:t>
      </w:r>
    </w:p>
    <w:p w:rsidR="00357C60" w:rsidRDefault="00357C60" w:rsidP="00357C60">
      <w:pPr>
        <w:rPr>
          <w:rFonts w:cs="Arial"/>
        </w:rPr>
      </w:pPr>
      <w:r>
        <w:rPr>
          <w:rFonts w:cs="Arial"/>
        </w:rPr>
        <w:t>&lt;ESMA_QUESTION_FAC_79&gt;</w:t>
      </w:r>
    </w:p>
    <w:p w:rsidR="00E14F9B" w:rsidRPr="00BF3156" w:rsidRDefault="00E14F9B" w:rsidP="00E14F9B">
      <w:pPr>
        <w:tabs>
          <w:tab w:val="left" w:pos="1418"/>
        </w:tabs>
        <w:spacing w:line="256" w:lineRule="auto"/>
        <w:ind w:left="1418" w:right="198" w:hanging="1418"/>
        <w:rPr>
          <w:lang w:val="en-US"/>
        </w:rPr>
      </w:pPr>
      <w:permStart w:id="83" w:edGrp="everyone"/>
      <w:r>
        <w:rPr>
          <w:lang w:val="en-US"/>
        </w:rPr>
        <w:t>No.</w:t>
      </w:r>
    </w:p>
    <w:permEnd w:id="83"/>
    <w:p w:rsidR="00357C60" w:rsidRDefault="00357C60" w:rsidP="00357C60">
      <w:pPr>
        <w:rPr>
          <w:rFonts w:cs="Arial"/>
        </w:rPr>
      </w:pPr>
      <w:r>
        <w:rPr>
          <w:rFonts w:cs="Arial"/>
        </w:rPr>
        <w:t>&lt;ESMA_QUESTION_FAC_79&gt;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w:t>
      </w:r>
      <w:r w:rsidRPr="0064701F">
        <w:rPr>
          <w:rFonts w:ascii="Arial" w:hAnsi="Arial" w:cs="Arial"/>
        </w:rPr>
        <w:t>r</w:t>
      </w:r>
      <w:r w:rsidRPr="0064701F">
        <w:rPr>
          <w:rFonts w:ascii="Arial" w:hAnsi="Arial" w:cs="Arial"/>
        </w:rPr>
        <w:t>able to have multiple securities note schedules?</w:t>
      </w:r>
    </w:p>
    <w:p w:rsidR="00357C60" w:rsidRDefault="00357C60" w:rsidP="00357C60">
      <w:pPr>
        <w:rPr>
          <w:rFonts w:cs="Arial"/>
        </w:rPr>
      </w:pPr>
      <w:r>
        <w:rPr>
          <w:rFonts w:cs="Arial"/>
        </w:rPr>
        <w:t>&lt;ESMA_QUESTION_FAC_80&gt;</w:t>
      </w:r>
    </w:p>
    <w:p w:rsidR="00E14F9B" w:rsidRDefault="00E14F9B" w:rsidP="00E14F9B">
      <w:pPr>
        <w:spacing w:line="256" w:lineRule="auto"/>
        <w:ind w:right="198"/>
        <w:rPr>
          <w:lang w:val="en-US"/>
        </w:rPr>
      </w:pPr>
      <w:permStart w:id="84" w:edGrp="everyone"/>
      <w:r>
        <w:rPr>
          <w:lang w:val="en-US"/>
        </w:rPr>
        <w:t xml:space="preserve">AMAFI is in </w:t>
      </w:r>
      <w:proofErr w:type="spellStart"/>
      <w:r>
        <w:rPr>
          <w:lang w:val="en-US"/>
        </w:rPr>
        <w:t>favour</w:t>
      </w:r>
      <w:proofErr w:type="spellEnd"/>
      <w:r>
        <w:rPr>
          <w:lang w:val="en-US"/>
        </w:rPr>
        <w:t xml:space="preserve"> of having a single securities note, separated by security type, which is likely to give a clear and more understandable information.</w:t>
      </w:r>
    </w:p>
    <w:permEnd w:id="84"/>
    <w:p w:rsidR="00357C60" w:rsidRDefault="00357C60" w:rsidP="00357C60">
      <w:pPr>
        <w:rPr>
          <w:rFonts w:cs="Arial"/>
        </w:rPr>
      </w:pPr>
      <w:r>
        <w:rPr>
          <w:rFonts w:cs="Arial"/>
        </w:rPr>
        <w:t>&lt;ESMA_QUESTION_FAC_80&gt;</w:t>
      </w:r>
    </w:p>
    <w:p w:rsidR="00357C60" w:rsidRDefault="00357C60" w:rsidP="00357C60">
      <w:pPr>
        <w:rPr>
          <w:rFonts w:cs="Arial"/>
        </w:rPr>
      </w:pPr>
    </w:p>
    <w:p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&lt;ESMA_QUESTION_FAC_81&gt;</w:t>
      </w:r>
    </w:p>
    <w:p w:rsidR="00357C60" w:rsidRDefault="00E14F9B" w:rsidP="00E14F9B">
      <w:pPr>
        <w:tabs>
          <w:tab w:val="left" w:pos="1418"/>
        </w:tabs>
        <w:spacing w:line="256" w:lineRule="auto"/>
        <w:ind w:left="1418" w:right="198" w:hanging="1418"/>
        <w:rPr>
          <w:rFonts w:cs="Arial"/>
        </w:rPr>
      </w:pPr>
      <w:bookmarkStart w:id="1" w:name="_GoBack"/>
      <w:permStart w:id="85" w:edGrp="everyone"/>
      <w:r>
        <w:t>As a professional organisation, AMAFI is unable to respond to this question.</w:t>
      </w:r>
    </w:p>
    <w:bookmarkEnd w:id="1"/>
    <w:permEnd w:id="85"/>
    <w:p w:rsidR="00357C60" w:rsidRDefault="00357C60" w:rsidP="00357C60">
      <w:pPr>
        <w:rPr>
          <w:rFonts w:cs="Arial"/>
        </w:rPr>
      </w:pPr>
      <w:r>
        <w:rPr>
          <w:rFonts w:cs="Arial"/>
        </w:rPr>
        <w:t>&lt;ESMA_QUESTION_FAC_81&gt;</w:t>
      </w:r>
    </w:p>
    <w:p w:rsidR="00357C60" w:rsidRDefault="00357C60" w:rsidP="00357C60">
      <w:pPr>
        <w:rPr>
          <w:rFonts w:cs="Arial"/>
        </w:rPr>
      </w:pPr>
    </w:p>
    <w:p w:rsidR="00357C60" w:rsidRDefault="00357C60" w:rsidP="00357C60">
      <w:pPr>
        <w:rPr>
          <w:rFonts w:cs="Arial"/>
        </w:rPr>
      </w:pPr>
    </w:p>
    <w:p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C9" w:rsidRDefault="002C25C9">
      <w:r>
        <w:separator/>
      </w:r>
    </w:p>
    <w:p w:rsidR="002C25C9" w:rsidRDefault="002C25C9"/>
  </w:endnote>
  <w:endnote w:type="continuationSeparator" w:id="0">
    <w:p w:rsidR="002C25C9" w:rsidRDefault="002C25C9">
      <w:r>
        <w:continuationSeparator/>
      </w:r>
    </w:p>
    <w:p w:rsidR="002C25C9" w:rsidRDefault="002C25C9"/>
  </w:endnote>
  <w:endnote w:type="continuationNotice" w:id="1">
    <w:p w:rsidR="002C25C9" w:rsidRDefault="002C25C9"/>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2C25C9" w:rsidRPr="00616B9B" w:rsidTr="00315E96">
      <w:trPr>
        <w:trHeight w:val="284"/>
      </w:trPr>
      <w:tc>
        <w:tcPr>
          <w:tcW w:w="8460" w:type="dxa"/>
        </w:tcPr>
        <w:p w:rsidR="002C25C9" w:rsidRPr="00315E96" w:rsidRDefault="002C25C9" w:rsidP="00315E96">
          <w:pPr>
            <w:pStyle w:val="00Footer"/>
            <w:rPr>
              <w:lang w:val="fr-FR"/>
            </w:rPr>
          </w:pPr>
        </w:p>
      </w:tc>
      <w:tc>
        <w:tcPr>
          <w:tcW w:w="952" w:type="dxa"/>
        </w:tcPr>
        <w:p w:rsidR="002C25C9" w:rsidRPr="00616B9B" w:rsidRDefault="002F45B2" w:rsidP="002C5B2D">
          <w:pPr>
            <w:pStyle w:val="00aPagenumber"/>
            <w:rPr>
              <w:rFonts w:cs="Arial"/>
              <w:sz w:val="22"/>
              <w:szCs w:val="22"/>
            </w:rPr>
          </w:pPr>
          <w:r w:rsidRPr="00616B9B">
            <w:rPr>
              <w:rFonts w:cs="Arial"/>
              <w:sz w:val="22"/>
              <w:szCs w:val="22"/>
            </w:rPr>
            <w:fldChar w:fldCharType="begin"/>
          </w:r>
          <w:r w:rsidR="002C25C9" w:rsidRPr="00616B9B">
            <w:rPr>
              <w:rFonts w:cs="Arial"/>
              <w:sz w:val="22"/>
              <w:szCs w:val="22"/>
            </w:rPr>
            <w:instrText xml:space="preserve"> PAGE </w:instrText>
          </w:r>
          <w:r w:rsidRPr="00616B9B">
            <w:rPr>
              <w:rFonts w:cs="Arial"/>
              <w:sz w:val="22"/>
              <w:szCs w:val="22"/>
            </w:rPr>
            <w:fldChar w:fldCharType="separate"/>
          </w:r>
          <w:r w:rsidR="004D4835">
            <w:rPr>
              <w:rFonts w:cs="Arial"/>
              <w:noProof/>
              <w:sz w:val="22"/>
              <w:szCs w:val="22"/>
            </w:rPr>
            <w:t>4</w:t>
          </w:r>
          <w:r w:rsidRPr="00616B9B">
            <w:rPr>
              <w:rFonts w:cs="Arial"/>
              <w:noProof/>
              <w:sz w:val="22"/>
              <w:szCs w:val="22"/>
            </w:rPr>
            <w:fldChar w:fldCharType="end"/>
          </w:r>
        </w:p>
      </w:tc>
    </w:tr>
  </w:tbl>
  <w:p w:rsidR="002C25C9" w:rsidRDefault="002C25C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C9" w:rsidRDefault="002C25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C9" w:rsidRDefault="002C25C9">
      <w:r>
        <w:separator/>
      </w:r>
    </w:p>
    <w:p w:rsidR="002C25C9" w:rsidRDefault="002C25C9"/>
  </w:footnote>
  <w:footnote w:type="continuationSeparator" w:id="0">
    <w:p w:rsidR="002C25C9" w:rsidRDefault="002C25C9">
      <w:r>
        <w:continuationSeparator/>
      </w:r>
    </w:p>
    <w:p w:rsidR="002C25C9" w:rsidRDefault="002C25C9"/>
  </w:footnote>
  <w:footnote w:type="continuationNotice" w:id="1">
    <w:p w:rsidR="002C25C9" w:rsidRDefault="002C25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C9" w:rsidRDefault="002C25C9">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2F45B2" w:rsidRPr="002F45B2">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C9" w:rsidRDefault="002C25C9"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C9" w:rsidRDefault="002C25C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2C25C9" w:rsidRPr="002F4496" w:rsidTr="000C06C9">
      <w:trPr>
        <w:trHeight w:val="284"/>
      </w:trPr>
      <w:tc>
        <w:tcPr>
          <w:tcW w:w="8460" w:type="dxa"/>
        </w:tcPr>
        <w:p w:rsidR="002C25C9" w:rsidRPr="000C3B6D" w:rsidRDefault="002C25C9" w:rsidP="000C06C9">
          <w:pPr>
            <w:pStyle w:val="00Footer"/>
            <w:rPr>
              <w:lang w:val="fr-FR"/>
            </w:rPr>
          </w:pPr>
        </w:p>
      </w:tc>
      <w:tc>
        <w:tcPr>
          <w:tcW w:w="952" w:type="dxa"/>
        </w:tcPr>
        <w:p w:rsidR="002C25C9" w:rsidRPr="00146B34" w:rsidRDefault="002C25C9" w:rsidP="000C06C9">
          <w:pPr>
            <w:pStyle w:val="00aPagenumber"/>
            <w:rPr>
              <w:lang w:val="fr-FR"/>
            </w:rPr>
          </w:pPr>
        </w:p>
      </w:tc>
    </w:tr>
  </w:tbl>
  <w:p w:rsidR="002C25C9" w:rsidRPr="00DB46C3" w:rsidRDefault="002C25C9">
    <w:pPr>
      <w:rPr>
        <w:lang w:val="fr-FR"/>
      </w:rPr>
    </w:pPr>
  </w:p>
  <w:p w:rsidR="002C25C9" w:rsidRPr="002F4496" w:rsidRDefault="002C25C9">
    <w:pPr>
      <w:pStyle w:val="En-tte"/>
      <w:rPr>
        <w:lang w:val="fr-FR"/>
      </w:rPr>
    </w:pPr>
  </w:p>
  <w:p w:rsidR="002C25C9" w:rsidRPr="002F4496" w:rsidRDefault="002C25C9" w:rsidP="000C06C9">
    <w:pPr>
      <w:pStyle w:val="En-tte"/>
      <w:tabs>
        <w:tab w:val="clear" w:pos="4536"/>
        <w:tab w:val="clear" w:pos="9072"/>
        <w:tab w:val="left" w:pos="8227"/>
      </w:tabs>
      <w:rPr>
        <w:lang w:val="fr-FR"/>
      </w:rPr>
    </w:pPr>
  </w:p>
  <w:p w:rsidR="002C25C9" w:rsidRPr="002F4496" w:rsidRDefault="002C25C9" w:rsidP="000C06C9">
    <w:pPr>
      <w:pStyle w:val="En-tte"/>
      <w:tabs>
        <w:tab w:val="clear" w:pos="4536"/>
        <w:tab w:val="clear" w:pos="9072"/>
        <w:tab w:val="left" w:pos="8227"/>
      </w:tabs>
      <w:rPr>
        <w:lang w:val="fr-FR"/>
      </w:rPr>
    </w:pPr>
  </w:p>
  <w:p w:rsidR="002C25C9" w:rsidRPr="002F4496" w:rsidRDefault="002C25C9">
    <w:pPr>
      <w:pStyle w:val="En-tte"/>
      <w:rPr>
        <w:lang w:val="fr-FR"/>
      </w:rPr>
    </w:pPr>
  </w:p>
  <w:p w:rsidR="002C25C9" w:rsidRPr="002F4496" w:rsidRDefault="002C25C9">
    <w:pPr>
      <w:pStyle w:val="En-tte"/>
      <w:rPr>
        <w:lang w:val="fr-FR"/>
      </w:rPr>
    </w:pPr>
  </w:p>
  <w:p w:rsidR="002C25C9" w:rsidRPr="002F4496" w:rsidRDefault="002C25C9">
    <w:pPr>
      <w:pStyle w:val="En-tte"/>
      <w:rPr>
        <w:lang w:val="fr-FR"/>
      </w:rPr>
    </w:pPr>
  </w:p>
  <w:p w:rsidR="002C25C9" w:rsidRPr="002F4496" w:rsidRDefault="002C25C9">
    <w:pPr>
      <w:pStyle w:val="En-tte"/>
      <w:rPr>
        <w:lang w:val="fr-FR"/>
      </w:rPr>
    </w:pPr>
  </w:p>
  <w:p w:rsidR="002C25C9" w:rsidRPr="002F4496" w:rsidRDefault="002C25C9">
    <w:pPr>
      <w:pStyle w:val="En-tte"/>
      <w:rPr>
        <w:highlight w:val="yellow"/>
        <w:lang w:val="fr-FR"/>
      </w:rPr>
    </w:pPr>
  </w:p>
  <w:p w:rsidR="002C25C9" w:rsidRDefault="002F45B2">
    <w:pPr>
      <w:pStyle w:val="En-tte"/>
    </w:pPr>
    <w:r w:rsidRPr="002F45B2">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2C25C9">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40F21316"/>
    <w:lvl w:ilvl="0">
      <w:start w:val="1"/>
      <w:numFmt w:val="decimal"/>
      <w:pStyle w:val="1AMAFI"/>
      <w:lvlText w:val="%1."/>
      <w:lvlJc w:val="left"/>
      <w:pPr>
        <w:tabs>
          <w:tab w:val="num" w:pos="567"/>
        </w:tabs>
        <w:ind w:left="-284" w:firstLine="284"/>
      </w:pPr>
      <w:rPr>
        <w:rFonts w:ascii="Arial" w:hAnsi="Arial"/>
        <w:b/>
        <w:i w:val="0"/>
        <w:color w:val="003366"/>
        <w:sz w:val="20"/>
      </w:rPr>
    </w:lvl>
  </w:abstractNum>
  <w:abstractNum w:abstractNumId="1">
    <w:nsid w:val="01387AD1"/>
    <w:multiLevelType w:val="multilevel"/>
    <w:tmpl w:val="DED4E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3">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6E109B3"/>
    <w:multiLevelType w:val="hybridMultilevel"/>
    <w:tmpl w:val="38B4D0B8"/>
    <w:lvl w:ilvl="0" w:tplc="285CC3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1FB4DFA"/>
    <w:multiLevelType w:val="hybridMultilevel"/>
    <w:tmpl w:val="A7642AE6"/>
    <w:lvl w:ilvl="0" w:tplc="2870AC72">
      <w:start w:val="1"/>
      <w:numFmt w:val="lowerLetter"/>
      <w:lvlText w:val="%1)"/>
      <w:lvlJc w:val="left"/>
      <w:pPr>
        <w:ind w:left="720" w:hanging="360"/>
      </w:pPr>
      <w:rPr>
        <w:rFonts w:hint="default"/>
        <w:strik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97E4AD4"/>
    <w:multiLevelType w:val="hybridMultilevel"/>
    <w:tmpl w:val="D6B6A5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5"/>
  </w:num>
  <w:num w:numId="4">
    <w:abstractNumId w:val="28"/>
  </w:num>
  <w:num w:numId="5">
    <w:abstractNumId w:val="30"/>
  </w:num>
  <w:num w:numId="6">
    <w:abstractNumId w:val="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2"/>
  </w:num>
  <w:num w:numId="16">
    <w:abstractNumId w:val="3"/>
  </w:num>
  <w:num w:numId="17">
    <w:abstractNumId w:val="19"/>
  </w:num>
  <w:num w:numId="18">
    <w:abstractNumId w:val="20"/>
  </w:num>
  <w:num w:numId="19">
    <w:abstractNumId w:val="22"/>
  </w:num>
  <w:num w:numId="20">
    <w:abstractNumId w:val="31"/>
  </w:num>
  <w:num w:numId="21">
    <w:abstractNumId w:val="40"/>
  </w:num>
  <w:num w:numId="22">
    <w:abstractNumId w:val="29"/>
  </w:num>
  <w:num w:numId="23">
    <w:abstractNumId w:val="11"/>
  </w:num>
  <w:num w:numId="24">
    <w:abstractNumId w:val="34"/>
  </w:num>
  <w:num w:numId="25">
    <w:abstractNumId w:val="33"/>
  </w:num>
  <w:num w:numId="26">
    <w:abstractNumId w:val="24"/>
  </w:num>
  <w:num w:numId="27">
    <w:abstractNumId w:val="37"/>
  </w:num>
  <w:num w:numId="28">
    <w:abstractNumId w:val="42"/>
  </w:num>
  <w:num w:numId="29">
    <w:abstractNumId w:val="9"/>
  </w:num>
  <w:num w:numId="30">
    <w:abstractNumId w:val="5"/>
  </w:num>
  <w:num w:numId="31">
    <w:abstractNumId w:val="26"/>
  </w:num>
  <w:num w:numId="32">
    <w:abstractNumId w:val="25"/>
  </w:num>
  <w:num w:numId="33">
    <w:abstractNumId w:val="39"/>
  </w:num>
  <w:num w:numId="34">
    <w:abstractNumId w:val="38"/>
  </w:num>
  <w:num w:numId="35">
    <w:abstractNumId w:val="1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0"/>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
  </w:num>
  <w:num w:numId="43">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1"/>
  <w:documentProtection w:edit="readOnly" w:enforcement="1" w:cryptProviderType="rsaAES" w:cryptAlgorithmClass="hash" w:cryptAlgorithmType="typeAny" w:cryptAlgorithmSid="14" w:cryptSpinCount="100000" w:hash="VwMqzmW+nR2Ol41xIKjvPq7VOWkMlUOcXBuZKFLZRpQPZ1JiNp553NirOwwVQllBDgMthNCepCjg&#10;RkwfBw9uAA==" w:salt="cDgEBq6GK33orXJ5FFaS4Q=="/>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3382"/>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517"/>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1EB8"/>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68A"/>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F14"/>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240"/>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5C9"/>
    <w:rsid w:val="002C2EFE"/>
    <w:rsid w:val="002C39E3"/>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2F45B2"/>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478ED"/>
    <w:rsid w:val="003507E2"/>
    <w:rsid w:val="003522B2"/>
    <w:rsid w:val="0035455E"/>
    <w:rsid w:val="00354A6F"/>
    <w:rsid w:val="00354B48"/>
    <w:rsid w:val="00355789"/>
    <w:rsid w:val="00357A51"/>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758"/>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0E4E"/>
    <w:rsid w:val="0045175A"/>
    <w:rsid w:val="00451ED9"/>
    <w:rsid w:val="00452180"/>
    <w:rsid w:val="00453072"/>
    <w:rsid w:val="004539F8"/>
    <w:rsid w:val="00453F26"/>
    <w:rsid w:val="0045503F"/>
    <w:rsid w:val="00455273"/>
    <w:rsid w:val="00457391"/>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835"/>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A5D"/>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404"/>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3E9C"/>
    <w:rsid w:val="00893EDB"/>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31F2"/>
    <w:rsid w:val="00944404"/>
    <w:rsid w:val="009452D7"/>
    <w:rsid w:val="00945FD1"/>
    <w:rsid w:val="00946CCC"/>
    <w:rsid w:val="00947A5F"/>
    <w:rsid w:val="009503E5"/>
    <w:rsid w:val="00950F71"/>
    <w:rsid w:val="00952F2C"/>
    <w:rsid w:val="009532E3"/>
    <w:rsid w:val="00953615"/>
    <w:rsid w:val="00954BAF"/>
    <w:rsid w:val="00954C43"/>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5A86"/>
    <w:rsid w:val="0097606C"/>
    <w:rsid w:val="00976EE6"/>
    <w:rsid w:val="009771D1"/>
    <w:rsid w:val="0098012D"/>
    <w:rsid w:val="00980845"/>
    <w:rsid w:val="009810A7"/>
    <w:rsid w:val="00981BD9"/>
    <w:rsid w:val="0098225F"/>
    <w:rsid w:val="00983A3C"/>
    <w:rsid w:val="00983EFA"/>
    <w:rsid w:val="00984C15"/>
    <w:rsid w:val="00987829"/>
    <w:rsid w:val="00991276"/>
    <w:rsid w:val="009923E7"/>
    <w:rsid w:val="00992697"/>
    <w:rsid w:val="00992ADB"/>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AB1"/>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49D5"/>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ED8"/>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4F9B"/>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5E5"/>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159"/>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2D9"/>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69C9"/>
    <w:rsid w:val="00FF097B"/>
    <w:rsid w:val="00FF0B6E"/>
    <w:rsid w:val="00FF1C1B"/>
    <w:rsid w:val="00FF2067"/>
    <w:rsid w:val="00FF3BC4"/>
    <w:rsid w:val="00FF4B66"/>
    <w:rsid w:val="00FF57D3"/>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lang w:eastAsia="de-D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eastAsia="Calibri"/>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1AMAFI">
    <w:name w:val="1 AMAFI"/>
    <w:basedOn w:val="Paragraphedeliste"/>
    <w:qFormat/>
    <w:rsid w:val="00551A5D"/>
    <w:pPr>
      <w:numPr>
        <w:numId w:val="38"/>
      </w:numPr>
      <w:suppressAutoHyphens/>
      <w:spacing w:line="240" w:lineRule="atLeast"/>
      <w:contextualSpacing w:val="0"/>
      <w:jc w:val="both"/>
    </w:pPr>
    <w:rPr>
      <w:rFonts w:cs="Arial"/>
      <w:szCs w:val="20"/>
      <w:lang w:val="fr-FR" w:eastAsia="ar-SA"/>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36C4A-E318-4E20-B603-09166397154E}">
  <ds:schemaRefs>
    <ds:schemaRef ds:uri="http://schemas.openxmlformats.org/officeDocument/2006/bibliography"/>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4410B10D-EE9F-4347-AFEF-0793C4A7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6498</Words>
  <Characters>36156</Characters>
  <Application>Microsoft Office Word</Application>
  <DocSecurity>8</DocSecurity>
  <Lines>301</Lines>
  <Paragraphs>85</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42569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AMAFI</cp:lastModifiedBy>
  <cp:revision>8</cp:revision>
  <cp:lastPrinted>2015-02-18T11:01:00Z</cp:lastPrinted>
  <dcterms:created xsi:type="dcterms:W3CDTF">2017-09-25T09:49:00Z</dcterms:created>
  <dcterms:modified xsi:type="dcterms:W3CDTF">2017-09-25T12:53:00Z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