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Enfasidelicata"/>
          <w:b w:val="0"/>
          <w:sz w:val="22"/>
        </w:rPr>
      </w:pPr>
      <w:r w:rsidRPr="0064701F">
        <w:rPr>
          <w:rStyle w:val="Enfasidelicata"/>
          <w:b w:val="0"/>
          <w:sz w:val="22"/>
        </w:rPr>
        <w:t>ESMA invites responses to the questions set out throughout this Consultation Paper. Responses are most helpful if they:</w:t>
      </w:r>
    </w:p>
    <w:p w14:paraId="6664FEC3" w14:textId="77777777" w:rsidR="007D2B2C" w:rsidRPr="0064701F" w:rsidRDefault="007D2B2C" w:rsidP="007D2B2C">
      <w:pPr>
        <w:pStyle w:val="Paragrafoelenco"/>
        <w:numPr>
          <w:ilvl w:val="0"/>
          <w:numId w:val="40"/>
        </w:numPr>
        <w:spacing w:after="240" w:line="276" w:lineRule="auto"/>
        <w:ind w:left="567" w:hanging="567"/>
        <w:contextualSpacing w:val="0"/>
        <w:jc w:val="both"/>
        <w:rPr>
          <w:rStyle w:val="Enfasidelicata"/>
          <w:b w:val="0"/>
          <w:sz w:val="22"/>
        </w:rPr>
      </w:pPr>
      <w:r w:rsidRPr="0064701F">
        <w:rPr>
          <w:rStyle w:val="Enfasidelicata"/>
          <w:b w:val="0"/>
          <w:sz w:val="22"/>
        </w:rPr>
        <w:t>respond to the question stated;</w:t>
      </w:r>
    </w:p>
    <w:p w14:paraId="4B8E675D" w14:textId="77777777" w:rsidR="007D2B2C" w:rsidRPr="0064701F" w:rsidRDefault="007D2B2C" w:rsidP="007D2B2C">
      <w:pPr>
        <w:pStyle w:val="Paragrafoelenco"/>
        <w:numPr>
          <w:ilvl w:val="0"/>
          <w:numId w:val="40"/>
        </w:numPr>
        <w:spacing w:after="240" w:line="276" w:lineRule="auto"/>
        <w:ind w:left="567" w:hanging="567"/>
        <w:contextualSpacing w:val="0"/>
        <w:jc w:val="both"/>
        <w:rPr>
          <w:rStyle w:val="Enfasidelicata"/>
          <w:b w:val="0"/>
          <w:sz w:val="22"/>
        </w:rPr>
      </w:pPr>
      <w:r w:rsidRPr="0064701F">
        <w:rPr>
          <w:rStyle w:val="Enfasidelicata"/>
          <w:b w:val="0"/>
          <w:sz w:val="22"/>
        </w:rPr>
        <w:t>contain a clear rationale; and</w:t>
      </w:r>
    </w:p>
    <w:p w14:paraId="31204389" w14:textId="77777777" w:rsidR="007D2B2C" w:rsidRPr="0064701F" w:rsidRDefault="007D2B2C" w:rsidP="007D2B2C">
      <w:pPr>
        <w:pStyle w:val="Paragrafoelenco"/>
        <w:numPr>
          <w:ilvl w:val="0"/>
          <w:numId w:val="40"/>
        </w:numPr>
        <w:spacing w:after="240" w:line="276" w:lineRule="auto"/>
        <w:ind w:left="567" w:hanging="567"/>
        <w:contextualSpacing w:val="0"/>
        <w:jc w:val="both"/>
        <w:rPr>
          <w:rStyle w:val="Enfasidelicata"/>
          <w:b w:val="0"/>
          <w:sz w:val="22"/>
        </w:rPr>
      </w:pPr>
      <w:r w:rsidRPr="0064701F">
        <w:rPr>
          <w:rStyle w:val="Enfasidelicata"/>
          <w:b w:val="0"/>
          <w:sz w:val="22"/>
        </w:rPr>
        <w:t>describe any alternatives ESMA should consider.</w:t>
      </w:r>
    </w:p>
    <w:p w14:paraId="3DCBB610" w14:textId="77777777" w:rsidR="007D2B2C" w:rsidRPr="0064701F" w:rsidRDefault="007D2B2C" w:rsidP="007D2B2C">
      <w:pPr>
        <w:spacing w:after="240"/>
        <w:jc w:val="both"/>
        <w:rPr>
          <w:rStyle w:val="Enfasidelicata"/>
          <w:b w:val="0"/>
          <w:sz w:val="22"/>
        </w:rPr>
      </w:pPr>
      <w:r w:rsidRPr="0064701F">
        <w:rPr>
          <w:rStyle w:val="Enfasidelicata"/>
          <w:b w:val="0"/>
          <w:sz w:val="22"/>
        </w:rPr>
        <w:t>ESMA will consider all responses received by 28 September 2017.</w:t>
      </w:r>
    </w:p>
    <w:p w14:paraId="4B144EBE" w14:textId="77777777" w:rsidR="007D2B2C" w:rsidRPr="0064701F" w:rsidRDefault="007D2B2C" w:rsidP="007D2B2C">
      <w:pPr>
        <w:spacing w:after="120"/>
        <w:jc w:val="both"/>
        <w:rPr>
          <w:rStyle w:val="Enfasidelicata"/>
          <w:sz w:val="22"/>
        </w:rPr>
      </w:pPr>
      <w:r w:rsidRPr="0064701F">
        <w:rPr>
          <w:rStyle w:val="Enfasidelicata"/>
          <w:sz w:val="22"/>
        </w:rPr>
        <w:t>Instructions</w:t>
      </w:r>
    </w:p>
    <w:p w14:paraId="651D9B13" w14:textId="77777777" w:rsidR="007D2B2C" w:rsidRPr="0064701F" w:rsidRDefault="007D2B2C" w:rsidP="007D2B2C">
      <w:pPr>
        <w:spacing w:after="240"/>
        <w:jc w:val="both"/>
        <w:rPr>
          <w:rStyle w:val="Enfasidelicata"/>
          <w:b w:val="0"/>
          <w:sz w:val="22"/>
        </w:rPr>
      </w:pPr>
      <w:r w:rsidRPr="0064701F">
        <w:rPr>
          <w:rStyle w:val="Enfasidelicata"/>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Paragrafoelenco"/>
        <w:numPr>
          <w:ilvl w:val="0"/>
          <w:numId w:val="40"/>
        </w:numPr>
        <w:spacing w:after="240" w:line="276" w:lineRule="auto"/>
        <w:ind w:left="567" w:hanging="567"/>
        <w:contextualSpacing w:val="0"/>
        <w:jc w:val="both"/>
        <w:rPr>
          <w:rStyle w:val="Enfasidelicata"/>
          <w:b w:val="0"/>
          <w:sz w:val="22"/>
        </w:rPr>
      </w:pPr>
      <w:r w:rsidRPr="0064701F">
        <w:rPr>
          <w:rStyle w:val="Enfasidelicata"/>
          <w:b w:val="0"/>
          <w:sz w:val="22"/>
        </w:rPr>
        <w:t>Insert your responses to the questions in the Consultation Paper in the form “Response form_Consultation Paper on format and content</w:t>
      </w:r>
      <w:r w:rsidR="00D97B41" w:rsidRPr="0064701F">
        <w:rPr>
          <w:rStyle w:val="Enfasidelicata"/>
          <w:b w:val="0"/>
          <w:sz w:val="22"/>
        </w:rPr>
        <w:t xml:space="preserve"> of the prospectus</w:t>
      </w:r>
      <w:r w:rsidRPr="0064701F">
        <w:rPr>
          <w:rStyle w:val="Enfasidelicata"/>
          <w:b w:val="0"/>
          <w:sz w:val="22"/>
        </w:rPr>
        <w:t>”, available on ESMA’s website alongside the present Consultation Paper (</w:t>
      </w:r>
      <w:hyperlink r:id="rId16" w:history="1">
        <w:r w:rsidRPr="0064701F">
          <w:rPr>
            <w:rStyle w:val="Collegamentoipertestuale"/>
            <w:sz w:val="22"/>
          </w:rPr>
          <w:t>www.esma.europa.eu</w:t>
        </w:r>
      </w:hyperlink>
      <w:r w:rsidRPr="0064701F">
        <w:rPr>
          <w:rStyle w:val="Enfasidelicata"/>
          <w:b w:val="0"/>
          <w:sz w:val="22"/>
        </w:rPr>
        <w:t xml:space="preserve"> </w:t>
      </w:r>
      <w:r w:rsidRPr="0064701F">
        <w:rPr>
          <w:rStyle w:val="Enfasidelicata"/>
          <w:b w:val="0"/>
          <w:sz w:val="22"/>
        </w:rPr>
        <w:sym w:font="Wingdings" w:char="F0E0"/>
      </w:r>
      <w:r w:rsidRPr="0064701F">
        <w:rPr>
          <w:rStyle w:val="Enfasidelicata"/>
          <w:b w:val="0"/>
          <w:sz w:val="22"/>
        </w:rPr>
        <w:t xml:space="preserve"> ‘Your input – Open consultations’ </w:t>
      </w:r>
      <w:r w:rsidRPr="0064701F">
        <w:rPr>
          <w:rStyle w:val="Enfasidelicata"/>
          <w:b w:val="0"/>
          <w:sz w:val="22"/>
        </w:rPr>
        <w:sym w:font="Wingdings" w:char="F0E0"/>
      </w:r>
      <w:r w:rsidRPr="0064701F">
        <w:rPr>
          <w:rStyle w:val="Enfasidelicata"/>
          <w:b w:val="0"/>
          <w:sz w:val="22"/>
        </w:rPr>
        <w:t xml:space="preserve"> ‘Consultation on technical advice under the new Prospectus Regulation’).</w:t>
      </w:r>
    </w:p>
    <w:p w14:paraId="2B102F83" w14:textId="77777777" w:rsidR="007D2B2C" w:rsidRPr="0064701F" w:rsidRDefault="007D2B2C" w:rsidP="007D2B2C">
      <w:pPr>
        <w:pStyle w:val="Paragrafoelenco"/>
        <w:numPr>
          <w:ilvl w:val="0"/>
          <w:numId w:val="40"/>
        </w:numPr>
        <w:spacing w:after="240" w:line="276" w:lineRule="auto"/>
        <w:ind w:left="567" w:hanging="567"/>
        <w:contextualSpacing w:val="0"/>
        <w:jc w:val="both"/>
        <w:rPr>
          <w:rStyle w:val="Enfasidelicata"/>
          <w:b w:val="0"/>
          <w:sz w:val="22"/>
        </w:rPr>
      </w:pPr>
      <w:r w:rsidRPr="0064701F">
        <w:rPr>
          <w:rStyle w:val="Enfasidelicata"/>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Paragrafoelenco"/>
        <w:numPr>
          <w:ilvl w:val="0"/>
          <w:numId w:val="40"/>
        </w:numPr>
        <w:spacing w:after="240" w:line="276" w:lineRule="auto"/>
        <w:ind w:left="567" w:hanging="567"/>
        <w:contextualSpacing w:val="0"/>
        <w:jc w:val="both"/>
        <w:rPr>
          <w:rStyle w:val="Enfasidelicata"/>
          <w:b w:val="0"/>
          <w:sz w:val="22"/>
        </w:rPr>
      </w:pPr>
      <w:r w:rsidRPr="0064701F">
        <w:rPr>
          <w:rStyle w:val="Enfasidelicata"/>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Paragrafoelenco"/>
        <w:numPr>
          <w:ilvl w:val="0"/>
          <w:numId w:val="40"/>
        </w:numPr>
        <w:spacing w:after="240" w:line="276" w:lineRule="auto"/>
        <w:ind w:left="567" w:hanging="567"/>
        <w:contextualSpacing w:val="0"/>
        <w:jc w:val="both"/>
        <w:rPr>
          <w:rStyle w:val="Enfasidelicata"/>
          <w:b w:val="0"/>
          <w:sz w:val="22"/>
        </w:rPr>
      </w:pPr>
      <w:r w:rsidRPr="0064701F">
        <w:rPr>
          <w:rStyle w:val="Enfasidelicata"/>
          <w:b w:val="0"/>
          <w:sz w:val="22"/>
        </w:rPr>
        <w:t>When you have drafted your response, name your response form according to the following convention: ESMA_FAC_nameofrespondent_RESPONSEFORM. For example, for a respondent named ABCD, the response form would be entitled ESMA_FAC_ABCD_RESPONSEFORM.</w:t>
      </w:r>
    </w:p>
    <w:p w14:paraId="1B897ED2" w14:textId="7DB53F01" w:rsidR="007D2B2C" w:rsidRPr="0064701F" w:rsidRDefault="007D2B2C" w:rsidP="007D2B2C">
      <w:pPr>
        <w:pStyle w:val="Paragrafoelenco"/>
        <w:numPr>
          <w:ilvl w:val="0"/>
          <w:numId w:val="40"/>
        </w:numPr>
        <w:spacing w:after="240" w:line="276" w:lineRule="auto"/>
        <w:ind w:left="567" w:hanging="567"/>
        <w:contextualSpacing w:val="0"/>
        <w:jc w:val="both"/>
        <w:rPr>
          <w:rStyle w:val="Enfasidelicata"/>
          <w:b w:val="0"/>
          <w:sz w:val="22"/>
        </w:rPr>
      </w:pPr>
      <w:r w:rsidRPr="0064701F">
        <w:rPr>
          <w:rStyle w:val="Enfasidelicata"/>
          <w:b w:val="0"/>
          <w:sz w:val="22"/>
        </w:rPr>
        <w:t xml:space="preserve">Upload the form containing your responses, </w:t>
      </w:r>
      <w:r w:rsidRPr="0064701F">
        <w:rPr>
          <w:rStyle w:val="Enfasidelicata"/>
          <w:b w:val="0"/>
          <w:sz w:val="22"/>
          <w:u w:val="single"/>
        </w:rPr>
        <w:t>in Word format</w:t>
      </w:r>
      <w:r w:rsidRPr="0064701F">
        <w:rPr>
          <w:rStyle w:val="Enfasidelicata"/>
          <w:b w:val="0"/>
          <w:sz w:val="22"/>
        </w:rPr>
        <w:t>, to ESMA’s website (</w:t>
      </w:r>
      <w:hyperlink r:id="rId17" w:history="1">
        <w:r w:rsidR="00504505" w:rsidRPr="0064701F">
          <w:rPr>
            <w:rStyle w:val="Collegamentoipertestuale"/>
            <w:sz w:val="22"/>
          </w:rPr>
          <w:t>www.esma.europa.eu</w:t>
        </w:r>
      </w:hyperlink>
      <w:r w:rsidRPr="0064701F">
        <w:rPr>
          <w:rStyle w:val="Enfasidelicata"/>
          <w:b w:val="0"/>
          <w:sz w:val="22"/>
        </w:rPr>
        <w:t xml:space="preserve"> under the heading ‘Your input – Open consultations’ </w:t>
      </w:r>
      <w:r w:rsidRPr="0064701F">
        <w:rPr>
          <w:rStyle w:val="Enfasidelicata"/>
          <w:b w:val="0"/>
          <w:sz w:val="22"/>
        </w:rPr>
        <w:sym w:font="Wingdings" w:char="F0E0"/>
      </w:r>
      <w:r w:rsidRPr="0064701F">
        <w:rPr>
          <w:rStyle w:val="Enfasidelicata"/>
          <w:b w:val="0"/>
          <w:sz w:val="22"/>
        </w:rPr>
        <w:t xml:space="preserve"> ‘Consultation on technical advice under the new Prospectus Regulation’).</w:t>
      </w:r>
    </w:p>
    <w:p w14:paraId="04D2F969" w14:textId="77777777" w:rsidR="007D2B2C" w:rsidRPr="0064701F" w:rsidRDefault="007D2B2C" w:rsidP="007D2B2C">
      <w:pPr>
        <w:spacing w:after="120"/>
        <w:jc w:val="both"/>
        <w:rPr>
          <w:rStyle w:val="Enfasidelicata"/>
          <w:sz w:val="22"/>
          <w:lang w:eastAsia="en-GB"/>
        </w:rPr>
      </w:pPr>
      <w:r w:rsidRPr="0064701F">
        <w:rPr>
          <w:rStyle w:val="Enfasidelicata"/>
          <w:sz w:val="22"/>
          <w:lang w:eastAsia="en-GB"/>
        </w:rPr>
        <w:t>Publication of responses</w:t>
      </w:r>
    </w:p>
    <w:p w14:paraId="2CB6F0AF" w14:textId="77777777" w:rsidR="007D2B2C" w:rsidRPr="0064701F" w:rsidRDefault="007D2B2C" w:rsidP="007D2B2C">
      <w:pPr>
        <w:spacing w:after="240"/>
        <w:jc w:val="both"/>
        <w:rPr>
          <w:rStyle w:val="Enfasidelicata"/>
          <w:b w:val="0"/>
          <w:sz w:val="22"/>
          <w:lang w:eastAsia="en-GB"/>
        </w:rPr>
      </w:pPr>
      <w:r w:rsidRPr="0064701F">
        <w:rPr>
          <w:rStyle w:val="Enfasidelicata"/>
          <w:b w:val="0"/>
          <w:sz w:val="22"/>
          <w:lang w:eastAsia="en-GB"/>
        </w:rPr>
        <w:t xml:space="preserve">All contributions received will be published following the close of the consultation, unless you request otherwise. </w:t>
      </w:r>
      <w:r w:rsidRPr="0064701F">
        <w:rPr>
          <w:rStyle w:val="Enfasidelicata"/>
          <w:b w:val="0"/>
          <w:sz w:val="22"/>
          <w:u w:val="single"/>
          <w:lang w:eastAsia="en-GB"/>
        </w:rPr>
        <w:t>Please clearly indicate by ticking the appropriate checkbox on the website submission page if you do not wish your contribution to be publicly disclosed.</w:t>
      </w:r>
      <w:r w:rsidRPr="0064701F">
        <w:rPr>
          <w:rStyle w:val="Enfasidelicata"/>
          <w:b w:val="0"/>
          <w:sz w:val="22"/>
          <w:lang w:eastAsia="en-GB"/>
        </w:rPr>
        <w:t xml:space="preserve"> A standard confidentiality statement in an email message will not be treated as a request for non-disclosure. A confi</w:t>
      </w:r>
      <w:r w:rsidRPr="0064701F">
        <w:rPr>
          <w:rStyle w:val="Enfasidelicata"/>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13C449E" w14:textId="77777777" w:rsidR="007D2B2C" w:rsidRPr="0064701F" w:rsidRDefault="007D2B2C" w:rsidP="007D2B2C">
      <w:pPr>
        <w:spacing w:after="120"/>
        <w:jc w:val="both"/>
        <w:rPr>
          <w:rStyle w:val="Enfasidelicata"/>
          <w:sz w:val="22"/>
          <w:lang w:eastAsia="en-GB"/>
        </w:rPr>
      </w:pPr>
      <w:r w:rsidRPr="0064701F">
        <w:rPr>
          <w:rStyle w:val="Enfasidelicata"/>
          <w:sz w:val="22"/>
          <w:lang w:eastAsia="en-GB"/>
        </w:rPr>
        <w:t>Data protection</w:t>
      </w:r>
    </w:p>
    <w:p w14:paraId="0021091D" w14:textId="77777777" w:rsidR="007D2B2C" w:rsidRPr="0064701F" w:rsidRDefault="007D2B2C" w:rsidP="007D2B2C">
      <w:pPr>
        <w:spacing w:after="240"/>
        <w:jc w:val="both"/>
        <w:rPr>
          <w:rStyle w:val="Enfasidelicata"/>
          <w:b w:val="0"/>
          <w:sz w:val="22"/>
          <w:lang w:eastAsia="en-GB"/>
        </w:rPr>
      </w:pPr>
      <w:r w:rsidRPr="0064701F">
        <w:rPr>
          <w:rStyle w:val="Enfasidelicata"/>
          <w:b w:val="0"/>
          <w:sz w:val="22"/>
          <w:lang w:eastAsia="en-GB"/>
        </w:rPr>
        <w:t xml:space="preserve">Information on data protection can be found at </w:t>
      </w:r>
      <w:hyperlink r:id="rId18" w:history="1">
        <w:r w:rsidRPr="0064701F">
          <w:rPr>
            <w:rStyle w:val="Collegamentoipertestuale"/>
            <w:rFonts w:cs="Arial"/>
            <w:sz w:val="22"/>
            <w:lang w:eastAsia="en-GB"/>
          </w:rPr>
          <w:t>www.esma.europa.eu</w:t>
        </w:r>
      </w:hyperlink>
      <w:r w:rsidRPr="0064701F">
        <w:rPr>
          <w:rStyle w:val="Enfasidelicata"/>
          <w:b w:val="0"/>
          <w:sz w:val="22"/>
          <w:lang w:eastAsia="en-GB"/>
        </w:rPr>
        <w:t xml:space="preserve"> under the heading ‘Data  protection’.</w:t>
      </w:r>
    </w:p>
    <w:p w14:paraId="0E675B5B" w14:textId="77777777" w:rsidR="007D2B2C" w:rsidRPr="0064701F" w:rsidRDefault="007D2B2C" w:rsidP="007D2B2C">
      <w:pPr>
        <w:spacing w:after="120"/>
        <w:jc w:val="both"/>
        <w:rPr>
          <w:rStyle w:val="Enfasidelicata"/>
          <w:sz w:val="22"/>
          <w:lang w:eastAsia="en-GB"/>
        </w:rPr>
      </w:pPr>
      <w:r w:rsidRPr="0064701F">
        <w:rPr>
          <w:rStyle w:val="Enfasidelicata"/>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Enfasidelicata"/>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Titolo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Testosegnaposto"/>
              <w:rFonts w:cs="Arial"/>
            </w:rPr>
            <w:id w:val="-1905066999"/>
            <w:text/>
          </w:sdtPr>
          <w:sdtEndPr>
            <w:rPr>
              <w:rStyle w:val="Testosegnaposto"/>
            </w:rPr>
          </w:sdtEndPr>
          <w:sdtContent>
            <w:tc>
              <w:tcPr>
                <w:tcW w:w="5595" w:type="dxa"/>
                <w:shd w:val="clear" w:color="auto" w:fill="auto"/>
              </w:tcPr>
              <w:p w14:paraId="1D2AEFF4" w14:textId="7625026F" w:rsidR="00B327E9" w:rsidRPr="00AB6D88" w:rsidRDefault="00623C39" w:rsidP="00504505">
                <w:pPr>
                  <w:rPr>
                    <w:rStyle w:val="Testosegnaposto"/>
                    <w:rFonts w:cs="Arial"/>
                  </w:rPr>
                </w:pPr>
                <w:r>
                  <w:rPr>
                    <w:rStyle w:val="Testosegnaposto"/>
                    <w:rFonts w:cs="Arial"/>
                  </w:rPr>
                  <w:t>Italian Banking Association (ABI)</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50B0A37D" w:rsidR="00B327E9" w:rsidRPr="00AB6D88" w:rsidRDefault="000E7FA3"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B0FAC">
                  <w:rPr>
                    <w:rFonts w:cs="Arial"/>
                  </w:rPr>
                  <w:t>Banking sector</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5E46DDB5" w:rsidR="00B327E9" w:rsidRPr="00AB6D88" w:rsidRDefault="000D590B"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260649A3" w:rsidR="00B327E9" w:rsidRPr="00AB6D88" w:rsidRDefault="004511FE" w:rsidP="00504505">
                <w:pPr>
                  <w:rPr>
                    <w:rFonts w:cs="Arial"/>
                  </w:rPr>
                </w:pPr>
                <w:r>
                  <w:rPr>
                    <w:rFonts w:cs="Arial"/>
                  </w:rPr>
                  <w:t>Italy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Titolo1"/>
        <w:numPr>
          <w:ilvl w:val="0"/>
          <w:numId w:val="0"/>
        </w:numPr>
        <w:ind w:left="431" w:hanging="431"/>
      </w:pPr>
      <w:r>
        <w:t>Introduction</w:t>
      </w:r>
    </w:p>
    <w:p w14:paraId="5B55F0E0" w14:textId="77777777" w:rsidR="00B327E9" w:rsidRPr="001D47A5" w:rsidRDefault="00B327E9" w:rsidP="00B327E9">
      <w:pPr>
        <w:rPr>
          <w:rStyle w:val="Enfasiintensa"/>
        </w:rPr>
      </w:pPr>
      <w:r w:rsidRPr="001D47A5">
        <w:rPr>
          <w:rStyle w:val="Enfasiintensa"/>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3B7C65EF" w14:textId="77777777" w:rsidR="003B07C9" w:rsidRPr="00B0590D" w:rsidRDefault="003B07C9" w:rsidP="003B07C9">
      <w:pPr>
        <w:jc w:val="both"/>
        <w:rPr>
          <w:highlight w:val="yellow"/>
        </w:rPr>
      </w:pPr>
      <w:permStart w:id="1937050393" w:edGrp="everyone"/>
      <w:r w:rsidRPr="00B0590D">
        <w:rPr>
          <w:highlight w:val="yellow"/>
          <w:lang w:val="en-US"/>
        </w:rPr>
        <w:t>The f</w:t>
      </w:r>
      <w:proofErr w:type="spellStart"/>
      <w:r w:rsidRPr="00B0590D">
        <w:rPr>
          <w:highlight w:val="yellow"/>
        </w:rPr>
        <w:t>ollowing</w:t>
      </w:r>
      <w:proofErr w:type="spellEnd"/>
      <w:r w:rsidRPr="00B0590D">
        <w:rPr>
          <w:highlight w:val="yellow"/>
        </w:rPr>
        <w:t xml:space="preserve"> comments </w:t>
      </w:r>
      <w:bookmarkStart w:id="1" w:name="_Hlk492305945"/>
      <w:r w:rsidRPr="00B0590D">
        <w:rPr>
          <w:highlight w:val="yellow"/>
          <w:lang w:val="en-US"/>
        </w:rPr>
        <w:t>have been written from a point of</w:t>
      </w:r>
      <w:r w:rsidRPr="00B0590D">
        <w:rPr>
          <w:highlight w:val="yellow"/>
        </w:rPr>
        <w:t xml:space="preserve"> view of banks acting </w:t>
      </w:r>
      <w:r w:rsidRPr="00B0590D">
        <w:rPr>
          <w:highlight w:val="yellow"/>
          <w:lang w:val="en-US"/>
        </w:rPr>
        <w:t>in</w:t>
      </w:r>
      <w:r w:rsidRPr="00B0590D">
        <w:rPr>
          <w:highlight w:val="yellow"/>
        </w:rPr>
        <w:t xml:space="preserve"> different roles (issuers and intermediaries) both </w:t>
      </w:r>
      <w:r w:rsidRPr="00B0590D">
        <w:rPr>
          <w:highlight w:val="yellow"/>
          <w:lang w:val="en-US"/>
        </w:rPr>
        <w:t xml:space="preserve">on </w:t>
      </w:r>
      <w:r w:rsidRPr="00B0590D">
        <w:rPr>
          <w:highlight w:val="yellow"/>
        </w:rPr>
        <w:t xml:space="preserve">debt and equity capital markets. </w:t>
      </w:r>
    </w:p>
    <w:bookmarkEnd w:id="1"/>
    <w:p w14:paraId="2E5F5106" w14:textId="4156AEB2" w:rsidR="003B07C9" w:rsidRPr="00B0590D" w:rsidRDefault="003B07C9" w:rsidP="003B07C9">
      <w:pPr>
        <w:jc w:val="both"/>
        <w:rPr>
          <w:highlight w:val="yellow"/>
        </w:rPr>
      </w:pPr>
      <w:r w:rsidRPr="00B0590D">
        <w:rPr>
          <w:highlight w:val="yellow"/>
          <w:lang w:val="en-US"/>
        </w:rPr>
        <w:t>I</w:t>
      </w:r>
      <w:proofErr w:type="spellStart"/>
      <w:r w:rsidRPr="00B0590D">
        <w:rPr>
          <w:highlight w:val="yellow"/>
        </w:rPr>
        <w:t>n</w:t>
      </w:r>
      <w:proofErr w:type="spellEnd"/>
      <w:r w:rsidRPr="00B0590D">
        <w:rPr>
          <w:highlight w:val="yellow"/>
        </w:rPr>
        <w:t xml:space="preserve"> this </w:t>
      </w:r>
      <w:proofErr w:type="gramStart"/>
      <w:r w:rsidRPr="00B0590D">
        <w:rPr>
          <w:highlight w:val="yellow"/>
        </w:rPr>
        <w:t>regard</w:t>
      </w:r>
      <w:proofErr w:type="gramEnd"/>
      <w:r w:rsidRPr="00B0590D">
        <w:rPr>
          <w:highlight w:val="yellow"/>
        </w:rPr>
        <w:t xml:space="preserve"> we </w:t>
      </w:r>
      <w:r w:rsidRPr="00B0590D">
        <w:rPr>
          <w:highlight w:val="yellow"/>
          <w:lang w:val="en-US"/>
        </w:rPr>
        <w:t xml:space="preserve">wish to </w:t>
      </w:r>
      <w:r w:rsidRPr="00B0590D">
        <w:rPr>
          <w:highlight w:val="yellow"/>
        </w:rPr>
        <w:t xml:space="preserve">point out that several </w:t>
      </w:r>
      <w:r w:rsidRPr="00B0590D">
        <w:rPr>
          <w:highlight w:val="yellow"/>
          <w:lang w:val="en-US"/>
        </w:rPr>
        <w:t>issues figuring</w:t>
      </w:r>
      <w:r w:rsidRPr="00B0590D">
        <w:rPr>
          <w:highlight w:val="yellow"/>
        </w:rPr>
        <w:t xml:space="preserve"> in the consultation paper should have been treated in </w:t>
      </w:r>
      <w:r w:rsidRPr="00B0590D">
        <w:rPr>
          <w:highlight w:val="yellow"/>
          <w:lang w:val="en-US"/>
        </w:rPr>
        <w:t xml:space="preserve">a </w:t>
      </w:r>
      <w:r w:rsidRPr="00B0590D">
        <w:rPr>
          <w:highlight w:val="yellow"/>
        </w:rPr>
        <w:t xml:space="preserve">different way </w:t>
      </w:r>
      <w:r w:rsidRPr="00B0590D">
        <w:rPr>
          <w:highlight w:val="yellow"/>
          <w:lang w:val="en-US"/>
        </w:rPr>
        <w:t xml:space="preserve">according to whether </w:t>
      </w:r>
      <w:r w:rsidRPr="00B0590D">
        <w:rPr>
          <w:highlight w:val="yellow"/>
        </w:rPr>
        <w:t xml:space="preserve">they refer to debt or equity financial instruments:  </w:t>
      </w:r>
      <w:r w:rsidRPr="00B0590D">
        <w:rPr>
          <w:highlight w:val="yellow"/>
          <w:lang w:val="en-US"/>
        </w:rPr>
        <w:t>Whenever appropriate</w:t>
      </w:r>
      <w:r w:rsidRPr="00B0590D">
        <w:rPr>
          <w:highlight w:val="yellow"/>
        </w:rPr>
        <w:t xml:space="preserve">, we </w:t>
      </w:r>
      <w:r w:rsidRPr="00B0590D">
        <w:rPr>
          <w:highlight w:val="yellow"/>
          <w:lang w:val="en-US"/>
        </w:rPr>
        <w:t xml:space="preserve">have </w:t>
      </w:r>
      <w:r w:rsidRPr="00B0590D">
        <w:rPr>
          <w:highlight w:val="yellow"/>
        </w:rPr>
        <w:t xml:space="preserve">made a distinction </w:t>
      </w:r>
      <w:r w:rsidRPr="00B0590D">
        <w:rPr>
          <w:highlight w:val="yellow"/>
          <w:lang w:val="en-US"/>
        </w:rPr>
        <w:t>between</w:t>
      </w:r>
      <w:r w:rsidRPr="00B0590D">
        <w:rPr>
          <w:highlight w:val="yellow"/>
        </w:rPr>
        <w:t xml:space="preserve"> the different securities in order to </w:t>
      </w:r>
      <w:r w:rsidRPr="00B0590D">
        <w:rPr>
          <w:highlight w:val="yellow"/>
          <w:lang w:val="en-US"/>
        </w:rPr>
        <w:t>highlight</w:t>
      </w:r>
      <w:r w:rsidR="00BD6410">
        <w:rPr>
          <w:highlight w:val="yellow"/>
        </w:rPr>
        <w:t xml:space="preserve"> their</w:t>
      </w:r>
      <w:r w:rsidRPr="00B0590D">
        <w:rPr>
          <w:highlight w:val="yellow"/>
        </w:rPr>
        <w:t xml:space="preserve"> different features.</w:t>
      </w:r>
    </w:p>
    <w:p w14:paraId="19B42CCC" w14:textId="71D85FC1" w:rsidR="003B07C9" w:rsidRPr="00BD6410" w:rsidRDefault="003B07C9" w:rsidP="003B07C9">
      <w:pPr>
        <w:jc w:val="both"/>
        <w:rPr>
          <w:highlight w:val="yellow"/>
        </w:rPr>
      </w:pPr>
      <w:r w:rsidRPr="00BD6410">
        <w:rPr>
          <w:highlight w:val="yellow"/>
        </w:rPr>
        <w:t xml:space="preserve">In addition, </w:t>
      </w:r>
      <w:proofErr w:type="gramStart"/>
      <w:r w:rsidRPr="00BD6410">
        <w:rPr>
          <w:highlight w:val="yellow"/>
        </w:rPr>
        <w:t>with regard to</w:t>
      </w:r>
      <w:proofErr w:type="gramEnd"/>
      <w:r w:rsidRPr="00BD6410">
        <w:rPr>
          <w:highlight w:val="yellow"/>
        </w:rPr>
        <w:t xml:space="preserve"> the request </w:t>
      </w:r>
      <w:r w:rsidRPr="00BD6410">
        <w:rPr>
          <w:highlight w:val="yellow"/>
          <w:lang w:val="en-US"/>
        </w:rPr>
        <w:t>for</w:t>
      </w:r>
      <w:r w:rsidRPr="00BD6410">
        <w:rPr>
          <w:highlight w:val="yellow"/>
        </w:rPr>
        <w:t xml:space="preserve"> cost estimates deriving from the implementing proposals, we are</w:t>
      </w:r>
      <w:r w:rsidRPr="00BD6410">
        <w:rPr>
          <w:highlight w:val="yellow"/>
          <w:lang w:val="en-US"/>
        </w:rPr>
        <w:t xml:space="preserve"> not</w:t>
      </w:r>
      <w:r w:rsidRPr="00BD6410">
        <w:rPr>
          <w:highlight w:val="yellow"/>
        </w:rPr>
        <w:t xml:space="preserve"> able to give concrete figures in terms of impact for issuers/intermediaries/investors. </w:t>
      </w:r>
    </w:p>
    <w:p w14:paraId="1BEBB33F" w14:textId="5FFB9C93" w:rsidR="002B548E" w:rsidRPr="00BD6410" w:rsidRDefault="003B07C9" w:rsidP="003B07C9">
      <w:pPr>
        <w:jc w:val="both"/>
      </w:pPr>
      <w:r w:rsidRPr="00BD6410">
        <w:rPr>
          <w:bCs/>
          <w:highlight w:val="yellow"/>
        </w:rPr>
        <w:t>Finally, it should be noted that some proposals regarding the re-categorisation and/or classification of some information (</w:t>
      </w:r>
      <w:r w:rsidRPr="00BD6410">
        <w:rPr>
          <w:bCs/>
          <w:i/>
          <w:highlight w:val="yellow"/>
        </w:rPr>
        <w:t>e.g</w:t>
      </w:r>
      <w:r w:rsidRPr="00BD6410">
        <w:rPr>
          <w:bCs/>
          <w:highlight w:val="yellow"/>
        </w:rPr>
        <w:t>. please see item 4.1.13 or item 4.2.2</w:t>
      </w:r>
      <w:r w:rsidR="00A4738F">
        <w:rPr>
          <w:bCs/>
          <w:highlight w:val="yellow"/>
        </w:rPr>
        <w:t xml:space="preserve"> Annex 7</w:t>
      </w:r>
      <w:r w:rsidRPr="00BD6410">
        <w:rPr>
          <w:bCs/>
          <w:highlight w:val="yellow"/>
        </w:rPr>
        <w:t xml:space="preserve">) seem to be more in line with standalone prospectuses rather than base prospectuses (to this </w:t>
      </w:r>
      <w:r w:rsidR="00BD6410">
        <w:rPr>
          <w:bCs/>
          <w:highlight w:val="yellow"/>
        </w:rPr>
        <w:t>end</w:t>
      </w:r>
      <w:r w:rsidRPr="00BD6410">
        <w:rPr>
          <w:bCs/>
          <w:highlight w:val="yellow"/>
        </w:rPr>
        <w:t xml:space="preserve">, please see, </w:t>
      </w:r>
      <w:r w:rsidRPr="00BD6410">
        <w:rPr>
          <w:bCs/>
          <w:i/>
          <w:highlight w:val="yellow"/>
        </w:rPr>
        <w:t>inter alia</w:t>
      </w:r>
      <w:r w:rsidRPr="00BD6410">
        <w:rPr>
          <w:bCs/>
          <w:highlight w:val="yellow"/>
        </w:rPr>
        <w:t>, answers to questions 47 and 48).</w:t>
      </w:r>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Titolo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41"/>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0B0E0D30" w14:textId="0B0EC521" w:rsidR="00357C60" w:rsidRDefault="003B07C9" w:rsidP="0051772A">
      <w:pPr>
        <w:jc w:val="both"/>
        <w:rPr>
          <w:rFonts w:cs="Arial"/>
        </w:rPr>
      </w:pPr>
      <w:permStart w:id="822574933" w:edGrp="everyone"/>
      <w:r w:rsidRPr="00B0590D">
        <w:rPr>
          <w:rFonts w:cs="Arial"/>
          <w:highlight w:val="yellow"/>
        </w:rPr>
        <w:t xml:space="preserve">We agree with the proposal that cover notes be limited to 3 pages. </w:t>
      </w:r>
      <w:proofErr w:type="gramStart"/>
      <w:r w:rsidRPr="00B0590D">
        <w:rPr>
          <w:rFonts w:cs="Arial"/>
          <w:highlight w:val="yellow"/>
        </w:rPr>
        <w:t>However</w:t>
      </w:r>
      <w:proofErr w:type="gramEnd"/>
      <w:r w:rsidRPr="00B0590D">
        <w:rPr>
          <w:rFonts w:cs="Arial"/>
          <w:highlight w:val="yellow"/>
        </w:rPr>
        <w:t xml:space="preserve"> we </w:t>
      </w:r>
      <w:r w:rsidRPr="00B0590D">
        <w:rPr>
          <w:rFonts w:cs="Arial"/>
          <w:highlight w:val="yellow"/>
          <w:lang w:val="en-US"/>
        </w:rPr>
        <w:t>feel that</w:t>
      </w:r>
      <w:r w:rsidRPr="00B0590D">
        <w:rPr>
          <w:rFonts w:cs="Arial"/>
          <w:highlight w:val="yellow"/>
        </w:rPr>
        <w:t xml:space="preserve"> cover notes should</w:t>
      </w:r>
      <w:r w:rsidRPr="00B0590D">
        <w:rPr>
          <w:rFonts w:cs="Arial"/>
          <w:highlight w:val="yellow"/>
          <w:lang w:val="en-US"/>
        </w:rPr>
        <w:t xml:space="preserve"> not</w:t>
      </w:r>
      <w:r w:rsidRPr="00B0590D">
        <w:rPr>
          <w:rFonts w:cs="Arial"/>
          <w:highlight w:val="yellow"/>
        </w:rPr>
        <w:t xml:space="preserve"> overlap the summary </w:t>
      </w:r>
      <w:r w:rsidRPr="00B0590D">
        <w:rPr>
          <w:rFonts w:cs="Arial"/>
          <w:highlight w:val="yellow"/>
          <w:lang w:val="en-US"/>
        </w:rPr>
        <w:t>and should not make the p</w:t>
      </w:r>
      <w:proofErr w:type="spellStart"/>
      <w:r w:rsidRPr="00B0590D">
        <w:rPr>
          <w:rFonts w:cs="Arial"/>
          <w:highlight w:val="yellow"/>
        </w:rPr>
        <w:t>rospectus</w:t>
      </w:r>
      <w:proofErr w:type="spellEnd"/>
      <w:r w:rsidRPr="00B0590D">
        <w:rPr>
          <w:rFonts w:cs="Arial"/>
          <w:highlight w:val="yellow"/>
        </w:rPr>
        <w:t xml:space="preserve"> </w:t>
      </w:r>
      <w:r w:rsidRPr="00B0590D">
        <w:rPr>
          <w:rFonts w:cs="Arial"/>
          <w:highlight w:val="yellow"/>
          <w:lang w:val="en-US"/>
        </w:rPr>
        <w:t>too lengthy which would make it difficult for investors to read</w:t>
      </w:r>
      <w:r w:rsidR="00B1549E">
        <w:rPr>
          <w:rFonts w:cs="Arial"/>
          <w:lang w:val="en-US"/>
        </w:rPr>
        <w:t>.</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14:paraId="1681FD7D" w14:textId="77777777" w:rsidR="00357C60" w:rsidRDefault="00357C60" w:rsidP="00357C60">
      <w:pPr>
        <w:rPr>
          <w:rFonts w:cs="Arial"/>
        </w:rPr>
      </w:pPr>
      <w:r>
        <w:rPr>
          <w:rFonts w:cs="Arial"/>
        </w:rPr>
        <w:t>&lt;ESMA_QUESTION_FAC_2&gt;</w:t>
      </w:r>
    </w:p>
    <w:p w14:paraId="13E64FCC" w14:textId="47D4F79E" w:rsidR="00357C60" w:rsidRDefault="003B07C9" w:rsidP="008F44F9">
      <w:pPr>
        <w:jc w:val="both"/>
        <w:rPr>
          <w:rFonts w:cs="Arial"/>
        </w:rPr>
      </w:pPr>
      <w:permStart w:id="1777273275" w:edGrp="everyone"/>
      <w:r w:rsidRPr="00B0590D">
        <w:rPr>
          <w:rFonts w:cs="Arial"/>
          <w:highlight w:val="yellow"/>
        </w:rPr>
        <w:t xml:space="preserve">Yes, a short section on “how to use the prospectus” could </w:t>
      </w:r>
      <w:r w:rsidRPr="00B0590D">
        <w:rPr>
          <w:rFonts w:cs="Arial"/>
          <w:highlight w:val="yellow"/>
          <w:lang w:val="en-US"/>
        </w:rPr>
        <w:t xml:space="preserve">make </w:t>
      </w:r>
      <w:r w:rsidRPr="00B0590D">
        <w:rPr>
          <w:rFonts w:cs="Arial"/>
          <w:highlight w:val="yellow"/>
        </w:rPr>
        <w:t xml:space="preserve">the base prospectus more accessible to retail investors. </w:t>
      </w:r>
      <w:proofErr w:type="gramStart"/>
      <w:r w:rsidRPr="00B0590D">
        <w:rPr>
          <w:rFonts w:cs="Arial"/>
          <w:highlight w:val="yellow"/>
        </w:rPr>
        <w:t>However</w:t>
      </w:r>
      <w:proofErr w:type="gramEnd"/>
      <w:r w:rsidRPr="00B0590D">
        <w:rPr>
          <w:rFonts w:cs="Arial"/>
          <w:highlight w:val="yellow"/>
        </w:rPr>
        <w:t xml:space="preserve"> this section should be considered a guide for the investors: it should</w:t>
      </w:r>
      <w:r w:rsidRPr="00B0590D">
        <w:rPr>
          <w:rFonts w:cs="Arial"/>
          <w:highlight w:val="yellow"/>
          <w:lang w:val="en-US"/>
        </w:rPr>
        <w:t xml:space="preserve"> not draw the </w:t>
      </w:r>
      <w:r w:rsidR="006A2509">
        <w:rPr>
          <w:rFonts w:cs="Arial"/>
          <w:highlight w:val="yellow"/>
          <w:lang w:val="en-US"/>
        </w:rPr>
        <w:t xml:space="preserve">attention on </w:t>
      </w:r>
      <w:r w:rsidRPr="00B0590D">
        <w:rPr>
          <w:rFonts w:cs="Arial"/>
          <w:highlight w:val="yellow"/>
          <w:lang w:val="en-US"/>
        </w:rPr>
        <w:t>some pieces of information rather than others.</w:t>
      </w:r>
      <w:r w:rsidRPr="00B0590D">
        <w:rPr>
          <w:rFonts w:cs="Arial"/>
          <w:highlight w:val="yellow"/>
        </w:rPr>
        <w:t xml:space="preserve"> </w:t>
      </w:r>
      <w:proofErr w:type="gramStart"/>
      <w:r w:rsidRPr="00B0590D">
        <w:rPr>
          <w:rFonts w:cs="Arial"/>
          <w:highlight w:val="yellow"/>
        </w:rPr>
        <w:t>Moreover</w:t>
      </w:r>
      <w:proofErr w:type="gramEnd"/>
      <w:r w:rsidRPr="00B0590D">
        <w:rPr>
          <w:rFonts w:cs="Arial"/>
          <w:highlight w:val="yellow"/>
        </w:rPr>
        <w:t xml:space="preserve"> we </w:t>
      </w:r>
      <w:r w:rsidRPr="00B0590D">
        <w:rPr>
          <w:rFonts w:cs="Arial"/>
          <w:highlight w:val="yellow"/>
          <w:lang w:val="en-US"/>
        </w:rPr>
        <w:t xml:space="preserve">feel that </w:t>
      </w:r>
      <w:r w:rsidRPr="00B0590D">
        <w:rPr>
          <w:rFonts w:cs="Arial"/>
          <w:highlight w:val="yellow"/>
        </w:rPr>
        <w:t>this section could be extended to other prospectus</w:t>
      </w:r>
      <w:r w:rsidRPr="00B0590D">
        <w:rPr>
          <w:rFonts w:cs="Arial"/>
          <w:highlight w:val="yellow"/>
          <w:lang w:val="en-US"/>
        </w:rPr>
        <w:t xml:space="preserve"> formats although it does </w:t>
      </w:r>
      <w:r w:rsidRPr="00B0590D">
        <w:rPr>
          <w:rFonts w:cs="Arial"/>
          <w:highlight w:val="yellow"/>
        </w:rPr>
        <w:t xml:space="preserve">seem more reasonable to use it </w:t>
      </w:r>
      <w:r w:rsidRPr="00B0590D">
        <w:rPr>
          <w:rFonts w:cs="Arial"/>
          <w:highlight w:val="yellow"/>
          <w:lang w:val="en-US"/>
        </w:rPr>
        <w:t>for the</w:t>
      </w:r>
      <w:r w:rsidRPr="00B0590D">
        <w:rPr>
          <w:rFonts w:cs="Arial"/>
          <w:highlight w:val="yellow"/>
        </w:rPr>
        <w:t xml:space="preserve"> base prospectus</w:t>
      </w:r>
      <w:r w:rsidR="00B1549E">
        <w:rPr>
          <w:rFonts w:cs="Arial"/>
        </w:rPr>
        <w:t>.</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464BDAA6" w14:textId="67864761" w:rsidR="00357C60" w:rsidRDefault="0034770D" w:rsidP="0080699C">
      <w:pPr>
        <w:jc w:val="both"/>
        <w:rPr>
          <w:rFonts w:cs="Arial"/>
        </w:rPr>
      </w:pPr>
      <w:permStart w:id="230376365" w:edGrp="everyone"/>
      <w:r w:rsidRPr="00B0590D">
        <w:rPr>
          <w:rFonts w:cs="Arial"/>
          <w:highlight w:val="yellow"/>
        </w:rPr>
        <w:t>We</w:t>
      </w:r>
      <w:r w:rsidRPr="00B0590D">
        <w:rPr>
          <w:rFonts w:cs="Arial"/>
          <w:highlight w:val="yellow"/>
          <w:lang w:val="en-US"/>
        </w:rPr>
        <w:t xml:space="preserve"> believe </w:t>
      </w:r>
      <w:r w:rsidRPr="00B0590D">
        <w:rPr>
          <w:rFonts w:cs="Arial"/>
          <w:highlight w:val="yellow"/>
        </w:rPr>
        <w:t xml:space="preserve">a legislative placement of the risk factors </w:t>
      </w:r>
      <w:r w:rsidRPr="00B0590D">
        <w:rPr>
          <w:rFonts w:cs="Arial"/>
          <w:highlight w:val="yellow"/>
          <w:lang w:val="en-US"/>
        </w:rPr>
        <w:t xml:space="preserve">is preferable </w:t>
      </w:r>
      <w:r w:rsidRPr="00B0590D">
        <w:rPr>
          <w:rFonts w:cs="Arial"/>
          <w:highlight w:val="yellow"/>
        </w:rPr>
        <w:t>as it would also</w:t>
      </w:r>
      <w:r w:rsidRPr="00B0590D">
        <w:rPr>
          <w:rFonts w:cs="Arial"/>
          <w:highlight w:val="yellow"/>
          <w:lang w:val="en-US"/>
        </w:rPr>
        <w:t xml:space="preserve"> provide the prospectus with greater balance </w:t>
      </w:r>
      <w:r w:rsidRPr="00B0590D">
        <w:rPr>
          <w:rFonts w:cs="Arial"/>
          <w:highlight w:val="yellow"/>
        </w:rPr>
        <w:t xml:space="preserve">and consequently </w:t>
      </w:r>
      <w:r w:rsidRPr="00B0590D">
        <w:rPr>
          <w:rFonts w:cs="Arial"/>
          <w:highlight w:val="yellow"/>
          <w:lang w:val="en-US"/>
        </w:rPr>
        <w:t xml:space="preserve">make it easier for investors to gain </w:t>
      </w:r>
      <w:r w:rsidRPr="00B0590D">
        <w:rPr>
          <w:rFonts w:cs="Arial"/>
          <w:highlight w:val="yellow"/>
        </w:rPr>
        <w:t xml:space="preserve">a clearer comprehension of the risks </w:t>
      </w:r>
      <w:r w:rsidRPr="00B0590D">
        <w:rPr>
          <w:rFonts w:cs="Arial"/>
          <w:highlight w:val="yellow"/>
          <w:lang w:val="en-US"/>
        </w:rPr>
        <w:t>involved</w:t>
      </w:r>
      <w:r w:rsidRPr="00B0590D">
        <w:rPr>
          <w:rFonts w:cs="Arial"/>
          <w:highlight w:val="yellow"/>
        </w:rPr>
        <w:t xml:space="preserve">. We agree </w:t>
      </w:r>
      <w:r w:rsidRPr="00B0590D">
        <w:rPr>
          <w:rFonts w:cs="Arial"/>
          <w:highlight w:val="yellow"/>
          <w:lang w:val="en-US"/>
        </w:rPr>
        <w:t>about inserting</w:t>
      </w:r>
      <w:r w:rsidRPr="00B0590D">
        <w:rPr>
          <w:rFonts w:cs="Arial"/>
          <w:highlight w:val="yellow"/>
        </w:rPr>
        <w:t xml:space="preserve"> the risk factor disclosure </w:t>
      </w:r>
      <w:r w:rsidRPr="00BD6410">
        <w:rPr>
          <w:rFonts w:cs="Arial"/>
          <w:highlight w:val="yellow"/>
        </w:rPr>
        <w:t xml:space="preserve">after </w:t>
      </w:r>
      <w:r w:rsidRPr="00B0590D">
        <w:rPr>
          <w:rFonts w:cs="Arial"/>
          <w:highlight w:val="yellow"/>
        </w:rPr>
        <w:t xml:space="preserve">the general description of the programme in </w:t>
      </w:r>
      <w:r w:rsidRPr="00B0590D">
        <w:rPr>
          <w:rFonts w:cs="Arial"/>
          <w:highlight w:val="yellow"/>
          <w:lang w:val="en-US"/>
        </w:rPr>
        <w:t xml:space="preserve">the </w:t>
      </w:r>
      <w:r w:rsidRPr="00B0590D">
        <w:rPr>
          <w:rFonts w:cs="Arial"/>
          <w:highlight w:val="yellow"/>
        </w:rPr>
        <w:t xml:space="preserve">case of </w:t>
      </w:r>
      <w:r w:rsidRPr="00B0590D">
        <w:rPr>
          <w:rFonts w:cs="Arial"/>
          <w:highlight w:val="yellow"/>
          <w:lang w:val="en-US"/>
        </w:rPr>
        <w:t xml:space="preserve">the </w:t>
      </w:r>
      <w:r w:rsidRPr="00B0590D">
        <w:rPr>
          <w:rFonts w:cs="Arial"/>
          <w:highlight w:val="yellow"/>
        </w:rPr>
        <w:t>base prospectus while in other cases the risk factors could be placed after the summary</w:t>
      </w:r>
      <w:r w:rsidR="00B1549E">
        <w:rPr>
          <w:rFonts w:cs="Arial"/>
        </w:rPr>
        <w:t>.</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 URD benefit from a more flexible order of information than a prospectus?</w:t>
      </w:r>
    </w:p>
    <w:p w14:paraId="4446EA6D" w14:textId="77777777" w:rsidR="00357C60" w:rsidRDefault="00357C60" w:rsidP="00357C60">
      <w:pPr>
        <w:rPr>
          <w:rFonts w:cs="Arial"/>
        </w:rPr>
      </w:pPr>
      <w:r>
        <w:rPr>
          <w:rFonts w:cs="Arial"/>
        </w:rPr>
        <w:t>&lt;ESMA_QUESTION_FAC_4&gt;</w:t>
      </w:r>
    </w:p>
    <w:p w14:paraId="6F9C200D" w14:textId="3D3E8AF8" w:rsidR="00357C60" w:rsidRDefault="00317A2F" w:rsidP="0051772A">
      <w:pPr>
        <w:jc w:val="both"/>
        <w:rPr>
          <w:rFonts w:cs="Arial"/>
        </w:rPr>
      </w:pPr>
      <w:permStart w:id="780303849" w:edGrp="everyone"/>
      <w:r>
        <w:rPr>
          <w:rFonts w:cs="Arial"/>
        </w:rPr>
        <w:t xml:space="preserve"> </w:t>
      </w:r>
      <w:r w:rsidR="0034770D" w:rsidRPr="00B0590D">
        <w:rPr>
          <w:rFonts w:cs="Arial"/>
          <w:highlight w:val="yellow"/>
        </w:rPr>
        <w:t xml:space="preserve">We </w:t>
      </w:r>
      <w:r w:rsidR="0034770D" w:rsidRPr="00B0590D">
        <w:rPr>
          <w:rFonts w:cs="Arial"/>
          <w:highlight w:val="yellow"/>
          <w:lang w:val="en-US"/>
        </w:rPr>
        <w:t>believe</w:t>
      </w:r>
      <w:r w:rsidR="0034770D" w:rsidRPr="00B0590D">
        <w:rPr>
          <w:rFonts w:cs="Arial"/>
          <w:highlight w:val="yellow"/>
        </w:rPr>
        <w:t xml:space="preserve"> that the content of </w:t>
      </w:r>
      <w:r w:rsidR="0034770D" w:rsidRPr="00B0590D">
        <w:rPr>
          <w:rFonts w:cs="Arial"/>
          <w:highlight w:val="yellow"/>
          <w:lang w:val="en-US"/>
        </w:rPr>
        <w:t xml:space="preserve">the </w:t>
      </w:r>
      <w:r w:rsidR="0034770D" w:rsidRPr="00B0590D">
        <w:rPr>
          <w:rFonts w:cs="Arial"/>
          <w:highlight w:val="yellow"/>
        </w:rPr>
        <w:t xml:space="preserve">URD should </w:t>
      </w:r>
      <w:proofErr w:type="gramStart"/>
      <w:r w:rsidR="0034770D" w:rsidRPr="00B0590D">
        <w:rPr>
          <w:rFonts w:cs="Arial"/>
          <w:highlight w:val="yellow"/>
        </w:rPr>
        <w:t>make reference</w:t>
      </w:r>
      <w:proofErr w:type="gramEnd"/>
      <w:r w:rsidR="0034770D" w:rsidRPr="00B0590D">
        <w:rPr>
          <w:rFonts w:cs="Arial"/>
          <w:highlight w:val="yellow"/>
        </w:rPr>
        <w:t xml:space="preserve"> to schedules of registration document in order to align the information on the issuer</w:t>
      </w:r>
      <w:r w:rsidR="0034770D" w:rsidRPr="00B0590D">
        <w:rPr>
          <w:rFonts w:cs="Arial"/>
          <w:highlight w:val="yellow"/>
          <w:lang w:val="en-US"/>
        </w:rPr>
        <w:t xml:space="preserve"> W</w:t>
      </w:r>
      <w:proofErr w:type="spellStart"/>
      <w:r w:rsidR="0034770D" w:rsidRPr="00B0590D">
        <w:rPr>
          <w:rFonts w:cs="Arial"/>
          <w:highlight w:val="yellow"/>
        </w:rPr>
        <w:t>e</w:t>
      </w:r>
      <w:proofErr w:type="spellEnd"/>
      <w:r w:rsidR="0034770D" w:rsidRPr="00B0590D">
        <w:rPr>
          <w:rFonts w:cs="Arial"/>
          <w:highlight w:val="yellow"/>
        </w:rPr>
        <w:t xml:space="preserve"> also </w:t>
      </w:r>
      <w:r w:rsidR="0034770D" w:rsidRPr="00B0590D">
        <w:rPr>
          <w:rFonts w:cs="Arial"/>
          <w:highlight w:val="yellow"/>
          <w:lang w:val="en-US"/>
        </w:rPr>
        <w:t xml:space="preserve">believe </w:t>
      </w:r>
      <w:r w:rsidR="0034770D" w:rsidRPr="00B0590D">
        <w:rPr>
          <w:rFonts w:cs="Arial"/>
          <w:highlight w:val="yellow"/>
        </w:rPr>
        <w:t xml:space="preserve">that the order of information in </w:t>
      </w:r>
      <w:r w:rsidR="0034770D" w:rsidRPr="00B0590D">
        <w:rPr>
          <w:rFonts w:cs="Arial"/>
          <w:highlight w:val="yellow"/>
          <w:lang w:val="en-US"/>
        </w:rPr>
        <w:t xml:space="preserve">the </w:t>
      </w:r>
      <w:r w:rsidR="0034770D" w:rsidRPr="00B0590D">
        <w:rPr>
          <w:rFonts w:cs="Arial"/>
          <w:highlight w:val="yellow"/>
        </w:rPr>
        <w:t xml:space="preserve">URD could benefit </w:t>
      </w:r>
      <w:r w:rsidR="0034770D" w:rsidRPr="00B0590D">
        <w:rPr>
          <w:rFonts w:cs="Arial"/>
          <w:highlight w:val="yellow"/>
          <w:lang w:val="en-US"/>
        </w:rPr>
        <w:t>from</w:t>
      </w:r>
      <w:r w:rsidR="0034770D" w:rsidRPr="00B0590D">
        <w:rPr>
          <w:rFonts w:cs="Arial"/>
          <w:highlight w:val="yellow"/>
        </w:rPr>
        <w:t xml:space="preserve"> a certain </w:t>
      </w:r>
      <w:r w:rsidR="0034770D" w:rsidRPr="00B0590D">
        <w:rPr>
          <w:rFonts w:cs="Arial"/>
          <w:highlight w:val="yellow"/>
          <w:lang w:val="en-US"/>
        </w:rPr>
        <w:t>amount</w:t>
      </w:r>
      <w:r w:rsidR="0034770D" w:rsidRPr="00B0590D">
        <w:rPr>
          <w:rFonts w:cs="Arial"/>
          <w:highlight w:val="yellow"/>
        </w:rPr>
        <w:t xml:space="preserve"> of flexibility </w:t>
      </w:r>
      <w:r w:rsidR="0034770D" w:rsidRPr="00B0590D">
        <w:rPr>
          <w:rFonts w:cs="Arial"/>
          <w:highlight w:val="yellow"/>
          <w:lang w:val="en-US"/>
        </w:rPr>
        <w:t xml:space="preserve">gained by </w:t>
      </w:r>
      <w:r w:rsidR="0034770D" w:rsidRPr="00B0590D">
        <w:rPr>
          <w:rFonts w:cs="Arial"/>
          <w:highlight w:val="yellow"/>
        </w:rPr>
        <w:t>specifying reference</w:t>
      </w:r>
      <w:r w:rsidR="0034770D" w:rsidRPr="00B0590D">
        <w:rPr>
          <w:rFonts w:cs="Arial"/>
          <w:highlight w:val="yellow"/>
          <w:lang w:val="en-US"/>
        </w:rPr>
        <w:t>s</w:t>
      </w:r>
      <w:r w:rsidR="0034770D" w:rsidRPr="00B0590D">
        <w:rPr>
          <w:rFonts w:cs="Arial"/>
          <w:highlight w:val="yellow"/>
        </w:rPr>
        <w:t xml:space="preserve"> to the items of registration document by </w:t>
      </w:r>
      <w:r w:rsidR="00B1549E">
        <w:rPr>
          <w:rFonts w:cs="Arial"/>
          <w:highlight w:val="yellow"/>
        </w:rPr>
        <w:t>means of a cross reference list</w:t>
      </w:r>
      <w:r w:rsidR="00B1549E">
        <w:rPr>
          <w:rFonts w:cs="Arial"/>
        </w:rPr>
        <w:t>.</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41"/>
        </w:numPr>
        <w:rPr>
          <w:rFonts w:ascii="Arial" w:hAnsi="Arial" w:cs="Arial"/>
        </w:rPr>
      </w:pPr>
      <w:r>
        <w:t xml:space="preserve">: </w:t>
      </w:r>
      <w:r w:rsidRPr="0064701F">
        <w:rPr>
          <w:rFonts w:ascii="Arial" w:hAnsi="Arial" w:cs="Arial"/>
        </w:rPr>
        <w:t>Would a standalone and prominent use of proceeds section be welcome for investors?</w:t>
      </w:r>
    </w:p>
    <w:p w14:paraId="5786614F" w14:textId="77777777" w:rsidR="00357C60" w:rsidRDefault="00357C60" w:rsidP="00357C60">
      <w:pPr>
        <w:rPr>
          <w:rFonts w:cs="Arial"/>
        </w:rPr>
      </w:pPr>
      <w:r>
        <w:rPr>
          <w:rFonts w:cs="Arial"/>
        </w:rPr>
        <w:t>&lt;ESMA_QUESTION_FAC_5&gt;</w:t>
      </w:r>
    </w:p>
    <w:p w14:paraId="594FF7CD" w14:textId="15EB5398" w:rsidR="00357C60" w:rsidRPr="00EF5B38" w:rsidRDefault="0034770D" w:rsidP="00DA02BD">
      <w:pPr>
        <w:jc w:val="both"/>
        <w:rPr>
          <w:rFonts w:cs="Arial"/>
        </w:rPr>
      </w:pPr>
      <w:permStart w:id="939810803" w:edGrp="everyone"/>
      <w:r w:rsidRPr="00B0590D">
        <w:rPr>
          <w:rFonts w:cs="Arial"/>
          <w:highlight w:val="yellow"/>
        </w:rPr>
        <w:t xml:space="preserve">In </w:t>
      </w:r>
      <w:r w:rsidRPr="00B0590D">
        <w:rPr>
          <w:rFonts w:cs="Arial"/>
          <w:highlight w:val="yellow"/>
          <w:lang w:val="en-US"/>
        </w:rPr>
        <w:t xml:space="preserve">the </w:t>
      </w:r>
      <w:r w:rsidRPr="00B0590D">
        <w:rPr>
          <w:rFonts w:cs="Arial"/>
          <w:highlight w:val="yellow"/>
        </w:rPr>
        <w:t>case of issuances by financial issuers (e.g</w:t>
      </w:r>
      <w:r w:rsidR="00EF5B38">
        <w:rPr>
          <w:rFonts w:cs="Arial"/>
          <w:highlight w:val="yellow"/>
        </w:rPr>
        <w:t>.</w:t>
      </w:r>
      <w:r w:rsidRPr="00B0590D">
        <w:rPr>
          <w:rFonts w:cs="Arial"/>
          <w:highlight w:val="yellow"/>
        </w:rPr>
        <w:t xml:space="preserve"> banks) this section does</w:t>
      </w:r>
      <w:r>
        <w:rPr>
          <w:rFonts w:cs="Arial"/>
          <w:highlight w:val="yellow"/>
          <w:lang w:val="en-US"/>
        </w:rPr>
        <w:t xml:space="preserve"> not constitute</w:t>
      </w:r>
      <w:r w:rsidRPr="00B0590D">
        <w:rPr>
          <w:rFonts w:cs="Arial"/>
          <w:highlight w:val="yellow"/>
        </w:rPr>
        <w:t xml:space="preserve"> a </w:t>
      </w:r>
      <w:r w:rsidRPr="00EF5B38">
        <w:rPr>
          <w:rFonts w:cs="Arial"/>
          <w:highlight w:val="yellow"/>
        </w:rPr>
        <w:t xml:space="preserve">meaningful </w:t>
      </w:r>
      <w:r w:rsidRPr="00B0590D">
        <w:rPr>
          <w:rFonts w:cs="Arial"/>
          <w:highlight w:val="yellow"/>
        </w:rPr>
        <w:t>source of</w:t>
      </w:r>
      <w:r w:rsidRPr="00B0590D">
        <w:rPr>
          <w:rFonts w:cs="Arial"/>
          <w:highlight w:val="yellow"/>
          <w:lang w:val="en-US"/>
        </w:rPr>
        <w:t xml:space="preserve"> </w:t>
      </w:r>
      <w:r w:rsidRPr="00B0590D">
        <w:rPr>
          <w:rFonts w:cs="Arial"/>
          <w:highlight w:val="yellow"/>
        </w:rPr>
        <w:t xml:space="preserve">information </w:t>
      </w:r>
      <w:r w:rsidRPr="00B0590D">
        <w:rPr>
          <w:rFonts w:cs="Arial"/>
          <w:highlight w:val="yellow"/>
          <w:lang w:val="en-US"/>
        </w:rPr>
        <w:t xml:space="preserve">for investors </w:t>
      </w:r>
      <w:r w:rsidRPr="00B0590D">
        <w:rPr>
          <w:rFonts w:cs="Arial"/>
          <w:highlight w:val="yellow"/>
        </w:rPr>
        <w:t xml:space="preserve">as bank activity is rather similar and standardised. In </w:t>
      </w:r>
      <w:r w:rsidRPr="00B0590D">
        <w:rPr>
          <w:rFonts w:cs="Arial"/>
          <w:highlight w:val="yellow"/>
          <w:lang w:val="en-US"/>
        </w:rPr>
        <w:t xml:space="preserve">the </w:t>
      </w:r>
      <w:r w:rsidRPr="00B0590D">
        <w:rPr>
          <w:rFonts w:cs="Arial"/>
          <w:highlight w:val="yellow"/>
        </w:rPr>
        <w:t>case of non</w:t>
      </w:r>
      <w:r w:rsidRPr="00B0590D">
        <w:rPr>
          <w:rFonts w:cs="Arial"/>
          <w:highlight w:val="yellow"/>
          <w:lang w:val="en-US"/>
        </w:rPr>
        <w:t>-</w:t>
      </w:r>
      <w:r w:rsidRPr="00EF5B38">
        <w:rPr>
          <w:rFonts w:cs="Arial"/>
          <w:highlight w:val="yellow"/>
        </w:rPr>
        <w:lastRenderedPageBreak/>
        <w:t xml:space="preserve">financial issuers (IPO/right issues) it could be useful to give more details on the use of proceeds even if equity prospectuses already </w:t>
      </w:r>
      <w:r w:rsidRPr="00EF5B38">
        <w:rPr>
          <w:rFonts w:cs="Arial"/>
          <w:highlight w:val="yellow"/>
          <w:lang w:val="en-US"/>
        </w:rPr>
        <w:t>contain</w:t>
      </w:r>
      <w:r w:rsidRPr="00EF5B38">
        <w:rPr>
          <w:rFonts w:cs="Arial"/>
          <w:highlight w:val="yellow"/>
        </w:rPr>
        <w:t xml:space="preserve"> a </w:t>
      </w:r>
      <w:r w:rsidRPr="00EF5B38">
        <w:rPr>
          <w:rFonts w:cs="Arial"/>
          <w:highlight w:val="yellow"/>
          <w:lang w:val="en-US"/>
        </w:rPr>
        <w:t>large amount</w:t>
      </w:r>
      <w:r w:rsidRPr="00EF5B38">
        <w:rPr>
          <w:rFonts w:cs="Arial"/>
          <w:highlight w:val="yellow"/>
        </w:rPr>
        <w:t xml:space="preserve"> information in this paragraph.</w:t>
      </w:r>
    </w:p>
    <w:p w14:paraId="6891FA44" w14:textId="21E33B79" w:rsidR="002B548E" w:rsidRPr="00EF5B38" w:rsidRDefault="0034770D" w:rsidP="00DA02BD">
      <w:pPr>
        <w:jc w:val="both"/>
        <w:rPr>
          <w:rFonts w:cs="Arial"/>
        </w:rPr>
      </w:pPr>
      <w:r w:rsidRPr="00EF5B38">
        <w:rPr>
          <w:rFonts w:cs="Arial"/>
          <w:highlight w:val="yellow"/>
          <w:lang w:val="en-US"/>
        </w:rPr>
        <w:t>Should</w:t>
      </w:r>
      <w:r w:rsidRPr="00EF5B38">
        <w:rPr>
          <w:rFonts w:cs="Arial"/>
          <w:highlight w:val="yellow"/>
        </w:rPr>
        <w:t xml:space="preserve"> ESMA decide to</w:t>
      </w:r>
      <w:r w:rsidRPr="00EF5B38">
        <w:rPr>
          <w:rFonts w:cs="Arial"/>
          <w:highlight w:val="yellow"/>
          <w:lang w:val="en-US"/>
        </w:rPr>
        <w:t xml:space="preserve"> </w:t>
      </w:r>
      <w:r w:rsidR="006A2509" w:rsidRPr="00EF5B38">
        <w:rPr>
          <w:rFonts w:cs="Arial"/>
          <w:highlight w:val="yellow"/>
          <w:lang w:val="en-US"/>
        </w:rPr>
        <w:t>keep</w:t>
      </w:r>
      <w:r w:rsidRPr="00EF5B38">
        <w:rPr>
          <w:rFonts w:cs="Arial"/>
          <w:highlight w:val="yellow"/>
        </w:rPr>
        <w:t xml:space="preserve"> the approach described in the consultation paper, we would suggest</w:t>
      </w:r>
      <w:r w:rsidRPr="00EF5B38">
        <w:rPr>
          <w:rFonts w:cs="Arial"/>
          <w:highlight w:val="yellow"/>
          <w:lang w:val="en-US"/>
        </w:rPr>
        <w:t xml:space="preserve"> setting</w:t>
      </w:r>
      <w:r w:rsidRPr="00EF5B38">
        <w:rPr>
          <w:rFonts w:cs="Arial"/>
          <w:highlight w:val="yellow"/>
        </w:rPr>
        <w:t xml:space="preserve"> out such disclosure requirements for financial issuers (e.g. banks) only when the proceeds are not used for their standardised purposes (</w:t>
      </w:r>
      <w:r w:rsidRPr="00EF5B38">
        <w:rPr>
          <w:rFonts w:cs="Arial"/>
          <w:i/>
          <w:highlight w:val="yellow"/>
        </w:rPr>
        <w:t>i.e.</w:t>
      </w:r>
      <w:r w:rsidRPr="00EF5B38">
        <w:rPr>
          <w:rFonts w:cs="Arial"/>
          <w:highlight w:val="yellow"/>
        </w:rPr>
        <w:t xml:space="preserve"> for funding or hedging purposes</w:t>
      </w:r>
      <w:r w:rsidR="00EF5B38">
        <w:rPr>
          <w:rFonts w:cs="Arial"/>
        </w:rPr>
        <w:t>.</w:t>
      </w: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7CF09A69" w:rsidR="00357C60" w:rsidRDefault="0034770D" w:rsidP="007C57A3">
      <w:pPr>
        <w:jc w:val="both"/>
        <w:rPr>
          <w:rFonts w:cs="Arial"/>
        </w:rPr>
      </w:pPr>
      <w:bookmarkStart w:id="2" w:name="_Hlk489353919"/>
      <w:permStart w:id="1671179595" w:edGrp="everyone"/>
      <w:r w:rsidRPr="00B0590D">
        <w:rPr>
          <w:rFonts w:cs="Arial"/>
          <w:highlight w:val="yellow"/>
        </w:rPr>
        <w:t xml:space="preserve">We </w:t>
      </w:r>
      <w:r w:rsidRPr="00B0590D">
        <w:rPr>
          <w:rFonts w:cs="Arial"/>
          <w:highlight w:val="yellow"/>
          <w:lang w:val="en-US"/>
        </w:rPr>
        <w:t>feel</w:t>
      </w:r>
      <w:r w:rsidRPr="00B0590D">
        <w:rPr>
          <w:rFonts w:cs="Arial"/>
          <w:highlight w:val="yellow"/>
        </w:rPr>
        <w:t xml:space="preserve"> that the list of “additional information” laid down in the article XXI of the Commission Regulation</w:t>
      </w:r>
      <w:r w:rsidRPr="00B0590D">
        <w:rPr>
          <w:rFonts w:cs="Arial"/>
          <w:highlight w:val="yellow"/>
          <w:lang w:val="en-US"/>
        </w:rPr>
        <w:t xml:space="preserve"> </w:t>
      </w:r>
      <w:r w:rsidRPr="00B0590D">
        <w:rPr>
          <w:rFonts w:cs="Arial"/>
          <w:highlight w:val="yellow"/>
        </w:rPr>
        <w:t xml:space="preserve">in </w:t>
      </w:r>
      <w:r w:rsidRPr="00B0590D">
        <w:rPr>
          <w:rFonts w:cs="Arial"/>
          <w:highlight w:val="yellow"/>
          <w:lang w:val="en-US"/>
        </w:rPr>
        <w:t xml:space="preserve">its </w:t>
      </w:r>
      <w:r w:rsidRPr="00B0590D">
        <w:rPr>
          <w:rFonts w:cs="Arial"/>
          <w:highlight w:val="yellow"/>
        </w:rPr>
        <w:t xml:space="preserve">final </w:t>
      </w:r>
      <w:r w:rsidRPr="00B0590D">
        <w:rPr>
          <w:rFonts w:cs="Arial"/>
          <w:highlight w:val="yellow"/>
          <w:lang w:val="en-US"/>
        </w:rPr>
        <w:t>version is fit</w:t>
      </w:r>
      <w:r w:rsidRPr="00B0590D">
        <w:rPr>
          <w:rFonts w:cs="Arial"/>
          <w:highlight w:val="yellow"/>
        </w:rPr>
        <w:t xml:space="preserve"> for purpose. </w:t>
      </w:r>
      <w:r w:rsidRPr="00B0590D">
        <w:rPr>
          <w:rFonts w:cs="Arial"/>
          <w:highlight w:val="yellow"/>
          <w:lang w:val="en-US"/>
        </w:rPr>
        <w:t>Therefore,</w:t>
      </w:r>
      <w:r w:rsidRPr="00B0590D">
        <w:rPr>
          <w:rFonts w:cs="Arial"/>
          <w:highlight w:val="yellow"/>
        </w:rPr>
        <w:t xml:space="preserve"> no </w:t>
      </w:r>
      <w:r w:rsidRPr="00B0590D">
        <w:rPr>
          <w:rFonts w:cs="Arial"/>
          <w:highlight w:val="yellow"/>
          <w:lang w:val="en-US"/>
        </w:rPr>
        <w:t xml:space="preserve">other </w:t>
      </w:r>
      <w:r w:rsidRPr="00B0590D">
        <w:rPr>
          <w:rFonts w:cs="Arial"/>
          <w:highlight w:val="yellow"/>
        </w:rPr>
        <w:t>additional information should be included in a replacement annex</w:t>
      </w:r>
      <w:r w:rsidR="00B1549E">
        <w:rPr>
          <w:rFonts w:cs="Arial"/>
        </w:rPr>
        <w:t>.</w:t>
      </w:r>
    </w:p>
    <w:bookmarkEnd w:id="2"/>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Are the definitions proposed to be carried over to the new regime, and new definitions proposed adequate? Should any additional definitions be added?</w:t>
      </w:r>
    </w:p>
    <w:p w14:paraId="7C672EA5" w14:textId="77777777" w:rsidR="00357C60" w:rsidRDefault="00357C60" w:rsidP="00357C60">
      <w:pPr>
        <w:rPr>
          <w:rFonts w:cs="Arial"/>
        </w:rPr>
      </w:pPr>
      <w:r>
        <w:rPr>
          <w:rFonts w:cs="Arial"/>
        </w:rPr>
        <w:t>&lt;ESMA_QUESTION_FAC_7&gt;</w:t>
      </w:r>
    </w:p>
    <w:p w14:paraId="1D7571F2" w14:textId="18437A26" w:rsidR="00357C60" w:rsidRPr="00EF5B38" w:rsidRDefault="0034770D" w:rsidP="00FB2F04">
      <w:pPr>
        <w:jc w:val="both"/>
        <w:rPr>
          <w:rFonts w:cs="Arial"/>
        </w:rPr>
      </w:pPr>
      <w:permStart w:id="793653218" w:edGrp="everyone"/>
      <w:r w:rsidRPr="00B0590D">
        <w:rPr>
          <w:rFonts w:cs="Arial"/>
          <w:highlight w:val="yellow"/>
        </w:rPr>
        <w:t xml:space="preserve">We </w:t>
      </w:r>
      <w:r w:rsidRPr="00EF5B38">
        <w:rPr>
          <w:rFonts w:cs="Arial"/>
          <w:highlight w:val="yellow"/>
          <w:lang w:val="en-US"/>
        </w:rPr>
        <w:t>believe</w:t>
      </w:r>
      <w:r w:rsidRPr="00EF5B38">
        <w:rPr>
          <w:rFonts w:cs="Arial"/>
          <w:highlight w:val="yellow"/>
        </w:rPr>
        <w:t xml:space="preserve"> that the definition of "securitised derivatives" or "derivatives" should be included in the new regime, </w:t>
      </w:r>
      <w:proofErr w:type="gramStart"/>
      <w:r w:rsidRPr="00EF5B38">
        <w:rPr>
          <w:rFonts w:cs="Arial"/>
          <w:highlight w:val="yellow"/>
        </w:rPr>
        <w:t>in order to</w:t>
      </w:r>
      <w:proofErr w:type="gramEnd"/>
      <w:r w:rsidRPr="00EF5B38">
        <w:rPr>
          <w:rFonts w:cs="Arial"/>
          <w:highlight w:val="yellow"/>
        </w:rPr>
        <w:t xml:space="preserve"> clearly specify which securities are subject to the "new" Annex V and the building block "replacing" Annex XII</w:t>
      </w:r>
      <w:r w:rsidR="00B1549E">
        <w:rPr>
          <w:rFonts w:cs="Arial"/>
        </w:rPr>
        <w:t>.</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14:paraId="1ED440F7" w14:textId="77777777" w:rsidR="00357C60" w:rsidRDefault="00357C60" w:rsidP="00357C60">
      <w:pPr>
        <w:rPr>
          <w:rFonts w:cs="Arial"/>
        </w:rPr>
      </w:pPr>
      <w:r>
        <w:rPr>
          <w:rFonts w:cs="Arial"/>
        </w:rPr>
        <w:t>&lt;ESMA_QUESTION_FAC_8&gt;</w:t>
      </w:r>
    </w:p>
    <w:p w14:paraId="4FCD1062" w14:textId="242DF592" w:rsidR="00357C60" w:rsidRDefault="009C0186" w:rsidP="00357C60">
      <w:pPr>
        <w:rPr>
          <w:rFonts w:cs="Arial"/>
        </w:rPr>
      </w:pPr>
      <w:permStart w:id="510986610" w:edGrp="everyone"/>
      <w:r>
        <w:rPr>
          <w:rFonts w:cs="Arial"/>
        </w:rPr>
        <w:t>Please refer to introduction</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44E58DA3" w14:textId="0A16F0A8" w:rsidR="00357C60" w:rsidRDefault="006B67FB" w:rsidP="001A6F51">
      <w:pPr>
        <w:jc w:val="both"/>
        <w:rPr>
          <w:rFonts w:cs="Arial"/>
        </w:rPr>
      </w:pPr>
      <w:permStart w:id="685058818" w:edGrp="everyone"/>
      <w:r w:rsidRPr="00B0590D">
        <w:rPr>
          <w:rFonts w:cs="Arial"/>
          <w:highlight w:val="yellow"/>
        </w:rPr>
        <w:t xml:space="preserve">We agree that the scope of NCA approval should be included in the cover note </w:t>
      </w:r>
      <w:proofErr w:type="gramStart"/>
      <w:r w:rsidRPr="00B0590D">
        <w:rPr>
          <w:rFonts w:cs="Arial"/>
          <w:highlight w:val="yellow"/>
        </w:rPr>
        <w:t>in order to</w:t>
      </w:r>
      <w:proofErr w:type="gramEnd"/>
      <w:r w:rsidRPr="00B0590D">
        <w:rPr>
          <w:rFonts w:cs="Arial"/>
          <w:highlight w:val="yellow"/>
        </w:rPr>
        <w:t xml:space="preserve"> inform the investors </w:t>
      </w:r>
      <w:r w:rsidRPr="00B0590D">
        <w:rPr>
          <w:rFonts w:cs="Arial"/>
          <w:highlight w:val="yellow"/>
          <w:lang w:val="en-US"/>
        </w:rPr>
        <w:t>about</w:t>
      </w:r>
      <w:r w:rsidRPr="00B0590D">
        <w:rPr>
          <w:rFonts w:cs="Arial"/>
          <w:highlight w:val="yellow"/>
        </w:rPr>
        <w:t xml:space="preserve"> </w:t>
      </w:r>
      <w:r w:rsidRPr="00B0590D">
        <w:rPr>
          <w:rFonts w:cs="Arial"/>
          <w:highlight w:val="yellow"/>
          <w:lang w:val="en-US"/>
        </w:rPr>
        <w:t>the</w:t>
      </w:r>
      <w:r w:rsidRPr="00B0590D">
        <w:rPr>
          <w:rFonts w:cs="Arial"/>
          <w:highlight w:val="yellow"/>
        </w:rPr>
        <w:t xml:space="preserve"> criteria (completeness, comprehensibility and consistency) </w:t>
      </w:r>
      <w:r w:rsidRPr="00B0590D">
        <w:rPr>
          <w:rFonts w:cs="Arial"/>
          <w:highlight w:val="yellow"/>
          <w:lang w:val="en-US"/>
        </w:rPr>
        <w:t xml:space="preserve">on which </w:t>
      </w:r>
      <w:r w:rsidRPr="00B0590D">
        <w:rPr>
          <w:rFonts w:cs="Arial"/>
          <w:highlight w:val="yellow"/>
        </w:rPr>
        <w:t xml:space="preserve">the NCA has </w:t>
      </w:r>
      <w:r w:rsidRPr="00B0590D">
        <w:rPr>
          <w:rFonts w:cs="Arial"/>
          <w:highlight w:val="yellow"/>
          <w:lang w:val="en-US"/>
        </w:rPr>
        <w:t>based</w:t>
      </w:r>
      <w:r w:rsidRPr="00B0590D">
        <w:rPr>
          <w:rFonts w:cs="Arial"/>
          <w:highlight w:val="yellow"/>
        </w:rPr>
        <w:t xml:space="preserve"> its approval</w:t>
      </w:r>
      <w:r w:rsidRPr="00B0590D">
        <w:rPr>
          <w:rFonts w:cs="Arial"/>
          <w:highlight w:val="yellow"/>
          <w:lang w:val="en-US"/>
        </w:rPr>
        <w:t xml:space="preserve">. This would avoid </w:t>
      </w:r>
      <w:r w:rsidRPr="00B0590D">
        <w:rPr>
          <w:rFonts w:cs="Arial"/>
          <w:highlight w:val="yellow"/>
        </w:rPr>
        <w:t>an</w:t>
      </w:r>
      <w:r w:rsidRPr="00B0590D">
        <w:rPr>
          <w:rFonts w:cs="Arial"/>
          <w:highlight w:val="yellow"/>
          <w:lang w:val="en-US"/>
        </w:rPr>
        <w:t>y</w:t>
      </w:r>
      <w:r w:rsidRPr="00B0590D">
        <w:rPr>
          <w:rFonts w:cs="Arial"/>
          <w:highlight w:val="yellow"/>
        </w:rPr>
        <w:t xml:space="preserve"> overreliance on the </w:t>
      </w:r>
      <w:r w:rsidRPr="00B0590D">
        <w:rPr>
          <w:rFonts w:cs="Arial"/>
          <w:highlight w:val="yellow"/>
          <w:lang w:val="en-US"/>
        </w:rPr>
        <w:t xml:space="preserve">prospectus </w:t>
      </w:r>
      <w:r w:rsidRPr="00B0590D">
        <w:rPr>
          <w:rFonts w:cs="Arial"/>
          <w:highlight w:val="yellow"/>
        </w:rPr>
        <w:t>approval</w:t>
      </w:r>
      <w:r w:rsidR="00EF5B38">
        <w:rPr>
          <w:rFonts w:cs="Arial"/>
        </w:rPr>
        <w:t>.</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4438D0A3" w14:textId="3CEA7149" w:rsidR="00357C60" w:rsidRDefault="006B67FB" w:rsidP="000A248B">
      <w:pPr>
        <w:jc w:val="both"/>
        <w:rPr>
          <w:rFonts w:cs="Arial"/>
        </w:rPr>
      </w:pPr>
      <w:permStart w:id="2034252493" w:edGrp="everyone"/>
      <w:r w:rsidRPr="00B0590D">
        <w:rPr>
          <w:rFonts w:cs="Arial"/>
          <w:highlight w:val="yellow"/>
        </w:rPr>
        <w:t>We agree that the requirement for issuers of equity and retail non</w:t>
      </w:r>
      <w:r w:rsidRPr="00B0590D">
        <w:rPr>
          <w:rFonts w:cs="Arial"/>
          <w:highlight w:val="yellow"/>
          <w:lang w:val="en-US"/>
        </w:rPr>
        <w:t>-</w:t>
      </w:r>
      <w:r w:rsidRPr="00B0590D">
        <w:rPr>
          <w:rFonts w:cs="Arial"/>
          <w:highlight w:val="yellow"/>
        </w:rPr>
        <w:t xml:space="preserve">equity to include selected financial information in the prospectus can be removed without </w:t>
      </w:r>
      <w:r w:rsidR="00EF5B38">
        <w:rPr>
          <w:rFonts w:cs="Arial"/>
          <w:highlight w:val="yellow"/>
        </w:rPr>
        <w:t>any</w:t>
      </w:r>
      <w:r w:rsidRPr="00B0590D">
        <w:rPr>
          <w:rFonts w:cs="Arial"/>
          <w:highlight w:val="yellow"/>
        </w:rPr>
        <w:t xml:space="preserve"> significant </w:t>
      </w:r>
      <w:r w:rsidRPr="00B0590D">
        <w:rPr>
          <w:rFonts w:cs="Arial"/>
          <w:highlight w:val="yellow"/>
          <w:lang w:val="en-US"/>
        </w:rPr>
        <w:t>harm to</w:t>
      </w:r>
      <w:r w:rsidRPr="00B0590D">
        <w:rPr>
          <w:rFonts w:cs="Arial"/>
          <w:highlight w:val="yellow"/>
        </w:rPr>
        <w:t xml:space="preserve"> the investors </w:t>
      </w:r>
      <w:r w:rsidRPr="00B0590D">
        <w:rPr>
          <w:rFonts w:cs="Arial"/>
          <w:highlight w:val="yellow"/>
          <w:lang w:val="en-US"/>
        </w:rPr>
        <w:t>since</w:t>
      </w:r>
      <w:r w:rsidRPr="00B0590D">
        <w:rPr>
          <w:rFonts w:cs="Arial"/>
          <w:highlight w:val="yellow"/>
        </w:rPr>
        <w:t xml:space="preserve"> this information </w:t>
      </w:r>
      <w:r w:rsidRPr="00B0590D">
        <w:rPr>
          <w:rFonts w:cs="Arial"/>
          <w:highlight w:val="yellow"/>
        </w:rPr>
        <w:lastRenderedPageBreak/>
        <w:t xml:space="preserve">will be </w:t>
      </w:r>
      <w:r w:rsidRPr="00B0590D">
        <w:rPr>
          <w:rFonts w:cs="Arial"/>
          <w:highlight w:val="yellow"/>
          <w:lang w:val="en-US"/>
        </w:rPr>
        <w:t>contained</w:t>
      </w:r>
      <w:r w:rsidRPr="00B0590D">
        <w:rPr>
          <w:rFonts w:cs="Arial"/>
          <w:highlight w:val="yellow"/>
        </w:rPr>
        <w:t xml:space="preserve"> in the registration document and in the Universal Registration Document, if the latter is made </w:t>
      </w:r>
      <w:r w:rsidR="00EF5B38">
        <w:rPr>
          <w:rFonts w:cs="Arial"/>
          <w:highlight w:val="yellow"/>
        </w:rPr>
        <w:t>available</w:t>
      </w:r>
      <w:r w:rsidRPr="00B0590D">
        <w:rPr>
          <w:rFonts w:cs="Arial"/>
          <w:highlight w:val="yellow"/>
        </w:rPr>
        <w:t xml:space="preserve"> by the issuer</w:t>
      </w:r>
      <w:r w:rsidR="00EF5B38">
        <w:rPr>
          <w:rFonts w:cs="Arial"/>
        </w:rPr>
        <w:t>.</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7C4C6FAC" w14:textId="6B556389" w:rsidR="00357C60" w:rsidRDefault="006B67FB" w:rsidP="00DC0D2D">
      <w:pPr>
        <w:jc w:val="both"/>
        <w:rPr>
          <w:rFonts w:cs="Arial"/>
        </w:rPr>
      </w:pPr>
      <w:permStart w:id="1800363210" w:edGrp="everyone"/>
      <w:r w:rsidRPr="00EF5B38">
        <w:rPr>
          <w:rFonts w:cs="Arial"/>
          <w:highlight w:val="yellow"/>
        </w:rPr>
        <w:t xml:space="preserve">Yes, we agree that issuers should be required to include their website address in the prospectus </w:t>
      </w:r>
      <w:proofErr w:type="gramStart"/>
      <w:r w:rsidRPr="00EF5B38">
        <w:rPr>
          <w:rFonts w:cs="Arial"/>
          <w:highlight w:val="yellow"/>
        </w:rPr>
        <w:t>in order to</w:t>
      </w:r>
      <w:proofErr w:type="gramEnd"/>
      <w:r w:rsidRPr="00EF5B38">
        <w:rPr>
          <w:rFonts w:cs="Arial"/>
          <w:highlight w:val="yellow"/>
        </w:rPr>
        <w:t xml:space="preserve"> give investors more detailed contact information: we also agree with the ESMA proposal to make documents that Commission Regulation requires available on </w:t>
      </w:r>
      <w:bookmarkStart w:id="3" w:name="_GoBack"/>
      <w:bookmarkEnd w:id="3"/>
      <w:r w:rsidRPr="00EF5B38">
        <w:rPr>
          <w:rFonts w:cs="Arial"/>
          <w:highlight w:val="yellow"/>
          <w:lang w:val="en-US"/>
        </w:rPr>
        <w:t xml:space="preserve">electronic, rather </w:t>
      </w:r>
      <w:r w:rsidRPr="00EF5B38">
        <w:rPr>
          <w:rFonts w:cs="Arial"/>
          <w:highlight w:val="yellow"/>
        </w:rPr>
        <w:t xml:space="preserve">than </w:t>
      </w:r>
      <w:r w:rsidR="00EF5B38" w:rsidRPr="00EF5B38">
        <w:rPr>
          <w:rFonts w:cs="Arial"/>
          <w:highlight w:val="yellow"/>
        </w:rPr>
        <w:t>physical</w:t>
      </w:r>
      <w:r w:rsidRPr="00EF5B38">
        <w:rPr>
          <w:rFonts w:cs="Arial"/>
          <w:highlight w:val="yellow"/>
          <w:lang w:val="en-US"/>
        </w:rPr>
        <w:t>l, display</w:t>
      </w:r>
      <w:r w:rsidRPr="00EF5B38">
        <w:rPr>
          <w:rFonts w:cs="Arial"/>
          <w:highlight w:val="yellow"/>
        </w:rPr>
        <w:t>. However</w:t>
      </w:r>
      <w:r w:rsidRPr="00EF5B38">
        <w:rPr>
          <w:rFonts w:cs="Arial"/>
          <w:highlight w:val="yellow"/>
          <w:lang w:val="en-US"/>
        </w:rPr>
        <w:t>,</w:t>
      </w:r>
      <w:r w:rsidRPr="00EF5B38">
        <w:rPr>
          <w:rFonts w:cs="Arial"/>
          <w:highlight w:val="yellow"/>
        </w:rPr>
        <w:t xml:space="preserve"> we disagree with the requirement to electronically </w:t>
      </w:r>
      <w:r w:rsidRPr="00EF5B38">
        <w:rPr>
          <w:rFonts w:cs="Arial"/>
          <w:highlight w:val="yellow"/>
          <w:lang w:val="en-US"/>
        </w:rPr>
        <w:t xml:space="preserve">display </w:t>
      </w:r>
      <w:r w:rsidRPr="00EF5B38">
        <w:rPr>
          <w:rFonts w:cs="Arial"/>
          <w:highlight w:val="yellow"/>
        </w:rPr>
        <w:t>the original Article of Association when</w:t>
      </w:r>
      <w:r w:rsidRPr="00EF5B38">
        <w:rPr>
          <w:rFonts w:cs="Arial"/>
          <w:highlight w:val="yellow"/>
          <w:lang w:val="en-US"/>
        </w:rPr>
        <w:t>ever</w:t>
      </w:r>
      <w:r w:rsidRPr="00EF5B38">
        <w:rPr>
          <w:rFonts w:cs="Arial"/>
          <w:highlight w:val="yellow"/>
        </w:rPr>
        <w:t xml:space="preserve"> it </w:t>
      </w:r>
      <w:proofErr w:type="gramStart"/>
      <w:r w:rsidRPr="00EF5B38">
        <w:rPr>
          <w:rFonts w:cs="Arial"/>
          <w:highlight w:val="yellow"/>
        </w:rPr>
        <w:t>dates back to</w:t>
      </w:r>
      <w:proofErr w:type="gramEnd"/>
      <w:r w:rsidRPr="00EF5B38">
        <w:rPr>
          <w:rFonts w:cs="Arial"/>
          <w:highlight w:val="yellow"/>
        </w:rPr>
        <w:t xml:space="preserve"> </w:t>
      </w:r>
      <w:r w:rsidRPr="00EF5B38">
        <w:rPr>
          <w:rFonts w:cs="Arial"/>
          <w:highlight w:val="yellow"/>
          <w:lang w:val="en-US"/>
        </w:rPr>
        <w:t>previous</w:t>
      </w:r>
      <w:r w:rsidR="00A4738F">
        <w:rPr>
          <w:rFonts w:cs="Arial"/>
          <w:highlight w:val="yellow"/>
        </w:rPr>
        <w:t xml:space="preserve"> centuries. Old dated document </w:t>
      </w:r>
      <w:proofErr w:type="gramStart"/>
      <w:r w:rsidR="00A4738F">
        <w:rPr>
          <w:rFonts w:cs="Arial"/>
          <w:highlight w:val="yellow"/>
        </w:rPr>
        <w:t>do</w:t>
      </w:r>
      <w:proofErr w:type="gramEnd"/>
      <w:r w:rsidR="00A4738F">
        <w:rPr>
          <w:rFonts w:cs="Arial"/>
          <w:highlight w:val="yellow"/>
        </w:rPr>
        <w:t xml:space="preserve"> not add information to the investors and </w:t>
      </w:r>
      <w:r w:rsidR="00A4738F">
        <w:rPr>
          <w:rFonts w:cs="Arial"/>
        </w:rPr>
        <w:t>to transpose it into electronic format coul</w:t>
      </w:r>
      <w:r w:rsidR="000E7FA3">
        <w:rPr>
          <w:rFonts w:cs="Arial"/>
        </w:rPr>
        <w:t>d</w:t>
      </w:r>
      <w:r w:rsidR="00A4738F">
        <w:rPr>
          <w:rFonts w:cs="Arial"/>
        </w:rPr>
        <w:t xml:space="preserve"> be problematic and/or expansive</w:t>
      </w:r>
      <w:r w:rsidR="00B1549E">
        <w:rPr>
          <w:rFonts w:cs="Arial"/>
        </w:rPr>
        <w:t>.</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3C8CDD0B" w:rsidR="00357C60" w:rsidRDefault="006B67FB" w:rsidP="00382134">
      <w:pPr>
        <w:jc w:val="both"/>
        <w:rPr>
          <w:rFonts w:cs="Arial"/>
        </w:rPr>
      </w:pPr>
      <w:permStart w:id="1788509601" w:edGrp="everyone"/>
      <w:r w:rsidRPr="00B0590D">
        <w:rPr>
          <w:rFonts w:cs="Arial"/>
          <w:highlight w:val="yellow"/>
        </w:rPr>
        <w:t xml:space="preserve">The description of material past investments seems not to be always </w:t>
      </w:r>
      <w:r w:rsidRPr="00B0590D">
        <w:rPr>
          <w:rFonts w:cs="Arial"/>
          <w:highlight w:val="yellow"/>
          <w:lang w:val="en-US"/>
        </w:rPr>
        <w:t xml:space="preserve">substantial </w:t>
      </w:r>
      <w:r w:rsidRPr="00B0590D">
        <w:rPr>
          <w:rFonts w:cs="Arial"/>
          <w:highlight w:val="yellow"/>
        </w:rPr>
        <w:t xml:space="preserve">in </w:t>
      </w:r>
      <w:r w:rsidRPr="00B0590D">
        <w:rPr>
          <w:rFonts w:cs="Arial"/>
          <w:highlight w:val="yellow"/>
          <w:lang w:val="en-US"/>
        </w:rPr>
        <w:t xml:space="preserve">the </w:t>
      </w:r>
      <w:r w:rsidRPr="00B0590D">
        <w:rPr>
          <w:rFonts w:cs="Arial"/>
          <w:highlight w:val="yellow"/>
        </w:rPr>
        <w:t>case of financial issuers. When</w:t>
      </w:r>
      <w:r w:rsidRPr="00B0590D">
        <w:rPr>
          <w:rFonts w:cs="Arial"/>
          <w:highlight w:val="yellow"/>
          <w:lang w:val="en-US"/>
        </w:rPr>
        <w:t>ever</w:t>
      </w:r>
      <w:r w:rsidRPr="00B0590D">
        <w:rPr>
          <w:rFonts w:cs="Arial"/>
          <w:highlight w:val="yellow"/>
        </w:rPr>
        <w:t xml:space="preserve"> this information is </w:t>
      </w:r>
      <w:r w:rsidRPr="00B0590D">
        <w:rPr>
          <w:rFonts w:cs="Arial"/>
          <w:highlight w:val="yellow"/>
          <w:lang w:val="en-US"/>
        </w:rPr>
        <w:t>substantial</w:t>
      </w:r>
      <w:r w:rsidRPr="00B0590D">
        <w:rPr>
          <w:rFonts w:cs="Arial"/>
          <w:highlight w:val="yellow"/>
        </w:rPr>
        <w:t xml:space="preserve">, </w:t>
      </w:r>
      <w:r w:rsidRPr="00B0590D">
        <w:rPr>
          <w:rFonts w:cs="Arial"/>
          <w:highlight w:val="yellow"/>
          <w:lang w:val="en-US"/>
        </w:rPr>
        <w:t xml:space="preserve">it </w:t>
      </w:r>
      <w:r w:rsidRPr="00B0590D">
        <w:rPr>
          <w:rFonts w:cs="Arial"/>
          <w:highlight w:val="yellow"/>
        </w:rPr>
        <w:t>is already disclosed in the financial statement</w:t>
      </w:r>
      <w:r w:rsidRPr="00B0590D">
        <w:rPr>
          <w:rFonts w:cs="Arial"/>
          <w:highlight w:val="yellow"/>
          <w:lang w:val="en-US"/>
        </w:rPr>
        <w:t>s</w:t>
      </w:r>
      <w:r w:rsidRPr="00B0590D">
        <w:rPr>
          <w:rFonts w:cs="Arial"/>
          <w:highlight w:val="yellow"/>
        </w:rPr>
        <w:t xml:space="preserve"> and, if needed, in the supplement </w:t>
      </w:r>
      <w:r w:rsidRPr="00B0590D">
        <w:rPr>
          <w:rFonts w:cs="Arial"/>
          <w:highlight w:val="yellow"/>
          <w:lang w:val="en-US"/>
        </w:rPr>
        <w:t>to</w:t>
      </w:r>
      <w:r w:rsidRPr="00B0590D">
        <w:rPr>
          <w:rFonts w:cs="Arial"/>
          <w:highlight w:val="yellow"/>
        </w:rPr>
        <w:t xml:space="preserve"> the prospectus.</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14:paraId="73EF5F94" w14:textId="77777777" w:rsidR="00357C60" w:rsidRDefault="00357C60" w:rsidP="00357C60">
      <w:pPr>
        <w:rPr>
          <w:rFonts w:cs="Arial"/>
        </w:rPr>
      </w:pPr>
      <w:r>
        <w:rPr>
          <w:rFonts w:cs="Arial"/>
        </w:rPr>
        <w:t>&lt;ESMA_QUESTION_FAC_13&gt;</w:t>
      </w:r>
    </w:p>
    <w:p w14:paraId="41329625" w14:textId="4FD868E8" w:rsidR="00357C60" w:rsidRDefault="00BB2FC6" w:rsidP="00B73B04">
      <w:pPr>
        <w:jc w:val="both"/>
        <w:rPr>
          <w:rFonts w:cs="Arial"/>
        </w:rPr>
      </w:pPr>
      <w:permStart w:id="298938205" w:edGrp="everyone"/>
      <w:r w:rsidRPr="00B0590D">
        <w:rPr>
          <w:rFonts w:cs="Arial"/>
          <w:highlight w:val="yellow"/>
        </w:rPr>
        <w:t xml:space="preserve">We agree </w:t>
      </w:r>
      <w:r w:rsidRPr="00B0590D">
        <w:rPr>
          <w:rFonts w:cs="Arial"/>
          <w:highlight w:val="yellow"/>
          <w:lang w:val="en-US"/>
        </w:rPr>
        <w:t xml:space="preserve">with the proposal </w:t>
      </w:r>
      <w:r w:rsidRPr="00B0590D">
        <w:rPr>
          <w:rFonts w:cs="Arial"/>
          <w:highlight w:val="yellow"/>
        </w:rPr>
        <w:t xml:space="preserve">to align </w:t>
      </w:r>
      <w:r w:rsidRPr="00B0590D">
        <w:rPr>
          <w:rFonts w:cs="Arial"/>
          <w:highlight w:val="yellow"/>
          <w:lang w:val="en-US"/>
        </w:rPr>
        <w:t xml:space="preserve">OFR </w:t>
      </w:r>
      <w:r w:rsidRPr="00B0590D">
        <w:rPr>
          <w:rFonts w:cs="Arial"/>
          <w:highlight w:val="yellow"/>
        </w:rPr>
        <w:t>disclosure requirements with those provided by the management report under Accounting Directive.</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41"/>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4A15F040" w14:textId="38AE6854" w:rsidR="00D269AF" w:rsidRDefault="00BB2FC6" w:rsidP="00382134">
      <w:pPr>
        <w:jc w:val="both"/>
        <w:rPr>
          <w:rFonts w:cs="Arial"/>
        </w:rPr>
      </w:pPr>
      <w:bookmarkStart w:id="4" w:name="_Hlk492043245"/>
      <w:permStart w:id="4075115" w:edGrp="everyone"/>
      <w:r w:rsidRPr="00B0590D">
        <w:rPr>
          <w:rFonts w:cs="Arial"/>
          <w:highlight w:val="yellow"/>
        </w:rPr>
        <w:t xml:space="preserve">In </w:t>
      </w:r>
      <w:r w:rsidRPr="00B0590D">
        <w:rPr>
          <w:rFonts w:cs="Arial"/>
          <w:highlight w:val="yellow"/>
          <w:lang w:val="en-US"/>
        </w:rPr>
        <w:t xml:space="preserve">the </w:t>
      </w:r>
      <w:r w:rsidRPr="00B0590D">
        <w:rPr>
          <w:rFonts w:cs="Arial"/>
          <w:highlight w:val="yellow"/>
        </w:rPr>
        <w:t>case of non</w:t>
      </w:r>
      <w:r w:rsidRPr="00B0590D">
        <w:rPr>
          <w:rFonts w:cs="Arial"/>
          <w:highlight w:val="yellow"/>
          <w:lang w:val="en-US"/>
        </w:rPr>
        <w:t>-</w:t>
      </w:r>
      <w:r w:rsidRPr="00B0590D">
        <w:rPr>
          <w:rFonts w:cs="Arial"/>
          <w:highlight w:val="yellow"/>
        </w:rPr>
        <w:t>equity securities</w:t>
      </w:r>
      <w:r w:rsidRPr="00B0590D">
        <w:rPr>
          <w:rFonts w:cs="Arial"/>
          <w:highlight w:val="yellow"/>
          <w:lang w:val="en-US"/>
        </w:rPr>
        <w:t>,</w:t>
      </w:r>
      <w:r w:rsidRPr="00B0590D">
        <w:rPr>
          <w:rFonts w:cs="Arial"/>
          <w:highlight w:val="yellow"/>
        </w:rPr>
        <w:t xml:space="preserve"> we disagree with ESMA’s proposal to require outstanding profit forecasts </w:t>
      </w:r>
      <w:r w:rsidRPr="00B0590D">
        <w:rPr>
          <w:rFonts w:cs="Arial"/>
          <w:highlight w:val="yellow"/>
          <w:lang w:val="en-US"/>
        </w:rPr>
        <w:t>to</w:t>
      </w:r>
      <w:r w:rsidRPr="00B0590D">
        <w:rPr>
          <w:rFonts w:cs="Arial"/>
          <w:highlight w:val="yellow"/>
        </w:rPr>
        <w:t xml:space="preserve"> be included in the prospectus as this information isn’t </w:t>
      </w:r>
      <w:r w:rsidRPr="00EF5B38">
        <w:rPr>
          <w:rFonts w:cs="Arial"/>
          <w:highlight w:val="yellow"/>
        </w:rPr>
        <w:t>meaningful</w:t>
      </w:r>
      <w:r w:rsidRPr="00EF5B38">
        <w:rPr>
          <w:rFonts w:cs="Arial"/>
          <w:b/>
          <w:highlight w:val="yellow"/>
        </w:rPr>
        <w:t xml:space="preserve"> </w:t>
      </w:r>
      <w:r w:rsidRPr="00B0590D">
        <w:rPr>
          <w:rFonts w:cs="Arial"/>
          <w:highlight w:val="yellow"/>
        </w:rPr>
        <w:t>for an investor in debt instruments who can better support his investment decision with a credit rating instead.  Furthermore</w:t>
      </w:r>
      <w:r w:rsidRPr="00B0590D">
        <w:rPr>
          <w:rFonts w:cs="Arial"/>
          <w:highlight w:val="yellow"/>
          <w:lang w:val="en-US"/>
        </w:rPr>
        <w:t>,</w:t>
      </w:r>
      <w:r w:rsidRPr="00B0590D">
        <w:rPr>
          <w:rFonts w:cs="Arial"/>
          <w:highlight w:val="yellow"/>
        </w:rPr>
        <w:t xml:space="preserve"> </w:t>
      </w:r>
      <w:bookmarkStart w:id="5" w:name="_Hlk489442266"/>
      <w:r w:rsidRPr="00B0590D">
        <w:rPr>
          <w:rFonts w:cs="Arial"/>
          <w:highlight w:val="yellow"/>
        </w:rPr>
        <w:t>this information is</w:t>
      </w:r>
      <w:r w:rsidRPr="00B0590D">
        <w:rPr>
          <w:rFonts w:cs="Arial"/>
          <w:highlight w:val="yellow"/>
          <w:lang w:val="en-US"/>
        </w:rPr>
        <w:t xml:space="preserve"> not</w:t>
      </w:r>
      <w:r w:rsidRPr="00B0590D">
        <w:rPr>
          <w:rFonts w:cs="Arial"/>
          <w:highlight w:val="yellow"/>
        </w:rPr>
        <w:t xml:space="preserve"> disclosed in financial statement</w:t>
      </w:r>
      <w:r w:rsidRPr="00B0590D">
        <w:rPr>
          <w:rFonts w:cs="Arial"/>
          <w:highlight w:val="yellow"/>
          <w:lang w:val="en-US"/>
        </w:rPr>
        <w:t>s</w:t>
      </w:r>
      <w:r w:rsidRPr="00B0590D">
        <w:rPr>
          <w:rFonts w:cs="Arial"/>
          <w:highlight w:val="yellow"/>
        </w:rPr>
        <w:t xml:space="preserve"> and </w:t>
      </w:r>
      <w:r w:rsidRPr="00B0590D">
        <w:rPr>
          <w:rFonts w:cs="Arial"/>
          <w:highlight w:val="yellow"/>
          <w:lang w:val="en-US"/>
        </w:rPr>
        <w:t>may not</w:t>
      </w:r>
      <w:r w:rsidRPr="00B0590D">
        <w:rPr>
          <w:rFonts w:cs="Arial"/>
          <w:highlight w:val="yellow"/>
        </w:rPr>
        <w:t xml:space="preserve"> be submitted </w:t>
      </w:r>
      <w:r w:rsidRPr="00B0590D">
        <w:rPr>
          <w:rFonts w:cs="Arial"/>
          <w:highlight w:val="yellow"/>
          <w:lang w:val="en-US"/>
        </w:rPr>
        <w:t>in an</w:t>
      </w:r>
      <w:r w:rsidRPr="00B0590D">
        <w:rPr>
          <w:rFonts w:cs="Arial"/>
          <w:highlight w:val="yellow"/>
        </w:rPr>
        <w:t xml:space="preserve"> audit report. </w:t>
      </w:r>
      <w:bookmarkEnd w:id="5"/>
      <w:r w:rsidRPr="00B0590D">
        <w:rPr>
          <w:rFonts w:cs="Arial"/>
          <w:highlight w:val="yellow"/>
          <w:lang w:val="en-US"/>
        </w:rPr>
        <w:t xml:space="preserve">Any requirement for </w:t>
      </w:r>
      <w:r w:rsidRPr="00B0590D">
        <w:rPr>
          <w:rFonts w:cs="Arial"/>
          <w:highlight w:val="yellow"/>
        </w:rPr>
        <w:t xml:space="preserve">this information risks </w:t>
      </w:r>
      <w:r w:rsidRPr="00B0590D">
        <w:rPr>
          <w:rFonts w:cs="Arial"/>
          <w:highlight w:val="yellow"/>
          <w:lang w:val="en-US"/>
        </w:rPr>
        <w:t>creating</w:t>
      </w:r>
      <w:r w:rsidRPr="00B0590D">
        <w:rPr>
          <w:rFonts w:cs="Arial"/>
          <w:highlight w:val="yellow"/>
        </w:rPr>
        <w:t xml:space="preserve"> a </w:t>
      </w:r>
      <w:r w:rsidRPr="00B0590D">
        <w:rPr>
          <w:rFonts w:cs="Arial"/>
          <w:highlight w:val="yellow"/>
          <w:lang w:val="en-US"/>
        </w:rPr>
        <w:t>m</w:t>
      </w:r>
      <w:proofErr w:type="spellStart"/>
      <w:r w:rsidRPr="00B0590D">
        <w:rPr>
          <w:rFonts w:cs="Arial"/>
          <w:highlight w:val="yellow"/>
        </w:rPr>
        <w:t>isalignment</w:t>
      </w:r>
      <w:proofErr w:type="spellEnd"/>
      <w:r w:rsidRPr="00B0590D">
        <w:rPr>
          <w:rFonts w:cs="Arial"/>
          <w:highlight w:val="yellow"/>
        </w:rPr>
        <w:t xml:space="preserve"> with the information disclosed in the prospectus/supplement and, consequently, a potential </w:t>
      </w:r>
      <w:r w:rsidRPr="00B0590D">
        <w:rPr>
          <w:rFonts w:cs="Arial"/>
          <w:highlight w:val="yellow"/>
          <w:lang w:val="en-US"/>
        </w:rPr>
        <w:t>cause for confusion</w:t>
      </w:r>
      <w:r w:rsidRPr="00B0590D">
        <w:rPr>
          <w:rFonts w:cs="Arial"/>
          <w:highlight w:val="yellow"/>
        </w:rPr>
        <w:t xml:space="preserve"> </w:t>
      </w:r>
      <w:r w:rsidRPr="00B0590D">
        <w:rPr>
          <w:rFonts w:cs="Arial"/>
          <w:highlight w:val="yellow"/>
          <w:lang w:val="en-US"/>
        </w:rPr>
        <w:t xml:space="preserve">by </w:t>
      </w:r>
      <w:r w:rsidRPr="00B0590D">
        <w:rPr>
          <w:rFonts w:cs="Arial"/>
          <w:highlight w:val="yellow"/>
        </w:rPr>
        <w:t>the investors.</w:t>
      </w:r>
      <w:r w:rsidR="00474F05">
        <w:rPr>
          <w:rFonts w:cs="Arial"/>
        </w:rPr>
        <w:t xml:space="preserve"> </w:t>
      </w:r>
      <w:bookmarkEnd w:id="4"/>
    </w:p>
    <w:p w14:paraId="6BF1216B" w14:textId="6FDCD513" w:rsidR="00BB2FC6" w:rsidRPr="00B0590D" w:rsidRDefault="00BB2FC6" w:rsidP="006A2509">
      <w:pPr>
        <w:jc w:val="both"/>
        <w:rPr>
          <w:rFonts w:cs="Arial"/>
          <w:highlight w:val="yellow"/>
        </w:rPr>
      </w:pPr>
      <w:r w:rsidRPr="00B0590D">
        <w:rPr>
          <w:rFonts w:cs="Arial"/>
          <w:highlight w:val="yellow"/>
        </w:rPr>
        <w:t xml:space="preserve">In </w:t>
      </w:r>
      <w:r w:rsidRPr="00B0590D">
        <w:rPr>
          <w:rFonts w:cs="Arial"/>
          <w:highlight w:val="yellow"/>
          <w:lang w:val="en-US"/>
        </w:rPr>
        <w:t xml:space="preserve">the </w:t>
      </w:r>
      <w:r w:rsidRPr="00B0590D">
        <w:rPr>
          <w:rFonts w:cs="Arial"/>
          <w:highlight w:val="yellow"/>
        </w:rPr>
        <w:t xml:space="preserve">case of equity issuances we disagree with the ESMA proposal to delete the obligation to include an accountant’s or an auditor’s report as this </w:t>
      </w:r>
      <w:r w:rsidR="008E267A">
        <w:rPr>
          <w:rFonts w:cs="Arial"/>
          <w:highlight w:val="yellow"/>
        </w:rPr>
        <w:t xml:space="preserve">information </w:t>
      </w:r>
      <w:bookmarkStart w:id="6" w:name="_Hlk494126087"/>
      <w:r w:rsidR="00CD1041">
        <w:rPr>
          <w:rFonts w:cs="Arial"/>
          <w:highlight w:val="yellow"/>
        </w:rPr>
        <w:t>-</w:t>
      </w:r>
      <w:r w:rsidR="008E267A">
        <w:rPr>
          <w:rFonts w:cs="Arial"/>
          <w:highlight w:val="yellow"/>
        </w:rPr>
        <w:t xml:space="preserve"> based on </w:t>
      </w:r>
      <w:r w:rsidR="009133D7">
        <w:rPr>
          <w:rFonts w:cs="Arial"/>
          <w:highlight w:val="yellow"/>
        </w:rPr>
        <w:t xml:space="preserve">forward looking </w:t>
      </w:r>
      <w:proofErr w:type="gramStart"/>
      <w:r w:rsidR="009133D7">
        <w:rPr>
          <w:rFonts w:cs="Arial"/>
          <w:highlight w:val="yellow"/>
        </w:rPr>
        <w:t xml:space="preserve">statements </w:t>
      </w:r>
      <w:r w:rsidR="008E267A">
        <w:rPr>
          <w:rFonts w:cs="Arial"/>
          <w:highlight w:val="yellow"/>
        </w:rPr>
        <w:t xml:space="preserve"> </w:t>
      </w:r>
      <w:bookmarkEnd w:id="6"/>
      <w:r w:rsidR="008E267A">
        <w:rPr>
          <w:rFonts w:cs="Arial"/>
          <w:highlight w:val="yellow"/>
        </w:rPr>
        <w:t>-</w:t>
      </w:r>
      <w:proofErr w:type="gramEnd"/>
      <w:r w:rsidR="008E267A">
        <w:rPr>
          <w:rFonts w:cs="Arial"/>
          <w:highlight w:val="yellow"/>
        </w:rPr>
        <w:t xml:space="preserve"> </w:t>
      </w:r>
      <w:r w:rsidRPr="00B0590D">
        <w:rPr>
          <w:rFonts w:cs="Arial"/>
          <w:highlight w:val="yellow"/>
        </w:rPr>
        <w:t xml:space="preserve">would </w:t>
      </w:r>
      <w:proofErr w:type="spellStart"/>
      <w:r w:rsidRPr="00B0590D">
        <w:rPr>
          <w:rFonts w:cs="Arial"/>
          <w:highlight w:val="yellow"/>
        </w:rPr>
        <w:t>impl</w:t>
      </w:r>
      <w:proofErr w:type="spellEnd"/>
      <w:r w:rsidRPr="00B0590D">
        <w:rPr>
          <w:rFonts w:cs="Arial"/>
          <w:highlight w:val="yellow"/>
          <w:lang w:val="en-US"/>
        </w:rPr>
        <w:t>y</w:t>
      </w:r>
      <w:r w:rsidRPr="00B0590D">
        <w:rPr>
          <w:rFonts w:cs="Arial"/>
          <w:highlight w:val="yellow"/>
        </w:rPr>
        <w:t xml:space="preserve"> </w:t>
      </w:r>
      <w:r w:rsidRPr="00B0590D">
        <w:rPr>
          <w:rFonts w:cs="Arial"/>
          <w:highlight w:val="yellow"/>
          <w:lang w:val="en-US"/>
        </w:rPr>
        <w:lastRenderedPageBreak/>
        <w:t>a</w:t>
      </w:r>
      <w:r w:rsidRPr="00B0590D">
        <w:rPr>
          <w:rFonts w:cs="Arial"/>
          <w:highlight w:val="yellow"/>
        </w:rPr>
        <w:t xml:space="preserve">n overreliance on the data and information disclosed by the issuers and an increasing responsibility for issuers and financial intermediaries, </w:t>
      </w:r>
      <w:proofErr w:type="spellStart"/>
      <w:r w:rsidRPr="00B0590D">
        <w:rPr>
          <w:rFonts w:cs="Arial"/>
          <w:highlight w:val="yellow"/>
        </w:rPr>
        <w:t>whe</w:t>
      </w:r>
      <w:proofErr w:type="spellEnd"/>
      <w:r w:rsidRPr="00B0590D">
        <w:rPr>
          <w:rFonts w:cs="Arial"/>
          <w:highlight w:val="yellow"/>
          <w:lang w:val="en-US"/>
        </w:rPr>
        <w:t>never involved</w:t>
      </w:r>
      <w:r>
        <w:rPr>
          <w:rFonts w:cs="Arial"/>
          <w:highlight w:val="yellow"/>
        </w:rPr>
        <w:t>.</w:t>
      </w:r>
      <w:r w:rsidRPr="00B0590D">
        <w:rPr>
          <w:rFonts w:cs="Arial"/>
          <w:highlight w:val="yellow"/>
        </w:rPr>
        <w:t xml:space="preserve"> From an issuer</w:t>
      </w:r>
      <w:r w:rsidRPr="00B0590D">
        <w:rPr>
          <w:rFonts w:cs="Arial"/>
          <w:highlight w:val="yellow"/>
          <w:lang w:val="en-US"/>
        </w:rPr>
        <w:t>’s</w:t>
      </w:r>
      <w:r w:rsidRPr="00B0590D">
        <w:rPr>
          <w:rFonts w:cs="Arial"/>
          <w:highlight w:val="yellow"/>
        </w:rPr>
        <w:t xml:space="preserve"> point of view</w:t>
      </w:r>
      <w:r w:rsidRPr="00B0590D">
        <w:rPr>
          <w:rFonts w:cs="Arial"/>
          <w:highlight w:val="yellow"/>
          <w:lang w:val="en-US"/>
        </w:rPr>
        <w:t>, there is clearly a</w:t>
      </w:r>
      <w:r w:rsidRPr="00B0590D">
        <w:rPr>
          <w:rFonts w:cs="Arial"/>
          <w:highlight w:val="yellow"/>
        </w:rPr>
        <w:t xml:space="preserve"> need to add profit forecasts </w:t>
      </w:r>
      <w:proofErr w:type="gramStart"/>
      <w:r w:rsidRPr="00B0590D">
        <w:rPr>
          <w:rFonts w:cs="Arial"/>
          <w:highlight w:val="yellow"/>
        </w:rPr>
        <w:t>in order to</w:t>
      </w:r>
      <w:proofErr w:type="gramEnd"/>
      <w:r w:rsidRPr="00B0590D">
        <w:rPr>
          <w:rFonts w:cs="Arial"/>
          <w:highlight w:val="yellow"/>
        </w:rPr>
        <w:t xml:space="preserve"> </w:t>
      </w:r>
      <w:r w:rsidRPr="00B0590D">
        <w:rPr>
          <w:rFonts w:cs="Arial"/>
          <w:highlight w:val="yellow"/>
          <w:lang w:val="en-US"/>
        </w:rPr>
        <w:t>make</w:t>
      </w:r>
      <w:r w:rsidRPr="00B0590D">
        <w:rPr>
          <w:rFonts w:cs="Arial"/>
          <w:highlight w:val="yellow"/>
        </w:rPr>
        <w:t xml:space="preserve"> his offer appealing for the investor. </w:t>
      </w:r>
      <w:proofErr w:type="gramStart"/>
      <w:r w:rsidRPr="00B0590D">
        <w:rPr>
          <w:rFonts w:cs="Arial"/>
          <w:highlight w:val="yellow"/>
        </w:rPr>
        <w:t>However</w:t>
      </w:r>
      <w:proofErr w:type="gramEnd"/>
      <w:r w:rsidRPr="00B0590D">
        <w:rPr>
          <w:rFonts w:cs="Arial"/>
          <w:highlight w:val="yellow"/>
        </w:rPr>
        <w:t xml:space="preserve"> we </w:t>
      </w:r>
      <w:r w:rsidRPr="00B0590D">
        <w:rPr>
          <w:rFonts w:cs="Arial"/>
          <w:highlight w:val="yellow"/>
          <w:lang w:val="en-US"/>
        </w:rPr>
        <w:t>believe</w:t>
      </w:r>
      <w:r w:rsidRPr="00B0590D">
        <w:rPr>
          <w:rFonts w:cs="Arial"/>
          <w:highlight w:val="yellow"/>
        </w:rPr>
        <w:t xml:space="preserve"> </w:t>
      </w:r>
      <w:r w:rsidRPr="00B0590D">
        <w:rPr>
          <w:rFonts w:cs="Arial"/>
          <w:highlight w:val="yellow"/>
          <w:lang w:val="en-US"/>
        </w:rPr>
        <w:t>there s</w:t>
      </w:r>
      <w:proofErr w:type="spellStart"/>
      <w:r w:rsidRPr="00B0590D">
        <w:rPr>
          <w:rFonts w:cs="Arial"/>
          <w:highlight w:val="yellow"/>
        </w:rPr>
        <w:t>hould</w:t>
      </w:r>
      <w:proofErr w:type="spellEnd"/>
      <w:r w:rsidRPr="00B0590D">
        <w:rPr>
          <w:rFonts w:cs="Arial"/>
          <w:highlight w:val="yellow"/>
        </w:rPr>
        <w:t xml:space="preserve"> be also </w:t>
      </w:r>
      <w:r w:rsidRPr="00B0590D">
        <w:rPr>
          <w:rFonts w:cs="Arial"/>
          <w:highlight w:val="yellow"/>
          <w:lang w:val="en-US"/>
        </w:rPr>
        <w:t>some form of control</w:t>
      </w:r>
      <w:r w:rsidRPr="00B0590D">
        <w:rPr>
          <w:rFonts w:cs="Arial"/>
          <w:highlight w:val="yellow"/>
        </w:rPr>
        <w:t xml:space="preserve"> on the </w:t>
      </w:r>
      <w:r w:rsidRPr="00B0590D">
        <w:rPr>
          <w:rFonts w:cs="Arial"/>
          <w:highlight w:val="yellow"/>
          <w:lang w:val="en-US"/>
        </w:rPr>
        <w:t>hypotheses</w:t>
      </w:r>
      <w:r w:rsidRPr="00B0590D">
        <w:rPr>
          <w:rFonts w:cs="Arial"/>
          <w:highlight w:val="yellow"/>
        </w:rPr>
        <w:t xml:space="preserve"> used by the issuers </w:t>
      </w:r>
      <w:r w:rsidRPr="00B0590D">
        <w:rPr>
          <w:rFonts w:cs="Arial"/>
          <w:highlight w:val="yellow"/>
          <w:lang w:val="en-US"/>
        </w:rPr>
        <w:t>when</w:t>
      </w:r>
      <w:r w:rsidRPr="00B0590D">
        <w:rPr>
          <w:rFonts w:cs="Arial"/>
          <w:highlight w:val="yellow"/>
        </w:rPr>
        <w:t xml:space="preserve"> presenting profit forecasts. For this </w:t>
      </w:r>
      <w:proofErr w:type="gramStart"/>
      <w:r w:rsidRPr="00B0590D">
        <w:rPr>
          <w:rFonts w:cs="Arial"/>
          <w:highlight w:val="yellow"/>
        </w:rPr>
        <w:t>reason</w:t>
      </w:r>
      <w:proofErr w:type="gramEnd"/>
      <w:r w:rsidRPr="00B0590D">
        <w:rPr>
          <w:rFonts w:cs="Arial"/>
          <w:highlight w:val="yellow"/>
        </w:rPr>
        <w:t xml:space="preserve"> we </w:t>
      </w:r>
      <w:bookmarkStart w:id="7" w:name="_Hlk494126237"/>
      <w:r w:rsidRPr="00B0590D">
        <w:rPr>
          <w:rFonts w:cs="Arial"/>
          <w:highlight w:val="yellow"/>
        </w:rPr>
        <w:t xml:space="preserve">are in favour of a report prepared by independent accountants or auditors supporting and </w:t>
      </w:r>
      <w:r w:rsidRPr="00B0590D">
        <w:rPr>
          <w:rFonts w:cs="Arial"/>
          <w:highlight w:val="yellow"/>
          <w:lang w:val="en-US"/>
        </w:rPr>
        <w:t xml:space="preserve">evaluating </w:t>
      </w:r>
      <w:r w:rsidRPr="00B0590D">
        <w:rPr>
          <w:rFonts w:cs="Arial"/>
          <w:highlight w:val="yellow"/>
        </w:rPr>
        <w:t>the assumption criteria used by t</w:t>
      </w:r>
      <w:r w:rsidR="00EF5B38">
        <w:rPr>
          <w:rFonts w:cs="Arial"/>
          <w:highlight w:val="yellow"/>
        </w:rPr>
        <w:t>he issuer on profit forecasts</w:t>
      </w:r>
      <w:bookmarkEnd w:id="7"/>
      <w:r w:rsidR="00EF5B38">
        <w:rPr>
          <w:rFonts w:cs="Arial"/>
          <w:highlight w:val="yellow"/>
        </w:rPr>
        <w:t>.</w:t>
      </w:r>
    </w:p>
    <w:p w14:paraId="1C9BF043" w14:textId="77777777" w:rsidR="00BB2FC6" w:rsidRPr="00B0590D" w:rsidRDefault="00BB2FC6" w:rsidP="00BB2FC6">
      <w:pPr>
        <w:jc w:val="both"/>
        <w:rPr>
          <w:rFonts w:cs="Arial"/>
          <w:highlight w:val="yellow"/>
        </w:rPr>
      </w:pPr>
    </w:p>
    <w:p w14:paraId="7B6F3175" w14:textId="0C88FD54" w:rsidR="00357C60" w:rsidRDefault="00BB2FC6" w:rsidP="00BB2FC6">
      <w:pPr>
        <w:jc w:val="both"/>
        <w:rPr>
          <w:rFonts w:cs="Arial"/>
        </w:rPr>
      </w:pPr>
      <w:r w:rsidRPr="00B0590D">
        <w:rPr>
          <w:rFonts w:cs="Arial"/>
          <w:highlight w:val="yellow"/>
          <w:lang w:val="en-US"/>
        </w:rPr>
        <w:t>Lastly</w:t>
      </w:r>
      <w:r w:rsidRPr="00B0590D">
        <w:rPr>
          <w:rFonts w:cs="Arial"/>
          <w:highlight w:val="yellow"/>
        </w:rPr>
        <w:t>, for equity issuances, we support the solution aimed at ma</w:t>
      </w:r>
      <w:proofErr w:type="spellStart"/>
      <w:r w:rsidRPr="00B0590D">
        <w:rPr>
          <w:rFonts w:cs="Arial"/>
          <w:highlight w:val="yellow"/>
          <w:lang w:val="en-US"/>
        </w:rPr>
        <w:t>i</w:t>
      </w:r>
      <w:r w:rsidRPr="00B0590D">
        <w:rPr>
          <w:rFonts w:cs="Arial"/>
          <w:highlight w:val="yellow"/>
        </w:rPr>
        <w:t>ntaining</w:t>
      </w:r>
      <w:proofErr w:type="spellEnd"/>
      <w:r w:rsidRPr="00B0590D">
        <w:rPr>
          <w:rFonts w:cs="Arial"/>
          <w:highlight w:val="yellow"/>
        </w:rPr>
        <w:t xml:space="preserve"> </w:t>
      </w:r>
      <w:r w:rsidRPr="00B0590D">
        <w:rPr>
          <w:rFonts w:cs="Arial"/>
          <w:highlight w:val="yellow"/>
          <w:lang w:val="en-US"/>
        </w:rPr>
        <w:t>the</w:t>
      </w:r>
      <w:r w:rsidRPr="00B0590D">
        <w:rPr>
          <w:rFonts w:cs="Arial"/>
          <w:highlight w:val="yellow"/>
        </w:rPr>
        <w:t xml:space="preserve"> “status quo”, without a presumption of materiality for profit forecasts made outside the prospectus</w:t>
      </w:r>
      <w:r w:rsidR="00EF5B38">
        <w:rPr>
          <w:rFonts w:cs="Arial"/>
        </w:rPr>
        <w:t>.</w:t>
      </w:r>
    </w:p>
    <w:permEnd w:id="4075115"/>
    <w:p w14:paraId="73C95C13" w14:textId="77777777"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53FD06DF" w14:textId="6AE34C47" w:rsidR="00357C60" w:rsidRDefault="00357C60" w:rsidP="00357C60">
      <w:pPr>
        <w:rPr>
          <w:rFonts w:cs="Arial"/>
        </w:rPr>
      </w:pPr>
      <w:permStart w:id="1289355915" w:edGrp="everyone"/>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49AEBD33" w14:textId="1133AA3C" w:rsidR="00357C60" w:rsidRDefault="00D51B12" w:rsidP="003232B4">
      <w:pPr>
        <w:jc w:val="both"/>
        <w:rPr>
          <w:rFonts w:cs="Arial"/>
        </w:rPr>
      </w:pPr>
      <w:permStart w:id="1719599276" w:edGrp="everyone"/>
      <w:proofErr w:type="gramStart"/>
      <w:r w:rsidRPr="00B0590D">
        <w:rPr>
          <w:rFonts w:cs="Arial"/>
          <w:highlight w:val="yellow"/>
        </w:rPr>
        <w:t>Yes</w:t>
      </w:r>
      <w:proofErr w:type="gramEnd"/>
      <w:r w:rsidRPr="00B0590D">
        <w:rPr>
          <w:rFonts w:cs="Arial"/>
          <w:highlight w:val="yellow"/>
        </w:rPr>
        <w:t xml:space="preserve"> we agree with a mandatory disclosure of the size of shareholdings pre and post issuance where a major shareholder is selling down</w:t>
      </w:r>
      <w:r w:rsidRPr="00B0590D">
        <w:rPr>
          <w:rFonts w:cs="Arial"/>
          <w:highlight w:val="yellow"/>
          <w:lang w:val="en-US"/>
        </w:rPr>
        <w:t xml:space="preserve">. This would </w:t>
      </w:r>
      <w:r w:rsidRPr="00B0590D">
        <w:rPr>
          <w:rFonts w:cs="Arial"/>
          <w:highlight w:val="yellow"/>
        </w:rPr>
        <w:t>give investors more detailed information. However</w:t>
      </w:r>
      <w:r w:rsidRPr="00B0590D">
        <w:rPr>
          <w:rFonts w:cs="Arial"/>
          <w:highlight w:val="yellow"/>
          <w:lang w:val="en-US"/>
        </w:rPr>
        <w:t>,</w:t>
      </w:r>
      <w:r w:rsidRPr="00B0590D">
        <w:rPr>
          <w:rFonts w:cs="Arial"/>
          <w:highlight w:val="yellow"/>
        </w:rPr>
        <w:t xml:space="preserve"> this disclosure is already inserted in the prospectus a</w:t>
      </w:r>
      <w:r w:rsidRPr="00B0590D">
        <w:rPr>
          <w:rFonts w:cs="Arial"/>
          <w:highlight w:val="yellow"/>
          <w:lang w:val="en-US"/>
        </w:rPr>
        <w:t>s</w:t>
      </w:r>
      <w:r w:rsidRPr="00B0590D">
        <w:rPr>
          <w:rFonts w:cs="Arial"/>
          <w:highlight w:val="yellow"/>
        </w:rPr>
        <w:t xml:space="preserve"> standard practice</w:t>
      </w:r>
      <w:r w:rsidR="00286ABF">
        <w:rPr>
          <w:rFonts w:cs="Arial"/>
        </w:rPr>
        <w:t>.</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E4FB2DB" w14:textId="4739E161" w:rsidR="00357C60" w:rsidRDefault="00D51B12" w:rsidP="003232B4">
      <w:pPr>
        <w:jc w:val="both"/>
        <w:rPr>
          <w:rFonts w:cs="Arial"/>
        </w:rPr>
      </w:pPr>
      <w:permStart w:id="1791062262" w:edGrp="everyone"/>
      <w:r w:rsidRPr="00B0590D">
        <w:rPr>
          <w:rFonts w:cs="Arial"/>
          <w:highlight w:val="yellow"/>
        </w:rPr>
        <w:t xml:space="preserve">We consider that such </w:t>
      </w:r>
      <w:r w:rsidRPr="00B0590D">
        <w:rPr>
          <w:rFonts w:cs="Arial"/>
          <w:highlight w:val="yellow"/>
          <w:lang w:val="en-US"/>
        </w:rPr>
        <w:t xml:space="preserve">a </w:t>
      </w:r>
      <w:r w:rsidRPr="00B0590D">
        <w:rPr>
          <w:rFonts w:cs="Arial"/>
          <w:highlight w:val="yellow"/>
        </w:rPr>
        <w:t>new requirement to disclose potential material impact</w:t>
      </w:r>
      <w:r w:rsidRPr="00B0590D">
        <w:rPr>
          <w:rFonts w:cs="Arial"/>
          <w:highlight w:val="yellow"/>
          <w:lang w:val="en-US"/>
        </w:rPr>
        <w:t>s</w:t>
      </w:r>
      <w:r w:rsidRPr="00B0590D">
        <w:rPr>
          <w:rFonts w:cs="Arial"/>
          <w:highlight w:val="yellow"/>
        </w:rPr>
        <w:t xml:space="preserve"> on the corporate governance is a valuable </w:t>
      </w:r>
      <w:r w:rsidRPr="00B0590D">
        <w:rPr>
          <w:rFonts w:cs="Arial"/>
          <w:highlight w:val="yellow"/>
          <w:lang w:val="en-US"/>
        </w:rPr>
        <w:t xml:space="preserve">piece of </w:t>
      </w:r>
      <w:r w:rsidRPr="00B0590D">
        <w:rPr>
          <w:rFonts w:cs="Arial"/>
          <w:highlight w:val="yellow"/>
        </w:rPr>
        <w:t xml:space="preserve">information </w:t>
      </w:r>
      <w:r w:rsidRPr="00B0590D">
        <w:rPr>
          <w:rFonts w:cs="Arial"/>
          <w:highlight w:val="yellow"/>
          <w:lang w:val="en-US"/>
        </w:rPr>
        <w:t>for</w:t>
      </w:r>
      <w:r w:rsidRPr="00B0590D">
        <w:rPr>
          <w:rFonts w:cs="Arial"/>
          <w:highlight w:val="yellow"/>
        </w:rPr>
        <w:t xml:space="preserve"> investors. </w:t>
      </w:r>
      <w:bookmarkStart w:id="8" w:name="_Hlk489375727"/>
      <w:r w:rsidRPr="00B0590D">
        <w:rPr>
          <w:rFonts w:cs="Arial"/>
          <w:highlight w:val="yellow"/>
        </w:rPr>
        <w:t>However</w:t>
      </w:r>
      <w:r w:rsidRPr="00B0590D">
        <w:rPr>
          <w:rFonts w:cs="Arial"/>
          <w:highlight w:val="yellow"/>
          <w:lang w:val="en-US"/>
        </w:rPr>
        <w:t>,</w:t>
      </w:r>
      <w:r w:rsidRPr="00B0590D">
        <w:rPr>
          <w:rFonts w:cs="Arial"/>
          <w:highlight w:val="yellow"/>
        </w:rPr>
        <w:t xml:space="preserve"> this disclosure is already inserted in prospectus as </w:t>
      </w:r>
      <w:r w:rsidRPr="00B0590D">
        <w:rPr>
          <w:rFonts w:cs="Arial"/>
          <w:highlight w:val="yellow"/>
          <w:lang w:val="en-US"/>
        </w:rPr>
        <w:t xml:space="preserve">a </w:t>
      </w:r>
      <w:r w:rsidRPr="00B0590D">
        <w:rPr>
          <w:rFonts w:cs="Arial"/>
          <w:highlight w:val="yellow"/>
        </w:rPr>
        <w:t>standard practice</w:t>
      </w:r>
      <w:bookmarkEnd w:id="8"/>
      <w:r w:rsidR="00286ABF">
        <w:rPr>
          <w:rFonts w:cs="Arial"/>
        </w:rPr>
        <w:t>.</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435ADFD7" w14:textId="28D0B909" w:rsidR="00357C60" w:rsidRDefault="00C93BB3" w:rsidP="000D1EA7">
      <w:pPr>
        <w:jc w:val="both"/>
        <w:rPr>
          <w:rFonts w:cs="Arial"/>
        </w:rPr>
      </w:pPr>
      <w:permStart w:id="837503568" w:edGrp="everyone"/>
      <w:r w:rsidRPr="00B0590D">
        <w:rPr>
          <w:rFonts w:cs="Arial"/>
          <w:highlight w:val="yellow"/>
        </w:rPr>
        <w:t xml:space="preserve">We agree with the proposal </w:t>
      </w:r>
      <w:r w:rsidRPr="00B0590D">
        <w:rPr>
          <w:rFonts w:cs="Arial"/>
          <w:highlight w:val="yellow"/>
          <w:lang w:val="en-US"/>
        </w:rPr>
        <w:t>to clarify</w:t>
      </w:r>
      <w:r w:rsidRPr="00B0590D">
        <w:rPr>
          <w:rFonts w:cs="Arial"/>
          <w:highlight w:val="yellow"/>
        </w:rPr>
        <w:t xml:space="preserve"> the requirement </w:t>
      </w:r>
      <w:r w:rsidRPr="00B0590D">
        <w:rPr>
          <w:rFonts w:cs="Arial"/>
          <w:highlight w:val="yellow"/>
          <w:lang w:val="en-US"/>
        </w:rPr>
        <w:t>for</w:t>
      </w:r>
      <w:r w:rsidRPr="00B0590D">
        <w:rPr>
          <w:rFonts w:cs="Arial"/>
          <w:highlight w:val="yellow"/>
        </w:rPr>
        <w:t xml:space="preserve"> restated financial information </w:t>
      </w:r>
      <w:r w:rsidRPr="00B0590D">
        <w:rPr>
          <w:rFonts w:cs="Arial"/>
          <w:highlight w:val="yellow"/>
          <w:lang w:val="en-US"/>
        </w:rPr>
        <w:t xml:space="preserve">and to align </w:t>
      </w:r>
      <w:r w:rsidRPr="00B0590D">
        <w:rPr>
          <w:rFonts w:cs="Arial"/>
          <w:highlight w:val="yellow"/>
        </w:rPr>
        <w:t>it with IFRS 1</w:t>
      </w:r>
      <w:r w:rsidRPr="00B0590D">
        <w:rPr>
          <w:rFonts w:cs="Arial"/>
          <w:highlight w:val="yellow"/>
          <w:lang w:val="en-US"/>
        </w:rPr>
        <w:t>,</w:t>
      </w:r>
      <w:r w:rsidRPr="00B0590D">
        <w:rPr>
          <w:rFonts w:cs="Arial"/>
          <w:highlight w:val="yellow"/>
        </w:rPr>
        <w:t xml:space="preserve"> but is important to evaluate the impact on the cost for issuers </w:t>
      </w:r>
      <w:r w:rsidRPr="00B0590D">
        <w:rPr>
          <w:rFonts w:cs="Arial"/>
          <w:highlight w:val="yellow"/>
          <w:lang w:val="en-US"/>
        </w:rPr>
        <w:t>too</w:t>
      </w:r>
      <w:r w:rsidRPr="00B0590D">
        <w:rPr>
          <w:rFonts w:cs="Arial"/>
          <w:highlight w:val="yellow"/>
        </w:rPr>
        <w:t>.</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C5C0ED1" w14:textId="2195569A" w:rsidR="00357C60" w:rsidRDefault="00C93BB3" w:rsidP="00296C82">
      <w:pPr>
        <w:jc w:val="both"/>
        <w:rPr>
          <w:rFonts w:cs="Arial"/>
        </w:rPr>
      </w:pPr>
      <w:permStart w:id="528625861" w:edGrp="everyone"/>
      <w:r w:rsidRPr="00B0590D">
        <w:rPr>
          <w:rFonts w:cs="Arial"/>
          <w:highlight w:val="yellow"/>
        </w:rPr>
        <w:lastRenderedPageBreak/>
        <w:t xml:space="preserve">We agree with the lighter requirement in relation to the </w:t>
      </w:r>
      <w:r w:rsidRPr="00B0590D">
        <w:rPr>
          <w:rFonts w:cs="Arial"/>
          <w:highlight w:val="yellow"/>
          <w:lang w:val="en-US"/>
        </w:rPr>
        <w:t>replication</w:t>
      </w:r>
      <w:r w:rsidRPr="00B0590D">
        <w:rPr>
          <w:rFonts w:cs="Arial"/>
          <w:highlight w:val="yellow"/>
        </w:rPr>
        <w:t xml:space="preserve"> of the issuer’s M&amp;A in the prospectus unless the latter </w:t>
      </w:r>
      <w:r w:rsidRPr="00B0590D">
        <w:rPr>
          <w:rFonts w:cs="Arial"/>
          <w:highlight w:val="yellow"/>
          <w:lang w:val="en-US"/>
        </w:rPr>
        <w:t>does not contain any</w:t>
      </w:r>
      <w:r w:rsidRPr="00B0590D">
        <w:rPr>
          <w:rFonts w:cs="Arial"/>
          <w:highlight w:val="yellow"/>
        </w:rPr>
        <w:t xml:space="preserve"> particular provisions or its replication has </w:t>
      </w:r>
      <w:proofErr w:type="gramStart"/>
      <w:r w:rsidRPr="00B0590D">
        <w:rPr>
          <w:rFonts w:cs="Arial"/>
          <w:highlight w:val="yellow"/>
        </w:rPr>
        <w:t>an</w:t>
      </w:r>
      <w:proofErr w:type="gramEnd"/>
      <w:r w:rsidRPr="00B0590D">
        <w:rPr>
          <w:rFonts w:cs="Arial"/>
          <w:highlight w:val="yellow"/>
        </w:rPr>
        <w:t xml:space="preserve"> high impact on the costs for the issuer</w:t>
      </w:r>
      <w:r w:rsidR="00286ABF">
        <w:rPr>
          <w:rFonts w:cs="Arial"/>
        </w:rPr>
        <w:t>.</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2E430A41" w14:textId="2344B83F" w:rsidR="00357C60" w:rsidRDefault="00A4738F" w:rsidP="00357C60">
      <w:pPr>
        <w:rPr>
          <w:rFonts w:cs="Arial"/>
        </w:rPr>
      </w:pPr>
      <w:permStart w:id="1415971191" w:edGrp="everyone"/>
      <w:r>
        <w:rPr>
          <w:rFonts w:cs="Arial"/>
        </w:rPr>
        <w:t xml:space="preserve">We suggest that the information requested in point 18.1 </w:t>
      </w:r>
      <w:r w:rsidR="008F376B">
        <w:rPr>
          <w:rFonts w:cs="Arial"/>
        </w:rPr>
        <w:t xml:space="preserve">are updated on the date of submission to the National Competent Authority of the last draft for approval instead of the date of the registration document itself </w:t>
      </w:r>
      <w:proofErr w:type="gramStart"/>
      <w:r w:rsidR="008F376B">
        <w:rPr>
          <w:rFonts w:cs="Arial"/>
        </w:rPr>
        <w:t>in order to</w:t>
      </w:r>
      <w:proofErr w:type="gramEnd"/>
      <w:r w:rsidR="008F376B">
        <w:rPr>
          <w:rFonts w:cs="Arial"/>
        </w:rPr>
        <w:t xml:space="preserve"> avoid possible inconsistency (e.g. share registration document approved in the morning and new/diffe</w:t>
      </w:r>
      <w:r w:rsidR="00B1549E">
        <w:rPr>
          <w:rFonts w:cs="Arial"/>
        </w:rPr>
        <w:t>rent shareholders structure com</w:t>
      </w:r>
      <w:r w:rsidR="008F376B">
        <w:rPr>
          <w:rFonts w:cs="Arial"/>
        </w:rPr>
        <w:t>municated -same day- to the market</w:t>
      </w:r>
      <w:r w:rsidR="00286ABF">
        <w:rPr>
          <w:rFonts w:cs="Arial"/>
        </w:rPr>
        <w:t>.</w:t>
      </w:r>
    </w:p>
    <w:permEnd w:id="1415971191"/>
    <w:p w14:paraId="5CED25E5" w14:textId="77777777"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41"/>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02007395" w:rsidR="00357C60" w:rsidRDefault="006A1D0A" w:rsidP="00357C60">
      <w:pPr>
        <w:rPr>
          <w:rFonts w:cs="Arial"/>
        </w:rPr>
      </w:pPr>
      <w:permStart w:id="65869865" w:edGrp="everyone"/>
      <w:r>
        <w:rPr>
          <w:rFonts w:cs="Arial"/>
        </w:rPr>
        <w:t>Please refer to introduction</w:t>
      </w:r>
      <w:r w:rsidR="00286ABF">
        <w:rPr>
          <w:rFonts w:cs="Arial"/>
        </w:rPr>
        <w:t>.</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3F411A83" w14:textId="16E99240" w:rsidR="00357C60" w:rsidRDefault="00357C60" w:rsidP="00357C60">
      <w:pPr>
        <w:rPr>
          <w:rFonts w:cs="Arial"/>
        </w:rPr>
      </w:pPr>
      <w:permStart w:id="551768066" w:edGrp="everyone"/>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41"/>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3E9CD97E" w14:textId="5590D630" w:rsidR="00357C60" w:rsidRDefault="00C93BB3" w:rsidP="00CE6626">
      <w:pPr>
        <w:jc w:val="both"/>
        <w:rPr>
          <w:rFonts w:cs="Arial"/>
        </w:rPr>
      </w:pPr>
      <w:permStart w:id="615273621" w:edGrp="everyone"/>
      <w:r w:rsidRPr="00B0590D">
        <w:rPr>
          <w:rFonts w:cs="Arial"/>
          <w:highlight w:val="yellow"/>
        </w:rPr>
        <w:t xml:space="preserve">We agree with the proposal to require </w:t>
      </w:r>
      <w:r w:rsidRPr="00B0590D">
        <w:rPr>
          <w:rFonts w:cs="Arial"/>
          <w:highlight w:val="yellow"/>
          <w:lang w:val="en-US"/>
        </w:rPr>
        <w:t>a</w:t>
      </w:r>
      <w:r w:rsidRPr="00B0590D">
        <w:rPr>
          <w:rFonts w:cs="Arial"/>
          <w:highlight w:val="yellow"/>
        </w:rPr>
        <w:t xml:space="preserve">n update of issuer’s capitalisation and </w:t>
      </w:r>
      <w:r w:rsidRPr="00B0590D">
        <w:rPr>
          <w:rFonts w:cs="Arial"/>
          <w:highlight w:val="yellow"/>
          <w:lang w:val="en-US"/>
        </w:rPr>
        <w:t>indebtedness</w:t>
      </w:r>
      <w:r w:rsidRPr="00B0590D">
        <w:rPr>
          <w:rFonts w:cs="Arial"/>
          <w:highlight w:val="yellow"/>
        </w:rPr>
        <w:t xml:space="preserve"> table if there are material changes within </w:t>
      </w:r>
      <w:r w:rsidRPr="00B0590D">
        <w:rPr>
          <w:rFonts w:cs="Arial"/>
          <w:highlight w:val="yellow"/>
          <w:lang w:val="en-US"/>
        </w:rPr>
        <w:t xml:space="preserve">a </w:t>
      </w:r>
      <w:proofErr w:type="gramStart"/>
      <w:r w:rsidRPr="00B0590D">
        <w:rPr>
          <w:rFonts w:cs="Arial"/>
          <w:highlight w:val="yellow"/>
        </w:rPr>
        <w:t>90 day</w:t>
      </w:r>
      <w:proofErr w:type="gramEnd"/>
      <w:r w:rsidRPr="00B0590D">
        <w:rPr>
          <w:rFonts w:cs="Arial"/>
          <w:highlight w:val="yellow"/>
        </w:rPr>
        <w:t xml:space="preserve"> period from the last financial statements</w:t>
      </w:r>
      <w:r w:rsidR="00286ABF">
        <w:rPr>
          <w:rFonts w:cs="Arial"/>
        </w:rPr>
        <w:t>.</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0A46FBEA" w:rsidR="00357C60" w:rsidRDefault="00C93BB3" w:rsidP="00CE6626">
      <w:pPr>
        <w:jc w:val="both"/>
        <w:rPr>
          <w:rFonts w:cs="Arial"/>
        </w:rPr>
      </w:pPr>
      <w:permStart w:id="1470501143" w:edGrp="everyone"/>
      <w:r w:rsidRPr="00B0590D">
        <w:rPr>
          <w:rFonts w:cs="Arial"/>
          <w:highlight w:val="yellow"/>
        </w:rPr>
        <w:t xml:space="preserve">We consider the changes to </w:t>
      </w:r>
      <w:r w:rsidRPr="00B0590D">
        <w:rPr>
          <w:rFonts w:cs="Arial"/>
          <w:highlight w:val="yellow"/>
          <w:lang w:val="en-US"/>
        </w:rPr>
        <w:t>dilution</w:t>
      </w:r>
      <w:r w:rsidRPr="00B0590D">
        <w:rPr>
          <w:rFonts w:cs="Arial"/>
          <w:highlight w:val="yellow"/>
        </w:rPr>
        <w:t xml:space="preserve"> requirements are helpful to investors and feasible to provide for issuers.  However</w:t>
      </w:r>
      <w:r w:rsidRPr="00B0590D">
        <w:rPr>
          <w:rFonts w:cs="Arial"/>
          <w:highlight w:val="yellow"/>
          <w:lang w:val="en-US"/>
        </w:rPr>
        <w:t>,</w:t>
      </w:r>
      <w:r w:rsidRPr="00B0590D">
        <w:rPr>
          <w:rFonts w:cs="Arial"/>
          <w:highlight w:val="yellow"/>
        </w:rPr>
        <w:t xml:space="preserve"> this disclosure is already a standard practice</w:t>
      </w:r>
      <w:r w:rsidR="00286ABF">
        <w:rPr>
          <w:rFonts w:cs="Arial"/>
        </w:rPr>
        <w:t>.</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lastRenderedPageBreak/>
        <w:t>&lt;ESMA_QUESTION_FAC_25&gt;</w:t>
      </w:r>
    </w:p>
    <w:p w14:paraId="4047959E" w14:textId="1DE913F1" w:rsidR="00357C60" w:rsidRDefault="00C93BB3" w:rsidP="00357C60">
      <w:pPr>
        <w:rPr>
          <w:rFonts w:cs="Arial"/>
        </w:rPr>
      </w:pPr>
      <w:permStart w:id="1625706480" w:edGrp="everyone"/>
      <w:r w:rsidRPr="00B0590D">
        <w:rPr>
          <w:rFonts w:cs="Arial"/>
          <w:highlight w:val="yellow"/>
        </w:rPr>
        <w:t xml:space="preserve">We agree that the information on shareholders’ </w:t>
      </w:r>
      <w:r w:rsidRPr="00B0590D">
        <w:rPr>
          <w:rFonts w:cs="Arial"/>
          <w:highlight w:val="yellow"/>
          <w:lang w:val="en-US"/>
        </w:rPr>
        <w:t>dilution</w:t>
      </w:r>
      <w:r w:rsidRPr="00B0590D">
        <w:rPr>
          <w:rFonts w:cs="Arial"/>
          <w:highlight w:val="yellow"/>
        </w:rPr>
        <w:t xml:space="preserve"> solicited by item. 9.2 is important for investors.</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0351DEFE" w14:textId="337DC4AA" w:rsidR="00357C60" w:rsidRDefault="00040D2C" w:rsidP="00357C60">
      <w:pPr>
        <w:rPr>
          <w:rFonts w:cs="Arial"/>
        </w:rPr>
      </w:pPr>
      <w:permStart w:id="1929457622" w:edGrp="everyone"/>
      <w:r>
        <w:rPr>
          <w:rFonts w:cs="Arial"/>
        </w:rPr>
        <w:t>No further change</w:t>
      </w:r>
      <w:r w:rsidR="006A2509">
        <w:rPr>
          <w:rFonts w:cs="Arial"/>
        </w:rPr>
        <w:t>s</w:t>
      </w:r>
      <w:r w:rsidR="00286ABF">
        <w:rPr>
          <w:rFonts w:cs="Arial"/>
        </w:rPr>
        <w:t>.</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38FC4DEB" w:rsidR="00357C60" w:rsidRDefault="006A1D0A" w:rsidP="00357C60">
      <w:pPr>
        <w:rPr>
          <w:rFonts w:cs="Arial"/>
        </w:rPr>
      </w:pPr>
      <w:permStart w:id="1743664824" w:edGrp="everyone"/>
      <w:r>
        <w:rPr>
          <w:rFonts w:cs="Arial"/>
        </w:rPr>
        <w:t>Please refer to introduction</w:t>
      </w:r>
      <w:r w:rsidR="00286ABF">
        <w:rPr>
          <w:rFonts w:cs="Arial"/>
        </w:rPr>
        <w:t>.</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68A83D42" w14:textId="7D3CF036" w:rsidR="00357C60" w:rsidRDefault="00C93BB3" w:rsidP="00FD6E6C">
      <w:pPr>
        <w:jc w:val="both"/>
        <w:rPr>
          <w:rFonts w:cs="Arial"/>
        </w:rPr>
      </w:pPr>
      <w:permStart w:id="1528846327" w:edGrp="everyone"/>
      <w:proofErr w:type="gramStart"/>
      <w:r w:rsidRPr="00B0590D">
        <w:rPr>
          <w:rFonts w:cs="Arial"/>
          <w:highlight w:val="yellow"/>
        </w:rPr>
        <w:t>Yes</w:t>
      </w:r>
      <w:proofErr w:type="gramEnd"/>
      <w:r w:rsidRPr="00B0590D">
        <w:rPr>
          <w:rFonts w:cs="Arial"/>
          <w:highlight w:val="yellow"/>
        </w:rPr>
        <w:t xml:space="preserve"> we agree with the proposal to delete disclosure on principal investments and replace it with a requirement to provide details on the issuer’ funding structure and borrowing requirements. However</w:t>
      </w:r>
      <w:r w:rsidRPr="00B0590D">
        <w:rPr>
          <w:rFonts w:cs="Arial"/>
          <w:highlight w:val="yellow"/>
          <w:lang w:val="en-US"/>
        </w:rPr>
        <w:t>,</w:t>
      </w:r>
      <w:r w:rsidRPr="00B0590D">
        <w:rPr>
          <w:rFonts w:cs="Arial"/>
          <w:highlight w:val="yellow"/>
        </w:rPr>
        <w:t xml:space="preserve"> we </w:t>
      </w:r>
      <w:r w:rsidRPr="00B0590D">
        <w:rPr>
          <w:rFonts w:cs="Arial"/>
          <w:highlight w:val="yellow"/>
          <w:lang w:val="en-US"/>
        </w:rPr>
        <w:t>think</w:t>
      </w:r>
      <w:r w:rsidRPr="00B0590D">
        <w:rPr>
          <w:rFonts w:cs="Arial"/>
          <w:highlight w:val="yellow"/>
        </w:rPr>
        <w:t xml:space="preserve"> that</w:t>
      </w:r>
      <w:r w:rsidRPr="00B0590D">
        <w:rPr>
          <w:rFonts w:cs="Arial"/>
          <w:highlight w:val="yellow"/>
          <w:lang w:val="en-US"/>
        </w:rPr>
        <w:t>,</w:t>
      </w:r>
      <w:r w:rsidRPr="00B0590D">
        <w:rPr>
          <w:rFonts w:cs="Arial"/>
          <w:highlight w:val="yellow"/>
        </w:rPr>
        <w:t xml:space="preserve"> in</w:t>
      </w:r>
      <w:r w:rsidRPr="00B0590D">
        <w:rPr>
          <w:rFonts w:cs="Arial"/>
          <w:highlight w:val="yellow"/>
          <w:lang w:val="en-US"/>
        </w:rPr>
        <w:t xml:space="preserve"> the</w:t>
      </w:r>
      <w:r w:rsidRPr="00B0590D">
        <w:rPr>
          <w:rFonts w:cs="Arial"/>
          <w:highlight w:val="yellow"/>
        </w:rPr>
        <w:t xml:space="preserve"> case of bank issuances</w:t>
      </w:r>
      <w:r w:rsidRPr="00B0590D">
        <w:rPr>
          <w:rFonts w:cs="Arial"/>
          <w:highlight w:val="yellow"/>
          <w:lang w:val="en-US"/>
        </w:rPr>
        <w:t>,</w:t>
      </w:r>
      <w:r w:rsidRPr="00B0590D">
        <w:rPr>
          <w:rFonts w:cs="Arial"/>
          <w:highlight w:val="yellow"/>
        </w:rPr>
        <w:t xml:space="preserve"> this information does</w:t>
      </w:r>
      <w:r w:rsidRPr="00B0590D">
        <w:rPr>
          <w:rFonts w:cs="Arial"/>
          <w:highlight w:val="yellow"/>
          <w:lang w:val="en-US"/>
        </w:rPr>
        <w:t xml:space="preserve"> not</w:t>
      </w:r>
      <w:r w:rsidRPr="00B0590D">
        <w:rPr>
          <w:rFonts w:cs="Arial"/>
          <w:highlight w:val="yellow"/>
        </w:rPr>
        <w:t xml:space="preserve"> affect the informative value for the investors as bank</w:t>
      </w:r>
      <w:r w:rsidRPr="00B0590D">
        <w:rPr>
          <w:rFonts w:cs="Arial"/>
          <w:highlight w:val="yellow"/>
          <w:lang w:val="en-US"/>
        </w:rPr>
        <w:t>s’</w:t>
      </w:r>
      <w:r w:rsidRPr="00B0590D">
        <w:rPr>
          <w:rFonts w:cs="Arial"/>
          <w:highlight w:val="yellow"/>
        </w:rPr>
        <w:t xml:space="preserve"> funding structure</w:t>
      </w:r>
      <w:r w:rsidRPr="00B0590D">
        <w:rPr>
          <w:rFonts w:cs="Arial"/>
          <w:highlight w:val="yellow"/>
          <w:lang w:val="en-US"/>
        </w:rPr>
        <w:t>s are</w:t>
      </w:r>
      <w:r w:rsidRPr="00B0590D">
        <w:rPr>
          <w:rFonts w:cs="Arial"/>
          <w:highlight w:val="yellow"/>
        </w:rPr>
        <w:t xml:space="preserve"> usually similar and standardized</w:t>
      </w:r>
      <w:r w:rsidRPr="00B0590D">
        <w:rPr>
          <w:rFonts w:cs="Arial"/>
          <w:highlight w:val="yellow"/>
          <w:lang w:val="en-US"/>
        </w:rPr>
        <w:t>,</w:t>
      </w:r>
      <w:r w:rsidRPr="00B0590D">
        <w:rPr>
          <w:rFonts w:cs="Arial"/>
          <w:highlight w:val="yellow"/>
        </w:rPr>
        <w:t xml:space="preserve"> consisting of liabilities such as notes</w:t>
      </w:r>
      <w:r w:rsidRPr="00B0590D">
        <w:rPr>
          <w:rFonts w:cs="Arial"/>
          <w:highlight w:val="yellow"/>
          <w:lang w:val="en-US"/>
        </w:rPr>
        <w:t xml:space="preserve"> and</w:t>
      </w:r>
      <w:r w:rsidRPr="00B0590D">
        <w:rPr>
          <w:rFonts w:cs="Arial"/>
          <w:highlight w:val="yellow"/>
        </w:rPr>
        <w:t xml:space="preserve"> deposits</w:t>
      </w:r>
      <w:r w:rsidRPr="00B0590D">
        <w:rPr>
          <w:rFonts w:cs="Arial"/>
          <w:highlight w:val="yellow"/>
          <w:lang w:val="en-US"/>
        </w:rPr>
        <w:t>.</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77BEA836" w:rsidR="00357C60" w:rsidRPr="00286ABF" w:rsidRDefault="00C93BB3" w:rsidP="00726570">
      <w:pPr>
        <w:jc w:val="both"/>
        <w:rPr>
          <w:rFonts w:cs="Arial"/>
        </w:rPr>
      </w:pPr>
      <w:permStart w:id="173487694" w:edGrp="everyone"/>
      <w:r w:rsidRPr="00B0590D">
        <w:rPr>
          <w:rFonts w:cs="Arial"/>
          <w:highlight w:val="yellow"/>
        </w:rPr>
        <w:t xml:space="preserve">We support </w:t>
      </w:r>
      <w:r w:rsidRPr="00B0590D">
        <w:rPr>
          <w:rFonts w:cs="Arial"/>
          <w:highlight w:val="yellow"/>
          <w:lang w:val="en-US"/>
        </w:rPr>
        <w:t xml:space="preserve">the proposal </w:t>
      </w:r>
      <w:r w:rsidRPr="00B0590D">
        <w:rPr>
          <w:rFonts w:cs="Arial"/>
          <w:highlight w:val="yellow"/>
        </w:rPr>
        <w:t xml:space="preserve">to include a link to </w:t>
      </w:r>
      <w:r w:rsidRPr="00B0590D">
        <w:rPr>
          <w:rFonts w:cs="Arial"/>
          <w:highlight w:val="yellow"/>
          <w:lang w:val="en-US"/>
        </w:rPr>
        <w:t xml:space="preserve">the </w:t>
      </w:r>
      <w:r w:rsidRPr="00B0590D">
        <w:rPr>
          <w:rFonts w:cs="Arial"/>
          <w:highlight w:val="yellow"/>
        </w:rPr>
        <w:t xml:space="preserve">issuer website </w:t>
      </w:r>
      <w:r w:rsidRPr="00286ABF">
        <w:rPr>
          <w:rFonts w:cs="Arial"/>
          <w:highlight w:val="yellow"/>
        </w:rPr>
        <w:t xml:space="preserve">where investor can </w:t>
      </w:r>
      <w:r w:rsidRPr="00286ABF">
        <w:rPr>
          <w:rFonts w:cs="Arial"/>
          <w:highlight w:val="yellow"/>
          <w:lang w:val="en-US"/>
        </w:rPr>
        <w:t>come into knowledge</w:t>
      </w:r>
      <w:r w:rsidRPr="00286ABF">
        <w:rPr>
          <w:rFonts w:cs="Arial"/>
          <w:highlight w:val="yellow"/>
        </w:rPr>
        <w:t xml:space="preserve"> of the credit rating</w:t>
      </w:r>
      <w:r w:rsidRPr="00286ABF">
        <w:rPr>
          <w:rFonts w:cs="Arial"/>
          <w:highlight w:val="yellow"/>
          <w:lang w:val="en-US"/>
        </w:rPr>
        <w:t xml:space="preserve"> assigned </w:t>
      </w:r>
      <w:r w:rsidRPr="00286ABF">
        <w:rPr>
          <w:rFonts w:cs="Arial"/>
          <w:highlight w:val="yellow"/>
        </w:rPr>
        <w:t>in</w:t>
      </w:r>
      <w:r w:rsidRPr="00286ABF">
        <w:rPr>
          <w:rFonts w:cs="Arial"/>
          <w:highlight w:val="yellow"/>
          <w:lang w:val="en-US"/>
        </w:rPr>
        <w:t xml:space="preserve"> the</w:t>
      </w:r>
      <w:r w:rsidRPr="00286ABF">
        <w:rPr>
          <w:rFonts w:cs="Arial"/>
          <w:highlight w:val="yellow"/>
        </w:rPr>
        <w:t xml:space="preserve"> prospectus. Including a credit rating directly in the prospectus </w:t>
      </w:r>
      <w:r w:rsidRPr="00286ABF">
        <w:rPr>
          <w:rFonts w:cs="Arial"/>
          <w:highlight w:val="yellow"/>
          <w:lang w:val="en-US"/>
        </w:rPr>
        <w:t>would involve</w:t>
      </w:r>
      <w:r w:rsidRPr="00286ABF">
        <w:rPr>
          <w:rFonts w:cs="Arial"/>
          <w:highlight w:val="yellow"/>
        </w:rPr>
        <w:t xml:space="preserve"> a</w:t>
      </w:r>
      <w:r w:rsidRPr="00286ABF">
        <w:rPr>
          <w:rFonts w:cs="Arial"/>
          <w:highlight w:val="yellow"/>
          <w:lang w:val="en-US"/>
        </w:rPr>
        <w:t>n increase in amendments to the</w:t>
      </w:r>
      <w:r w:rsidRPr="00286ABF">
        <w:rPr>
          <w:rFonts w:cs="Arial"/>
          <w:highlight w:val="yellow"/>
        </w:rPr>
        <w:t xml:space="preserve"> prospectus and consequently a need </w:t>
      </w:r>
      <w:r w:rsidRPr="00286ABF">
        <w:rPr>
          <w:rFonts w:cs="Arial"/>
          <w:highlight w:val="yellow"/>
          <w:lang w:val="en-US"/>
        </w:rPr>
        <w:t>for</w:t>
      </w:r>
      <w:r w:rsidRPr="00286ABF">
        <w:rPr>
          <w:rFonts w:cs="Arial"/>
          <w:highlight w:val="yellow"/>
        </w:rPr>
        <w:t xml:space="preserve"> frequent supplements We suggest </w:t>
      </w:r>
      <w:r w:rsidRPr="00286ABF">
        <w:rPr>
          <w:rFonts w:cs="Arial"/>
          <w:highlight w:val="yellow"/>
          <w:lang w:val="en-US"/>
        </w:rPr>
        <w:t>thinking about</w:t>
      </w:r>
      <w:r w:rsidRPr="00286ABF">
        <w:rPr>
          <w:rFonts w:cs="Arial"/>
          <w:highlight w:val="yellow"/>
        </w:rPr>
        <w:t xml:space="preserve"> the same comment for Annex 4 item 4.1.6</w:t>
      </w:r>
      <w:r w:rsidRPr="00286ABF">
        <w:rPr>
          <w:rFonts w:cs="Arial"/>
          <w:highlight w:val="yellow"/>
          <w:lang w:val="en-US"/>
        </w:rPr>
        <w:t xml:space="preserve"> too.</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7707FF0A" w14:textId="0EFA4BAA" w:rsidR="00357C60" w:rsidRDefault="00C93BB3" w:rsidP="00726570">
      <w:pPr>
        <w:jc w:val="both"/>
        <w:rPr>
          <w:rFonts w:cs="Arial"/>
        </w:rPr>
      </w:pPr>
      <w:permStart w:id="603281020" w:edGrp="everyone"/>
      <w:r w:rsidRPr="00B0590D">
        <w:rPr>
          <w:rFonts w:cs="Arial"/>
          <w:highlight w:val="yellow"/>
        </w:rPr>
        <w:lastRenderedPageBreak/>
        <w:t xml:space="preserve">As previously indicated (see Question. 14) we disagree with ESMA’s proposal to require outstanding profit forecasts </w:t>
      </w:r>
      <w:r w:rsidRPr="00B0590D">
        <w:rPr>
          <w:rFonts w:cs="Arial"/>
          <w:highlight w:val="yellow"/>
          <w:lang w:val="en-US"/>
        </w:rPr>
        <w:t>to</w:t>
      </w:r>
      <w:r w:rsidRPr="00B0590D">
        <w:rPr>
          <w:rFonts w:cs="Arial"/>
          <w:highlight w:val="yellow"/>
        </w:rPr>
        <w:t xml:space="preserve"> be included in the prospectus </w:t>
      </w:r>
      <w:r w:rsidR="00CE6626">
        <w:rPr>
          <w:rFonts w:cs="Arial"/>
          <w:highlight w:val="yellow"/>
        </w:rPr>
        <w:t xml:space="preserve">(equity and </w:t>
      </w:r>
      <w:proofErr w:type="spellStart"/>
      <w:proofErr w:type="gramStart"/>
      <w:r w:rsidR="00CE6626">
        <w:rPr>
          <w:rFonts w:cs="Arial"/>
          <w:highlight w:val="yellow"/>
        </w:rPr>
        <w:t>non equity</w:t>
      </w:r>
      <w:proofErr w:type="spellEnd"/>
      <w:proofErr w:type="gramEnd"/>
      <w:r w:rsidR="00CE6626">
        <w:rPr>
          <w:rFonts w:cs="Arial"/>
          <w:highlight w:val="yellow"/>
        </w:rPr>
        <w:t xml:space="preserve">) </w:t>
      </w:r>
      <w:r w:rsidRPr="00B0590D">
        <w:rPr>
          <w:rFonts w:cs="Arial"/>
          <w:highlight w:val="yellow"/>
        </w:rPr>
        <w:t>as this information is</w:t>
      </w:r>
      <w:r w:rsidRPr="00B0590D">
        <w:rPr>
          <w:rFonts w:cs="Arial"/>
          <w:highlight w:val="yellow"/>
          <w:lang w:val="en-US"/>
        </w:rPr>
        <w:t xml:space="preserve"> not </w:t>
      </w:r>
      <w:r w:rsidRPr="00B0590D">
        <w:rPr>
          <w:rFonts w:cs="Arial"/>
          <w:highlight w:val="yellow"/>
        </w:rPr>
        <w:t>disclosed in financial statement</w:t>
      </w:r>
      <w:r w:rsidRPr="00B0590D">
        <w:rPr>
          <w:rFonts w:cs="Arial"/>
          <w:highlight w:val="yellow"/>
          <w:lang w:val="en-US"/>
        </w:rPr>
        <w:t>s</w:t>
      </w:r>
      <w:r w:rsidRPr="00B0590D">
        <w:rPr>
          <w:rFonts w:cs="Arial"/>
          <w:highlight w:val="yellow"/>
        </w:rPr>
        <w:t xml:space="preserve"> and </w:t>
      </w:r>
      <w:r w:rsidRPr="00B0590D">
        <w:rPr>
          <w:rFonts w:cs="Arial"/>
          <w:highlight w:val="yellow"/>
          <w:lang w:val="en-US"/>
        </w:rPr>
        <w:t>is not</w:t>
      </w:r>
      <w:r w:rsidRPr="00B0590D">
        <w:rPr>
          <w:rFonts w:cs="Arial"/>
          <w:highlight w:val="yellow"/>
        </w:rPr>
        <w:t xml:space="preserve"> submitted</w:t>
      </w:r>
      <w:r w:rsidRPr="00B0590D">
        <w:rPr>
          <w:rFonts w:cs="Arial"/>
          <w:highlight w:val="yellow"/>
          <w:lang w:val="en-US"/>
        </w:rPr>
        <w:t xml:space="preserve"> for the</w:t>
      </w:r>
      <w:r w:rsidRPr="00B0590D">
        <w:rPr>
          <w:rFonts w:cs="Arial"/>
          <w:highlight w:val="yellow"/>
        </w:rPr>
        <w:t xml:space="preserve"> audit report. Moreover, requiring this information risks </w:t>
      </w:r>
      <w:r w:rsidRPr="00B0590D">
        <w:rPr>
          <w:rFonts w:cs="Arial"/>
          <w:highlight w:val="yellow"/>
          <w:lang w:val="en-US"/>
        </w:rPr>
        <w:t>creating</w:t>
      </w:r>
      <w:r w:rsidRPr="00B0590D">
        <w:rPr>
          <w:rFonts w:cs="Arial"/>
          <w:highlight w:val="yellow"/>
        </w:rPr>
        <w:t xml:space="preserve"> a </w:t>
      </w:r>
      <w:r w:rsidRPr="00286ABF">
        <w:rPr>
          <w:rFonts w:cs="Arial"/>
          <w:highlight w:val="yellow"/>
        </w:rPr>
        <w:t xml:space="preserve">misalignment </w:t>
      </w:r>
      <w:r w:rsidRPr="00B0590D">
        <w:rPr>
          <w:rFonts w:cs="Arial"/>
          <w:highlight w:val="yellow"/>
        </w:rPr>
        <w:t xml:space="preserve">with the information disclosed in the prospectus/supplement and, consequently, a potential </w:t>
      </w:r>
      <w:r w:rsidRPr="00B0590D">
        <w:rPr>
          <w:rFonts w:cs="Arial"/>
          <w:highlight w:val="yellow"/>
          <w:lang w:val="en-US"/>
        </w:rPr>
        <w:t xml:space="preserve">cause for confusion </w:t>
      </w:r>
      <w:r w:rsidRPr="00B0590D">
        <w:rPr>
          <w:rFonts w:cs="Arial"/>
          <w:highlight w:val="yellow"/>
        </w:rPr>
        <w:t>for investors. Furthermore</w:t>
      </w:r>
      <w:r w:rsidRPr="00B0590D">
        <w:rPr>
          <w:rFonts w:cs="Arial"/>
          <w:highlight w:val="yellow"/>
          <w:lang w:val="en-US"/>
        </w:rPr>
        <w:t>,</w:t>
      </w:r>
      <w:r w:rsidRPr="00B0590D">
        <w:rPr>
          <w:rFonts w:cs="Arial"/>
          <w:highlight w:val="yellow"/>
        </w:rPr>
        <w:t xml:space="preserve"> we consider the information on profit forecasts not</w:t>
      </w:r>
      <w:r w:rsidRPr="00B0590D">
        <w:rPr>
          <w:rFonts w:cs="Arial"/>
          <w:highlight w:val="yellow"/>
          <w:lang w:val="en-US"/>
        </w:rPr>
        <w:t xml:space="preserve"> to be</w:t>
      </w:r>
      <w:r w:rsidRPr="00B0590D">
        <w:rPr>
          <w:rFonts w:cs="Arial"/>
          <w:highlight w:val="yellow"/>
        </w:rPr>
        <w:t xml:space="preserve"> </w:t>
      </w:r>
      <w:r w:rsidRPr="00286ABF">
        <w:rPr>
          <w:rFonts w:cs="Arial"/>
          <w:highlight w:val="yellow"/>
        </w:rPr>
        <w:t xml:space="preserve">meaningful </w:t>
      </w:r>
      <w:r w:rsidRPr="00B0590D">
        <w:rPr>
          <w:rFonts w:cs="Arial"/>
          <w:highlight w:val="yellow"/>
        </w:rPr>
        <w:t>for an investor in debt instruments who can better support his investment decision with a credit rating instead.</w:t>
      </w:r>
    </w:p>
    <w:p w14:paraId="5AA9587E" w14:textId="6A7E0C8C" w:rsidR="00B1549E" w:rsidRDefault="00B1549E" w:rsidP="00726570">
      <w:pPr>
        <w:jc w:val="both"/>
        <w:rPr>
          <w:rFonts w:cs="Arial"/>
        </w:rPr>
      </w:pPr>
      <w:r>
        <w:rPr>
          <w:rFonts w:cs="Arial"/>
        </w:rPr>
        <w:t xml:space="preserve">Profit estimates, if considered meaningful for an investor, can be included in </w:t>
      </w:r>
      <w:proofErr w:type="spellStart"/>
      <w:proofErr w:type="gramStart"/>
      <w:r>
        <w:rPr>
          <w:rFonts w:cs="Arial"/>
        </w:rPr>
        <w:t>non equity</w:t>
      </w:r>
      <w:proofErr w:type="spellEnd"/>
      <w:proofErr w:type="gramEnd"/>
      <w:r>
        <w:rPr>
          <w:rFonts w:cs="Arial"/>
        </w:rPr>
        <w:t xml:space="preserve"> prospectus without the obligation to include an accountant or an auditor’s report</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0379D1AE" w14:textId="40D4D8B1" w:rsidR="00357C60" w:rsidRDefault="00C93BB3" w:rsidP="004F6537">
      <w:pPr>
        <w:jc w:val="both"/>
        <w:rPr>
          <w:rFonts w:cs="Arial"/>
        </w:rPr>
      </w:pPr>
      <w:permStart w:id="732902027" w:edGrp="everyone"/>
      <w:r w:rsidRPr="00B0590D">
        <w:rPr>
          <w:rFonts w:cs="Arial"/>
          <w:highlight w:val="yellow"/>
        </w:rPr>
        <w:t xml:space="preserve">As </w:t>
      </w:r>
      <w:r w:rsidRPr="00B0590D">
        <w:rPr>
          <w:rFonts w:cs="Arial"/>
          <w:highlight w:val="yellow"/>
          <w:lang w:val="en-US"/>
        </w:rPr>
        <w:t>stated above,</w:t>
      </w:r>
      <w:r w:rsidRPr="00B0590D">
        <w:rPr>
          <w:rFonts w:cs="Arial"/>
          <w:highlight w:val="yellow"/>
        </w:rPr>
        <w:t xml:space="preserve"> (see Question 14) we disagree with the proposal to include outstanding profit forecasts in the registration document </w:t>
      </w:r>
      <w:r w:rsidR="00CE6626">
        <w:rPr>
          <w:rFonts w:cs="Arial"/>
          <w:highlight w:val="yellow"/>
        </w:rPr>
        <w:t xml:space="preserve">for </w:t>
      </w:r>
      <w:proofErr w:type="spellStart"/>
      <w:proofErr w:type="gramStart"/>
      <w:r w:rsidR="00CE6626">
        <w:rPr>
          <w:rFonts w:cs="Arial"/>
          <w:highlight w:val="yellow"/>
        </w:rPr>
        <w:t>non equity</w:t>
      </w:r>
      <w:proofErr w:type="spellEnd"/>
      <w:proofErr w:type="gramEnd"/>
      <w:r w:rsidR="00CE6626">
        <w:rPr>
          <w:rFonts w:cs="Arial"/>
          <w:highlight w:val="yellow"/>
        </w:rPr>
        <w:t xml:space="preserve"> </w:t>
      </w:r>
      <w:r w:rsidR="006A1A2F">
        <w:rPr>
          <w:rFonts w:cs="Arial"/>
          <w:highlight w:val="yellow"/>
        </w:rPr>
        <w:t>prospects as this information isn’t meaningful for the investors.</w:t>
      </w:r>
      <w:r w:rsidR="009133D7">
        <w:rPr>
          <w:rFonts w:cs="Arial"/>
          <w:highlight w:val="yellow"/>
        </w:rPr>
        <w:t xml:space="preserve"> In </w:t>
      </w:r>
      <w:r w:rsidR="00CE6626">
        <w:rPr>
          <w:rFonts w:cs="Arial"/>
          <w:highlight w:val="yellow"/>
        </w:rPr>
        <w:t>equity prospectus</w:t>
      </w:r>
      <w:r w:rsidR="006A1A2F">
        <w:rPr>
          <w:rFonts w:cs="Arial"/>
          <w:highlight w:val="yellow"/>
        </w:rPr>
        <w:t xml:space="preserve"> instead, </w:t>
      </w:r>
      <w:r w:rsidRPr="00B0590D">
        <w:rPr>
          <w:rFonts w:cs="Arial"/>
          <w:highlight w:val="yellow"/>
        </w:rPr>
        <w:t>as this information is</w:t>
      </w:r>
      <w:r w:rsidRPr="00B0590D">
        <w:rPr>
          <w:rFonts w:cs="Arial"/>
          <w:highlight w:val="yellow"/>
          <w:lang w:val="en-US"/>
        </w:rPr>
        <w:t xml:space="preserve"> not </w:t>
      </w:r>
      <w:r w:rsidRPr="00B0590D">
        <w:rPr>
          <w:rFonts w:cs="Arial"/>
          <w:highlight w:val="yellow"/>
        </w:rPr>
        <w:t>disclosed in financial statement</w:t>
      </w:r>
      <w:r w:rsidRPr="00B0590D">
        <w:rPr>
          <w:rFonts w:cs="Arial"/>
          <w:highlight w:val="yellow"/>
          <w:lang w:val="en-US"/>
        </w:rPr>
        <w:t>s</w:t>
      </w:r>
      <w:r w:rsidR="006A1A2F">
        <w:rPr>
          <w:rFonts w:cs="Arial"/>
          <w:highlight w:val="yellow"/>
          <w:lang w:val="en-US"/>
        </w:rPr>
        <w:t xml:space="preserve"> and is </w:t>
      </w:r>
      <w:r w:rsidR="006A1A2F">
        <w:rPr>
          <w:rFonts w:cs="Arial"/>
          <w:highlight w:val="yellow"/>
        </w:rPr>
        <w:t>based on forward looking statements</w:t>
      </w:r>
      <w:r w:rsidR="00920745">
        <w:rPr>
          <w:rFonts w:cs="Arial"/>
          <w:highlight w:val="yellow"/>
        </w:rPr>
        <w:t xml:space="preserve"> of the issuer</w:t>
      </w:r>
      <w:r w:rsidR="006A1A2F">
        <w:rPr>
          <w:rFonts w:cs="Arial"/>
          <w:highlight w:val="yellow"/>
        </w:rPr>
        <w:t xml:space="preserve">, </w:t>
      </w:r>
      <w:r w:rsidR="00920745">
        <w:rPr>
          <w:rFonts w:cs="Arial"/>
          <w:highlight w:val="yellow"/>
        </w:rPr>
        <w:t>it</w:t>
      </w:r>
      <w:r w:rsidR="006A1A2F">
        <w:rPr>
          <w:rFonts w:cs="Arial"/>
          <w:highlight w:val="yellow"/>
        </w:rPr>
        <w:t xml:space="preserve"> </w:t>
      </w:r>
      <w:r w:rsidR="00920745">
        <w:rPr>
          <w:rFonts w:cs="Arial"/>
          <w:highlight w:val="yellow"/>
        </w:rPr>
        <w:t xml:space="preserve">should be </w:t>
      </w:r>
      <w:r w:rsidR="006A1A2F">
        <w:rPr>
          <w:rFonts w:cs="Arial"/>
          <w:highlight w:val="yellow"/>
        </w:rPr>
        <w:t>accompanied by</w:t>
      </w:r>
      <w:r w:rsidR="006A1A2F" w:rsidRPr="00B0590D">
        <w:rPr>
          <w:rFonts w:cs="Arial"/>
          <w:highlight w:val="yellow"/>
        </w:rPr>
        <w:t xml:space="preserve"> a report prepared by independent accountants or auditors</w:t>
      </w:r>
      <w:r w:rsidR="00920745">
        <w:rPr>
          <w:rFonts w:cs="Arial"/>
          <w:highlight w:val="yellow"/>
        </w:rPr>
        <w:t xml:space="preserve">, if </w:t>
      </w:r>
      <w:r w:rsidR="00CD1041">
        <w:rPr>
          <w:rFonts w:cs="Arial"/>
          <w:highlight w:val="yellow"/>
        </w:rPr>
        <w:t xml:space="preserve">the </w:t>
      </w:r>
      <w:r w:rsidR="00920745">
        <w:rPr>
          <w:rFonts w:cs="Arial"/>
          <w:highlight w:val="yellow"/>
        </w:rPr>
        <w:t>information is included by the issuer</w:t>
      </w:r>
      <w:r w:rsidR="00CE6626">
        <w:rPr>
          <w:rFonts w:cs="Arial"/>
        </w:rPr>
        <w:t>.</w:t>
      </w:r>
      <w:r w:rsidR="00416697" w:rsidRPr="00416697">
        <w:rPr>
          <w:rFonts w:cs="Arial"/>
        </w:rPr>
        <w:t xml:space="preserve"> </w:t>
      </w:r>
      <w:r w:rsidR="00416697">
        <w:rPr>
          <w:rFonts w:cs="Arial"/>
        </w:rPr>
        <w:t xml:space="preserve">Profit estimates, instead, relating to </w:t>
      </w:r>
      <w:r w:rsidR="00416697">
        <w:rPr>
          <w:i/>
          <w:iCs/>
        </w:rPr>
        <w:t xml:space="preserve">a </w:t>
      </w:r>
      <w:r w:rsidR="00416697" w:rsidRPr="00825528">
        <w:rPr>
          <w:iCs/>
        </w:rPr>
        <w:t xml:space="preserve">financial period which has expired and for which results have not yet been published, are based on </w:t>
      </w:r>
      <w:r w:rsidR="00416697">
        <w:rPr>
          <w:iCs/>
        </w:rPr>
        <w:t>histori</w:t>
      </w:r>
      <w:r w:rsidR="00416697" w:rsidRPr="00825528">
        <w:rPr>
          <w:iCs/>
        </w:rPr>
        <w:t>c</w:t>
      </w:r>
      <w:r w:rsidR="00416697">
        <w:rPr>
          <w:iCs/>
        </w:rPr>
        <w:t xml:space="preserve">al data. As such, this information is meaningful for an investor in debt instruments and, if </w:t>
      </w:r>
      <w:r w:rsidR="00416697">
        <w:rPr>
          <w:rFonts w:cs="Arial"/>
        </w:rPr>
        <w:t xml:space="preserve">included in </w:t>
      </w:r>
      <w:proofErr w:type="spellStart"/>
      <w:proofErr w:type="gramStart"/>
      <w:r w:rsidR="00416697">
        <w:rPr>
          <w:rFonts w:cs="Arial"/>
        </w:rPr>
        <w:t>non equity</w:t>
      </w:r>
      <w:proofErr w:type="spellEnd"/>
      <w:proofErr w:type="gramEnd"/>
      <w:r w:rsidR="00416697">
        <w:rPr>
          <w:rFonts w:cs="Arial"/>
        </w:rPr>
        <w:t xml:space="preserve"> prospectus</w:t>
      </w:r>
      <w:r w:rsidR="00CD1041">
        <w:rPr>
          <w:rFonts w:cs="Arial"/>
        </w:rPr>
        <w:t xml:space="preserve"> by the issuer</w:t>
      </w:r>
      <w:r w:rsidR="00416697">
        <w:rPr>
          <w:rFonts w:cs="Arial"/>
        </w:rPr>
        <w:t>, doesn’t require to be accompanied with an obligation to include an accountant or an auditor’s report.</w:t>
      </w:r>
    </w:p>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5864E6F7" w14:textId="569E879E" w:rsidR="00357C60" w:rsidRDefault="00C93BB3" w:rsidP="0001188F">
      <w:pPr>
        <w:jc w:val="both"/>
        <w:rPr>
          <w:rFonts w:cs="Arial"/>
        </w:rPr>
      </w:pPr>
      <w:permStart w:id="563610120" w:edGrp="everyone"/>
      <w:r w:rsidRPr="00B0590D">
        <w:rPr>
          <w:rFonts w:cs="Arial"/>
          <w:highlight w:val="yellow"/>
        </w:rPr>
        <w:t>We agree with the deletion of the disclosure requirement related to board practices even if this item is</w:t>
      </w:r>
      <w:r w:rsidRPr="00B0590D">
        <w:rPr>
          <w:rFonts w:cs="Arial"/>
          <w:highlight w:val="yellow"/>
          <w:lang w:val="en-US"/>
        </w:rPr>
        <w:t xml:space="preserve"> not meaningful</w:t>
      </w:r>
      <w:r w:rsidRPr="00B0590D">
        <w:rPr>
          <w:rFonts w:cs="Arial"/>
          <w:highlight w:val="yellow"/>
        </w:rPr>
        <w:t xml:space="preserve"> in </w:t>
      </w:r>
      <w:r w:rsidRPr="00B0590D">
        <w:rPr>
          <w:rFonts w:cs="Arial"/>
          <w:highlight w:val="yellow"/>
          <w:lang w:val="en-US"/>
        </w:rPr>
        <w:t xml:space="preserve">the </w:t>
      </w:r>
      <w:r w:rsidRPr="00B0590D">
        <w:rPr>
          <w:rFonts w:cs="Arial"/>
          <w:highlight w:val="yellow"/>
        </w:rPr>
        <w:t>case of debt</w:t>
      </w:r>
      <w:r w:rsidRPr="00B0590D">
        <w:rPr>
          <w:rFonts w:cs="Arial"/>
          <w:highlight w:val="yellow"/>
          <w:lang w:val="en-US"/>
        </w:rPr>
        <w:t xml:space="preserve"> </w:t>
      </w:r>
      <w:r w:rsidRPr="00B0590D">
        <w:rPr>
          <w:rFonts w:cs="Arial"/>
          <w:highlight w:val="yellow"/>
        </w:rPr>
        <w:t>bank issuances</w:t>
      </w:r>
      <w:r w:rsidR="00286ABF">
        <w:rPr>
          <w:rFonts w:cs="Arial"/>
        </w:rPr>
        <w:t>.</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73C6AA8A" w14:textId="145D6369" w:rsidR="00357C60" w:rsidRDefault="00D84AF0" w:rsidP="00357C60">
      <w:pPr>
        <w:rPr>
          <w:rFonts w:cs="Arial"/>
        </w:rPr>
      </w:pPr>
      <w:permStart w:id="1391200765" w:edGrp="everyone"/>
      <w:r>
        <w:rPr>
          <w:rFonts w:cs="Arial"/>
        </w:rPr>
        <w:t>No further changes</w:t>
      </w:r>
      <w:r w:rsidR="00286ABF">
        <w:rPr>
          <w:rFonts w:cs="Arial"/>
        </w:rPr>
        <w:t>.</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4EA0CBB8" w:rsidR="00357C60" w:rsidRDefault="006A1D0A" w:rsidP="00357C60">
      <w:pPr>
        <w:rPr>
          <w:rFonts w:cs="Arial"/>
        </w:rPr>
      </w:pPr>
      <w:permStart w:id="1176657213" w:edGrp="everyone"/>
      <w:r>
        <w:rPr>
          <w:rFonts w:cs="Arial"/>
        </w:rPr>
        <w:t>Please refer to introduction</w:t>
      </w:r>
      <w:r w:rsidR="00286ABF">
        <w:rPr>
          <w:rFonts w:cs="Arial"/>
        </w:rPr>
        <w:t>.</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14:paraId="63E713D3" w14:textId="77777777" w:rsidR="00357C60" w:rsidRDefault="00357C60" w:rsidP="00357C60">
      <w:pPr>
        <w:rPr>
          <w:rFonts w:cs="Arial"/>
        </w:rPr>
      </w:pPr>
      <w:r>
        <w:rPr>
          <w:rFonts w:cs="Arial"/>
        </w:rPr>
        <w:t>&lt;ESMA_QUESTION_FAC_35&gt;</w:t>
      </w:r>
    </w:p>
    <w:p w14:paraId="32F05EE5" w14:textId="2A6357BD" w:rsidR="00357C60" w:rsidRDefault="00C93BB3" w:rsidP="001D24B0">
      <w:pPr>
        <w:jc w:val="both"/>
        <w:rPr>
          <w:rFonts w:cs="Arial"/>
        </w:rPr>
      </w:pPr>
      <w:permStart w:id="689458431" w:edGrp="everyone"/>
      <w:r w:rsidRPr="00B0590D">
        <w:rPr>
          <w:rFonts w:cs="Arial"/>
          <w:highlight w:val="yellow"/>
        </w:rPr>
        <w:t xml:space="preserve">We agree with the removal of the requirement </w:t>
      </w:r>
      <w:r w:rsidRPr="00B0590D">
        <w:rPr>
          <w:rFonts w:cs="Arial"/>
          <w:highlight w:val="yellow"/>
          <w:lang w:val="en-US"/>
        </w:rPr>
        <w:t xml:space="preserve">for wholesale non-equity issuers </w:t>
      </w:r>
      <w:r w:rsidRPr="00B0590D">
        <w:rPr>
          <w:rFonts w:cs="Arial"/>
          <w:highlight w:val="yellow"/>
        </w:rPr>
        <w:t xml:space="preserve">to restate financial statements. Wholesale investors </w:t>
      </w:r>
      <w:proofErr w:type="gramStart"/>
      <w:r w:rsidRPr="00B0590D">
        <w:rPr>
          <w:rFonts w:cs="Arial"/>
          <w:highlight w:val="yellow"/>
        </w:rPr>
        <w:t>are able to</w:t>
      </w:r>
      <w:proofErr w:type="gramEnd"/>
      <w:r w:rsidRPr="00B0590D">
        <w:rPr>
          <w:rFonts w:cs="Arial"/>
          <w:highlight w:val="yellow"/>
        </w:rPr>
        <w:t xml:space="preserve"> understand and analyse the financial statements or to find other information sources without such a restatement.</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2E76CD67" w14:textId="39E7313D" w:rsidR="00357C60" w:rsidRDefault="00223CB8" w:rsidP="00357C60">
      <w:pPr>
        <w:rPr>
          <w:rFonts w:cs="Arial"/>
        </w:rPr>
      </w:pPr>
      <w:permStart w:id="51848580" w:edGrp="everyone"/>
      <w:r>
        <w:rPr>
          <w:rFonts w:cs="Arial"/>
        </w:rPr>
        <w:t>No further changes</w:t>
      </w:r>
      <w:r w:rsidR="00286ABF">
        <w:rPr>
          <w:rFonts w:cs="Arial"/>
        </w:rPr>
        <w:t>.</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51D6CF2A" w:rsidR="00357C60" w:rsidRDefault="006A1D0A" w:rsidP="00357C60">
      <w:pPr>
        <w:rPr>
          <w:rFonts w:cs="Arial"/>
        </w:rPr>
      </w:pPr>
      <w:permStart w:id="1932084204" w:edGrp="everyone"/>
      <w:r>
        <w:rPr>
          <w:rFonts w:cs="Arial"/>
        </w:rPr>
        <w:t>Please refer to introduction</w:t>
      </w:r>
      <w:r w:rsidR="00286ABF">
        <w:rPr>
          <w:rFonts w:cs="Arial"/>
        </w:rPr>
        <w:t>.</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4CCB61E5" w14:textId="65507EB1" w:rsidR="00357C60" w:rsidRDefault="00C93BB3" w:rsidP="00357C60">
      <w:pPr>
        <w:rPr>
          <w:rFonts w:cs="Arial"/>
        </w:rPr>
      </w:pPr>
      <w:permStart w:id="164054991" w:edGrp="everyone"/>
      <w:proofErr w:type="gramStart"/>
      <w:r w:rsidRPr="00B0590D">
        <w:rPr>
          <w:rFonts w:cs="Arial"/>
          <w:highlight w:val="yellow"/>
        </w:rPr>
        <w:t>Yes</w:t>
      </w:r>
      <w:proofErr w:type="gramEnd"/>
      <w:r w:rsidRPr="00B0590D">
        <w:rPr>
          <w:rFonts w:cs="Arial"/>
          <w:highlight w:val="yellow"/>
        </w:rPr>
        <w:t xml:space="preserve"> we agree with the new </w:t>
      </w:r>
      <w:r w:rsidRPr="00B0590D">
        <w:rPr>
          <w:rFonts w:cs="Arial"/>
          <w:highlight w:val="yellow"/>
          <w:lang w:val="en-US"/>
        </w:rPr>
        <w:t xml:space="preserve">reduced </w:t>
      </w:r>
      <w:r w:rsidRPr="00B0590D">
        <w:rPr>
          <w:rFonts w:cs="Arial"/>
          <w:highlight w:val="yellow"/>
        </w:rPr>
        <w:t>disclosure on taxation</w:t>
      </w:r>
      <w:r w:rsidR="00286ABF">
        <w:rPr>
          <w:rFonts w:cs="Arial"/>
        </w:rPr>
        <w:t>.</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722ED734" w14:textId="249283F2" w:rsidR="00397D1A" w:rsidRDefault="00C93BB3" w:rsidP="003444D4">
      <w:pPr>
        <w:jc w:val="both"/>
        <w:rPr>
          <w:rFonts w:cs="Arial"/>
        </w:rPr>
      </w:pPr>
      <w:permStart w:id="452609042" w:edGrp="everyone"/>
      <w:r w:rsidRPr="00B0590D">
        <w:rPr>
          <w:highlight w:val="yellow"/>
          <w:lang w:val="en-US"/>
        </w:rPr>
        <w:t xml:space="preserve">We understand that this requirement only applies when a representative of the noteholders has been appointed and, therefore, it has no impact on issuances of securities where a representative has not been appointed. </w:t>
      </w:r>
      <w:r w:rsidR="00286ABF">
        <w:rPr>
          <w:highlight w:val="yellow"/>
          <w:lang w:val="en-US"/>
        </w:rPr>
        <w:t>W</w:t>
      </w:r>
      <w:r w:rsidRPr="00286ABF">
        <w:rPr>
          <w:highlight w:val="yellow"/>
          <w:lang w:val="en-US"/>
        </w:rPr>
        <w:t xml:space="preserve">e disagree with the requirement to publish this type of contract on the website because they are usually included in more general contracts regulating other activities too. We agree that the public should have </w:t>
      </w:r>
      <w:r w:rsidRPr="00286ABF">
        <w:rPr>
          <w:highlight w:val="yellow"/>
          <w:u w:val="single"/>
          <w:lang w:val="en-US"/>
        </w:rPr>
        <w:t>free</w:t>
      </w:r>
      <w:r w:rsidRPr="00286ABF">
        <w:rPr>
          <w:highlight w:val="yellow"/>
          <w:lang w:val="en-US"/>
        </w:rPr>
        <w:t xml:space="preserve"> access to the contracts (as indicated in the outstanding regulation).</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lastRenderedPageBreak/>
        <w:t>&lt;ESMA_QUESTION_FAC_40&gt;</w:t>
      </w:r>
    </w:p>
    <w:p w14:paraId="7B65174B" w14:textId="410913AB" w:rsidR="00357C60" w:rsidRDefault="00AA54CA" w:rsidP="007F35B6">
      <w:pPr>
        <w:jc w:val="both"/>
        <w:rPr>
          <w:rFonts w:cs="Arial"/>
        </w:rPr>
      </w:pPr>
      <w:permStart w:id="1034365782" w:edGrp="everyone"/>
      <w:proofErr w:type="gramStart"/>
      <w:r w:rsidRPr="00B0590D">
        <w:rPr>
          <w:rFonts w:cs="Arial"/>
          <w:highlight w:val="yellow"/>
        </w:rPr>
        <w:t>Yes</w:t>
      </w:r>
      <w:proofErr w:type="gramEnd"/>
      <w:r w:rsidRPr="00B0590D">
        <w:rPr>
          <w:rFonts w:cs="Arial"/>
          <w:highlight w:val="yellow"/>
        </w:rPr>
        <w:t xml:space="preserve"> we </w:t>
      </w:r>
      <w:r w:rsidRPr="00B0590D">
        <w:rPr>
          <w:rFonts w:cs="Arial"/>
          <w:highlight w:val="yellow"/>
          <w:lang w:val="en-US"/>
        </w:rPr>
        <w:t>agree</w:t>
      </w:r>
      <w:r w:rsidRPr="00B0590D">
        <w:rPr>
          <w:rFonts w:cs="Arial"/>
          <w:highlight w:val="yellow"/>
        </w:rPr>
        <w:t xml:space="preserve"> that in </w:t>
      </w:r>
      <w:r w:rsidRPr="00B0590D">
        <w:rPr>
          <w:rFonts w:cs="Arial"/>
          <w:highlight w:val="yellow"/>
          <w:lang w:val="en-US"/>
        </w:rPr>
        <w:t xml:space="preserve">the </w:t>
      </w:r>
      <w:r w:rsidRPr="00B0590D">
        <w:rPr>
          <w:rFonts w:cs="Arial"/>
          <w:highlight w:val="yellow"/>
        </w:rPr>
        <w:t xml:space="preserve">description of the amount of </w:t>
      </w:r>
      <w:r w:rsidRPr="00B0590D">
        <w:rPr>
          <w:rFonts w:cs="Arial"/>
          <w:highlight w:val="yellow"/>
          <w:lang w:val="en-US"/>
        </w:rPr>
        <w:t>expenses</w:t>
      </w:r>
      <w:r w:rsidRPr="00B0590D">
        <w:rPr>
          <w:rFonts w:cs="Arial"/>
          <w:highlight w:val="yellow"/>
        </w:rPr>
        <w:t xml:space="preserve"> charged to </w:t>
      </w:r>
      <w:r w:rsidRPr="00B0590D">
        <w:rPr>
          <w:rFonts w:cs="Arial"/>
          <w:highlight w:val="yellow"/>
          <w:lang w:val="en-US"/>
        </w:rPr>
        <w:t xml:space="preserve">the </w:t>
      </w:r>
      <w:r w:rsidRPr="00B0590D">
        <w:rPr>
          <w:rFonts w:cs="Arial"/>
          <w:highlight w:val="yellow"/>
        </w:rPr>
        <w:t xml:space="preserve">purchaser </w:t>
      </w:r>
      <w:r w:rsidRPr="00B0590D">
        <w:rPr>
          <w:rFonts w:cs="Arial"/>
          <w:highlight w:val="yellow"/>
          <w:lang w:val="en-US"/>
        </w:rPr>
        <w:t xml:space="preserve">implicit costs </w:t>
      </w:r>
      <w:r w:rsidRPr="00B0590D">
        <w:rPr>
          <w:rFonts w:cs="Arial"/>
          <w:highlight w:val="yellow"/>
        </w:rPr>
        <w:t>should also be included. However</w:t>
      </w:r>
      <w:r w:rsidRPr="00B0590D">
        <w:rPr>
          <w:rFonts w:cs="Arial"/>
          <w:highlight w:val="yellow"/>
          <w:lang w:val="en-US"/>
        </w:rPr>
        <w:t>,</w:t>
      </w:r>
      <w:r w:rsidRPr="00B0590D">
        <w:rPr>
          <w:rFonts w:cs="Arial"/>
          <w:highlight w:val="yellow"/>
        </w:rPr>
        <w:t xml:space="preserve"> this description is already adopted in some countries a</w:t>
      </w:r>
      <w:proofErr w:type="spellStart"/>
      <w:r w:rsidRPr="00B0590D">
        <w:rPr>
          <w:rFonts w:cs="Arial"/>
          <w:highlight w:val="yellow"/>
          <w:lang w:val="en-US"/>
        </w:rPr>
        <w:t>s</w:t>
      </w:r>
      <w:proofErr w:type="spellEnd"/>
      <w:r w:rsidRPr="00B0590D">
        <w:rPr>
          <w:rFonts w:cs="Arial"/>
          <w:highlight w:val="yellow"/>
          <w:lang w:val="en-US"/>
        </w:rPr>
        <w:t xml:space="preserve"> a</w:t>
      </w:r>
      <w:r w:rsidRPr="00B0590D">
        <w:rPr>
          <w:rFonts w:cs="Arial"/>
          <w:highlight w:val="yellow"/>
        </w:rPr>
        <w:t xml:space="preserve"> standard practice</w:t>
      </w:r>
      <w:r w:rsidR="00286ABF">
        <w:rPr>
          <w:rFonts w:cs="Arial"/>
        </w:rPr>
        <w:t>.</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75A68F3A" w14:textId="1253D4B4" w:rsidR="003C7064" w:rsidRPr="00286ABF" w:rsidRDefault="00AA54CA" w:rsidP="003C7064">
      <w:pPr>
        <w:rPr>
          <w:lang w:val="en-US"/>
        </w:rPr>
      </w:pPr>
      <w:permStart w:id="1986690209" w:edGrp="everyone"/>
      <w:proofErr w:type="gramStart"/>
      <w:r w:rsidRPr="00B0590D">
        <w:rPr>
          <w:highlight w:val="yellow"/>
          <w:lang w:val="en-US"/>
        </w:rPr>
        <w:t>Yes</w:t>
      </w:r>
      <w:proofErr w:type="gramEnd"/>
      <w:r w:rsidRPr="00B0590D">
        <w:rPr>
          <w:highlight w:val="yellow"/>
          <w:lang w:val="en-US"/>
        </w:rPr>
        <w:t xml:space="preserve"> </w:t>
      </w:r>
      <w:r w:rsidRPr="00286ABF">
        <w:rPr>
          <w:highlight w:val="yellow"/>
          <w:lang w:val="en-US"/>
        </w:rPr>
        <w:t>we agree. At things stand, bank issuers already specify the issue price</w:t>
      </w:r>
      <w:r w:rsidRPr="00286ABF">
        <w:rPr>
          <w:i/>
          <w:iCs/>
          <w:highlight w:val="yellow"/>
          <w:lang w:val="en-US"/>
        </w:rPr>
        <w:t xml:space="preserve"> </w:t>
      </w:r>
      <w:r w:rsidRPr="00286ABF">
        <w:rPr>
          <w:highlight w:val="yellow"/>
          <w:lang w:val="en-US"/>
        </w:rPr>
        <w:t xml:space="preserve">of securities (including securities to be admitted to trading) in the relevant </w:t>
      </w:r>
      <w:r w:rsidRPr="00286ABF">
        <w:rPr>
          <w:iCs/>
          <w:highlight w:val="yellow"/>
          <w:lang w:val="en-US"/>
        </w:rPr>
        <w:t>Final Terms</w:t>
      </w:r>
      <w:r w:rsidRPr="00286ABF">
        <w:rPr>
          <w:highlight w:val="yellow"/>
          <w:lang w:val="en-US"/>
        </w:rPr>
        <w:t>.</w:t>
      </w:r>
    </w:p>
    <w:p w14:paraId="341E2446" w14:textId="13741D75" w:rsidR="00397D1A" w:rsidRPr="00286ABF" w:rsidRDefault="00AA54CA" w:rsidP="00DD131B">
      <w:pPr>
        <w:jc w:val="both"/>
        <w:rPr>
          <w:lang w:val="en-US"/>
        </w:rPr>
      </w:pPr>
      <w:r w:rsidRPr="00286ABF">
        <w:rPr>
          <w:iCs/>
          <w:highlight w:val="yellow"/>
          <w:lang w:val="en-US"/>
        </w:rPr>
        <w:t>Furthermore, we deem that such information relates to the features of the securities (whether they are offered and/or admitted to trading) and should, therefore, be moved to the specific section on securities (item 4 in the annexes of both retail and wholesale debt/derivatives securities notes)</w:t>
      </w:r>
      <w:r w:rsidR="00286ABF">
        <w:rPr>
          <w:iCs/>
          <w:lang w:val="en-US"/>
        </w:rPr>
        <w:t>.</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34AC4026" w14:textId="77777777" w:rsidR="00AA54CA" w:rsidRPr="00286ABF" w:rsidRDefault="00AA54CA" w:rsidP="00AA54CA">
      <w:pPr>
        <w:jc w:val="both"/>
        <w:rPr>
          <w:rFonts w:cs="Arial"/>
          <w:highlight w:val="yellow"/>
        </w:rPr>
      </w:pPr>
      <w:permStart w:id="1265632574" w:edGrp="everyone"/>
      <w:r w:rsidRPr="00286ABF">
        <w:rPr>
          <w:rFonts w:cs="Arial"/>
          <w:highlight w:val="yellow"/>
        </w:rPr>
        <w:t>Since there are no specific questions on the re-categorisation from B to A of the information regarding the "</w:t>
      </w:r>
      <w:r w:rsidRPr="00286ABF">
        <w:rPr>
          <w:rFonts w:cs="Arial"/>
          <w:i/>
          <w:highlight w:val="yellow"/>
        </w:rPr>
        <w:t>description of the type and the class of the securities being offered to the public and/or admitted to trading</w:t>
      </w:r>
      <w:r w:rsidRPr="00286ABF">
        <w:rPr>
          <w:rFonts w:cs="Arial"/>
          <w:highlight w:val="yellow"/>
        </w:rPr>
        <w:t xml:space="preserve">" (i.e. item 4.1), we would stress hereunder - further to what has been specified in the introduction - that such re-categorisation could entail a restriction </w:t>
      </w:r>
      <w:r w:rsidRPr="00286ABF">
        <w:rPr>
          <w:rFonts w:cs="Arial"/>
          <w:highlight w:val="yellow"/>
          <w:lang w:val="en-US"/>
        </w:rPr>
        <w:t xml:space="preserve">on </w:t>
      </w:r>
      <w:r w:rsidRPr="00286ABF">
        <w:rPr>
          <w:rFonts w:cs="Arial"/>
          <w:highlight w:val="yellow"/>
        </w:rPr>
        <w:t xml:space="preserve">the use of multi-product programmes, and this does not seem </w:t>
      </w:r>
      <w:r w:rsidRPr="00286ABF">
        <w:rPr>
          <w:rFonts w:cs="Arial"/>
          <w:highlight w:val="yellow"/>
          <w:lang w:val="en-US"/>
        </w:rPr>
        <w:t xml:space="preserve">to be </w:t>
      </w:r>
      <w:r w:rsidRPr="00286ABF">
        <w:rPr>
          <w:rFonts w:cs="Arial"/>
          <w:highlight w:val="yellow"/>
        </w:rPr>
        <w:t>in line with the purposes of the new prospectus regulation</w:t>
      </w:r>
      <w:r w:rsidRPr="00286ABF">
        <w:rPr>
          <w:rFonts w:cs="Arial"/>
          <w:highlight w:val="yellow"/>
          <w:lang w:val="en-US"/>
        </w:rPr>
        <w:t>s</w:t>
      </w:r>
      <w:r w:rsidRPr="00286ABF">
        <w:rPr>
          <w:rFonts w:cs="Arial"/>
          <w:highlight w:val="yellow"/>
        </w:rPr>
        <w:t>.</w:t>
      </w:r>
    </w:p>
    <w:p w14:paraId="4F25D29D" w14:textId="1C2DC721" w:rsidR="00AA54CA" w:rsidRPr="00286ABF" w:rsidRDefault="00AA54CA" w:rsidP="00AA54CA">
      <w:pPr>
        <w:jc w:val="both"/>
        <w:rPr>
          <w:rFonts w:cs="Arial"/>
          <w:b/>
          <w:highlight w:val="yellow"/>
        </w:rPr>
      </w:pPr>
      <w:r w:rsidRPr="00286ABF">
        <w:rPr>
          <w:rFonts w:cs="Arial"/>
          <w:highlight w:val="yellow"/>
        </w:rPr>
        <w:t>Please refer to Question 47</w:t>
      </w:r>
      <w:r w:rsidRPr="00286ABF">
        <w:rPr>
          <w:rFonts w:cs="Arial"/>
          <w:highlight w:val="yellow"/>
          <w:lang w:val="en-US"/>
        </w:rPr>
        <w:t xml:space="preserve"> as well</w:t>
      </w:r>
      <w:r w:rsidRPr="00286ABF">
        <w:rPr>
          <w:rFonts w:cs="Arial"/>
          <w:b/>
          <w:highlight w:val="yellow"/>
        </w:rPr>
        <w:t>.</w:t>
      </w:r>
    </w:p>
    <w:p w14:paraId="03CD9B83" w14:textId="790D9E95" w:rsidR="00397D1A" w:rsidRPr="00286ABF" w:rsidRDefault="00AA54CA" w:rsidP="00AA54CA">
      <w:pPr>
        <w:spacing w:before="120"/>
        <w:jc w:val="both"/>
        <w:rPr>
          <w:rFonts w:cs="Arial"/>
          <w:i/>
          <w:lang w:val="en-US"/>
        </w:rPr>
      </w:pPr>
      <w:r w:rsidRPr="00286ABF">
        <w:rPr>
          <w:rFonts w:cs="Arial"/>
          <w:highlight w:val="yellow"/>
          <w:lang w:val="en-US"/>
        </w:rPr>
        <w:t>With reference to Annex V (retail debt and derivatives securities note) and the applicable final terms, we deem that ESMA should address the issue of the responsibility regime (and relevant disclosure) for the information included in the securities note (or final terms) where, either</w:t>
      </w:r>
      <w:r w:rsidRPr="00286ABF">
        <w:rPr>
          <w:rFonts w:cs="Arial"/>
          <w:i/>
          <w:highlight w:val="yellow"/>
          <w:lang w:val="en-US"/>
        </w:rPr>
        <w:t>:</w:t>
      </w:r>
    </w:p>
    <w:p w14:paraId="01D3AA37" w14:textId="0132F710" w:rsidR="00397D1A" w:rsidRPr="00286ABF" w:rsidRDefault="00AA54CA" w:rsidP="00397D1A">
      <w:pPr>
        <w:pStyle w:val="Paragrafoelenco"/>
        <w:numPr>
          <w:ilvl w:val="0"/>
          <w:numId w:val="42"/>
        </w:numPr>
        <w:spacing w:before="120"/>
        <w:jc w:val="both"/>
        <w:rPr>
          <w:rFonts w:cs="Arial"/>
          <w:lang w:val="en-US"/>
        </w:rPr>
      </w:pPr>
      <w:r w:rsidRPr="00286ABF">
        <w:rPr>
          <w:rFonts w:cs="Arial"/>
          <w:i/>
          <w:highlight w:val="yellow"/>
          <w:lang w:val="en-US"/>
        </w:rPr>
        <w:t xml:space="preserve">a </w:t>
      </w:r>
      <w:r w:rsidRPr="00286ABF">
        <w:rPr>
          <w:rFonts w:cs="Arial"/>
          <w:highlight w:val="yellow"/>
          <w:lang w:val="en-US"/>
        </w:rPr>
        <w:t>member state requires issuers, offerors or persons asking for admission to trading on a regulated market to replace part of the prospectus summary with part of the key information document required under regulation (EU) 1286/2014; and</w:t>
      </w:r>
    </w:p>
    <w:p w14:paraId="3035A73F" w14:textId="05E6409C" w:rsidR="00397D1A" w:rsidRPr="00286ABF" w:rsidRDefault="00AA54CA" w:rsidP="00397D1A">
      <w:pPr>
        <w:pStyle w:val="Paragrafoelenco"/>
        <w:numPr>
          <w:ilvl w:val="0"/>
          <w:numId w:val="42"/>
        </w:numPr>
        <w:spacing w:before="120"/>
        <w:ind w:left="714" w:hanging="357"/>
        <w:jc w:val="both"/>
        <w:rPr>
          <w:rFonts w:cs="Arial"/>
          <w:lang w:val="en-US"/>
        </w:rPr>
      </w:pPr>
      <w:r w:rsidRPr="00286ABF">
        <w:rPr>
          <w:rFonts w:cs="Arial"/>
          <w:highlight w:val="yellow"/>
          <w:lang w:val="en-US"/>
        </w:rPr>
        <w:t>the manufacturer who, pursuant to regulation (EU) 1286/2014, should draw up the key information document is different to the person in charge of drawing up the prospectus.</w:t>
      </w:r>
    </w:p>
    <w:p w14:paraId="155DD643" w14:textId="77777777" w:rsidR="00397D1A" w:rsidRPr="00286ABF" w:rsidRDefault="00397D1A" w:rsidP="00397D1A">
      <w:pPr>
        <w:jc w:val="both"/>
        <w:rPr>
          <w:i/>
          <w:lang w:val="en-US"/>
        </w:rPr>
      </w:pPr>
    </w:p>
    <w:p w14:paraId="258E9D40" w14:textId="440AF398" w:rsidR="00397D1A" w:rsidRPr="00286ABF" w:rsidRDefault="00AA54CA" w:rsidP="00A76884">
      <w:pPr>
        <w:jc w:val="both"/>
        <w:rPr>
          <w:rFonts w:cs="Arial"/>
          <w:b/>
        </w:rPr>
      </w:pPr>
      <w:r w:rsidRPr="00286ABF">
        <w:rPr>
          <w:highlight w:val="yellow"/>
          <w:lang w:val="en-US"/>
        </w:rPr>
        <w:t>Furthermore, as far as we understand, the provision of article 29, paragraph 2 of Regulation (EU) 2016/1011 applies to prospectuses for all securities that reference a benchmark, not just for derivative securities. We kindly ask ESMA to clarify why the relevant disclosure requirement has been added to Annex 7 (derivative securities building block) instead of to Annexes V and VI</w:t>
      </w:r>
      <w:r w:rsidR="00286ABF">
        <w:rPr>
          <w:lang w:val="en-US"/>
        </w:rPr>
        <w:t>.</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4577F649" w14:textId="500F2F78" w:rsidR="00357C60" w:rsidRDefault="0031793E" w:rsidP="00357C60">
      <w:pPr>
        <w:rPr>
          <w:rFonts w:cs="Arial"/>
        </w:rPr>
      </w:pPr>
      <w:permStart w:id="1812677251" w:edGrp="everyone"/>
      <w:r>
        <w:rPr>
          <w:rFonts w:cs="Arial"/>
        </w:rPr>
        <w:t>Please refer to introduction</w:t>
      </w:r>
      <w:r w:rsidR="00286ABF">
        <w:rPr>
          <w:rFonts w:cs="Arial"/>
        </w:rPr>
        <w:t>.</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1E9BE3CE" w14:textId="05668AA9" w:rsidR="00C01663" w:rsidRPr="00286ABF" w:rsidRDefault="00AA54CA" w:rsidP="00D71914">
      <w:pPr>
        <w:jc w:val="both"/>
        <w:rPr>
          <w:lang w:val="en-US"/>
        </w:rPr>
      </w:pPr>
      <w:permStart w:id="797323371" w:edGrp="everyone"/>
      <w:r w:rsidRPr="00B0590D">
        <w:rPr>
          <w:highlight w:val="yellow"/>
          <w:lang w:val="en-US"/>
        </w:rPr>
        <w:t xml:space="preserve">Considering the difficulties involved in specifying exactly the reason for issuances (i.e. there is not an exact correspondence between a financial instrument and hedging purposes), we suggest including a broader </w:t>
      </w:r>
      <w:r w:rsidRPr="00286ABF">
        <w:rPr>
          <w:highlight w:val="yellow"/>
          <w:lang w:val="en-US"/>
        </w:rPr>
        <w:t>explanation and more general wording relating to use of proceeds. In any case, it could prove useful to clarify this requirement further with the relevant Authority.</w:t>
      </w:r>
    </w:p>
    <w:p w14:paraId="6A84638F" w14:textId="29958FA4" w:rsidR="005E7D05" w:rsidRPr="00286ABF" w:rsidRDefault="00AA54CA" w:rsidP="00D71914">
      <w:pPr>
        <w:jc w:val="both"/>
        <w:rPr>
          <w:lang w:val="en-US"/>
        </w:rPr>
      </w:pPr>
      <w:r w:rsidRPr="00286ABF">
        <w:rPr>
          <w:highlight w:val="yellow"/>
          <w:lang w:val="en-US"/>
        </w:rPr>
        <w:t>Furthermore, please refer question 42 on the benchmark statement</w:t>
      </w:r>
      <w:r w:rsidR="00286ABF">
        <w:rPr>
          <w:lang w:val="en-US"/>
        </w:rPr>
        <w:t>.</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6903AB07" w:rsidR="00357C60" w:rsidRDefault="0031793E" w:rsidP="00357C60">
      <w:pPr>
        <w:rPr>
          <w:rFonts w:cs="Arial"/>
        </w:rPr>
      </w:pPr>
      <w:permStart w:id="1763403388" w:edGrp="everyone"/>
      <w:r>
        <w:rPr>
          <w:rFonts w:cs="Arial"/>
        </w:rPr>
        <w:t>Please refer to the introduction</w:t>
      </w:r>
      <w:r w:rsidR="00286ABF">
        <w:rPr>
          <w:rFonts w:cs="Arial"/>
        </w:rPr>
        <w:t>.</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291EA1D3" w:rsidR="00357C60" w:rsidRDefault="00052D66" w:rsidP="00CE6626">
      <w:pPr>
        <w:jc w:val="both"/>
        <w:rPr>
          <w:rFonts w:cs="Arial"/>
        </w:rPr>
      </w:pPr>
      <w:permStart w:id="1630370939" w:edGrp="everyone"/>
      <w:r w:rsidRPr="00B0590D">
        <w:rPr>
          <w:highlight w:val="yellow"/>
          <w:lang w:val="en-US"/>
        </w:rPr>
        <w:t>We agree with the approach taken by ESMA to make derivative securities a building block that can be added on to the securities-note disclosure, rather than having two separate parts</w:t>
      </w:r>
      <w:r w:rsidR="00286ABF">
        <w:rPr>
          <w:lang w:val="en-US"/>
        </w:rPr>
        <w:t>.</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4590A56E" w14:textId="77777777" w:rsidR="00052D66" w:rsidRPr="00B0590D" w:rsidRDefault="00052D66" w:rsidP="00052D66">
      <w:pPr>
        <w:jc w:val="both"/>
        <w:rPr>
          <w:rFonts w:ascii="Calibri" w:hAnsi="Calibri"/>
          <w:szCs w:val="22"/>
          <w:highlight w:val="yellow"/>
          <w:lang w:val="en-US" w:eastAsia="it-IT"/>
        </w:rPr>
      </w:pPr>
      <w:permStart w:id="833307069" w:edGrp="everyone"/>
      <w:r w:rsidRPr="00B0590D">
        <w:rPr>
          <w:rFonts w:cs="Arial"/>
          <w:highlight w:val="yellow"/>
          <w:lang w:val="en-US"/>
        </w:rPr>
        <w:t>In the first instance</w:t>
      </w:r>
      <w:r w:rsidRPr="00B0590D">
        <w:rPr>
          <w:highlight w:val="yellow"/>
          <w:lang w:val="en-US"/>
        </w:rPr>
        <w:t xml:space="preserve">, as a general comment, we would like to point out that the Annexes do not make a distinction between the information which needs to be inserted in the Base Prospectus relating to </w:t>
      </w:r>
      <w:proofErr w:type="spellStart"/>
      <w:r w:rsidRPr="00B0590D">
        <w:rPr>
          <w:highlight w:val="yellow"/>
          <w:lang w:val="en-US"/>
        </w:rPr>
        <w:t>programmes</w:t>
      </w:r>
      <w:proofErr w:type="spellEnd"/>
      <w:r w:rsidRPr="00B0590D">
        <w:rPr>
          <w:highlight w:val="yellow"/>
          <w:lang w:val="en-US"/>
        </w:rPr>
        <w:t xml:space="preserve"> and that which needs to be inserted in the standalone Prospectuses; </w:t>
      </w:r>
      <w:proofErr w:type="gramStart"/>
      <w:r w:rsidRPr="00B0590D">
        <w:rPr>
          <w:highlight w:val="yellow"/>
          <w:lang w:val="en-US"/>
        </w:rPr>
        <w:t>as a consequence</w:t>
      </w:r>
      <w:proofErr w:type="gramEnd"/>
      <w:r w:rsidRPr="00B0590D">
        <w:rPr>
          <w:highlight w:val="yellow"/>
          <w:lang w:val="en-US"/>
        </w:rPr>
        <w:t xml:space="preserve">, it is often quite difficult to understand precisely which information needs to be inserted in which Prospectus. </w:t>
      </w:r>
    </w:p>
    <w:p w14:paraId="59274BBE" w14:textId="77777777" w:rsidR="00052D66" w:rsidRPr="00B0590D" w:rsidRDefault="00052D66" w:rsidP="00052D66">
      <w:pPr>
        <w:rPr>
          <w:highlight w:val="yellow"/>
          <w:lang w:val="en-US"/>
        </w:rPr>
      </w:pPr>
    </w:p>
    <w:p w14:paraId="137EC9EE" w14:textId="632082BF" w:rsidR="00357C60" w:rsidRDefault="00052D66" w:rsidP="00052D66">
      <w:pPr>
        <w:jc w:val="both"/>
        <w:rPr>
          <w:rFonts w:cs="Arial"/>
        </w:rPr>
      </w:pPr>
      <w:proofErr w:type="gramStart"/>
      <w:r w:rsidRPr="00B0590D">
        <w:rPr>
          <w:highlight w:val="yellow"/>
          <w:lang w:val="en-US"/>
        </w:rPr>
        <w:t>In light of</w:t>
      </w:r>
      <w:proofErr w:type="gramEnd"/>
      <w:r w:rsidRPr="00B0590D">
        <w:rPr>
          <w:highlight w:val="yellow"/>
          <w:lang w:val="en-US"/>
        </w:rPr>
        <w:t xml:space="preserve"> the above, we believe that the proposed amendment should only refer to standalone Prospectuses, it not being possible for Base Prospectuses relating to </w:t>
      </w:r>
      <w:proofErr w:type="spellStart"/>
      <w:r w:rsidRPr="00B0590D">
        <w:rPr>
          <w:highlight w:val="yellow"/>
          <w:lang w:val="en-US"/>
        </w:rPr>
        <w:t>Programmes</w:t>
      </w:r>
      <w:proofErr w:type="spellEnd"/>
      <w:r w:rsidRPr="00B0590D">
        <w:rPr>
          <w:highlight w:val="yellow"/>
          <w:lang w:val="en-US"/>
        </w:rPr>
        <w:t xml:space="preserve"> where there are several structures to specify the structure of the financial instrument to be issued only in the Prospectus (i.e. type A information). It would, therefore, be preferable to maintain the current classification (i.e. type B information), which requires the inclusion of all the different financial structures in the Base Prospectus and a specification of the relevant financial structure for each single issue in the relevant Final Terms</w:t>
      </w:r>
      <w:r w:rsidR="00DC4E4C">
        <w:rPr>
          <w:lang w:val="en-US"/>
        </w:rPr>
        <w:t>.</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2B048346" w14:textId="156A4C9E" w:rsidR="00884461" w:rsidRDefault="00052D66" w:rsidP="00884461">
      <w:pPr>
        <w:rPr>
          <w:rFonts w:ascii="Calibri" w:hAnsi="Calibri"/>
          <w:szCs w:val="22"/>
          <w:lang w:val="en-US" w:eastAsia="it-IT"/>
        </w:rPr>
      </w:pPr>
      <w:permStart w:id="2009017422" w:edGrp="everyone"/>
      <w:r w:rsidRPr="00B0590D">
        <w:rPr>
          <w:rFonts w:cs="Arial"/>
          <w:highlight w:val="yellow"/>
        </w:rPr>
        <w:lastRenderedPageBreak/>
        <w:t>We do</w:t>
      </w:r>
      <w:r w:rsidRPr="00B0590D">
        <w:rPr>
          <w:highlight w:val="yellow"/>
          <w:lang w:val="en-US"/>
        </w:rPr>
        <w:t xml:space="preserve"> not agree with the insertion of new let. c) “</w:t>
      </w:r>
      <w:r w:rsidRPr="00B0590D">
        <w:rPr>
          <w:i/>
          <w:iCs/>
          <w:highlight w:val="yellow"/>
          <w:lang w:val="en-US"/>
        </w:rPr>
        <w:t>so far as the issuer is aware and/or able to ascertain from information published by the issuer of the security or reference obligation, information relating to the issuer of the security or reference obligation as if it were the issuer (in accordance with the wholesale debt and derivatives registration document schedule)</w:t>
      </w:r>
      <w:r w:rsidRPr="00B0590D">
        <w:rPr>
          <w:highlight w:val="yellow"/>
          <w:lang w:val="en-US"/>
        </w:rPr>
        <w:t>”.  In particular:</w:t>
      </w:r>
    </w:p>
    <w:p w14:paraId="672CCF65" w14:textId="77777777" w:rsidR="00884461" w:rsidRDefault="00884461" w:rsidP="00884461">
      <w:pPr>
        <w:rPr>
          <w:lang w:val="en-US"/>
        </w:rPr>
      </w:pPr>
    </w:p>
    <w:p w14:paraId="3D1D5405" w14:textId="108F5627" w:rsidR="00884461" w:rsidRDefault="00052D66" w:rsidP="00501AF2">
      <w:pPr>
        <w:pStyle w:val="Paragrafoelenco"/>
        <w:numPr>
          <w:ilvl w:val="0"/>
          <w:numId w:val="38"/>
        </w:numPr>
        <w:ind w:left="450" w:hanging="450"/>
        <w:contextualSpacing w:val="0"/>
        <w:jc w:val="both"/>
        <w:rPr>
          <w:lang w:val="en-US"/>
        </w:rPr>
      </w:pPr>
      <w:r w:rsidRPr="00B0590D">
        <w:rPr>
          <w:highlight w:val="yellow"/>
          <w:lang w:val="en-US"/>
        </w:rPr>
        <w:t>this is information (classified as type A) which can be inserted only in standalone Prospectuses. In Base Prospectuses such information is not available on the approval date, but should be inserted from time to time in the relevant Final Terms relating to each single issue; and</w:t>
      </w:r>
    </w:p>
    <w:p w14:paraId="292D2719" w14:textId="77777777" w:rsidR="00884461" w:rsidRDefault="00884461" w:rsidP="00D044B0">
      <w:pPr>
        <w:pStyle w:val="Paragrafoelenco"/>
        <w:ind w:left="450"/>
        <w:jc w:val="both"/>
        <w:rPr>
          <w:lang w:val="en-US"/>
        </w:rPr>
      </w:pPr>
    </w:p>
    <w:p w14:paraId="0E8E904F" w14:textId="40A849F8" w:rsidR="002C0753" w:rsidRPr="00715372" w:rsidRDefault="00052D66" w:rsidP="007A1968">
      <w:pPr>
        <w:pStyle w:val="Paragrafoelenco"/>
        <w:numPr>
          <w:ilvl w:val="0"/>
          <w:numId w:val="38"/>
        </w:numPr>
        <w:ind w:left="450" w:hanging="450"/>
        <w:contextualSpacing w:val="0"/>
        <w:jc w:val="both"/>
        <w:rPr>
          <w:rFonts w:cs="Arial"/>
        </w:rPr>
      </w:pPr>
      <w:r w:rsidRPr="00B0590D">
        <w:rPr>
          <w:highlight w:val="yellow"/>
          <w:lang w:val="en-US"/>
        </w:rPr>
        <w:t>unless the issuer of the securities is the same as the issuer of the underlying, we do not agree that the issuer of securities should specify the information relating to the issuer of the underlying in the Prospectus and ta</w:t>
      </w:r>
      <w:r w:rsidR="00702878">
        <w:rPr>
          <w:highlight w:val="yellow"/>
          <w:lang w:val="en-US"/>
        </w:rPr>
        <w:t>ke on ensuing responsibility. Th</w:t>
      </w:r>
      <w:r w:rsidRPr="00B0590D">
        <w:rPr>
          <w:highlight w:val="yellow"/>
          <w:lang w:val="en-US"/>
        </w:rPr>
        <w:t>e issuer of securities should only specify information such as ISIN Code of the underlying or the underlying website in the Prospectus, but should not be required to insert additional information relating to the issuer of the underlying.</w:t>
      </w:r>
    </w:p>
    <w:p w14:paraId="3994B54A" w14:textId="77777777" w:rsidR="00715372" w:rsidRPr="00B94410" w:rsidRDefault="00715372" w:rsidP="00715372">
      <w:pPr>
        <w:pStyle w:val="Paragrafoelenco"/>
        <w:rPr>
          <w:rFonts w:cs="Arial"/>
        </w:rPr>
      </w:pPr>
    </w:p>
    <w:p w14:paraId="74523574" w14:textId="77777777" w:rsidR="00052D66" w:rsidRPr="00B94410" w:rsidRDefault="00052D66" w:rsidP="00052D66">
      <w:pPr>
        <w:jc w:val="both"/>
        <w:rPr>
          <w:rFonts w:cs="Arial"/>
          <w:b/>
          <w:highlight w:val="yellow"/>
        </w:rPr>
      </w:pPr>
      <w:r w:rsidRPr="00B94410">
        <w:rPr>
          <w:bCs/>
          <w:highlight w:val="yellow"/>
        </w:rPr>
        <w:t>With the aim of better clarifying the information included in item 4.2.</w:t>
      </w:r>
      <w:proofErr w:type="gramStart"/>
      <w:r w:rsidRPr="00B94410">
        <w:rPr>
          <w:bCs/>
          <w:highlight w:val="yellow"/>
        </w:rPr>
        <w:t>2.(</w:t>
      </w:r>
      <w:proofErr w:type="gramEnd"/>
      <w:r w:rsidRPr="00B94410">
        <w:rPr>
          <w:bCs/>
          <w:highlight w:val="yellow"/>
        </w:rPr>
        <w:t>ii)(d),</w:t>
      </w:r>
      <w:r w:rsidRPr="00B94410">
        <w:rPr>
          <w:rStyle w:val="DeltaViewInsertion"/>
          <w:rFonts w:cs="Arial"/>
          <w:color w:val="auto"/>
          <w:szCs w:val="22"/>
          <w:highlight w:val="yellow"/>
        </w:rPr>
        <w:t xml:space="preserve"> </w:t>
      </w:r>
      <w:r w:rsidRPr="00B94410">
        <w:rPr>
          <w:rFonts w:cs="Arial"/>
          <w:highlight w:val="yellow"/>
        </w:rPr>
        <w:t xml:space="preserve">we suggest </w:t>
      </w:r>
      <w:r w:rsidRPr="00B94410">
        <w:rPr>
          <w:rFonts w:cs="Arial"/>
          <w:highlight w:val="yellow"/>
          <w:lang w:val="en-US"/>
        </w:rPr>
        <w:t>amending it and</w:t>
      </w:r>
      <w:r w:rsidRPr="00B94410">
        <w:rPr>
          <w:rFonts w:cs="Arial"/>
          <w:highlight w:val="yellow"/>
        </w:rPr>
        <w:t xml:space="preserve"> adding after the words “</w:t>
      </w:r>
      <w:r w:rsidRPr="00B94410">
        <w:rPr>
          <w:rFonts w:cs="Arial"/>
          <w:bCs/>
          <w:i/>
          <w:highlight w:val="yellow"/>
        </w:rPr>
        <w:t>if the issuer of the underlying security or reference obligation has securities already admitted to trading on a regulated</w:t>
      </w:r>
      <w:r w:rsidRPr="00B94410">
        <w:rPr>
          <w:rFonts w:cs="Arial"/>
          <w:b/>
          <w:bCs/>
          <w:i/>
          <w:highlight w:val="yellow"/>
        </w:rPr>
        <w:t xml:space="preserve">” </w:t>
      </w:r>
      <w:r w:rsidRPr="00B94410">
        <w:rPr>
          <w:rFonts w:cs="Arial"/>
          <w:bCs/>
          <w:i/>
          <w:highlight w:val="yellow"/>
        </w:rPr>
        <w:t>the following words</w:t>
      </w:r>
      <w:r w:rsidRPr="00B94410">
        <w:rPr>
          <w:rFonts w:cs="Arial"/>
          <w:b/>
          <w:highlight w:val="yellow"/>
        </w:rPr>
        <w:t>: “</w:t>
      </w:r>
      <w:r w:rsidRPr="00B94410">
        <w:rPr>
          <w:rFonts w:cs="Arial"/>
          <w:b/>
          <w:bCs/>
          <w:i/>
          <w:highlight w:val="yellow"/>
        </w:rPr>
        <w:t xml:space="preserve">regularly operating, recognized open market and/or any other trading venue (including, without limitation, MTF, OTF and/or systematic </w:t>
      </w:r>
      <w:proofErr w:type="spellStart"/>
      <w:r w:rsidRPr="00B94410">
        <w:rPr>
          <w:rFonts w:cs="Arial"/>
          <w:b/>
          <w:bCs/>
          <w:i/>
          <w:highlight w:val="yellow"/>
        </w:rPr>
        <w:t>internaliser</w:t>
      </w:r>
      <w:proofErr w:type="spellEnd"/>
      <w:r w:rsidRPr="00B94410">
        <w:rPr>
          <w:rFonts w:cs="Arial"/>
          <w:b/>
          <w:bCs/>
          <w:i/>
          <w:highlight w:val="yellow"/>
        </w:rPr>
        <w:t>”</w:t>
      </w:r>
    </w:p>
    <w:p w14:paraId="10D99436" w14:textId="77777777" w:rsidR="00052D66" w:rsidRPr="00B94410" w:rsidRDefault="00052D66" w:rsidP="00052D66">
      <w:pPr>
        <w:jc w:val="both"/>
        <w:rPr>
          <w:rFonts w:cs="Arial"/>
          <w:highlight w:val="yellow"/>
        </w:rPr>
      </w:pPr>
    </w:p>
    <w:p w14:paraId="07491EC6" w14:textId="0E27BB05" w:rsidR="00715372" w:rsidRPr="00B94410" w:rsidRDefault="00052D66" w:rsidP="00052D66">
      <w:pPr>
        <w:jc w:val="both"/>
        <w:rPr>
          <w:rFonts w:cs="Arial"/>
        </w:rPr>
      </w:pPr>
      <w:r w:rsidRPr="00B94410">
        <w:rPr>
          <w:rFonts w:cs="Arial"/>
          <w:highlight w:val="yellow"/>
        </w:rPr>
        <w:t xml:space="preserve">Finally, </w:t>
      </w:r>
      <w:r w:rsidRPr="00B94410">
        <w:rPr>
          <w:rFonts w:cs="Arial"/>
          <w:highlight w:val="yellow"/>
          <w:lang w:val="en-US"/>
        </w:rPr>
        <w:t>with</w:t>
      </w:r>
      <w:r w:rsidRPr="00B94410">
        <w:rPr>
          <w:rFonts w:cs="Arial"/>
          <w:highlight w:val="yellow"/>
        </w:rPr>
        <w:t xml:space="preserve"> respect </w:t>
      </w:r>
      <w:r w:rsidRPr="00B94410">
        <w:rPr>
          <w:rFonts w:cs="Arial"/>
          <w:highlight w:val="yellow"/>
          <w:lang w:val="en-US"/>
        </w:rPr>
        <w:t>to</w:t>
      </w:r>
      <w:r w:rsidRPr="00B94410">
        <w:rPr>
          <w:rFonts w:cs="Arial"/>
          <w:highlight w:val="yellow"/>
        </w:rPr>
        <w:t xml:space="preserve"> this item, we </w:t>
      </w:r>
      <w:r w:rsidRPr="00B94410">
        <w:rPr>
          <w:rFonts w:cs="Arial"/>
          <w:highlight w:val="yellow"/>
          <w:lang w:val="en-US"/>
        </w:rPr>
        <w:t xml:space="preserve">wish to </w:t>
      </w:r>
      <w:r w:rsidRPr="00B94410">
        <w:rPr>
          <w:rFonts w:cs="Arial"/>
          <w:highlight w:val="yellow"/>
        </w:rPr>
        <w:t xml:space="preserve">point out that such disclosure requirements would significantly increase issuer's liabilities </w:t>
      </w:r>
      <w:proofErr w:type="gramStart"/>
      <w:r w:rsidRPr="00B94410">
        <w:rPr>
          <w:rFonts w:cs="Arial"/>
          <w:highlight w:val="yellow"/>
        </w:rPr>
        <w:t>as regards</w:t>
      </w:r>
      <w:proofErr w:type="gramEnd"/>
      <w:r w:rsidRPr="00B94410">
        <w:rPr>
          <w:rFonts w:cs="Arial"/>
          <w:highlight w:val="yellow"/>
        </w:rPr>
        <w:t xml:space="preserve"> data and information that are dependent on different issuers, as already anticipated </w:t>
      </w:r>
      <w:r w:rsidRPr="00B94410">
        <w:rPr>
          <w:rFonts w:cs="Arial"/>
          <w:highlight w:val="yellow"/>
          <w:lang w:val="en-US"/>
        </w:rPr>
        <w:t>in</w:t>
      </w:r>
      <w:r w:rsidRPr="00B94410">
        <w:rPr>
          <w:rFonts w:cs="Arial"/>
          <w:highlight w:val="yellow"/>
        </w:rPr>
        <w:t xml:space="preserve"> point (b) above. This would also </w:t>
      </w:r>
      <w:r w:rsidRPr="00B94410">
        <w:rPr>
          <w:rFonts w:cs="Arial"/>
          <w:highlight w:val="yellow"/>
          <w:lang w:val="en-US"/>
        </w:rPr>
        <w:t>bring about</w:t>
      </w:r>
      <w:r w:rsidRPr="00B94410">
        <w:rPr>
          <w:rFonts w:cs="Arial"/>
          <w:highlight w:val="yellow"/>
        </w:rPr>
        <w:t xml:space="preserve"> a meaningful risk of rendering base prospectuses less accessible </w:t>
      </w:r>
      <w:r w:rsidRPr="00B94410">
        <w:rPr>
          <w:rFonts w:cs="Arial"/>
          <w:highlight w:val="yellow"/>
          <w:lang w:val="en-US"/>
        </w:rPr>
        <w:t>to</w:t>
      </w:r>
      <w:r w:rsidRPr="00B94410">
        <w:rPr>
          <w:rFonts w:cs="Arial"/>
          <w:highlight w:val="yellow"/>
        </w:rPr>
        <w:t xml:space="preserve"> issuers</w:t>
      </w:r>
      <w:r w:rsidR="00B94410">
        <w:rPr>
          <w:rFonts w:cs="Arial"/>
        </w:rPr>
        <w:t>.</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31BA4BF3" w:rsidR="00357C60" w:rsidRDefault="00160D14" w:rsidP="00D044B0">
      <w:pPr>
        <w:jc w:val="both"/>
        <w:rPr>
          <w:rFonts w:cs="Arial"/>
        </w:rPr>
      </w:pPr>
      <w:permStart w:id="1216362447" w:edGrp="everyone"/>
      <w:r w:rsidRPr="00B0590D">
        <w:rPr>
          <w:highlight w:val="yellow"/>
          <w:lang w:val="en-US"/>
        </w:rPr>
        <w:t xml:space="preserve">We think it is right to have </w:t>
      </w:r>
      <w:proofErr w:type="gramStart"/>
      <w:r w:rsidRPr="00B0590D">
        <w:rPr>
          <w:highlight w:val="yellow"/>
          <w:lang w:val="en-US"/>
        </w:rPr>
        <w:t>a different disclosure requirements</w:t>
      </w:r>
      <w:proofErr w:type="gramEnd"/>
      <w:r w:rsidRPr="00B0590D">
        <w:rPr>
          <w:highlight w:val="yellow"/>
          <w:lang w:val="en-US"/>
        </w:rPr>
        <w:t xml:space="preserve"> for credit-linked securities, due to the peculiar nature of these securities</w:t>
      </w:r>
      <w:r w:rsidR="00B94410">
        <w:rPr>
          <w:lang w:val="en-US"/>
        </w:rPr>
        <w:t>.</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13A022A4" w:rsidR="00357C60" w:rsidRDefault="000D0A69" w:rsidP="00357C60">
      <w:pPr>
        <w:rPr>
          <w:rFonts w:cs="Arial"/>
        </w:rPr>
      </w:pPr>
      <w:permStart w:id="2090404877" w:edGrp="everyone"/>
      <w:r>
        <w:rPr>
          <w:rFonts w:cs="Arial"/>
        </w:rPr>
        <w:t xml:space="preserve"> </w:t>
      </w:r>
      <w:r w:rsidR="00160D14">
        <w:rPr>
          <w:rFonts w:cs="Arial"/>
        </w:rPr>
        <w:t>We suggest</w:t>
      </w:r>
      <w:r w:rsidR="00AB4E0A">
        <w:rPr>
          <w:rFonts w:cs="Arial"/>
        </w:rPr>
        <w:t>:</w:t>
      </w:r>
    </w:p>
    <w:p w14:paraId="2DBB1787" w14:textId="77777777" w:rsidR="00AB4E0A" w:rsidRDefault="00AB4E0A" w:rsidP="00357C60">
      <w:pPr>
        <w:rPr>
          <w:rFonts w:cs="Arial"/>
        </w:rPr>
      </w:pPr>
    </w:p>
    <w:p w14:paraId="06E3E89B" w14:textId="6E6973A3" w:rsidR="00AB4E0A" w:rsidRPr="00B94410" w:rsidRDefault="00160D14" w:rsidP="00B94410">
      <w:pPr>
        <w:pStyle w:val="Paragrafoelenco"/>
        <w:numPr>
          <w:ilvl w:val="0"/>
          <w:numId w:val="39"/>
        </w:numPr>
        <w:ind w:left="450" w:hanging="450"/>
        <w:contextualSpacing w:val="0"/>
        <w:rPr>
          <w:bCs/>
          <w:lang w:val="en-US"/>
        </w:rPr>
      </w:pPr>
      <w:r w:rsidRPr="00B94410">
        <w:rPr>
          <w:highlight w:val="yellow"/>
          <w:lang w:val="en-US"/>
        </w:rPr>
        <w:t>deleting new let. c) in paragraph 4.2.2 of Annex 7, as specified in Question 48 above;</w:t>
      </w:r>
    </w:p>
    <w:p w14:paraId="3D610611" w14:textId="77777777" w:rsidR="00B94410" w:rsidRPr="00B94410" w:rsidRDefault="00B94410" w:rsidP="00B94410">
      <w:pPr>
        <w:ind w:left="450" w:hanging="450"/>
        <w:rPr>
          <w:highlight w:val="yellow"/>
          <w:lang w:val="en-US"/>
        </w:rPr>
      </w:pPr>
    </w:p>
    <w:p w14:paraId="03A3147F" w14:textId="70FD382D" w:rsidR="007A1968" w:rsidRPr="00B94410" w:rsidRDefault="00160D14" w:rsidP="00B94410">
      <w:pPr>
        <w:pStyle w:val="Paragrafoelenco"/>
        <w:numPr>
          <w:ilvl w:val="0"/>
          <w:numId w:val="45"/>
        </w:numPr>
        <w:ind w:left="450" w:hanging="450"/>
        <w:rPr>
          <w:lang w:val="en-US"/>
        </w:rPr>
      </w:pPr>
      <w:r w:rsidRPr="00B94410">
        <w:rPr>
          <w:highlight w:val="yellow"/>
          <w:lang w:val="en-US"/>
        </w:rPr>
        <w:t xml:space="preserve">better clarifying the information in the Annexes which need to be inserted in the Base Prospectus relating to </w:t>
      </w:r>
      <w:proofErr w:type="spellStart"/>
      <w:r w:rsidRPr="00B94410">
        <w:rPr>
          <w:highlight w:val="yellow"/>
          <w:lang w:val="en-US"/>
        </w:rPr>
        <w:t>Programme</w:t>
      </w:r>
      <w:proofErr w:type="spellEnd"/>
      <w:r w:rsidRPr="00B94410">
        <w:rPr>
          <w:highlight w:val="yellow"/>
          <w:lang w:val="en-US"/>
        </w:rPr>
        <w:t xml:space="preserve"> and that which needs to be inserted in standalone Prospectuses.</w:t>
      </w:r>
    </w:p>
    <w:p w14:paraId="3BC16104" w14:textId="368F30E1" w:rsidR="007A1968" w:rsidRPr="00B94410" w:rsidRDefault="007A1968" w:rsidP="00B94410">
      <w:pPr>
        <w:ind w:left="450" w:hanging="450"/>
        <w:rPr>
          <w:lang w:val="en-US"/>
        </w:rPr>
      </w:pPr>
    </w:p>
    <w:p w14:paraId="2E530015" w14:textId="4FEF00B5" w:rsidR="007A1968" w:rsidRPr="00B94410" w:rsidRDefault="00160D14" w:rsidP="00B94410">
      <w:pPr>
        <w:pStyle w:val="Paragrafoelenco"/>
        <w:numPr>
          <w:ilvl w:val="0"/>
          <w:numId w:val="45"/>
        </w:numPr>
        <w:ind w:left="450" w:hanging="450"/>
        <w:rPr>
          <w:rFonts w:cs="Arial"/>
        </w:rPr>
      </w:pPr>
      <w:r w:rsidRPr="00B94410">
        <w:rPr>
          <w:rFonts w:cs="Arial"/>
          <w:highlight w:val="yellow"/>
        </w:rPr>
        <w:t>review</w:t>
      </w:r>
      <w:proofErr w:type="spellStart"/>
      <w:r w:rsidRPr="00B94410">
        <w:rPr>
          <w:rFonts w:cs="Arial"/>
          <w:highlight w:val="yellow"/>
          <w:lang w:val="en-US"/>
        </w:rPr>
        <w:t>ing</w:t>
      </w:r>
      <w:proofErr w:type="spellEnd"/>
      <w:r w:rsidRPr="00B94410">
        <w:rPr>
          <w:rFonts w:cs="Arial"/>
          <w:highlight w:val="yellow"/>
        </w:rPr>
        <w:t xml:space="preserve"> the re-</w:t>
      </w:r>
      <w:proofErr w:type="spellStart"/>
      <w:r w:rsidRPr="00B94410">
        <w:rPr>
          <w:rFonts w:cs="Arial"/>
          <w:highlight w:val="yellow"/>
        </w:rPr>
        <w:t>categori</w:t>
      </w:r>
      <w:proofErr w:type="spellEnd"/>
      <w:r w:rsidRPr="00B94410">
        <w:rPr>
          <w:rFonts w:cs="Arial"/>
          <w:highlight w:val="yellow"/>
          <w:lang w:val="en-US"/>
        </w:rPr>
        <w:t>s</w:t>
      </w:r>
      <w:proofErr w:type="spellStart"/>
      <w:r w:rsidRPr="00B94410">
        <w:rPr>
          <w:rFonts w:cs="Arial"/>
          <w:highlight w:val="yellow"/>
        </w:rPr>
        <w:t>ation</w:t>
      </w:r>
      <w:proofErr w:type="spellEnd"/>
      <w:r w:rsidRPr="00B94410">
        <w:rPr>
          <w:rFonts w:cs="Arial"/>
          <w:highlight w:val="yellow"/>
        </w:rPr>
        <w:t xml:space="preserve"> regime stated in item 4.1.13(a) (please see Question 47 above); and</w:t>
      </w:r>
    </w:p>
    <w:p w14:paraId="37D0C3AE" w14:textId="77777777" w:rsidR="002660FF" w:rsidRPr="00B94410" w:rsidRDefault="002660FF" w:rsidP="00B94410">
      <w:pPr>
        <w:ind w:left="450" w:hanging="450"/>
        <w:jc w:val="both"/>
        <w:rPr>
          <w:rFonts w:cs="Arial"/>
        </w:rPr>
      </w:pPr>
    </w:p>
    <w:p w14:paraId="1D0C5EBA" w14:textId="03152061" w:rsidR="002660FF" w:rsidRPr="00B94410" w:rsidRDefault="00160D14" w:rsidP="00B94410">
      <w:pPr>
        <w:pStyle w:val="Paragrafoelenco"/>
        <w:numPr>
          <w:ilvl w:val="0"/>
          <w:numId w:val="45"/>
        </w:numPr>
        <w:ind w:left="450" w:hanging="450"/>
        <w:jc w:val="both"/>
        <w:rPr>
          <w:rFonts w:cs="Arial"/>
        </w:rPr>
      </w:pPr>
      <w:r w:rsidRPr="00B94410">
        <w:rPr>
          <w:rFonts w:cs="Arial"/>
          <w:szCs w:val="22"/>
          <w:highlight w:val="yellow"/>
          <w:lang w:val="en-US"/>
        </w:rPr>
        <w:t>broadening</w:t>
      </w:r>
      <w:r w:rsidRPr="00B94410">
        <w:rPr>
          <w:rFonts w:cs="Arial"/>
          <w:szCs w:val="22"/>
          <w:highlight w:val="yellow"/>
        </w:rPr>
        <w:t xml:space="preserve"> the scope stated in item 4.2.</w:t>
      </w:r>
      <w:proofErr w:type="gramStart"/>
      <w:r w:rsidRPr="00B94410">
        <w:rPr>
          <w:rFonts w:cs="Arial"/>
          <w:szCs w:val="22"/>
          <w:highlight w:val="yellow"/>
        </w:rPr>
        <w:t>2.(</w:t>
      </w:r>
      <w:proofErr w:type="gramEnd"/>
      <w:r w:rsidRPr="00B94410">
        <w:rPr>
          <w:rFonts w:cs="Arial"/>
          <w:szCs w:val="22"/>
          <w:highlight w:val="yellow"/>
        </w:rPr>
        <w:t>ii)(d) in order to include any security admitted to trading on any trading venue (please see Question 48 above).</w:t>
      </w:r>
    </w:p>
    <w:p w14:paraId="78C575B8" w14:textId="77777777" w:rsidR="007A1968" w:rsidRPr="00B94410" w:rsidRDefault="007A1968" w:rsidP="00B94410">
      <w:pPr>
        <w:ind w:left="450" w:hanging="450"/>
        <w:rPr>
          <w:lang w:val="en-US"/>
        </w:rPr>
      </w:pPr>
    </w:p>
    <w:p w14:paraId="762B2AFF" w14:textId="046A5AE2" w:rsidR="00B94410" w:rsidRPr="00B94410" w:rsidRDefault="00160D14" w:rsidP="00B94410">
      <w:pPr>
        <w:pStyle w:val="Paragrafoelenco"/>
        <w:numPr>
          <w:ilvl w:val="0"/>
          <w:numId w:val="47"/>
        </w:numPr>
        <w:ind w:left="450" w:hanging="450"/>
        <w:rPr>
          <w:rFonts w:cs="Arial"/>
        </w:rPr>
      </w:pPr>
      <w:r w:rsidRPr="00B94410">
        <w:rPr>
          <w:rFonts w:cs="Arial"/>
          <w:highlight w:val="yellow"/>
          <w:lang w:val="en-US"/>
        </w:rPr>
        <w:lastRenderedPageBreak/>
        <w:t xml:space="preserve">making a distinction </w:t>
      </w:r>
      <w:proofErr w:type="gramStart"/>
      <w:r w:rsidRPr="00B94410">
        <w:rPr>
          <w:rFonts w:cs="Arial"/>
          <w:highlight w:val="yellow"/>
          <w:lang w:val="en-US"/>
        </w:rPr>
        <w:t>as regards</w:t>
      </w:r>
      <w:proofErr w:type="gramEnd"/>
      <w:r w:rsidRPr="00B94410">
        <w:rPr>
          <w:rFonts w:cs="Arial"/>
          <w:highlight w:val="yellow"/>
          <w:lang w:val="en-US"/>
        </w:rPr>
        <w:t xml:space="preserve"> </w:t>
      </w:r>
      <w:r w:rsidRPr="00B94410">
        <w:rPr>
          <w:rFonts w:cs="Arial"/>
          <w:highlight w:val="yellow"/>
        </w:rPr>
        <w:t xml:space="preserve">the extent of disclosure </w:t>
      </w:r>
      <w:r w:rsidRPr="00B94410">
        <w:rPr>
          <w:rFonts w:cs="Arial"/>
          <w:highlight w:val="yellow"/>
          <w:lang w:val="en-US"/>
        </w:rPr>
        <w:t>according to whether</w:t>
      </w:r>
      <w:r w:rsidRPr="00B94410">
        <w:rPr>
          <w:rFonts w:cs="Arial"/>
          <w:highlight w:val="yellow"/>
        </w:rPr>
        <w:t xml:space="preserve"> the underlying security is listed or not</w:t>
      </w:r>
      <w:r w:rsidRPr="00B94410">
        <w:rPr>
          <w:rFonts w:cs="Arial"/>
          <w:highlight w:val="yellow"/>
          <w:lang w:val="en-US"/>
        </w:rPr>
        <w:t>, and</w:t>
      </w:r>
      <w:r w:rsidRPr="00B94410">
        <w:rPr>
          <w:rFonts w:cs="Arial"/>
          <w:highlight w:val="yellow"/>
        </w:rPr>
        <w:t xml:space="preserve"> </w:t>
      </w:r>
      <w:r w:rsidRPr="00B94410">
        <w:rPr>
          <w:rFonts w:cs="Arial"/>
          <w:highlight w:val="yellow"/>
          <w:lang w:val="en-US"/>
        </w:rPr>
        <w:t>d</w:t>
      </w:r>
      <w:proofErr w:type="spellStart"/>
      <w:r w:rsidRPr="00B94410">
        <w:rPr>
          <w:rFonts w:cs="Arial"/>
          <w:highlight w:val="yellow"/>
        </w:rPr>
        <w:t>epending</w:t>
      </w:r>
      <w:proofErr w:type="spellEnd"/>
      <w:r w:rsidRPr="00B94410">
        <w:rPr>
          <w:rFonts w:cs="Arial"/>
          <w:highlight w:val="yellow"/>
          <w:lang w:val="en-US"/>
        </w:rPr>
        <w:t xml:space="preserve"> on whether</w:t>
      </w:r>
      <w:r w:rsidRPr="00B94410">
        <w:rPr>
          <w:rFonts w:cs="Arial"/>
          <w:highlight w:val="yellow"/>
        </w:rPr>
        <w:t xml:space="preserve"> investors </w:t>
      </w:r>
      <w:r w:rsidRPr="00B94410">
        <w:rPr>
          <w:rFonts w:cs="Arial"/>
          <w:highlight w:val="yellow"/>
          <w:lang w:val="en-US"/>
        </w:rPr>
        <w:t xml:space="preserve">are </w:t>
      </w:r>
      <w:r w:rsidRPr="00B94410">
        <w:rPr>
          <w:rFonts w:cs="Arial"/>
          <w:highlight w:val="yellow"/>
        </w:rPr>
        <w:t>retail</w:t>
      </w:r>
      <w:r w:rsidRPr="00B94410">
        <w:rPr>
          <w:rFonts w:cs="Arial"/>
          <w:highlight w:val="yellow"/>
          <w:lang w:val="en-US"/>
        </w:rPr>
        <w:t xml:space="preserve"> or </w:t>
      </w:r>
      <w:r w:rsidRPr="00B94410">
        <w:rPr>
          <w:rFonts w:cs="Arial"/>
          <w:highlight w:val="yellow"/>
        </w:rPr>
        <w:t>wholesale</w:t>
      </w:r>
      <w:r w:rsidR="00B94410" w:rsidRPr="00B94410">
        <w:rPr>
          <w:rFonts w:cs="Arial"/>
        </w:rPr>
        <w:t>.</w:t>
      </w:r>
    </w:p>
    <w:permEnd w:id="2090404877"/>
    <w:p w14:paraId="3D0E7736" w14:textId="0A0ED5C2"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58F0B39E" w14:textId="544F9DC7" w:rsidR="00357C60" w:rsidRDefault="00160D14" w:rsidP="00AB4E0A">
      <w:pPr>
        <w:jc w:val="both"/>
        <w:rPr>
          <w:rFonts w:cs="Arial"/>
        </w:rPr>
      </w:pPr>
      <w:permStart w:id="1938900005" w:edGrp="everyone"/>
      <w:r w:rsidRPr="00B0590D">
        <w:rPr>
          <w:highlight w:val="yellow"/>
          <w:lang w:val="en-US"/>
        </w:rPr>
        <w:t>We believe that the new let. c) in paragraph 4.2.2 of Annex 7 should be deleted. The issuer of securities should not take on the responsibility for information relating to the issuer of the underlying. This new information requirement exposes issuers of securities to liabilities which are difficult to forecast. Therefore, we believe that the proposed amendment would lead to (potentially very high) additional legal costs for issuers.</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17C574EF" w14:textId="4D2E8619" w:rsidR="00357C60" w:rsidRDefault="00357C60" w:rsidP="00357C60">
      <w:pPr>
        <w:rPr>
          <w:rFonts w:cs="Arial"/>
        </w:rPr>
      </w:pPr>
      <w:permStart w:id="1121016135" w:edGrp="everyone"/>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3A605303" w:rsidR="00357C60" w:rsidRDefault="0031793E" w:rsidP="00357C60">
      <w:pPr>
        <w:rPr>
          <w:rFonts w:cs="Arial"/>
        </w:rPr>
      </w:pPr>
      <w:permStart w:id="138349631" w:edGrp="everyone"/>
      <w:r>
        <w:rPr>
          <w:rFonts w:cs="Arial"/>
        </w:rPr>
        <w:t>Please refer to introduction</w:t>
      </w:r>
      <w:r w:rsidR="00B94410">
        <w:rPr>
          <w:rFonts w:cs="Arial"/>
        </w:rPr>
        <w:t>.</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relating to the asset backed securities registration document?</w:t>
      </w:r>
    </w:p>
    <w:p w14:paraId="6422025F" w14:textId="77777777" w:rsidR="00357C60" w:rsidRDefault="00357C60" w:rsidP="00357C60">
      <w:pPr>
        <w:rPr>
          <w:rFonts w:cs="Arial"/>
        </w:rPr>
      </w:pPr>
      <w:r>
        <w:rPr>
          <w:rFonts w:cs="Arial"/>
        </w:rPr>
        <w:t>&lt;ESMA_QUESTION_FAC_55&gt;</w:t>
      </w:r>
    </w:p>
    <w:p w14:paraId="07C1DB25" w14:textId="45BB5C52" w:rsidR="00357C60" w:rsidRDefault="002204E3" w:rsidP="00357C60">
      <w:pPr>
        <w:rPr>
          <w:rFonts w:cs="Arial"/>
        </w:rPr>
      </w:pPr>
      <w:permStart w:id="163523956" w:edGrp="everyone"/>
      <w:proofErr w:type="gramStart"/>
      <w:r>
        <w:rPr>
          <w:rFonts w:cs="Arial"/>
        </w:rPr>
        <w:t>Yes</w:t>
      </w:r>
      <w:proofErr w:type="gramEnd"/>
      <w:r>
        <w:rPr>
          <w:rFonts w:cs="Arial"/>
        </w:rPr>
        <w:t xml:space="preserve"> we agree</w:t>
      </w:r>
      <w:r w:rsidR="00B94410">
        <w:rPr>
          <w:rFonts w:cs="Arial"/>
        </w:rPr>
        <w:t>.</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w:t>
      </w:r>
      <w:r w:rsidRPr="0064701F">
        <w:rPr>
          <w:rFonts w:ascii="Arial" w:hAnsi="Arial" w:cs="Arial"/>
        </w:rPr>
        <w:lastRenderedPageBreak/>
        <w:t>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2E6CF036" w:rsidR="00357C60" w:rsidRDefault="00A63F71" w:rsidP="00357C60">
      <w:pPr>
        <w:rPr>
          <w:rFonts w:cs="Arial"/>
        </w:rPr>
      </w:pPr>
      <w:permStart w:id="1751127930" w:edGrp="everyone"/>
      <w:r>
        <w:rPr>
          <w:rFonts w:cs="Arial"/>
        </w:rPr>
        <w:t>Please refer to introduction</w:t>
      </w:r>
      <w:r w:rsidR="00B94410">
        <w:rPr>
          <w:rFonts w:cs="Arial"/>
        </w:rPr>
        <w:t>.</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64D119AF" w:rsidR="00357C60" w:rsidRDefault="00B94410" w:rsidP="00357C60">
      <w:pPr>
        <w:rPr>
          <w:rFonts w:cs="Arial"/>
        </w:rPr>
      </w:pPr>
      <w:permStart w:id="488859004" w:edGrp="everyone"/>
      <w:proofErr w:type="gramStart"/>
      <w:r>
        <w:rPr>
          <w:rFonts w:cs="Arial"/>
        </w:rPr>
        <w:t>Yes</w:t>
      </w:r>
      <w:proofErr w:type="gramEnd"/>
      <w:r>
        <w:rPr>
          <w:rFonts w:cs="Arial"/>
        </w:rPr>
        <w:t xml:space="preserve"> we agree.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437B56B1" w:rsidR="00357C60" w:rsidRDefault="00AB4E0A" w:rsidP="00357C60">
      <w:pPr>
        <w:rPr>
          <w:rFonts w:cs="Arial"/>
        </w:rPr>
      </w:pPr>
      <w:permStart w:id="285217172" w:edGrp="everyone"/>
      <w:r>
        <w:rPr>
          <w:rFonts w:cs="Arial"/>
        </w:rPr>
        <w:t xml:space="preserve"> </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C950132" w:rsidR="00357C60" w:rsidRDefault="00A63F71" w:rsidP="00357C60">
      <w:pPr>
        <w:rPr>
          <w:rFonts w:cs="Arial"/>
        </w:rPr>
      </w:pPr>
      <w:permStart w:id="1151686863" w:edGrp="everyone"/>
      <w:r>
        <w:rPr>
          <w:rFonts w:cs="Arial"/>
        </w:rPr>
        <w:t>Please refer to introduction</w:t>
      </w:r>
      <w:r w:rsidR="00B94410">
        <w:rPr>
          <w:rFonts w:cs="Arial"/>
        </w:rPr>
        <w:t>.</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11966A81" w14:textId="7A9CE496" w:rsidR="00357C60" w:rsidRPr="00A42B66" w:rsidRDefault="00712314" w:rsidP="00A42B66">
      <w:pPr>
        <w:jc w:val="both"/>
        <w:rPr>
          <w:rFonts w:cs="Arial"/>
          <w:u w:val="single"/>
        </w:rPr>
      </w:pPr>
      <w:permStart w:id="984692687" w:edGrp="everyone"/>
      <w:proofErr w:type="gramStart"/>
      <w:r w:rsidRPr="00B0590D">
        <w:rPr>
          <w:rFonts w:cs="Arial"/>
          <w:highlight w:val="yellow"/>
          <w:lang w:val="en-US"/>
        </w:rPr>
        <w:t>Generally speaking</w:t>
      </w:r>
      <w:r w:rsidRPr="00B0590D">
        <w:rPr>
          <w:rFonts w:cs="Arial"/>
          <w:highlight w:val="yellow"/>
        </w:rPr>
        <w:t>, we</w:t>
      </w:r>
      <w:proofErr w:type="gramEnd"/>
      <w:r w:rsidRPr="00B0590D">
        <w:rPr>
          <w:rFonts w:cs="Arial"/>
          <w:highlight w:val="yellow"/>
        </w:rPr>
        <w:t xml:space="preserve"> agree with the amendments to the proforma building block.</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F08E1A8" w:rsidR="00357C60" w:rsidRPr="00B94410" w:rsidRDefault="00712314" w:rsidP="00B94410">
      <w:pPr>
        <w:jc w:val="both"/>
        <w:rPr>
          <w:rFonts w:cs="Arial"/>
        </w:rPr>
      </w:pPr>
      <w:permStart w:id="995973747" w:edGrp="everyone"/>
      <w:r w:rsidRPr="00B94410">
        <w:rPr>
          <w:highlight w:val="yellow"/>
          <w:lang w:val="en-US"/>
        </w:rPr>
        <w:t xml:space="preserve">We disagree with any requirement to publish this type of contract on the website because they are usually included in more general contracts regulating other activities too. As indicated in the outstanding regulation, we prefer to maintain a reference </w:t>
      </w:r>
      <w:proofErr w:type="gramStart"/>
      <w:r w:rsidRPr="00B94410">
        <w:rPr>
          <w:highlight w:val="yellow"/>
          <w:lang w:val="en-US"/>
        </w:rPr>
        <w:t>to ”places</w:t>
      </w:r>
      <w:proofErr w:type="gramEnd"/>
      <w:r w:rsidRPr="00B94410">
        <w:rPr>
          <w:highlight w:val="yellow"/>
          <w:lang w:val="en-US"/>
        </w:rPr>
        <w:t>”.</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 xml:space="preserve">Do you think that depository receipts are similar enough to equity economically to require the inclusion of a working capital statement and / or a capitalisation and </w:t>
      </w:r>
      <w:r w:rsidRPr="0064701F">
        <w:rPr>
          <w:rFonts w:ascii="Arial" w:hAnsi="Arial" w:cs="Arial"/>
        </w:rPr>
        <w:lastRenderedPageBreak/>
        <w:t>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31F060EB" w:rsidR="00357C60" w:rsidRDefault="0031793E" w:rsidP="00357C60">
      <w:pPr>
        <w:rPr>
          <w:rFonts w:cs="Arial"/>
        </w:rPr>
      </w:pPr>
      <w:bookmarkStart w:id="9" w:name="_Hlk492310506"/>
      <w:permStart w:id="1217349071" w:edGrp="everyone"/>
      <w:r>
        <w:rPr>
          <w:rFonts w:cs="Arial"/>
        </w:rPr>
        <w:t>Please refer to introduction</w:t>
      </w:r>
      <w:r w:rsidR="00B94410">
        <w:rPr>
          <w:rFonts w:cs="Arial"/>
        </w:rPr>
        <w:t>.</w:t>
      </w:r>
    </w:p>
    <w:bookmarkEnd w:id="9"/>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41"/>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15AFB161" w14:textId="6A7F0672" w:rsidR="004307B7" w:rsidRDefault="004307B7" w:rsidP="004307B7">
      <w:pPr>
        <w:rPr>
          <w:rFonts w:cs="Arial"/>
        </w:rPr>
      </w:pPr>
      <w:permStart w:id="2112837904" w:edGrp="everyone"/>
      <w:r w:rsidRPr="004307B7">
        <w:rPr>
          <w:rFonts w:cs="Arial"/>
        </w:rPr>
        <w:t xml:space="preserve"> </w:t>
      </w:r>
      <w:r>
        <w:rPr>
          <w:rFonts w:cs="Arial"/>
        </w:rPr>
        <w:t>Please refer to introduction</w:t>
      </w:r>
      <w:r w:rsidR="00B94410">
        <w:rPr>
          <w:rFonts w:cs="Arial"/>
        </w:rPr>
        <w:t>.</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lastRenderedPageBreak/>
        <w:t>&lt;ESMA_QUESTION_FAC_68&gt;</w:t>
      </w:r>
    </w:p>
    <w:p w14:paraId="49167958" w14:textId="77777777" w:rsidR="00357C60" w:rsidRDefault="00357C60" w:rsidP="00357C60">
      <w:pPr>
        <w:rPr>
          <w:rFonts w:cs="Arial"/>
        </w:rPr>
      </w:pPr>
      <w:permStart w:id="1498880480" w:edGrp="everyone"/>
      <w:r>
        <w:rPr>
          <w:rFonts w:cs="Arial"/>
        </w:rPr>
        <w:t>TYPE YOUR TEXT HERE</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120A65AD" w14:textId="13B0E31F" w:rsidR="00357C60" w:rsidRDefault="00712314" w:rsidP="00357C60">
      <w:pPr>
        <w:rPr>
          <w:rFonts w:cs="Arial"/>
        </w:rPr>
      </w:pPr>
      <w:permStart w:id="781917570" w:edGrp="everyone"/>
      <w:r w:rsidRPr="00B0590D">
        <w:rPr>
          <w:rFonts w:cs="Arial"/>
          <w:highlight w:val="yellow"/>
        </w:rPr>
        <w:t>We agree that the URD disclosure requirements should be based on the share registration document but</w:t>
      </w:r>
      <w:r w:rsidRPr="00B0590D">
        <w:rPr>
          <w:rFonts w:cs="Arial"/>
          <w:highlight w:val="yellow"/>
          <w:lang w:val="en-US"/>
        </w:rPr>
        <w:t xml:space="preserve">, we should </w:t>
      </w:r>
      <w:proofErr w:type="gramStart"/>
      <w:r w:rsidRPr="00B0590D">
        <w:rPr>
          <w:rFonts w:cs="Arial"/>
          <w:highlight w:val="yellow"/>
          <w:lang w:val="en-US"/>
        </w:rPr>
        <w:t>take into account</w:t>
      </w:r>
      <w:proofErr w:type="gramEnd"/>
      <w:r w:rsidRPr="00B0590D">
        <w:rPr>
          <w:rFonts w:cs="Arial"/>
          <w:highlight w:val="yellow"/>
          <w:lang w:val="en-US"/>
        </w:rPr>
        <w:t xml:space="preserve"> the fact that some information is not</w:t>
      </w:r>
      <w:r w:rsidRPr="00B0590D">
        <w:rPr>
          <w:rFonts w:cs="Arial"/>
          <w:highlight w:val="yellow"/>
        </w:rPr>
        <w:t xml:space="preserve"> easy to provide for issuers without experience in drafting URD</w:t>
      </w:r>
      <w:r w:rsidR="00B94410">
        <w:rPr>
          <w:rFonts w:cs="Arial"/>
        </w:rPr>
        <w:t>.</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54746876" w:rsidR="00357C60" w:rsidRDefault="00712314" w:rsidP="00357C60">
      <w:pPr>
        <w:rPr>
          <w:rFonts w:cs="Arial"/>
        </w:rPr>
      </w:pPr>
      <w:permStart w:id="162021279" w:edGrp="everyone"/>
      <w:r w:rsidRPr="00B0590D">
        <w:rPr>
          <w:rFonts w:cs="Arial"/>
          <w:highlight w:val="yellow"/>
          <w:lang w:val="en-US"/>
        </w:rPr>
        <w:t>There should be n</w:t>
      </w:r>
      <w:r w:rsidRPr="00B0590D">
        <w:rPr>
          <w:rFonts w:cs="Arial"/>
          <w:highlight w:val="yellow"/>
        </w:rPr>
        <w:t>o further disclosure requirements</w:t>
      </w:r>
      <w:r w:rsidR="00B94410">
        <w:rPr>
          <w:rFonts w:cs="Arial"/>
        </w:rPr>
        <w:t>.</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5B24D93A" w14:textId="690F3B05" w:rsidR="00357C60" w:rsidRDefault="0031793E" w:rsidP="00357C60">
      <w:pPr>
        <w:rPr>
          <w:rFonts w:cs="Arial"/>
        </w:rPr>
      </w:pPr>
      <w:permStart w:id="206906727" w:edGrp="everyone"/>
      <w:r>
        <w:rPr>
          <w:rFonts w:cs="Arial"/>
        </w:rPr>
        <w:t>Please refer to introduction</w:t>
      </w:r>
      <w:r w:rsidR="003145E3">
        <w:rPr>
          <w:rFonts w:cs="Arial"/>
        </w:rPr>
        <w:t>.</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4A0C598D" w14:textId="77777777" w:rsidR="00712314" w:rsidRPr="003145E3" w:rsidRDefault="00712314" w:rsidP="00712314">
      <w:pPr>
        <w:jc w:val="both"/>
        <w:rPr>
          <w:highlight w:val="yellow"/>
          <w:lang w:val="en-US"/>
        </w:rPr>
      </w:pPr>
      <w:permStart w:id="616250092" w:edGrp="everyone"/>
      <w:r w:rsidRPr="003145E3">
        <w:rPr>
          <w:highlight w:val="yellow"/>
          <w:lang w:val="en-US"/>
        </w:rPr>
        <w:lastRenderedPageBreak/>
        <w:t>With reference to major shareholders, ESMA’s proposal to delete such information in the case of secondary issuance regime for non-equity securities seems to be inconsistent with the provisions of article 7 paragraph 6 of the Prospectus Regulation which states that major shareholders disclosure should be included in the summary.</w:t>
      </w:r>
    </w:p>
    <w:p w14:paraId="0FCDCE12" w14:textId="56D4620B" w:rsidR="00357C60" w:rsidRPr="003145E3" w:rsidRDefault="00712314" w:rsidP="00712314">
      <w:pPr>
        <w:jc w:val="both"/>
        <w:rPr>
          <w:rFonts w:cs="Arial"/>
        </w:rPr>
      </w:pPr>
      <w:r w:rsidRPr="003145E3">
        <w:rPr>
          <w:highlight w:val="yellow"/>
          <w:lang w:val="en-US"/>
        </w:rPr>
        <w:t>Furthermore, we suggest that the last bullet point in item 5.1 on registration document of secondary issuance (Annex 18) should only refer to the equity securities issues in keeping with the requirements of the standard registration document for the debt/derivatives securities (Annex 3</w:t>
      </w:r>
      <w:r w:rsidRPr="003145E3">
        <w:rPr>
          <w:i/>
          <w:highlight w:val="yellow"/>
          <w:lang w:val="en-US"/>
        </w:rPr>
        <w:t>).</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7B1AE734" w14:textId="77777777" w:rsidR="00357C60" w:rsidRDefault="00357C60" w:rsidP="00357C60">
      <w:pPr>
        <w:rPr>
          <w:rFonts w:cs="Arial"/>
        </w:rPr>
      </w:pPr>
      <w:permStart w:id="421747925" w:edGrp="everyone"/>
      <w:r>
        <w:rPr>
          <w:rFonts w:cs="Arial"/>
        </w:rPr>
        <w:t>TYPE YOUR TEXT HERE</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4B06F0FD" w14:textId="77777777" w:rsidR="00357C60" w:rsidRDefault="00357C60" w:rsidP="00357C60">
      <w:pPr>
        <w:rPr>
          <w:rFonts w:cs="Arial"/>
        </w:rPr>
      </w:pPr>
      <w:permStart w:id="2146308113" w:edGrp="everyone"/>
      <w:r>
        <w:rPr>
          <w:rFonts w:cs="Arial"/>
        </w:rPr>
        <w:t>TYPE YOUR TEXT HERE</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45B87BCD" w:rsidR="00357C60" w:rsidRPr="003145E3" w:rsidRDefault="00712314" w:rsidP="001D1478">
      <w:pPr>
        <w:jc w:val="both"/>
        <w:rPr>
          <w:rFonts w:cs="Arial"/>
        </w:rPr>
      </w:pPr>
      <w:permStart w:id="1718430491" w:edGrp="everyone"/>
      <w:r w:rsidRPr="003145E3">
        <w:rPr>
          <w:highlight w:val="yellow"/>
          <w:lang w:val="en-US"/>
        </w:rPr>
        <w:t>Item 14.1 in Annex 18 seems to be too generic and does not differentiate between equity and non-equity securities. For non-equity securities, in keeping with the requirements of the standard registration document for the debt/derivatives securities (Annex 3), it should be limited to all material contracts “…</w:t>
      </w:r>
      <w:r w:rsidRPr="003145E3">
        <w:rPr>
          <w:rFonts w:ascii="TT8F1o00" w:hAnsi="TT8F1o00" w:cs="TT8F1o00"/>
          <w:sz w:val="24"/>
          <w:highlight w:val="yellow"/>
          <w:lang w:val="en-US" w:eastAsia="en-GB"/>
        </w:rPr>
        <w:t xml:space="preserve">that are </w:t>
      </w:r>
      <w:r w:rsidRPr="003145E3">
        <w:rPr>
          <w:highlight w:val="yellow"/>
          <w:lang w:val="en-US"/>
        </w:rPr>
        <w:t>material to the issuer’s ability to meet its obligation to security holders in respect of the securities being issued</w:t>
      </w:r>
      <w:r w:rsidRPr="003145E3">
        <w:rPr>
          <w:rFonts w:ascii="TT8F1o00" w:hAnsi="TT8F1o00" w:cs="TT8F1o00"/>
          <w:sz w:val="24"/>
          <w:highlight w:val="yellow"/>
          <w:lang w:val="en-US" w:eastAsia="en-GB"/>
        </w:rPr>
        <w:t>”</w:t>
      </w:r>
      <w:r w:rsidR="003145E3">
        <w:rPr>
          <w:rFonts w:ascii="TT8F1o00" w:hAnsi="TT8F1o00" w:cs="TT8F1o00"/>
          <w:sz w:val="24"/>
          <w:lang w:val="en-US" w:eastAsia="en-GB"/>
        </w:rPr>
        <w:t>.</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95A8BA1" w14:textId="17FE2053" w:rsidR="00357C60" w:rsidRDefault="00357C60" w:rsidP="00357C60">
      <w:pPr>
        <w:rPr>
          <w:rFonts w:cs="Arial"/>
        </w:rPr>
      </w:pPr>
      <w:permStart w:id="1333292354" w:edGrp="everyone"/>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t>&lt;ESMA_QUESTION_FAC_80&gt;</w:t>
      </w:r>
    </w:p>
    <w:p w14:paraId="38A109D8" w14:textId="6E97EB00" w:rsidR="00357C60" w:rsidRPr="003145E3" w:rsidRDefault="00712314" w:rsidP="003145E3">
      <w:pPr>
        <w:jc w:val="both"/>
        <w:rPr>
          <w:rFonts w:cs="Arial"/>
        </w:rPr>
      </w:pPr>
      <w:permStart w:id="535721665" w:edGrp="everyone"/>
      <w:r w:rsidRPr="003145E3">
        <w:rPr>
          <w:rFonts w:cs="Arial"/>
          <w:highlight w:val="yellow"/>
          <w:lang w:val="en-US"/>
        </w:rPr>
        <w:t>K</w:t>
      </w:r>
      <w:proofErr w:type="spellStart"/>
      <w:r w:rsidRPr="003145E3">
        <w:rPr>
          <w:rFonts w:cs="Arial"/>
          <w:highlight w:val="yellow"/>
          <w:lang w:val="en"/>
        </w:rPr>
        <w:t>indly</w:t>
      </w:r>
      <w:proofErr w:type="spellEnd"/>
      <w:r w:rsidRPr="003145E3">
        <w:rPr>
          <w:rFonts w:cs="Arial"/>
          <w:highlight w:val="yellow"/>
          <w:lang w:val="en"/>
        </w:rPr>
        <w:t xml:space="preserve"> check</w:t>
      </w:r>
      <w:r w:rsidRPr="003145E3">
        <w:rPr>
          <w:rFonts w:cs="Arial"/>
          <w:highlight w:val="yellow"/>
          <w:lang w:val="en-US"/>
        </w:rPr>
        <w:t xml:space="preserve"> that </w:t>
      </w:r>
      <w:r w:rsidRPr="003145E3">
        <w:rPr>
          <w:rFonts w:cs="Arial"/>
          <w:highlight w:val="yellow"/>
          <w:lang w:val="en"/>
        </w:rPr>
        <w:t xml:space="preserve">(also in categories A, B and C) annex 19 for the secondary issuance </w:t>
      </w:r>
      <w:r w:rsidRPr="003145E3">
        <w:rPr>
          <w:rFonts w:cs="Arial"/>
          <w:highlight w:val="yellow"/>
          <w:lang w:val="en-US"/>
        </w:rPr>
        <w:t>is consistent with</w:t>
      </w:r>
      <w:r w:rsidRPr="003145E3">
        <w:rPr>
          <w:rFonts w:cs="Arial"/>
          <w:highlight w:val="yellow"/>
          <w:lang w:val="en"/>
        </w:rPr>
        <w:t xml:space="preserve"> the corresponding </w:t>
      </w:r>
      <w:r w:rsidR="00830A11">
        <w:rPr>
          <w:rFonts w:cs="Arial"/>
          <w:highlight w:val="yellow"/>
          <w:lang w:val="en"/>
        </w:rPr>
        <w:t xml:space="preserve">standard securities note annex </w:t>
      </w:r>
      <w:r w:rsidRPr="003145E3">
        <w:rPr>
          <w:rFonts w:cs="Arial"/>
          <w:highlight w:val="yellow"/>
          <w:lang w:val="en"/>
        </w:rPr>
        <w:t>f</w:t>
      </w:r>
      <w:r w:rsidR="00830A11">
        <w:rPr>
          <w:rFonts w:cs="Arial"/>
          <w:highlight w:val="yellow"/>
          <w:lang w:val="en"/>
        </w:rPr>
        <w:t>or</w:t>
      </w:r>
      <w:r w:rsidRPr="003145E3">
        <w:rPr>
          <w:rFonts w:cs="Arial"/>
          <w:highlight w:val="yellow"/>
          <w:lang w:val="en"/>
        </w:rPr>
        <w:t xml:space="preserve"> the relevant financial instrument (equity, non-equity retail and non-equity wholesale</w:t>
      </w:r>
      <w:r w:rsidR="003145E3">
        <w:rPr>
          <w:rFonts w:cs="Arial"/>
          <w:lang w:val="en"/>
        </w:rPr>
        <w:t>.</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EB100" w14:textId="77777777" w:rsidR="00825528" w:rsidRDefault="00825528">
      <w:r>
        <w:separator/>
      </w:r>
    </w:p>
    <w:p w14:paraId="08A8EF05" w14:textId="77777777" w:rsidR="00825528" w:rsidRDefault="00825528"/>
  </w:endnote>
  <w:endnote w:type="continuationSeparator" w:id="0">
    <w:p w14:paraId="46CFB522" w14:textId="77777777" w:rsidR="00825528" w:rsidRDefault="00825528">
      <w:r>
        <w:continuationSeparator/>
      </w:r>
    </w:p>
    <w:p w14:paraId="2964AB06" w14:textId="77777777" w:rsidR="00825528" w:rsidRDefault="00825528"/>
  </w:endnote>
  <w:endnote w:type="continuationNotice" w:id="1">
    <w:p w14:paraId="60C45543" w14:textId="77777777" w:rsidR="00825528" w:rsidRDefault="00825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8F1o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25528" w:rsidRPr="00616B9B" w14:paraId="1A11FFC7" w14:textId="77777777" w:rsidTr="00315E96">
      <w:trPr>
        <w:trHeight w:val="284"/>
      </w:trPr>
      <w:tc>
        <w:tcPr>
          <w:tcW w:w="8460" w:type="dxa"/>
        </w:tcPr>
        <w:p w14:paraId="2CE11161" w14:textId="77777777" w:rsidR="00825528" w:rsidRPr="00315E96" w:rsidRDefault="00825528" w:rsidP="00315E96">
          <w:pPr>
            <w:pStyle w:val="00Footer"/>
            <w:rPr>
              <w:lang w:val="fr-FR"/>
            </w:rPr>
          </w:pPr>
        </w:p>
      </w:tc>
      <w:tc>
        <w:tcPr>
          <w:tcW w:w="952" w:type="dxa"/>
        </w:tcPr>
        <w:p w14:paraId="516490C0" w14:textId="32727D29" w:rsidR="00825528" w:rsidRPr="00616B9B" w:rsidRDefault="00825528"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E7FA3">
            <w:rPr>
              <w:rFonts w:cs="Arial"/>
              <w:noProof/>
              <w:sz w:val="22"/>
              <w:szCs w:val="22"/>
            </w:rPr>
            <w:t>21</w:t>
          </w:r>
          <w:r w:rsidRPr="00616B9B">
            <w:rPr>
              <w:rFonts w:cs="Arial"/>
              <w:noProof/>
              <w:sz w:val="22"/>
              <w:szCs w:val="22"/>
            </w:rPr>
            <w:fldChar w:fldCharType="end"/>
          </w:r>
        </w:p>
      </w:tc>
    </w:tr>
  </w:tbl>
  <w:p w14:paraId="3F8E2998" w14:textId="77777777" w:rsidR="00825528" w:rsidRDefault="008255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25528" w:rsidRDefault="008255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E98E1" w14:textId="77777777" w:rsidR="00825528" w:rsidRDefault="00825528">
      <w:r>
        <w:separator/>
      </w:r>
    </w:p>
    <w:p w14:paraId="5D2BF7F5" w14:textId="77777777" w:rsidR="00825528" w:rsidRDefault="00825528"/>
  </w:footnote>
  <w:footnote w:type="continuationSeparator" w:id="0">
    <w:p w14:paraId="3EBBE024" w14:textId="77777777" w:rsidR="00825528" w:rsidRDefault="00825528">
      <w:r>
        <w:continuationSeparator/>
      </w:r>
    </w:p>
    <w:p w14:paraId="48928CEF" w14:textId="77777777" w:rsidR="00825528" w:rsidRDefault="00825528"/>
  </w:footnote>
  <w:footnote w:type="continuationNotice" w:id="1">
    <w:p w14:paraId="56988CA0" w14:textId="77777777" w:rsidR="00825528" w:rsidRDefault="00825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25528" w:rsidRDefault="00825528">
    <w:pPr>
      <w:pStyle w:val="Intestazione"/>
    </w:pPr>
    <w:r>
      <w:rPr>
        <w:noProof/>
        <w:lang w:val="it-IT" w:eastAsia="it-IT"/>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75560"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25528" w:rsidRDefault="00825528" w:rsidP="00013CCE">
    <w:pPr>
      <w:pStyle w:val="Intestazione"/>
      <w:jc w:val="right"/>
    </w:pPr>
    <w:r>
      <w:rPr>
        <w:noProof/>
        <w:lang w:val="it-IT" w:eastAsia="it-IT"/>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25528" w:rsidRDefault="008255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25528" w:rsidRPr="002F4496" w14:paraId="5A9CC9DB" w14:textId="77777777" w:rsidTr="000C06C9">
      <w:trPr>
        <w:trHeight w:val="284"/>
      </w:trPr>
      <w:tc>
        <w:tcPr>
          <w:tcW w:w="8460" w:type="dxa"/>
        </w:tcPr>
        <w:p w14:paraId="56125542" w14:textId="77777777" w:rsidR="00825528" w:rsidRPr="000C3B6D" w:rsidRDefault="00825528" w:rsidP="000C06C9">
          <w:pPr>
            <w:pStyle w:val="00Footer"/>
            <w:rPr>
              <w:lang w:val="fr-FR"/>
            </w:rPr>
          </w:pPr>
        </w:p>
      </w:tc>
      <w:tc>
        <w:tcPr>
          <w:tcW w:w="952" w:type="dxa"/>
        </w:tcPr>
        <w:p w14:paraId="185D9EAB" w14:textId="77777777" w:rsidR="00825528" w:rsidRPr="00146B34" w:rsidRDefault="00825528" w:rsidP="000C06C9">
          <w:pPr>
            <w:pStyle w:val="00aPagenumber"/>
            <w:rPr>
              <w:lang w:val="fr-FR"/>
            </w:rPr>
          </w:pPr>
        </w:p>
      </w:tc>
    </w:tr>
  </w:tbl>
  <w:p w14:paraId="4BF8B831" w14:textId="77777777" w:rsidR="00825528" w:rsidRPr="00DB46C3" w:rsidRDefault="00825528">
    <w:pPr>
      <w:rPr>
        <w:lang w:val="fr-FR"/>
      </w:rPr>
    </w:pPr>
  </w:p>
  <w:p w14:paraId="1FBEFD47" w14:textId="77777777" w:rsidR="00825528" w:rsidRPr="002F4496" w:rsidRDefault="00825528">
    <w:pPr>
      <w:pStyle w:val="Intestazione"/>
      <w:rPr>
        <w:lang w:val="fr-FR"/>
      </w:rPr>
    </w:pPr>
  </w:p>
  <w:p w14:paraId="7D075F96" w14:textId="77777777" w:rsidR="00825528" w:rsidRPr="002F4496" w:rsidRDefault="00825528" w:rsidP="000C06C9">
    <w:pPr>
      <w:pStyle w:val="Intestazione"/>
      <w:tabs>
        <w:tab w:val="clear" w:pos="4536"/>
        <w:tab w:val="clear" w:pos="9072"/>
        <w:tab w:val="left" w:pos="8227"/>
      </w:tabs>
      <w:rPr>
        <w:lang w:val="fr-FR"/>
      </w:rPr>
    </w:pPr>
  </w:p>
  <w:p w14:paraId="1EEAF2AF" w14:textId="77777777" w:rsidR="00825528" w:rsidRPr="002F4496" w:rsidRDefault="00825528" w:rsidP="000C06C9">
    <w:pPr>
      <w:pStyle w:val="Intestazione"/>
      <w:tabs>
        <w:tab w:val="clear" w:pos="4536"/>
        <w:tab w:val="clear" w:pos="9072"/>
        <w:tab w:val="left" w:pos="8227"/>
      </w:tabs>
      <w:rPr>
        <w:lang w:val="fr-FR"/>
      </w:rPr>
    </w:pPr>
  </w:p>
  <w:p w14:paraId="366CDA59" w14:textId="77777777" w:rsidR="00825528" w:rsidRPr="002F4496" w:rsidRDefault="00825528">
    <w:pPr>
      <w:pStyle w:val="Intestazione"/>
      <w:rPr>
        <w:lang w:val="fr-FR"/>
      </w:rPr>
    </w:pPr>
  </w:p>
  <w:p w14:paraId="090159B5" w14:textId="77777777" w:rsidR="00825528" w:rsidRPr="002F4496" w:rsidRDefault="00825528">
    <w:pPr>
      <w:pStyle w:val="Intestazione"/>
      <w:rPr>
        <w:lang w:val="fr-FR"/>
      </w:rPr>
    </w:pPr>
  </w:p>
  <w:p w14:paraId="13DB3246" w14:textId="77777777" w:rsidR="00825528" w:rsidRPr="002F4496" w:rsidRDefault="00825528">
    <w:pPr>
      <w:pStyle w:val="Intestazione"/>
      <w:rPr>
        <w:lang w:val="fr-FR"/>
      </w:rPr>
    </w:pPr>
  </w:p>
  <w:p w14:paraId="5B245FC6" w14:textId="77777777" w:rsidR="00825528" w:rsidRPr="002F4496" w:rsidRDefault="00825528">
    <w:pPr>
      <w:pStyle w:val="Intestazione"/>
      <w:rPr>
        <w:lang w:val="fr-FR"/>
      </w:rPr>
    </w:pPr>
  </w:p>
  <w:p w14:paraId="1D7B1F8D" w14:textId="77777777" w:rsidR="00825528" w:rsidRPr="002F4496" w:rsidRDefault="00825528">
    <w:pPr>
      <w:pStyle w:val="Intestazione"/>
      <w:rPr>
        <w:highlight w:val="yellow"/>
        <w:lang w:val="fr-FR"/>
      </w:rPr>
    </w:pPr>
  </w:p>
  <w:p w14:paraId="177617ED" w14:textId="77777777" w:rsidR="00825528" w:rsidRDefault="00825528">
    <w:pPr>
      <w:pStyle w:val="Intestazione"/>
    </w:pPr>
    <w:r>
      <w:rPr>
        <w:noProof/>
        <w:lang w:val="it-IT" w:eastAsia="it-IT"/>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CC91F"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0844A7"/>
    <w:multiLevelType w:val="hybridMultilevel"/>
    <w:tmpl w:val="167E5A5E"/>
    <w:lvl w:ilvl="0" w:tplc="E632CA72">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33551B"/>
    <w:multiLevelType w:val="hybridMultilevel"/>
    <w:tmpl w:val="897E084E"/>
    <w:lvl w:ilvl="0" w:tplc="B09255C6">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925906"/>
    <w:multiLevelType w:val="multilevel"/>
    <w:tmpl w:val="EA1A8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0291E3C"/>
    <w:multiLevelType w:val="hybridMultilevel"/>
    <w:tmpl w:val="424A640C"/>
    <w:lvl w:ilvl="0" w:tplc="E632CA72">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A11822"/>
    <w:multiLevelType w:val="hybridMultilevel"/>
    <w:tmpl w:val="34703D7E"/>
    <w:lvl w:ilvl="0" w:tplc="F1E8F89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3406905"/>
    <w:multiLevelType w:val="hybridMultilevel"/>
    <w:tmpl w:val="F850CB36"/>
    <w:lvl w:ilvl="0" w:tplc="1D9414A6">
      <w:start w:val="1"/>
      <w:numFmt w:val="lowerLetter"/>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F53A3"/>
    <w:multiLevelType w:val="hybridMultilevel"/>
    <w:tmpl w:val="CC847514"/>
    <w:lvl w:ilvl="0" w:tplc="D09228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1"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3"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5"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4E517FE"/>
    <w:multiLevelType w:val="hybridMultilevel"/>
    <w:tmpl w:val="2C10E1D8"/>
    <w:lvl w:ilvl="0" w:tplc="E632CA7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3"/>
  </w:num>
  <w:num w:numId="2">
    <w:abstractNumId w:val="25"/>
  </w:num>
  <w:num w:numId="3">
    <w:abstractNumId w:val="17"/>
  </w:num>
  <w:num w:numId="4">
    <w:abstractNumId w:val="30"/>
  </w:num>
  <w:num w:numId="5">
    <w:abstractNumId w:val="33"/>
  </w:num>
  <w:num w:numId="6">
    <w:abstractNumId w:val="0"/>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8"/>
  </w:num>
  <w:num w:numId="14">
    <w:abstractNumId w:val="29"/>
  </w:num>
  <w:num w:numId="15">
    <w:abstractNumId w:val="13"/>
  </w:num>
  <w:num w:numId="16">
    <w:abstractNumId w:val="1"/>
  </w:num>
  <w:num w:numId="17">
    <w:abstractNumId w:val="21"/>
  </w:num>
  <w:num w:numId="18">
    <w:abstractNumId w:val="22"/>
  </w:num>
  <w:num w:numId="19">
    <w:abstractNumId w:val="24"/>
  </w:num>
  <w:num w:numId="20">
    <w:abstractNumId w:val="34"/>
  </w:num>
  <w:num w:numId="21">
    <w:abstractNumId w:val="43"/>
  </w:num>
  <w:num w:numId="22">
    <w:abstractNumId w:val="31"/>
  </w:num>
  <w:num w:numId="23">
    <w:abstractNumId w:val="12"/>
  </w:num>
  <w:num w:numId="24">
    <w:abstractNumId w:val="37"/>
  </w:num>
  <w:num w:numId="25">
    <w:abstractNumId w:val="36"/>
  </w:num>
  <w:num w:numId="26">
    <w:abstractNumId w:val="26"/>
  </w:num>
  <w:num w:numId="27">
    <w:abstractNumId w:val="40"/>
  </w:num>
  <w:num w:numId="28">
    <w:abstractNumId w:val="45"/>
  </w:num>
  <w:num w:numId="29">
    <w:abstractNumId w:val="10"/>
  </w:num>
  <w:num w:numId="30">
    <w:abstractNumId w:val="7"/>
  </w:num>
  <w:num w:numId="31">
    <w:abstractNumId w:val="28"/>
  </w:num>
  <w:num w:numId="32">
    <w:abstractNumId w:val="27"/>
  </w:num>
  <w:num w:numId="33">
    <w:abstractNumId w:val="42"/>
  </w:num>
  <w:num w:numId="34">
    <w:abstractNumId w:val="41"/>
  </w:num>
  <w:num w:numId="35">
    <w:abstractNumId w:val="14"/>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2"/>
  </w:num>
  <w:num w:numId="44">
    <w:abstractNumId w:val="5"/>
  </w:num>
  <w:num w:numId="45">
    <w:abstractNumId w:val="6"/>
  </w:num>
  <w:num w:numId="46">
    <w:abstractNumId w:val="2"/>
  </w:num>
  <w:num w:numId="47">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17E4"/>
    <w:rsid w:val="00002232"/>
    <w:rsid w:val="00002491"/>
    <w:rsid w:val="0000378E"/>
    <w:rsid w:val="00003AEB"/>
    <w:rsid w:val="00005BBA"/>
    <w:rsid w:val="00005D8C"/>
    <w:rsid w:val="00006C2B"/>
    <w:rsid w:val="00007014"/>
    <w:rsid w:val="00007968"/>
    <w:rsid w:val="0001067A"/>
    <w:rsid w:val="0001188F"/>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5FB4"/>
    <w:rsid w:val="00026269"/>
    <w:rsid w:val="00027154"/>
    <w:rsid w:val="00027ECF"/>
    <w:rsid w:val="000303BE"/>
    <w:rsid w:val="000321C9"/>
    <w:rsid w:val="000344D6"/>
    <w:rsid w:val="00034960"/>
    <w:rsid w:val="00036FAE"/>
    <w:rsid w:val="00040D2C"/>
    <w:rsid w:val="00041858"/>
    <w:rsid w:val="00041FF8"/>
    <w:rsid w:val="0004389E"/>
    <w:rsid w:val="000463A6"/>
    <w:rsid w:val="00046CC9"/>
    <w:rsid w:val="00046E91"/>
    <w:rsid w:val="000502FE"/>
    <w:rsid w:val="0005126D"/>
    <w:rsid w:val="00051992"/>
    <w:rsid w:val="00051DFE"/>
    <w:rsid w:val="00051E9A"/>
    <w:rsid w:val="000521A7"/>
    <w:rsid w:val="00052D0F"/>
    <w:rsid w:val="00052D66"/>
    <w:rsid w:val="00052F47"/>
    <w:rsid w:val="0005399B"/>
    <w:rsid w:val="00054DE6"/>
    <w:rsid w:val="000569D7"/>
    <w:rsid w:val="000576D7"/>
    <w:rsid w:val="00060F72"/>
    <w:rsid w:val="00062592"/>
    <w:rsid w:val="00063348"/>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3A1D"/>
    <w:rsid w:val="00094C4C"/>
    <w:rsid w:val="00096762"/>
    <w:rsid w:val="000969C8"/>
    <w:rsid w:val="0009752D"/>
    <w:rsid w:val="00097AEE"/>
    <w:rsid w:val="000A014A"/>
    <w:rsid w:val="000A04B6"/>
    <w:rsid w:val="000A0E36"/>
    <w:rsid w:val="000A1BD2"/>
    <w:rsid w:val="000A2127"/>
    <w:rsid w:val="000A248B"/>
    <w:rsid w:val="000A358F"/>
    <w:rsid w:val="000A3E5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220"/>
    <w:rsid w:val="000C7C4A"/>
    <w:rsid w:val="000D0A69"/>
    <w:rsid w:val="000D17AA"/>
    <w:rsid w:val="000D1EA7"/>
    <w:rsid w:val="000D2D0B"/>
    <w:rsid w:val="000D340A"/>
    <w:rsid w:val="000D4660"/>
    <w:rsid w:val="000D590B"/>
    <w:rsid w:val="000D705D"/>
    <w:rsid w:val="000D7EB9"/>
    <w:rsid w:val="000E0223"/>
    <w:rsid w:val="000E0CF3"/>
    <w:rsid w:val="000E18A8"/>
    <w:rsid w:val="000E1AEC"/>
    <w:rsid w:val="000E3937"/>
    <w:rsid w:val="000E461E"/>
    <w:rsid w:val="000E4926"/>
    <w:rsid w:val="000E5F7F"/>
    <w:rsid w:val="000E7086"/>
    <w:rsid w:val="000E7C65"/>
    <w:rsid w:val="000E7FA3"/>
    <w:rsid w:val="000F04D2"/>
    <w:rsid w:val="000F55B7"/>
    <w:rsid w:val="000F5C85"/>
    <w:rsid w:val="000F604F"/>
    <w:rsid w:val="000F7399"/>
    <w:rsid w:val="001027F1"/>
    <w:rsid w:val="00104F2E"/>
    <w:rsid w:val="00106DE9"/>
    <w:rsid w:val="001072DD"/>
    <w:rsid w:val="00110D7A"/>
    <w:rsid w:val="00111464"/>
    <w:rsid w:val="0011167D"/>
    <w:rsid w:val="00112892"/>
    <w:rsid w:val="00112E48"/>
    <w:rsid w:val="001130EA"/>
    <w:rsid w:val="00114259"/>
    <w:rsid w:val="001168B2"/>
    <w:rsid w:val="00117C20"/>
    <w:rsid w:val="00117DA5"/>
    <w:rsid w:val="00120F0E"/>
    <w:rsid w:val="00121BED"/>
    <w:rsid w:val="00123D39"/>
    <w:rsid w:val="001244CD"/>
    <w:rsid w:val="0012566F"/>
    <w:rsid w:val="001262B1"/>
    <w:rsid w:val="00130F41"/>
    <w:rsid w:val="00130FAF"/>
    <w:rsid w:val="00135F2B"/>
    <w:rsid w:val="001372DD"/>
    <w:rsid w:val="001405BA"/>
    <w:rsid w:val="00141497"/>
    <w:rsid w:val="0014206E"/>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0D14"/>
    <w:rsid w:val="001613EC"/>
    <w:rsid w:val="0016358A"/>
    <w:rsid w:val="001638D4"/>
    <w:rsid w:val="0016402D"/>
    <w:rsid w:val="00164664"/>
    <w:rsid w:val="00164F15"/>
    <w:rsid w:val="001651A4"/>
    <w:rsid w:val="0016552B"/>
    <w:rsid w:val="00166B04"/>
    <w:rsid w:val="001670A6"/>
    <w:rsid w:val="001701FA"/>
    <w:rsid w:val="001707B9"/>
    <w:rsid w:val="00171183"/>
    <w:rsid w:val="001725A5"/>
    <w:rsid w:val="00172681"/>
    <w:rsid w:val="00172992"/>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08F8"/>
    <w:rsid w:val="001A1642"/>
    <w:rsid w:val="001A371B"/>
    <w:rsid w:val="001A4766"/>
    <w:rsid w:val="001A5E5C"/>
    <w:rsid w:val="001A6A0D"/>
    <w:rsid w:val="001A6C51"/>
    <w:rsid w:val="001A6F51"/>
    <w:rsid w:val="001A6FAA"/>
    <w:rsid w:val="001A7D73"/>
    <w:rsid w:val="001B0363"/>
    <w:rsid w:val="001B1355"/>
    <w:rsid w:val="001B3138"/>
    <w:rsid w:val="001B4E4B"/>
    <w:rsid w:val="001B50AC"/>
    <w:rsid w:val="001B55FB"/>
    <w:rsid w:val="001B5E05"/>
    <w:rsid w:val="001B6D68"/>
    <w:rsid w:val="001B6F2E"/>
    <w:rsid w:val="001C0344"/>
    <w:rsid w:val="001C0F2A"/>
    <w:rsid w:val="001C133C"/>
    <w:rsid w:val="001C16BA"/>
    <w:rsid w:val="001C1A59"/>
    <w:rsid w:val="001C270F"/>
    <w:rsid w:val="001C4679"/>
    <w:rsid w:val="001C5770"/>
    <w:rsid w:val="001C6195"/>
    <w:rsid w:val="001D000A"/>
    <w:rsid w:val="001D0883"/>
    <w:rsid w:val="001D1478"/>
    <w:rsid w:val="001D2205"/>
    <w:rsid w:val="001D24B0"/>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1BCB"/>
    <w:rsid w:val="001F3996"/>
    <w:rsid w:val="001F44A4"/>
    <w:rsid w:val="001F579D"/>
    <w:rsid w:val="001F65EF"/>
    <w:rsid w:val="001F697B"/>
    <w:rsid w:val="002005A6"/>
    <w:rsid w:val="00204CBC"/>
    <w:rsid w:val="002051F1"/>
    <w:rsid w:val="002067BA"/>
    <w:rsid w:val="00206E09"/>
    <w:rsid w:val="0021058D"/>
    <w:rsid w:val="00211E2F"/>
    <w:rsid w:val="00211E9E"/>
    <w:rsid w:val="00214FB4"/>
    <w:rsid w:val="00215940"/>
    <w:rsid w:val="00217C23"/>
    <w:rsid w:val="002204E3"/>
    <w:rsid w:val="00220561"/>
    <w:rsid w:val="00220CE4"/>
    <w:rsid w:val="00222D9B"/>
    <w:rsid w:val="00223788"/>
    <w:rsid w:val="00223CB8"/>
    <w:rsid w:val="00223D11"/>
    <w:rsid w:val="002242D3"/>
    <w:rsid w:val="002301E6"/>
    <w:rsid w:val="00232F90"/>
    <w:rsid w:val="00233B08"/>
    <w:rsid w:val="00233C3B"/>
    <w:rsid w:val="0023499C"/>
    <w:rsid w:val="00235CE3"/>
    <w:rsid w:val="0023636A"/>
    <w:rsid w:val="00236F34"/>
    <w:rsid w:val="002372F7"/>
    <w:rsid w:val="002378FA"/>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0FF"/>
    <w:rsid w:val="00266B9A"/>
    <w:rsid w:val="00270E54"/>
    <w:rsid w:val="00273681"/>
    <w:rsid w:val="002754B5"/>
    <w:rsid w:val="002764C5"/>
    <w:rsid w:val="002772AE"/>
    <w:rsid w:val="00280462"/>
    <w:rsid w:val="00280613"/>
    <w:rsid w:val="0028274D"/>
    <w:rsid w:val="002827DD"/>
    <w:rsid w:val="00282B96"/>
    <w:rsid w:val="002833D6"/>
    <w:rsid w:val="00283F51"/>
    <w:rsid w:val="00286064"/>
    <w:rsid w:val="002867B1"/>
    <w:rsid w:val="00286ABF"/>
    <w:rsid w:val="00287BBB"/>
    <w:rsid w:val="00287E3B"/>
    <w:rsid w:val="00290638"/>
    <w:rsid w:val="00291763"/>
    <w:rsid w:val="00291D80"/>
    <w:rsid w:val="002930CF"/>
    <w:rsid w:val="00293156"/>
    <w:rsid w:val="00293BE7"/>
    <w:rsid w:val="002946DC"/>
    <w:rsid w:val="00296C82"/>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548E"/>
    <w:rsid w:val="002B7656"/>
    <w:rsid w:val="002C0753"/>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7F9"/>
    <w:rsid w:val="002E387F"/>
    <w:rsid w:val="002E47E5"/>
    <w:rsid w:val="002E7113"/>
    <w:rsid w:val="002E7F4B"/>
    <w:rsid w:val="002F0C91"/>
    <w:rsid w:val="002F0E3E"/>
    <w:rsid w:val="002F1B19"/>
    <w:rsid w:val="002F1FBF"/>
    <w:rsid w:val="002F22C5"/>
    <w:rsid w:val="002F3D9C"/>
    <w:rsid w:val="002F4139"/>
    <w:rsid w:val="002F4D21"/>
    <w:rsid w:val="0030044D"/>
    <w:rsid w:val="00300624"/>
    <w:rsid w:val="00300F56"/>
    <w:rsid w:val="00301006"/>
    <w:rsid w:val="00302B84"/>
    <w:rsid w:val="00303565"/>
    <w:rsid w:val="00304A71"/>
    <w:rsid w:val="00304E04"/>
    <w:rsid w:val="003066C8"/>
    <w:rsid w:val="0030739D"/>
    <w:rsid w:val="00307AFB"/>
    <w:rsid w:val="00311184"/>
    <w:rsid w:val="00312675"/>
    <w:rsid w:val="00314013"/>
    <w:rsid w:val="003145E3"/>
    <w:rsid w:val="00314945"/>
    <w:rsid w:val="00315389"/>
    <w:rsid w:val="00315746"/>
    <w:rsid w:val="00315E96"/>
    <w:rsid w:val="0031793E"/>
    <w:rsid w:val="00317A2F"/>
    <w:rsid w:val="00317FC8"/>
    <w:rsid w:val="003221B9"/>
    <w:rsid w:val="003223D7"/>
    <w:rsid w:val="003232B4"/>
    <w:rsid w:val="00323D9F"/>
    <w:rsid w:val="00324FDB"/>
    <w:rsid w:val="00325F48"/>
    <w:rsid w:val="003273FE"/>
    <w:rsid w:val="0033194F"/>
    <w:rsid w:val="00332304"/>
    <w:rsid w:val="00332406"/>
    <w:rsid w:val="00332D8D"/>
    <w:rsid w:val="00335BE2"/>
    <w:rsid w:val="00336B56"/>
    <w:rsid w:val="00341B25"/>
    <w:rsid w:val="00341EC0"/>
    <w:rsid w:val="0034240C"/>
    <w:rsid w:val="00344496"/>
    <w:rsid w:val="003444D4"/>
    <w:rsid w:val="00345968"/>
    <w:rsid w:val="00347667"/>
    <w:rsid w:val="0034770D"/>
    <w:rsid w:val="003507E2"/>
    <w:rsid w:val="003522B2"/>
    <w:rsid w:val="003542C4"/>
    <w:rsid w:val="0035455E"/>
    <w:rsid w:val="00354A6F"/>
    <w:rsid w:val="00354B48"/>
    <w:rsid w:val="00355789"/>
    <w:rsid w:val="00355EB8"/>
    <w:rsid w:val="0035620D"/>
    <w:rsid w:val="00357C60"/>
    <w:rsid w:val="003609B6"/>
    <w:rsid w:val="00361119"/>
    <w:rsid w:val="0036538D"/>
    <w:rsid w:val="00365D12"/>
    <w:rsid w:val="0037018D"/>
    <w:rsid w:val="00372299"/>
    <w:rsid w:val="00372F02"/>
    <w:rsid w:val="00373729"/>
    <w:rsid w:val="00373C91"/>
    <w:rsid w:val="003748F0"/>
    <w:rsid w:val="003755C6"/>
    <w:rsid w:val="00375AEF"/>
    <w:rsid w:val="003762C5"/>
    <w:rsid w:val="00376367"/>
    <w:rsid w:val="00376B02"/>
    <w:rsid w:val="0037733A"/>
    <w:rsid w:val="003776DC"/>
    <w:rsid w:val="003779C1"/>
    <w:rsid w:val="00380FEC"/>
    <w:rsid w:val="00381226"/>
    <w:rsid w:val="00381B1B"/>
    <w:rsid w:val="00381FF6"/>
    <w:rsid w:val="00382134"/>
    <w:rsid w:val="00383D7D"/>
    <w:rsid w:val="00384CCE"/>
    <w:rsid w:val="003865E5"/>
    <w:rsid w:val="00386BB8"/>
    <w:rsid w:val="003926C1"/>
    <w:rsid w:val="00392900"/>
    <w:rsid w:val="00393357"/>
    <w:rsid w:val="003938B3"/>
    <w:rsid w:val="00395452"/>
    <w:rsid w:val="00395E7B"/>
    <w:rsid w:val="00395F4C"/>
    <w:rsid w:val="00397D1A"/>
    <w:rsid w:val="003A10E7"/>
    <w:rsid w:val="003A559A"/>
    <w:rsid w:val="003A5DAC"/>
    <w:rsid w:val="003A6591"/>
    <w:rsid w:val="003A6E9A"/>
    <w:rsid w:val="003B07C9"/>
    <w:rsid w:val="003B08C8"/>
    <w:rsid w:val="003B2567"/>
    <w:rsid w:val="003B381A"/>
    <w:rsid w:val="003B4976"/>
    <w:rsid w:val="003B4B3F"/>
    <w:rsid w:val="003B6258"/>
    <w:rsid w:val="003B7A99"/>
    <w:rsid w:val="003C0343"/>
    <w:rsid w:val="003C0E87"/>
    <w:rsid w:val="003C1C32"/>
    <w:rsid w:val="003C310E"/>
    <w:rsid w:val="003C40DA"/>
    <w:rsid w:val="003C42BA"/>
    <w:rsid w:val="003C462F"/>
    <w:rsid w:val="003C4A02"/>
    <w:rsid w:val="003C4F05"/>
    <w:rsid w:val="003C6191"/>
    <w:rsid w:val="003C6E49"/>
    <w:rsid w:val="003C7064"/>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0D3E"/>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0757C"/>
    <w:rsid w:val="00410240"/>
    <w:rsid w:val="00412253"/>
    <w:rsid w:val="004142ED"/>
    <w:rsid w:val="0041634D"/>
    <w:rsid w:val="00416697"/>
    <w:rsid w:val="00417EF7"/>
    <w:rsid w:val="00422A7D"/>
    <w:rsid w:val="00422BFC"/>
    <w:rsid w:val="00423824"/>
    <w:rsid w:val="00424642"/>
    <w:rsid w:val="00425ABB"/>
    <w:rsid w:val="00425BB6"/>
    <w:rsid w:val="004261A0"/>
    <w:rsid w:val="004265AA"/>
    <w:rsid w:val="00426BC3"/>
    <w:rsid w:val="00426CE1"/>
    <w:rsid w:val="00427D52"/>
    <w:rsid w:val="00430412"/>
    <w:rsid w:val="00430497"/>
    <w:rsid w:val="004307B7"/>
    <w:rsid w:val="0043173B"/>
    <w:rsid w:val="00432A91"/>
    <w:rsid w:val="004332A4"/>
    <w:rsid w:val="004341DE"/>
    <w:rsid w:val="0043453F"/>
    <w:rsid w:val="00434A74"/>
    <w:rsid w:val="00437929"/>
    <w:rsid w:val="00437A4A"/>
    <w:rsid w:val="00440541"/>
    <w:rsid w:val="0044162D"/>
    <w:rsid w:val="0044277A"/>
    <w:rsid w:val="00442C85"/>
    <w:rsid w:val="004444E8"/>
    <w:rsid w:val="004456DC"/>
    <w:rsid w:val="00447FBE"/>
    <w:rsid w:val="0045035E"/>
    <w:rsid w:val="004511FE"/>
    <w:rsid w:val="0045175A"/>
    <w:rsid w:val="00451ED9"/>
    <w:rsid w:val="00452180"/>
    <w:rsid w:val="00453072"/>
    <w:rsid w:val="004539F8"/>
    <w:rsid w:val="00453F26"/>
    <w:rsid w:val="00453FD2"/>
    <w:rsid w:val="00454FAD"/>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4F05"/>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6FF6"/>
    <w:rsid w:val="00497750"/>
    <w:rsid w:val="00497B44"/>
    <w:rsid w:val="004A00E5"/>
    <w:rsid w:val="004A01A7"/>
    <w:rsid w:val="004A0D09"/>
    <w:rsid w:val="004A116E"/>
    <w:rsid w:val="004A357F"/>
    <w:rsid w:val="004A394F"/>
    <w:rsid w:val="004A3DAD"/>
    <w:rsid w:val="004B0335"/>
    <w:rsid w:val="004B0F1C"/>
    <w:rsid w:val="004B1E61"/>
    <w:rsid w:val="004B21AB"/>
    <w:rsid w:val="004B2E0C"/>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D7E7A"/>
    <w:rsid w:val="004E0A28"/>
    <w:rsid w:val="004E1A0F"/>
    <w:rsid w:val="004E2E89"/>
    <w:rsid w:val="004E33C2"/>
    <w:rsid w:val="004E3B9A"/>
    <w:rsid w:val="004E49B0"/>
    <w:rsid w:val="004E62DE"/>
    <w:rsid w:val="004E6B05"/>
    <w:rsid w:val="004E7543"/>
    <w:rsid w:val="004E76A1"/>
    <w:rsid w:val="004F05DE"/>
    <w:rsid w:val="004F6376"/>
    <w:rsid w:val="004F6537"/>
    <w:rsid w:val="004F6A93"/>
    <w:rsid w:val="004F6F14"/>
    <w:rsid w:val="004F76D9"/>
    <w:rsid w:val="004F79A6"/>
    <w:rsid w:val="00501AF2"/>
    <w:rsid w:val="00501BF5"/>
    <w:rsid w:val="00501D8B"/>
    <w:rsid w:val="00503A3E"/>
    <w:rsid w:val="00503F59"/>
    <w:rsid w:val="00504505"/>
    <w:rsid w:val="005049A7"/>
    <w:rsid w:val="005053B2"/>
    <w:rsid w:val="00506331"/>
    <w:rsid w:val="00506D43"/>
    <w:rsid w:val="00507D11"/>
    <w:rsid w:val="00510662"/>
    <w:rsid w:val="005109B7"/>
    <w:rsid w:val="00510A19"/>
    <w:rsid w:val="00511AAB"/>
    <w:rsid w:val="00514D10"/>
    <w:rsid w:val="00516783"/>
    <w:rsid w:val="0051772A"/>
    <w:rsid w:val="00517EF8"/>
    <w:rsid w:val="00520083"/>
    <w:rsid w:val="00520107"/>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47AAC"/>
    <w:rsid w:val="00550F4E"/>
    <w:rsid w:val="00551E22"/>
    <w:rsid w:val="005532B5"/>
    <w:rsid w:val="00554A05"/>
    <w:rsid w:val="00555849"/>
    <w:rsid w:val="005559A8"/>
    <w:rsid w:val="00557048"/>
    <w:rsid w:val="00557FB5"/>
    <w:rsid w:val="00561AED"/>
    <w:rsid w:val="0056471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5DDA"/>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E7D05"/>
    <w:rsid w:val="005F028E"/>
    <w:rsid w:val="005F039B"/>
    <w:rsid w:val="005F04B4"/>
    <w:rsid w:val="005F11A4"/>
    <w:rsid w:val="005F19F8"/>
    <w:rsid w:val="005F3A40"/>
    <w:rsid w:val="005F3FB1"/>
    <w:rsid w:val="005F5ACF"/>
    <w:rsid w:val="005F60DC"/>
    <w:rsid w:val="005F76B6"/>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2FF8"/>
    <w:rsid w:val="006145DE"/>
    <w:rsid w:val="0061478E"/>
    <w:rsid w:val="00614F25"/>
    <w:rsid w:val="00616275"/>
    <w:rsid w:val="0061644A"/>
    <w:rsid w:val="00616A11"/>
    <w:rsid w:val="00616B9B"/>
    <w:rsid w:val="006172DF"/>
    <w:rsid w:val="00617520"/>
    <w:rsid w:val="00620D7C"/>
    <w:rsid w:val="00621089"/>
    <w:rsid w:val="00621E1F"/>
    <w:rsid w:val="006228B2"/>
    <w:rsid w:val="006228E1"/>
    <w:rsid w:val="00622E32"/>
    <w:rsid w:val="00623688"/>
    <w:rsid w:val="00623C39"/>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3ED"/>
    <w:rsid w:val="006476F7"/>
    <w:rsid w:val="0064779E"/>
    <w:rsid w:val="006501FA"/>
    <w:rsid w:val="006509B0"/>
    <w:rsid w:val="006521F3"/>
    <w:rsid w:val="006524D5"/>
    <w:rsid w:val="00652BBD"/>
    <w:rsid w:val="00653633"/>
    <w:rsid w:val="00653F69"/>
    <w:rsid w:val="00654936"/>
    <w:rsid w:val="00655485"/>
    <w:rsid w:val="006558B3"/>
    <w:rsid w:val="006559DA"/>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1A2F"/>
    <w:rsid w:val="006A1D0A"/>
    <w:rsid w:val="006A24D5"/>
    <w:rsid w:val="006A2509"/>
    <w:rsid w:val="006A2CA2"/>
    <w:rsid w:val="006A5ABD"/>
    <w:rsid w:val="006B2D40"/>
    <w:rsid w:val="006B34DF"/>
    <w:rsid w:val="006B39B2"/>
    <w:rsid w:val="006B3AF9"/>
    <w:rsid w:val="006B45A0"/>
    <w:rsid w:val="006B5668"/>
    <w:rsid w:val="006B5F71"/>
    <w:rsid w:val="006B67FB"/>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4B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2878"/>
    <w:rsid w:val="007033A8"/>
    <w:rsid w:val="0070421B"/>
    <w:rsid w:val="007043F0"/>
    <w:rsid w:val="0070482E"/>
    <w:rsid w:val="00704D25"/>
    <w:rsid w:val="00707E7F"/>
    <w:rsid w:val="00710519"/>
    <w:rsid w:val="00710F6E"/>
    <w:rsid w:val="00711663"/>
    <w:rsid w:val="007116B4"/>
    <w:rsid w:val="00712314"/>
    <w:rsid w:val="00712580"/>
    <w:rsid w:val="00712D96"/>
    <w:rsid w:val="007133E4"/>
    <w:rsid w:val="00713788"/>
    <w:rsid w:val="00713940"/>
    <w:rsid w:val="007151A2"/>
    <w:rsid w:val="00715372"/>
    <w:rsid w:val="00716774"/>
    <w:rsid w:val="007209DD"/>
    <w:rsid w:val="00722E49"/>
    <w:rsid w:val="00723A08"/>
    <w:rsid w:val="00723B5C"/>
    <w:rsid w:val="00724391"/>
    <w:rsid w:val="00724C18"/>
    <w:rsid w:val="00726570"/>
    <w:rsid w:val="00726630"/>
    <w:rsid w:val="00727F73"/>
    <w:rsid w:val="00730705"/>
    <w:rsid w:val="00730944"/>
    <w:rsid w:val="00730972"/>
    <w:rsid w:val="0073248E"/>
    <w:rsid w:val="00733EE9"/>
    <w:rsid w:val="00735B8E"/>
    <w:rsid w:val="0073673C"/>
    <w:rsid w:val="00736935"/>
    <w:rsid w:val="007436ED"/>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97E27"/>
    <w:rsid w:val="007A076C"/>
    <w:rsid w:val="007A1968"/>
    <w:rsid w:val="007A2140"/>
    <w:rsid w:val="007A23E2"/>
    <w:rsid w:val="007A31A5"/>
    <w:rsid w:val="007A411B"/>
    <w:rsid w:val="007A45E6"/>
    <w:rsid w:val="007A4B28"/>
    <w:rsid w:val="007A5C2C"/>
    <w:rsid w:val="007A6F4E"/>
    <w:rsid w:val="007A7678"/>
    <w:rsid w:val="007B0CD8"/>
    <w:rsid w:val="007B0DE0"/>
    <w:rsid w:val="007B0FAC"/>
    <w:rsid w:val="007B21DE"/>
    <w:rsid w:val="007B2BB9"/>
    <w:rsid w:val="007B43E8"/>
    <w:rsid w:val="007B4740"/>
    <w:rsid w:val="007B502C"/>
    <w:rsid w:val="007B5F3B"/>
    <w:rsid w:val="007C02B0"/>
    <w:rsid w:val="007C063E"/>
    <w:rsid w:val="007C1901"/>
    <w:rsid w:val="007C49C0"/>
    <w:rsid w:val="007C55C1"/>
    <w:rsid w:val="007C5738"/>
    <w:rsid w:val="007C5772"/>
    <w:rsid w:val="007C57A3"/>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729"/>
    <w:rsid w:val="007E4AAA"/>
    <w:rsid w:val="007E4BD2"/>
    <w:rsid w:val="007E4C29"/>
    <w:rsid w:val="007E5E44"/>
    <w:rsid w:val="007F0DDA"/>
    <w:rsid w:val="007F1939"/>
    <w:rsid w:val="007F2B74"/>
    <w:rsid w:val="007F35B6"/>
    <w:rsid w:val="007F365C"/>
    <w:rsid w:val="007F4A2A"/>
    <w:rsid w:val="007F5066"/>
    <w:rsid w:val="007F621C"/>
    <w:rsid w:val="007F7155"/>
    <w:rsid w:val="00800C28"/>
    <w:rsid w:val="0080245E"/>
    <w:rsid w:val="00803480"/>
    <w:rsid w:val="0080359C"/>
    <w:rsid w:val="008037AE"/>
    <w:rsid w:val="008043F4"/>
    <w:rsid w:val="00804BB4"/>
    <w:rsid w:val="0080533A"/>
    <w:rsid w:val="00805D9F"/>
    <w:rsid w:val="0080699C"/>
    <w:rsid w:val="00807A4D"/>
    <w:rsid w:val="00807F30"/>
    <w:rsid w:val="008103DC"/>
    <w:rsid w:val="0081119F"/>
    <w:rsid w:val="0081134D"/>
    <w:rsid w:val="00811EDA"/>
    <w:rsid w:val="00812379"/>
    <w:rsid w:val="00812403"/>
    <w:rsid w:val="00812FD7"/>
    <w:rsid w:val="00820623"/>
    <w:rsid w:val="00821747"/>
    <w:rsid w:val="008229A3"/>
    <w:rsid w:val="00822DFB"/>
    <w:rsid w:val="00822F64"/>
    <w:rsid w:val="00824EAF"/>
    <w:rsid w:val="008253A6"/>
    <w:rsid w:val="00825528"/>
    <w:rsid w:val="00825A6B"/>
    <w:rsid w:val="00825C50"/>
    <w:rsid w:val="00826577"/>
    <w:rsid w:val="00827439"/>
    <w:rsid w:val="00827C79"/>
    <w:rsid w:val="0083003F"/>
    <w:rsid w:val="00830644"/>
    <w:rsid w:val="00830A11"/>
    <w:rsid w:val="00831077"/>
    <w:rsid w:val="00831A4A"/>
    <w:rsid w:val="00832134"/>
    <w:rsid w:val="0083219E"/>
    <w:rsid w:val="0083454D"/>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47A8A"/>
    <w:rsid w:val="008503DA"/>
    <w:rsid w:val="00850B68"/>
    <w:rsid w:val="00850E82"/>
    <w:rsid w:val="0085122D"/>
    <w:rsid w:val="008519E8"/>
    <w:rsid w:val="008525FF"/>
    <w:rsid w:val="00852C03"/>
    <w:rsid w:val="0085590C"/>
    <w:rsid w:val="008575EB"/>
    <w:rsid w:val="00862DDD"/>
    <w:rsid w:val="0086326D"/>
    <w:rsid w:val="008637A6"/>
    <w:rsid w:val="00863CC1"/>
    <w:rsid w:val="008641EC"/>
    <w:rsid w:val="00865B01"/>
    <w:rsid w:val="00866D7A"/>
    <w:rsid w:val="00866EE3"/>
    <w:rsid w:val="008701E5"/>
    <w:rsid w:val="008706C5"/>
    <w:rsid w:val="00871F04"/>
    <w:rsid w:val="008746C1"/>
    <w:rsid w:val="00880224"/>
    <w:rsid w:val="0088244C"/>
    <w:rsid w:val="00883367"/>
    <w:rsid w:val="00884461"/>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36B4"/>
    <w:rsid w:val="008A4CF6"/>
    <w:rsid w:val="008A4E42"/>
    <w:rsid w:val="008A51AA"/>
    <w:rsid w:val="008A6A12"/>
    <w:rsid w:val="008B0DC6"/>
    <w:rsid w:val="008B2B9E"/>
    <w:rsid w:val="008B31F5"/>
    <w:rsid w:val="008B4C79"/>
    <w:rsid w:val="008B5D2D"/>
    <w:rsid w:val="008B6361"/>
    <w:rsid w:val="008C0320"/>
    <w:rsid w:val="008C1974"/>
    <w:rsid w:val="008C2A81"/>
    <w:rsid w:val="008C3863"/>
    <w:rsid w:val="008C4BDC"/>
    <w:rsid w:val="008C50FF"/>
    <w:rsid w:val="008C5435"/>
    <w:rsid w:val="008C6BD1"/>
    <w:rsid w:val="008D16CB"/>
    <w:rsid w:val="008D2DB5"/>
    <w:rsid w:val="008D3F10"/>
    <w:rsid w:val="008D611D"/>
    <w:rsid w:val="008E1B6A"/>
    <w:rsid w:val="008E1F52"/>
    <w:rsid w:val="008E267A"/>
    <w:rsid w:val="008E3054"/>
    <w:rsid w:val="008E32FF"/>
    <w:rsid w:val="008E5625"/>
    <w:rsid w:val="008E5C5B"/>
    <w:rsid w:val="008E6A37"/>
    <w:rsid w:val="008F0354"/>
    <w:rsid w:val="008F085A"/>
    <w:rsid w:val="008F1462"/>
    <w:rsid w:val="008F2413"/>
    <w:rsid w:val="008F248D"/>
    <w:rsid w:val="008F376B"/>
    <w:rsid w:val="008F44F9"/>
    <w:rsid w:val="008F4B2C"/>
    <w:rsid w:val="008F4C08"/>
    <w:rsid w:val="008F52CA"/>
    <w:rsid w:val="008F6851"/>
    <w:rsid w:val="008F7BC4"/>
    <w:rsid w:val="00900E7A"/>
    <w:rsid w:val="00903E11"/>
    <w:rsid w:val="00903EBE"/>
    <w:rsid w:val="009041DE"/>
    <w:rsid w:val="00905D59"/>
    <w:rsid w:val="009062CA"/>
    <w:rsid w:val="00907631"/>
    <w:rsid w:val="00907776"/>
    <w:rsid w:val="009133D7"/>
    <w:rsid w:val="00913401"/>
    <w:rsid w:val="00913567"/>
    <w:rsid w:val="009137B6"/>
    <w:rsid w:val="00915EBA"/>
    <w:rsid w:val="00917093"/>
    <w:rsid w:val="0092030E"/>
    <w:rsid w:val="009203D0"/>
    <w:rsid w:val="00920745"/>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060B"/>
    <w:rsid w:val="009427C8"/>
    <w:rsid w:val="00942BD6"/>
    <w:rsid w:val="00942DED"/>
    <w:rsid w:val="00944404"/>
    <w:rsid w:val="009452D7"/>
    <w:rsid w:val="00945FD1"/>
    <w:rsid w:val="00946CCC"/>
    <w:rsid w:val="00947A5F"/>
    <w:rsid w:val="009503E5"/>
    <w:rsid w:val="00950F71"/>
    <w:rsid w:val="00952F2C"/>
    <w:rsid w:val="009532E3"/>
    <w:rsid w:val="00953615"/>
    <w:rsid w:val="00954B5A"/>
    <w:rsid w:val="00954BAF"/>
    <w:rsid w:val="00955F48"/>
    <w:rsid w:val="009560B3"/>
    <w:rsid w:val="0095745E"/>
    <w:rsid w:val="00957C48"/>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080"/>
    <w:rsid w:val="00974881"/>
    <w:rsid w:val="0097606C"/>
    <w:rsid w:val="009771D1"/>
    <w:rsid w:val="0098012D"/>
    <w:rsid w:val="00980845"/>
    <w:rsid w:val="00980BCD"/>
    <w:rsid w:val="00981BD9"/>
    <w:rsid w:val="0098225F"/>
    <w:rsid w:val="00983A3C"/>
    <w:rsid w:val="00983EFA"/>
    <w:rsid w:val="00984C15"/>
    <w:rsid w:val="00987829"/>
    <w:rsid w:val="00991276"/>
    <w:rsid w:val="009923E7"/>
    <w:rsid w:val="00992697"/>
    <w:rsid w:val="00992D4E"/>
    <w:rsid w:val="00994621"/>
    <w:rsid w:val="009947FF"/>
    <w:rsid w:val="0099544B"/>
    <w:rsid w:val="00997975"/>
    <w:rsid w:val="00997B8E"/>
    <w:rsid w:val="009A053D"/>
    <w:rsid w:val="009A07A6"/>
    <w:rsid w:val="009A0D56"/>
    <w:rsid w:val="009A31B9"/>
    <w:rsid w:val="009A4D4F"/>
    <w:rsid w:val="009A53D8"/>
    <w:rsid w:val="009A597F"/>
    <w:rsid w:val="009A7B72"/>
    <w:rsid w:val="009A7F49"/>
    <w:rsid w:val="009B03C4"/>
    <w:rsid w:val="009B0AA2"/>
    <w:rsid w:val="009B1D02"/>
    <w:rsid w:val="009B6EA8"/>
    <w:rsid w:val="009B7133"/>
    <w:rsid w:val="009B7658"/>
    <w:rsid w:val="009B7CD1"/>
    <w:rsid w:val="009B7E22"/>
    <w:rsid w:val="009B7E78"/>
    <w:rsid w:val="009C0186"/>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407F"/>
    <w:rsid w:val="009E655F"/>
    <w:rsid w:val="009E6B77"/>
    <w:rsid w:val="009E7724"/>
    <w:rsid w:val="009E7D1F"/>
    <w:rsid w:val="009F08D2"/>
    <w:rsid w:val="009F1D82"/>
    <w:rsid w:val="009F37AA"/>
    <w:rsid w:val="009F4103"/>
    <w:rsid w:val="009F544C"/>
    <w:rsid w:val="009F5731"/>
    <w:rsid w:val="009F6321"/>
    <w:rsid w:val="009F6378"/>
    <w:rsid w:val="009F7669"/>
    <w:rsid w:val="009F7F45"/>
    <w:rsid w:val="009F7FD5"/>
    <w:rsid w:val="00A005D4"/>
    <w:rsid w:val="00A0083C"/>
    <w:rsid w:val="00A01A90"/>
    <w:rsid w:val="00A01D71"/>
    <w:rsid w:val="00A02370"/>
    <w:rsid w:val="00A03A88"/>
    <w:rsid w:val="00A04685"/>
    <w:rsid w:val="00A04C57"/>
    <w:rsid w:val="00A06340"/>
    <w:rsid w:val="00A0684F"/>
    <w:rsid w:val="00A06867"/>
    <w:rsid w:val="00A10148"/>
    <w:rsid w:val="00A104FE"/>
    <w:rsid w:val="00A10776"/>
    <w:rsid w:val="00A113FD"/>
    <w:rsid w:val="00A11DDE"/>
    <w:rsid w:val="00A123A8"/>
    <w:rsid w:val="00A12525"/>
    <w:rsid w:val="00A127A7"/>
    <w:rsid w:val="00A129F4"/>
    <w:rsid w:val="00A136F4"/>
    <w:rsid w:val="00A150F7"/>
    <w:rsid w:val="00A160D3"/>
    <w:rsid w:val="00A16DC9"/>
    <w:rsid w:val="00A20225"/>
    <w:rsid w:val="00A2169D"/>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2B66"/>
    <w:rsid w:val="00A4376E"/>
    <w:rsid w:val="00A4572B"/>
    <w:rsid w:val="00A46246"/>
    <w:rsid w:val="00A46349"/>
    <w:rsid w:val="00A46D5E"/>
    <w:rsid w:val="00A4738F"/>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3F71"/>
    <w:rsid w:val="00A65805"/>
    <w:rsid w:val="00A66BEE"/>
    <w:rsid w:val="00A671C9"/>
    <w:rsid w:val="00A67DFD"/>
    <w:rsid w:val="00A74F9F"/>
    <w:rsid w:val="00A750B3"/>
    <w:rsid w:val="00A75559"/>
    <w:rsid w:val="00A7623D"/>
    <w:rsid w:val="00A76884"/>
    <w:rsid w:val="00A824A7"/>
    <w:rsid w:val="00A82D0A"/>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4CA"/>
    <w:rsid w:val="00AA5F4C"/>
    <w:rsid w:val="00AA615C"/>
    <w:rsid w:val="00AA6711"/>
    <w:rsid w:val="00AB10D6"/>
    <w:rsid w:val="00AB2AEC"/>
    <w:rsid w:val="00AB2DC1"/>
    <w:rsid w:val="00AB3102"/>
    <w:rsid w:val="00AB3D9A"/>
    <w:rsid w:val="00AB4B1D"/>
    <w:rsid w:val="00AB4E0A"/>
    <w:rsid w:val="00AB532C"/>
    <w:rsid w:val="00AB6B5E"/>
    <w:rsid w:val="00AC047F"/>
    <w:rsid w:val="00AC278E"/>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AF7C16"/>
    <w:rsid w:val="00B03CE2"/>
    <w:rsid w:val="00B059A9"/>
    <w:rsid w:val="00B06544"/>
    <w:rsid w:val="00B105F2"/>
    <w:rsid w:val="00B10991"/>
    <w:rsid w:val="00B12128"/>
    <w:rsid w:val="00B12945"/>
    <w:rsid w:val="00B12C1E"/>
    <w:rsid w:val="00B1549E"/>
    <w:rsid w:val="00B155DF"/>
    <w:rsid w:val="00B156CF"/>
    <w:rsid w:val="00B1570E"/>
    <w:rsid w:val="00B176B9"/>
    <w:rsid w:val="00B17AD5"/>
    <w:rsid w:val="00B17DC8"/>
    <w:rsid w:val="00B17E1E"/>
    <w:rsid w:val="00B207F1"/>
    <w:rsid w:val="00B20A42"/>
    <w:rsid w:val="00B20BDE"/>
    <w:rsid w:val="00B20C41"/>
    <w:rsid w:val="00B2138D"/>
    <w:rsid w:val="00B21768"/>
    <w:rsid w:val="00B2342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63E"/>
    <w:rsid w:val="00B66C26"/>
    <w:rsid w:val="00B67F51"/>
    <w:rsid w:val="00B705C4"/>
    <w:rsid w:val="00B71FB3"/>
    <w:rsid w:val="00B73492"/>
    <w:rsid w:val="00B73B04"/>
    <w:rsid w:val="00B73D06"/>
    <w:rsid w:val="00B7512A"/>
    <w:rsid w:val="00B761FE"/>
    <w:rsid w:val="00B76548"/>
    <w:rsid w:val="00B76BED"/>
    <w:rsid w:val="00B806E6"/>
    <w:rsid w:val="00B82DC1"/>
    <w:rsid w:val="00B835D5"/>
    <w:rsid w:val="00B84028"/>
    <w:rsid w:val="00B84307"/>
    <w:rsid w:val="00B8430D"/>
    <w:rsid w:val="00B85661"/>
    <w:rsid w:val="00B85C8A"/>
    <w:rsid w:val="00B86FBD"/>
    <w:rsid w:val="00B9088C"/>
    <w:rsid w:val="00B91B86"/>
    <w:rsid w:val="00B927CA"/>
    <w:rsid w:val="00B928AE"/>
    <w:rsid w:val="00B93CDA"/>
    <w:rsid w:val="00B942E9"/>
    <w:rsid w:val="00B9433A"/>
    <w:rsid w:val="00B94410"/>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2FC6"/>
    <w:rsid w:val="00BB37CC"/>
    <w:rsid w:val="00BB3ACE"/>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1EF"/>
    <w:rsid w:val="00BD59AA"/>
    <w:rsid w:val="00BD6410"/>
    <w:rsid w:val="00BD65E6"/>
    <w:rsid w:val="00BD6AF7"/>
    <w:rsid w:val="00BD73EB"/>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507"/>
    <w:rsid w:val="00C006B4"/>
    <w:rsid w:val="00C00938"/>
    <w:rsid w:val="00C00E2A"/>
    <w:rsid w:val="00C01663"/>
    <w:rsid w:val="00C025B9"/>
    <w:rsid w:val="00C044B4"/>
    <w:rsid w:val="00C05105"/>
    <w:rsid w:val="00C05A5D"/>
    <w:rsid w:val="00C0654A"/>
    <w:rsid w:val="00C06861"/>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2C31"/>
    <w:rsid w:val="00C23412"/>
    <w:rsid w:val="00C264C7"/>
    <w:rsid w:val="00C26E15"/>
    <w:rsid w:val="00C271C4"/>
    <w:rsid w:val="00C274F3"/>
    <w:rsid w:val="00C30519"/>
    <w:rsid w:val="00C30A54"/>
    <w:rsid w:val="00C316F7"/>
    <w:rsid w:val="00C31DF0"/>
    <w:rsid w:val="00C32578"/>
    <w:rsid w:val="00C33916"/>
    <w:rsid w:val="00C33BCF"/>
    <w:rsid w:val="00C353A0"/>
    <w:rsid w:val="00C368D7"/>
    <w:rsid w:val="00C36FD1"/>
    <w:rsid w:val="00C371A5"/>
    <w:rsid w:val="00C400B0"/>
    <w:rsid w:val="00C40F4E"/>
    <w:rsid w:val="00C413FC"/>
    <w:rsid w:val="00C4321C"/>
    <w:rsid w:val="00C43D33"/>
    <w:rsid w:val="00C44407"/>
    <w:rsid w:val="00C456E8"/>
    <w:rsid w:val="00C45AFD"/>
    <w:rsid w:val="00C46630"/>
    <w:rsid w:val="00C47A2F"/>
    <w:rsid w:val="00C50D18"/>
    <w:rsid w:val="00C51179"/>
    <w:rsid w:val="00C5282C"/>
    <w:rsid w:val="00C52FBE"/>
    <w:rsid w:val="00C5355E"/>
    <w:rsid w:val="00C535E2"/>
    <w:rsid w:val="00C536C7"/>
    <w:rsid w:val="00C539FF"/>
    <w:rsid w:val="00C53FC1"/>
    <w:rsid w:val="00C56438"/>
    <w:rsid w:val="00C570B3"/>
    <w:rsid w:val="00C6009F"/>
    <w:rsid w:val="00C60417"/>
    <w:rsid w:val="00C6046F"/>
    <w:rsid w:val="00C638C2"/>
    <w:rsid w:val="00C651D4"/>
    <w:rsid w:val="00C6669E"/>
    <w:rsid w:val="00C672B0"/>
    <w:rsid w:val="00C67A77"/>
    <w:rsid w:val="00C729C7"/>
    <w:rsid w:val="00C777AD"/>
    <w:rsid w:val="00C80C53"/>
    <w:rsid w:val="00C81195"/>
    <w:rsid w:val="00C85387"/>
    <w:rsid w:val="00C85E52"/>
    <w:rsid w:val="00C86471"/>
    <w:rsid w:val="00C8677B"/>
    <w:rsid w:val="00C86F96"/>
    <w:rsid w:val="00C909C6"/>
    <w:rsid w:val="00C923B7"/>
    <w:rsid w:val="00C93BB3"/>
    <w:rsid w:val="00C94D4C"/>
    <w:rsid w:val="00C95AF2"/>
    <w:rsid w:val="00CA012C"/>
    <w:rsid w:val="00CA0AA6"/>
    <w:rsid w:val="00CA2897"/>
    <w:rsid w:val="00CA44F3"/>
    <w:rsid w:val="00CA51BA"/>
    <w:rsid w:val="00CA582C"/>
    <w:rsid w:val="00CA6077"/>
    <w:rsid w:val="00CA715B"/>
    <w:rsid w:val="00CA7988"/>
    <w:rsid w:val="00CA7BA2"/>
    <w:rsid w:val="00CB0B78"/>
    <w:rsid w:val="00CB12A5"/>
    <w:rsid w:val="00CB17FA"/>
    <w:rsid w:val="00CB1842"/>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041"/>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626"/>
    <w:rsid w:val="00CE6FC6"/>
    <w:rsid w:val="00CF2056"/>
    <w:rsid w:val="00CF4471"/>
    <w:rsid w:val="00CF51C0"/>
    <w:rsid w:val="00CF5B2A"/>
    <w:rsid w:val="00CF5F57"/>
    <w:rsid w:val="00CF64A7"/>
    <w:rsid w:val="00CF6730"/>
    <w:rsid w:val="00CF70E5"/>
    <w:rsid w:val="00CF7CEC"/>
    <w:rsid w:val="00D00B0F"/>
    <w:rsid w:val="00D01BF4"/>
    <w:rsid w:val="00D0272C"/>
    <w:rsid w:val="00D044B0"/>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4F36"/>
    <w:rsid w:val="00D25AC4"/>
    <w:rsid w:val="00D269AF"/>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4E39"/>
    <w:rsid w:val="00D4556D"/>
    <w:rsid w:val="00D511C6"/>
    <w:rsid w:val="00D5121D"/>
    <w:rsid w:val="00D516AC"/>
    <w:rsid w:val="00D51B12"/>
    <w:rsid w:val="00D521BB"/>
    <w:rsid w:val="00D52875"/>
    <w:rsid w:val="00D54050"/>
    <w:rsid w:val="00D56AC0"/>
    <w:rsid w:val="00D6081B"/>
    <w:rsid w:val="00D61A37"/>
    <w:rsid w:val="00D6240A"/>
    <w:rsid w:val="00D63093"/>
    <w:rsid w:val="00D63599"/>
    <w:rsid w:val="00D63EBD"/>
    <w:rsid w:val="00D65FA1"/>
    <w:rsid w:val="00D6632F"/>
    <w:rsid w:val="00D67101"/>
    <w:rsid w:val="00D7106D"/>
    <w:rsid w:val="00D71914"/>
    <w:rsid w:val="00D71B45"/>
    <w:rsid w:val="00D71F8A"/>
    <w:rsid w:val="00D75603"/>
    <w:rsid w:val="00D75FEE"/>
    <w:rsid w:val="00D76933"/>
    <w:rsid w:val="00D76D88"/>
    <w:rsid w:val="00D77CC9"/>
    <w:rsid w:val="00D83D4B"/>
    <w:rsid w:val="00D84AF0"/>
    <w:rsid w:val="00D85986"/>
    <w:rsid w:val="00D871C6"/>
    <w:rsid w:val="00D90206"/>
    <w:rsid w:val="00D91010"/>
    <w:rsid w:val="00D97B41"/>
    <w:rsid w:val="00DA02BD"/>
    <w:rsid w:val="00DA0FA7"/>
    <w:rsid w:val="00DA12B0"/>
    <w:rsid w:val="00DA2BA0"/>
    <w:rsid w:val="00DA39AD"/>
    <w:rsid w:val="00DA5B13"/>
    <w:rsid w:val="00DA6917"/>
    <w:rsid w:val="00DA6926"/>
    <w:rsid w:val="00DB0965"/>
    <w:rsid w:val="00DB0E47"/>
    <w:rsid w:val="00DB2BDD"/>
    <w:rsid w:val="00DB4121"/>
    <w:rsid w:val="00DB46C3"/>
    <w:rsid w:val="00DB50B0"/>
    <w:rsid w:val="00DB5742"/>
    <w:rsid w:val="00DB5EDF"/>
    <w:rsid w:val="00DB6C46"/>
    <w:rsid w:val="00DB72B8"/>
    <w:rsid w:val="00DB7822"/>
    <w:rsid w:val="00DC0D2D"/>
    <w:rsid w:val="00DC16AF"/>
    <w:rsid w:val="00DC2A9A"/>
    <w:rsid w:val="00DC2E2E"/>
    <w:rsid w:val="00DC4D68"/>
    <w:rsid w:val="00DC4E4C"/>
    <w:rsid w:val="00DC6463"/>
    <w:rsid w:val="00DC7822"/>
    <w:rsid w:val="00DC7AF1"/>
    <w:rsid w:val="00DD131B"/>
    <w:rsid w:val="00DD2D92"/>
    <w:rsid w:val="00DD3026"/>
    <w:rsid w:val="00DD33DC"/>
    <w:rsid w:val="00DD3BB0"/>
    <w:rsid w:val="00DD61F5"/>
    <w:rsid w:val="00DE0AC1"/>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1C7"/>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B64"/>
    <w:rsid w:val="00E40974"/>
    <w:rsid w:val="00E40AAB"/>
    <w:rsid w:val="00E41205"/>
    <w:rsid w:val="00E41F32"/>
    <w:rsid w:val="00E42608"/>
    <w:rsid w:val="00E43536"/>
    <w:rsid w:val="00E43DA3"/>
    <w:rsid w:val="00E44B80"/>
    <w:rsid w:val="00E46946"/>
    <w:rsid w:val="00E47430"/>
    <w:rsid w:val="00E50FB7"/>
    <w:rsid w:val="00E5199F"/>
    <w:rsid w:val="00E526DF"/>
    <w:rsid w:val="00E5333F"/>
    <w:rsid w:val="00E53C15"/>
    <w:rsid w:val="00E54EE6"/>
    <w:rsid w:val="00E56715"/>
    <w:rsid w:val="00E56C2C"/>
    <w:rsid w:val="00E57F8E"/>
    <w:rsid w:val="00E611C8"/>
    <w:rsid w:val="00E611D0"/>
    <w:rsid w:val="00E6344A"/>
    <w:rsid w:val="00E64E69"/>
    <w:rsid w:val="00E64FB7"/>
    <w:rsid w:val="00E65A50"/>
    <w:rsid w:val="00E669A1"/>
    <w:rsid w:val="00E679BA"/>
    <w:rsid w:val="00E70243"/>
    <w:rsid w:val="00E72CC6"/>
    <w:rsid w:val="00E73D44"/>
    <w:rsid w:val="00E7494A"/>
    <w:rsid w:val="00E74BE2"/>
    <w:rsid w:val="00E74C66"/>
    <w:rsid w:val="00E75933"/>
    <w:rsid w:val="00E759B8"/>
    <w:rsid w:val="00E77A1B"/>
    <w:rsid w:val="00E808BE"/>
    <w:rsid w:val="00E81E36"/>
    <w:rsid w:val="00E81E40"/>
    <w:rsid w:val="00E82ECE"/>
    <w:rsid w:val="00E86DFC"/>
    <w:rsid w:val="00E8713B"/>
    <w:rsid w:val="00E90C61"/>
    <w:rsid w:val="00E92A82"/>
    <w:rsid w:val="00E92AA8"/>
    <w:rsid w:val="00E9344E"/>
    <w:rsid w:val="00E93AEA"/>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0CED"/>
    <w:rsid w:val="00EC3CB4"/>
    <w:rsid w:val="00EC443E"/>
    <w:rsid w:val="00EC4D83"/>
    <w:rsid w:val="00EC4ECD"/>
    <w:rsid w:val="00EC4EEE"/>
    <w:rsid w:val="00EC634F"/>
    <w:rsid w:val="00EC7B97"/>
    <w:rsid w:val="00ED049C"/>
    <w:rsid w:val="00ED07B7"/>
    <w:rsid w:val="00ED19D7"/>
    <w:rsid w:val="00ED2167"/>
    <w:rsid w:val="00ED351E"/>
    <w:rsid w:val="00ED4B27"/>
    <w:rsid w:val="00ED543C"/>
    <w:rsid w:val="00ED6BA4"/>
    <w:rsid w:val="00ED78B2"/>
    <w:rsid w:val="00ED7DA7"/>
    <w:rsid w:val="00EE0598"/>
    <w:rsid w:val="00EE311C"/>
    <w:rsid w:val="00EE56FF"/>
    <w:rsid w:val="00EE5886"/>
    <w:rsid w:val="00EE5FBF"/>
    <w:rsid w:val="00EE6472"/>
    <w:rsid w:val="00EE76F2"/>
    <w:rsid w:val="00EF0769"/>
    <w:rsid w:val="00EF0D7C"/>
    <w:rsid w:val="00EF40E2"/>
    <w:rsid w:val="00EF5B38"/>
    <w:rsid w:val="00EF61C1"/>
    <w:rsid w:val="00EF6E68"/>
    <w:rsid w:val="00EF76DB"/>
    <w:rsid w:val="00F005FD"/>
    <w:rsid w:val="00F02C04"/>
    <w:rsid w:val="00F037EF"/>
    <w:rsid w:val="00F03AF1"/>
    <w:rsid w:val="00F04BCD"/>
    <w:rsid w:val="00F05A8C"/>
    <w:rsid w:val="00F06211"/>
    <w:rsid w:val="00F10A54"/>
    <w:rsid w:val="00F11883"/>
    <w:rsid w:val="00F123D0"/>
    <w:rsid w:val="00F13200"/>
    <w:rsid w:val="00F13411"/>
    <w:rsid w:val="00F143BA"/>
    <w:rsid w:val="00F14D98"/>
    <w:rsid w:val="00F2081B"/>
    <w:rsid w:val="00F20A43"/>
    <w:rsid w:val="00F20B5D"/>
    <w:rsid w:val="00F20C51"/>
    <w:rsid w:val="00F21049"/>
    <w:rsid w:val="00F218AE"/>
    <w:rsid w:val="00F22232"/>
    <w:rsid w:val="00F2228E"/>
    <w:rsid w:val="00F22D3C"/>
    <w:rsid w:val="00F23D66"/>
    <w:rsid w:val="00F24E6F"/>
    <w:rsid w:val="00F25E77"/>
    <w:rsid w:val="00F26069"/>
    <w:rsid w:val="00F26B7E"/>
    <w:rsid w:val="00F276DB"/>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07DE"/>
    <w:rsid w:val="00F71AC2"/>
    <w:rsid w:val="00F72825"/>
    <w:rsid w:val="00F739D4"/>
    <w:rsid w:val="00F77D43"/>
    <w:rsid w:val="00F80953"/>
    <w:rsid w:val="00F811A0"/>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2F04"/>
    <w:rsid w:val="00FB3DD1"/>
    <w:rsid w:val="00FB51FD"/>
    <w:rsid w:val="00FB5667"/>
    <w:rsid w:val="00FB7A97"/>
    <w:rsid w:val="00FC1B9B"/>
    <w:rsid w:val="00FC318D"/>
    <w:rsid w:val="00FC36CF"/>
    <w:rsid w:val="00FC40BC"/>
    <w:rsid w:val="00FC41FC"/>
    <w:rsid w:val="00FC4F6E"/>
    <w:rsid w:val="00FC506C"/>
    <w:rsid w:val="00FC578C"/>
    <w:rsid w:val="00FC5A37"/>
    <w:rsid w:val="00FC7439"/>
    <w:rsid w:val="00FC7734"/>
    <w:rsid w:val="00FD13EA"/>
    <w:rsid w:val="00FD4B6A"/>
    <w:rsid w:val="00FD5EC4"/>
    <w:rsid w:val="00FD6E6C"/>
    <w:rsid w:val="00FD7858"/>
    <w:rsid w:val="00FD7A8D"/>
    <w:rsid w:val="00FE1330"/>
    <w:rsid w:val="00FE1CE5"/>
    <w:rsid w:val="00FE2832"/>
    <w:rsid w:val="00FE2D38"/>
    <w:rsid w:val="00FE30E5"/>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50A4F0B0"/>
  <w15:docId w15:val="{8365D08F-DD1B-4BAB-8704-40C2326C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8701E5"/>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39892064">
      <w:bodyDiv w:val="1"/>
      <w:marLeft w:val="0"/>
      <w:marRight w:val="0"/>
      <w:marTop w:val="0"/>
      <w:marBottom w:val="0"/>
      <w:divBdr>
        <w:top w:val="none" w:sz="0" w:space="0" w:color="auto"/>
        <w:left w:val="none" w:sz="0" w:space="0" w:color="auto"/>
        <w:bottom w:val="none" w:sz="0" w:space="0" w:color="auto"/>
        <w:right w:val="none" w:sz="0" w:space="0" w:color="auto"/>
      </w:divBdr>
    </w:div>
    <w:div w:id="364449943">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1676925">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29337580">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71971427">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2042614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00922972">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microsoft.com/sharepoint/v4"/>
    <ds:schemaRef ds:uri="http://schemas.openxmlformats.org/package/2006/metadata/core-properties"/>
    <ds:schemaRef ds:uri="20fbe147-bbda-4e53-b6b1-7e8bbff3fe19"/>
    <ds:schemaRef ds:uri="http://www.w3.org/XML/1998/namespace"/>
    <ds:schemaRef ds:uri="http://purl.org/dc/dcmitype/"/>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DEED41D2-ABC2-4F3F-823B-9D46CB1F62A9}">
  <ds:schemaRefs>
    <ds:schemaRef ds:uri="http://schemas.openxmlformats.org/officeDocument/2006/bibliography"/>
  </ds:schemaRefs>
</ds:datastoreItem>
</file>

<file path=customXml/itemProps6.xml><?xml version="1.0" encoding="utf-8"?>
<ds:datastoreItem xmlns:ds="http://schemas.openxmlformats.org/officeDocument/2006/customXml" ds:itemID="{32184D7B-6EFC-44CA-B1FA-EE6460B4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6886</Words>
  <Characters>38922</Characters>
  <Application>Microsoft Office Word</Application>
  <DocSecurity>8</DocSecurity>
  <Lines>324</Lines>
  <Paragraphs>91</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45717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Michela Costa</cp:lastModifiedBy>
  <cp:revision>4</cp:revision>
  <cp:lastPrinted>2017-08-29T09:52:00Z</cp:lastPrinted>
  <dcterms:created xsi:type="dcterms:W3CDTF">2017-09-25T16:21:00Z</dcterms:created>
  <dcterms:modified xsi:type="dcterms:W3CDTF">2017-09-27T07:59:00Z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