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bookmarkStart w:id="1" w:name="_GoBack"/>
      <w:bookmarkEnd w:id="1"/>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Insert your responses to the questions in the Consultation Paper in the form “Response form_Consultation Paper on EU Growth prospectus”, available on ESMA’s website alon</w:t>
      </w:r>
      <w:r w:rsidRPr="00E40A5C">
        <w:rPr>
          <w:rStyle w:val="SubtleEmphasis"/>
          <w:b w:val="0"/>
          <w:sz w:val="22"/>
        </w:rPr>
        <w:t>g</w:t>
      </w:r>
      <w:r w:rsidRPr="00E40A5C">
        <w:rPr>
          <w:rStyle w:val="SubtleEmphasis"/>
          <w:b w:val="0"/>
          <w:sz w:val="22"/>
        </w:rPr>
        <w:t>side the present Consultation Paper (</w:t>
      </w:r>
      <w:hyperlink r:id="rId17"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w:t>
      </w:r>
      <w:r w:rsidRPr="00E40A5C">
        <w:rPr>
          <w:rStyle w:val="SubtleEmphasis"/>
          <w:b w:val="0"/>
          <w:sz w:val="22"/>
        </w:rPr>
        <w:t>l</w:t>
      </w:r>
      <w:r w:rsidRPr="00E40A5C">
        <w:rPr>
          <w:rStyle w:val="SubtleEmphasis"/>
          <w:b w:val="0"/>
          <w:sz w:val="22"/>
        </w:rPr>
        <w:t xml:space="preserve">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ESMA_EUG_nameofrespondent_RESPONSEFORM. For example, for a respondent named ABCD, the response form would be entitled E</w:t>
      </w:r>
      <w:r w:rsidRPr="00E40A5C">
        <w:rPr>
          <w:rStyle w:val="SubtleEmphasis"/>
          <w:b w:val="0"/>
          <w:sz w:val="22"/>
        </w:rPr>
        <w:t>S</w:t>
      </w:r>
      <w:r w:rsidRPr="00E40A5C">
        <w:rPr>
          <w:rStyle w:val="SubtleEmphasis"/>
          <w:b w:val="0"/>
          <w:sz w:val="22"/>
        </w:rPr>
        <w:t>MA_EUG_ABCD_RESPONSEFORM.</w:t>
      </w:r>
    </w:p>
    <w:p w14:paraId="08D412C9" w14:textId="77777777" w:rsidR="009A3017" w:rsidRPr="00E40A5C" w:rsidRDefault="009A3017" w:rsidP="009A3017">
      <w:pPr>
        <w:pStyle w:val="ListParagraph"/>
        <w:numPr>
          <w:ilvl w:val="0"/>
          <w:numId w:val="42"/>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8"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w:t>
      </w:r>
      <w:r w:rsidRPr="00E40A5C">
        <w:rPr>
          <w:rStyle w:val="SubtleEmphasis"/>
          <w:b w:val="0"/>
          <w:sz w:val="22"/>
        </w:rPr>
        <w:t>a</w:t>
      </w:r>
      <w:r w:rsidRPr="00E40A5C">
        <w:rPr>
          <w:rStyle w:val="SubtleEmphasis"/>
          <w:b w:val="0"/>
          <w:sz w:val="22"/>
        </w:rPr>
        <w:t>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E40A5C">
        <w:rPr>
          <w:rStyle w:val="SubtleEmphasis"/>
          <w:b w:val="0"/>
          <w:sz w:val="22"/>
          <w:u w:val="single"/>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standard conf</w:t>
      </w:r>
      <w:r w:rsidRPr="00E40A5C">
        <w:rPr>
          <w:rStyle w:val="SubtleEmphasis"/>
          <w:b w:val="0"/>
          <w:sz w:val="22"/>
          <w:lang w:eastAsia="en-GB"/>
        </w:rPr>
        <w:t>i</w:t>
      </w:r>
      <w:r w:rsidRPr="00E40A5C">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E40A5C">
        <w:rPr>
          <w:rStyle w:val="SubtleEmphasis"/>
          <w:b w:val="0"/>
          <w:sz w:val="22"/>
          <w:lang w:eastAsia="en-GB"/>
        </w:rPr>
        <w:lastRenderedPageBreak/>
        <w:t>disclose the response is reviewable by ESMA’s Board of Appeal and the European Ombud</w:t>
      </w:r>
      <w:r w:rsidRPr="00E40A5C">
        <w:rPr>
          <w:rStyle w:val="SubtleEmphasis"/>
          <w:b w:val="0"/>
          <w:sz w:val="22"/>
          <w:lang w:eastAsia="en-GB"/>
        </w:rPr>
        <w:t>s</w:t>
      </w:r>
      <w:r w:rsidRPr="00E40A5C">
        <w:rPr>
          <w:rStyle w:val="SubtleEmphasis"/>
          <w:b w:val="0"/>
          <w:sz w:val="22"/>
          <w:lang w:eastAsia="en-GB"/>
        </w:rPr>
        <w:t>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9"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‘Data  protection’.</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E40A5C">
        <w:rPr>
          <w:rStyle w:val="SubtleEmphasis"/>
          <w:b w:val="0"/>
          <w:sz w:val="22"/>
          <w:lang w:eastAsia="en-GB"/>
        </w:rPr>
        <w:t>i</w:t>
      </w:r>
      <w:r w:rsidRPr="00E40A5C">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13793D0C" w:rsidR="00B327E9" w:rsidRPr="00AB6D88" w:rsidRDefault="003B7E46" w:rsidP="003B7E46">
                <w:pPr>
                  <w:rPr>
                    <w:rStyle w:val="PlaceholderText"/>
                    <w:rFonts w:cs="Arial"/>
                  </w:rPr>
                </w:pPr>
                <w:r>
                  <w:rPr>
                    <w:rStyle w:val="PlaceholderText"/>
                    <w:rFonts w:cs="Arial"/>
                  </w:rPr>
                  <w:t>Quoted Companies Alliance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7777777" w:rsidR="00B327E9" w:rsidRPr="00AB6D88" w:rsidRDefault="00772FB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C7B9B85" w:rsidR="00B327E9" w:rsidRPr="00AB6D88" w:rsidRDefault="003B7E46"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A970C59" w:rsidR="00B327E9" w:rsidRPr="00AB6D88" w:rsidRDefault="003B7E46" w:rsidP="003B7E46">
                <w:pPr>
                  <w:rPr>
                    <w:rFonts w:cs="Arial"/>
                  </w:rPr>
                </w:pPr>
                <w:r>
                  <w:rPr>
                    <w:rFonts w:cs="Arial"/>
                  </w:rPr>
                  <w:t>London</w:t>
                </w:r>
                <w:r w:rsidR="00772FB7">
                  <w:rPr>
                    <w:rFonts w:cs="Arial"/>
                  </w:rPr>
                  <w:t>, United Kingdom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7E899A89" w14:textId="4FA7D194" w:rsidR="003B7E46" w:rsidRPr="007A4AFC" w:rsidRDefault="003B7E46" w:rsidP="00772FB7">
      <w:pPr>
        <w:suppressAutoHyphens/>
        <w:jc w:val="both"/>
        <w:rPr>
          <w:rFonts w:ascii="Calibri" w:hAnsi="Calibri"/>
        </w:rPr>
      </w:pPr>
      <w:permStart w:id="1937050393" w:edGrp="everyone"/>
      <w:r w:rsidRPr="007A4AFC">
        <w:rPr>
          <w:rFonts w:ascii="Calibri" w:hAnsi="Calibri"/>
        </w:rPr>
        <w:t xml:space="preserve">We welcome the opportunity to respond to </w:t>
      </w:r>
      <w:r>
        <w:rPr>
          <w:rFonts w:ascii="Calibri" w:hAnsi="Calibri"/>
        </w:rPr>
        <w:t>ESMA’s</w:t>
      </w:r>
      <w:r w:rsidRPr="007A4AFC">
        <w:rPr>
          <w:rFonts w:ascii="Calibri" w:hAnsi="Calibri"/>
        </w:rPr>
        <w:t xml:space="preserve"> draft technical advice on an EU </w:t>
      </w:r>
      <w:r>
        <w:rPr>
          <w:rFonts w:ascii="Calibri" w:hAnsi="Calibri"/>
        </w:rPr>
        <w:t>G</w:t>
      </w:r>
      <w:r w:rsidRPr="007A4AFC">
        <w:rPr>
          <w:rFonts w:ascii="Calibri" w:hAnsi="Calibri"/>
        </w:rPr>
        <w:t>rowth prospectus’s content and format. The Quoted Companies Alliance Legal and Primary Markets Expert Groups have examined your proposals and advised on this r</w:t>
      </w:r>
      <w:r>
        <w:rPr>
          <w:rFonts w:ascii="Calibri" w:hAnsi="Calibri"/>
        </w:rPr>
        <w:t xml:space="preserve">esponse. </w:t>
      </w:r>
    </w:p>
    <w:p w14:paraId="6C9AA698" w14:textId="31511CDA" w:rsidR="00B327E9" w:rsidRPr="003B7E46" w:rsidRDefault="003B7E46" w:rsidP="00772FB7">
      <w:pPr>
        <w:suppressAutoHyphens/>
        <w:jc w:val="both"/>
        <w:rPr>
          <w:rFonts w:ascii="Calibri" w:hAnsi="Calibri"/>
        </w:rPr>
      </w:pPr>
      <w:r w:rsidRPr="007A4AFC">
        <w:rPr>
          <w:rFonts w:ascii="Calibri" w:hAnsi="Calibri"/>
        </w:rPr>
        <w:t>We have</w:t>
      </w:r>
      <w:r w:rsidR="005C6EB3">
        <w:rPr>
          <w:rFonts w:ascii="Calibri" w:hAnsi="Calibri"/>
        </w:rPr>
        <w:t xml:space="preserve"> responded below to the specific questions</w:t>
      </w:r>
      <w:r w:rsidRPr="007A4AFC">
        <w:rPr>
          <w:rFonts w:ascii="Calibri" w:hAnsi="Calibri"/>
        </w:rPr>
        <w:t xml:space="preserve"> from the point of view of our members, small and mid-size quoted companies.</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43"/>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w:t>
      </w:r>
      <w:r w:rsidR="000A58BE" w:rsidRPr="000A58BE">
        <w:rPr>
          <w:rFonts w:ascii="Arial" w:hAnsi="Arial" w:cs="Arial"/>
        </w:rPr>
        <w:t>s</w:t>
      </w:r>
      <w:r w:rsidR="000A58BE" w:rsidRPr="000A58BE">
        <w:rPr>
          <w:rFonts w:ascii="Arial" w:hAnsi="Arial" w:cs="Arial"/>
        </w:rPr>
        <w:t>pecially in terms of the costs and benefits implied.</w:t>
      </w:r>
    </w:p>
    <w:p w14:paraId="2A4AEDE8" w14:textId="77777777" w:rsidR="000A58BE" w:rsidRDefault="000A58BE" w:rsidP="000A58BE">
      <w:pPr>
        <w:rPr>
          <w:rFonts w:cs="Arial"/>
        </w:rPr>
      </w:pPr>
      <w:r>
        <w:rPr>
          <w:rFonts w:cs="Arial"/>
        </w:rPr>
        <w:t>&lt;ESMA_QUESTION_EUG_1&gt;</w:t>
      </w:r>
    </w:p>
    <w:p w14:paraId="165E9DED" w14:textId="77777777" w:rsidR="003B7E46" w:rsidRDefault="003B7E46" w:rsidP="00772FB7">
      <w:pPr>
        <w:suppressAutoHyphens/>
        <w:jc w:val="both"/>
        <w:rPr>
          <w:rFonts w:ascii="Calibri" w:hAnsi="Calibri"/>
        </w:rPr>
      </w:pPr>
      <w:permStart w:id="387406280" w:edGrp="everyone"/>
      <w:r>
        <w:rPr>
          <w:rFonts w:ascii="Calibri" w:hAnsi="Calibri"/>
        </w:rPr>
        <w:t>We agree that the EU Growth Prospectus and its sections should be specifically calibrated to facilitate access to equity finance and growth to small and mid-size companies.</w:t>
      </w:r>
    </w:p>
    <w:p w14:paraId="46DD40BA" w14:textId="77777777" w:rsidR="003B7E46" w:rsidRDefault="003B7E46" w:rsidP="00772FB7">
      <w:pPr>
        <w:suppressAutoHyphens/>
        <w:jc w:val="both"/>
        <w:rPr>
          <w:rFonts w:ascii="Calibri" w:hAnsi="Calibri"/>
        </w:rPr>
      </w:pPr>
      <w:r w:rsidRPr="007E601A">
        <w:rPr>
          <w:rFonts w:ascii="Calibri" w:hAnsi="Calibri"/>
        </w:rPr>
        <w:t>Broadly, we have no particular concerns over the proposed sections to be inserted in an EU Growth Prospectus</w:t>
      </w:r>
      <w:r>
        <w:rPr>
          <w:rFonts w:ascii="Calibri" w:hAnsi="Calibri"/>
        </w:rPr>
        <w:t>. However, we believe that the specific sections proposed could follow a different order:</w:t>
      </w:r>
    </w:p>
    <w:p w14:paraId="3108E72F" w14:textId="77777777" w:rsidR="003B7E46" w:rsidRPr="00CE1536" w:rsidRDefault="003B7E46" w:rsidP="00772FB7">
      <w:pPr>
        <w:pStyle w:val="ListParagraph"/>
        <w:numPr>
          <w:ilvl w:val="0"/>
          <w:numId w:val="38"/>
        </w:numPr>
        <w:suppressAutoHyphens/>
        <w:spacing w:after="200" w:line="276" w:lineRule="auto"/>
        <w:ind w:left="567" w:hanging="283"/>
        <w:contextualSpacing w:val="0"/>
        <w:jc w:val="both"/>
        <w:rPr>
          <w:rFonts w:ascii="Calibri" w:hAnsi="Calibri"/>
        </w:rPr>
      </w:pPr>
      <w:r w:rsidRPr="00CE1536">
        <w:rPr>
          <w:rFonts w:ascii="Calibri" w:hAnsi="Calibri"/>
        </w:rPr>
        <w:t>the corporate governance section could follow the section on strategy, performance and business environment;</w:t>
      </w:r>
    </w:p>
    <w:p w14:paraId="3D99CA4B" w14:textId="77777777" w:rsidR="003B7E46" w:rsidRPr="00CE1536" w:rsidRDefault="003B7E46" w:rsidP="00772FB7">
      <w:pPr>
        <w:pStyle w:val="ListParagraph"/>
        <w:numPr>
          <w:ilvl w:val="0"/>
          <w:numId w:val="38"/>
        </w:numPr>
        <w:suppressAutoHyphens/>
        <w:spacing w:after="200" w:line="276" w:lineRule="auto"/>
        <w:ind w:left="567" w:hanging="283"/>
        <w:contextualSpacing w:val="0"/>
        <w:jc w:val="both"/>
        <w:rPr>
          <w:rFonts w:ascii="Calibri" w:hAnsi="Calibri"/>
        </w:rPr>
      </w:pPr>
      <w:r w:rsidRPr="00CE1536">
        <w:rPr>
          <w:rFonts w:ascii="Calibri" w:hAnsi="Calibri"/>
        </w:rPr>
        <w:t>details of the offer/admission and terms and conditions of the securities</w:t>
      </w:r>
      <w:r>
        <w:rPr>
          <w:rFonts w:ascii="Calibri" w:hAnsi="Calibri"/>
        </w:rPr>
        <w:t xml:space="preserve"> would be</w:t>
      </w:r>
      <w:r w:rsidRPr="00CE1536">
        <w:rPr>
          <w:rFonts w:ascii="Calibri" w:hAnsi="Calibri"/>
        </w:rPr>
        <w:t xml:space="preserve"> better set out ahead of the risk factors and working capital statement;</w:t>
      </w:r>
    </w:p>
    <w:p w14:paraId="101DCEBF" w14:textId="77777777" w:rsidR="003B7E46" w:rsidRDefault="003B7E46" w:rsidP="00772FB7">
      <w:pPr>
        <w:pStyle w:val="ListParagraph"/>
        <w:numPr>
          <w:ilvl w:val="0"/>
          <w:numId w:val="38"/>
        </w:numPr>
        <w:suppressAutoHyphens/>
        <w:spacing w:after="200" w:line="276" w:lineRule="auto"/>
        <w:ind w:left="567" w:hanging="283"/>
        <w:contextualSpacing w:val="0"/>
        <w:jc w:val="both"/>
        <w:rPr>
          <w:rFonts w:ascii="Calibri" w:hAnsi="Calibri"/>
        </w:rPr>
      </w:pPr>
      <w:r>
        <w:rPr>
          <w:rFonts w:ascii="Calibri" w:hAnsi="Calibri"/>
        </w:rPr>
        <w:t xml:space="preserve">the </w:t>
      </w:r>
      <w:r w:rsidRPr="00CE1536">
        <w:rPr>
          <w:rFonts w:ascii="Calibri" w:hAnsi="Calibri"/>
        </w:rPr>
        <w:t>working capital statement and statement of capitalisation and</w:t>
      </w:r>
      <w:r w:rsidRPr="00397CAA">
        <w:rPr>
          <w:rFonts w:ascii="Calibri" w:hAnsi="Calibri"/>
        </w:rPr>
        <w:t xml:space="preserve"> indebtedness would be </w:t>
      </w:r>
      <w:r w:rsidRPr="00CE1536">
        <w:rPr>
          <w:rFonts w:ascii="Calibri" w:hAnsi="Calibri"/>
        </w:rPr>
        <w:t xml:space="preserve">better </w:t>
      </w:r>
      <w:r>
        <w:rPr>
          <w:rFonts w:ascii="Calibri" w:hAnsi="Calibri"/>
        </w:rPr>
        <w:t xml:space="preserve">set out </w:t>
      </w:r>
      <w:r w:rsidRPr="00CE1536">
        <w:rPr>
          <w:rFonts w:ascii="Calibri" w:hAnsi="Calibri"/>
        </w:rPr>
        <w:t>together with the financial statements and KPIs; and</w:t>
      </w:r>
    </w:p>
    <w:p w14:paraId="1795AF08" w14:textId="39FDCF97" w:rsidR="000A58BE" w:rsidRDefault="003B7E46" w:rsidP="00772FB7">
      <w:pPr>
        <w:pStyle w:val="ListParagraph"/>
        <w:numPr>
          <w:ilvl w:val="0"/>
          <w:numId w:val="38"/>
        </w:numPr>
        <w:suppressAutoHyphens/>
        <w:spacing w:after="200" w:line="276" w:lineRule="auto"/>
        <w:ind w:left="567" w:hanging="283"/>
        <w:contextualSpacing w:val="0"/>
        <w:jc w:val="both"/>
        <w:rPr>
          <w:rFonts w:ascii="Calibri" w:hAnsi="Calibri"/>
        </w:rPr>
      </w:pPr>
      <w:r w:rsidRPr="003B7E46">
        <w:rPr>
          <w:rFonts w:ascii="Calibri" w:hAnsi="Calibri"/>
        </w:rPr>
        <w:t>the risk factors should be included at the end of the document</w:t>
      </w:r>
      <w:r>
        <w:rPr>
          <w:rFonts w:ascii="Calibri" w:hAnsi="Calibri"/>
        </w:rPr>
        <w:t>.</w:t>
      </w:r>
    </w:p>
    <w:p w14:paraId="7ACE658B" w14:textId="77777777" w:rsidR="003B7E46" w:rsidRPr="003B7E46" w:rsidRDefault="003B7E46" w:rsidP="00772FB7">
      <w:pPr>
        <w:suppressAutoHyphens/>
        <w:jc w:val="both"/>
        <w:rPr>
          <w:rFonts w:ascii="Calibri" w:hAnsi="Calibri"/>
        </w:rPr>
      </w:pPr>
      <w:r w:rsidRPr="003B7E46">
        <w:rPr>
          <w:rFonts w:ascii="Calibri" w:hAnsi="Calibri"/>
        </w:rPr>
        <w:t>Presenting the specific sections in this order would allow smaller issuers to better explain their reasoning and specificities in a logical and more comprehensible way from an investor’s point of view.</w:t>
      </w:r>
    </w:p>
    <w:p w14:paraId="5B1A8300" w14:textId="77777777" w:rsidR="003B7E46" w:rsidRPr="003B7E46" w:rsidRDefault="003B7E46" w:rsidP="00772FB7">
      <w:pPr>
        <w:suppressAutoHyphens/>
        <w:jc w:val="both"/>
        <w:rPr>
          <w:rFonts w:ascii="Calibri" w:hAnsi="Calibri"/>
        </w:rPr>
      </w:pPr>
      <w:r w:rsidRPr="003B7E46">
        <w:rPr>
          <w:rFonts w:ascii="Calibri" w:hAnsi="Calibri"/>
        </w:rPr>
        <w:t xml:space="preserve">Furthermore, as explained below, we are concerned about restricting the inclusion of working capital statements to offers by issuers with a market capitalisation of €200m or more. </w:t>
      </w:r>
    </w:p>
    <w:p w14:paraId="23207A6F" w14:textId="77777777" w:rsidR="003B7E46" w:rsidRPr="003B7E46" w:rsidRDefault="003B7E46" w:rsidP="00772FB7">
      <w:pPr>
        <w:suppressAutoHyphens/>
        <w:jc w:val="both"/>
        <w:rPr>
          <w:rFonts w:ascii="Calibri" w:hAnsi="Calibri"/>
        </w:rPr>
      </w:pPr>
      <w:r w:rsidRPr="003B7E46">
        <w:rPr>
          <w:rFonts w:ascii="Calibri" w:hAnsi="Calibri"/>
        </w:rPr>
        <w:t xml:space="preserve">As explained in our response to Q4, we do not support any mandatory requirement for a cover note or for its contents. We would also take a different approach to the contents of the summary (particularly where the issuer draws up an EU Growth prospectus as a single document).  </w:t>
      </w:r>
    </w:p>
    <w:p w14:paraId="7943D2E0" w14:textId="215B29EB" w:rsidR="003B7E46" w:rsidRPr="003B7E46" w:rsidRDefault="003B7E46" w:rsidP="00772FB7">
      <w:pPr>
        <w:suppressAutoHyphens/>
        <w:jc w:val="both"/>
        <w:rPr>
          <w:rFonts w:ascii="Calibri" w:hAnsi="Calibri"/>
        </w:rPr>
      </w:pPr>
      <w:r w:rsidRPr="003B7E46">
        <w:rPr>
          <w:rFonts w:ascii="Calibri" w:hAnsi="Calibri"/>
        </w:rPr>
        <w:t>We recommend that the requirements for equity and non-equity issuances should be separated in order for them to be clearly and swiftly understood by issuers and their advisers, making the process more cost-effective. Please see our response to Q6.</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proposal to allow issuers to define the order of the info</w:t>
      </w:r>
      <w:r w:rsidRPr="000A58BE">
        <w:rPr>
          <w:rFonts w:ascii="Arial" w:hAnsi="Arial" w:cs="Arial"/>
        </w:rPr>
        <w:t>r</w:t>
      </w:r>
      <w:r w:rsidRPr="000A58BE">
        <w:rPr>
          <w:rFonts w:ascii="Arial" w:hAnsi="Arial" w:cs="Arial"/>
        </w:rPr>
        <w:t>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09214361" w14:textId="77777777" w:rsidR="003B7E46" w:rsidRPr="007E601A" w:rsidRDefault="003B7E46" w:rsidP="003B7E46">
      <w:pPr>
        <w:jc w:val="both"/>
        <w:rPr>
          <w:rFonts w:ascii="Calibri" w:hAnsi="Calibri"/>
        </w:rPr>
      </w:pPr>
      <w:permStart w:id="168850286" w:edGrp="everyone"/>
      <w:r w:rsidRPr="007E601A">
        <w:rPr>
          <w:rFonts w:ascii="Calibri" w:hAnsi="Calibri"/>
        </w:rPr>
        <w:t>We support the proposal tha</w:t>
      </w:r>
      <w:r>
        <w:rPr>
          <w:rFonts w:ascii="Calibri" w:hAnsi="Calibri"/>
        </w:rPr>
        <w:t>t issuers should be free to defin</w:t>
      </w:r>
      <w:r w:rsidRPr="007E601A">
        <w:rPr>
          <w:rFonts w:ascii="Calibri" w:hAnsi="Calibri"/>
        </w:rPr>
        <w:t>e the order of</w:t>
      </w:r>
      <w:r>
        <w:rPr>
          <w:rFonts w:ascii="Calibri" w:hAnsi="Calibri"/>
        </w:rPr>
        <w:t xml:space="preserve"> the information items within each</w:t>
      </w:r>
      <w:r w:rsidRPr="007E601A">
        <w:rPr>
          <w:rFonts w:ascii="Calibri" w:hAnsi="Calibri"/>
        </w:rPr>
        <w:t xml:space="preserve"> section. </w:t>
      </w:r>
      <w:r>
        <w:rPr>
          <w:rFonts w:ascii="Calibri" w:hAnsi="Calibri"/>
        </w:rPr>
        <w:t>Ultimately, a</w:t>
      </w:r>
      <w:r w:rsidRPr="007E601A">
        <w:rPr>
          <w:rFonts w:ascii="Calibri" w:hAnsi="Calibri"/>
        </w:rPr>
        <w:t xml:space="preserve"> prospectus </w:t>
      </w:r>
      <w:r>
        <w:rPr>
          <w:rFonts w:ascii="Calibri" w:hAnsi="Calibri"/>
        </w:rPr>
        <w:t>should be recognised as</w:t>
      </w:r>
      <w:r w:rsidRPr="007E601A">
        <w:rPr>
          <w:rFonts w:ascii="Calibri" w:hAnsi="Calibri"/>
        </w:rPr>
        <w:t xml:space="preserve"> a selling or offering document</w:t>
      </w:r>
      <w:r>
        <w:rPr>
          <w:rFonts w:ascii="Calibri" w:hAnsi="Calibri"/>
        </w:rPr>
        <w:t>. Is</w:t>
      </w:r>
      <w:r w:rsidRPr="007E601A">
        <w:rPr>
          <w:rFonts w:ascii="Calibri" w:hAnsi="Calibri"/>
        </w:rPr>
        <w:t xml:space="preserve">suers should be free to disclose certain information in a manner which serves their interests best and which they consider to be the most material. </w:t>
      </w:r>
      <w:r>
        <w:rPr>
          <w:rFonts w:ascii="Calibri" w:hAnsi="Calibri"/>
        </w:rPr>
        <w:t xml:space="preserve">The document should be comprehensible and specific to the issuer. </w:t>
      </w:r>
      <w:r w:rsidRPr="007E601A">
        <w:rPr>
          <w:rFonts w:ascii="Calibri" w:hAnsi="Calibri"/>
        </w:rPr>
        <w:t xml:space="preserve">Imposing </w:t>
      </w:r>
      <w:r>
        <w:rPr>
          <w:rFonts w:ascii="Calibri" w:hAnsi="Calibri"/>
        </w:rPr>
        <w:t>a rigid format</w:t>
      </w:r>
      <w:r w:rsidRPr="007E601A">
        <w:rPr>
          <w:rFonts w:ascii="Calibri" w:hAnsi="Calibri"/>
        </w:rPr>
        <w:t xml:space="preserve"> would detract from this purpose. We do not consider </w:t>
      </w:r>
      <w:r>
        <w:rPr>
          <w:rFonts w:ascii="Calibri" w:hAnsi="Calibri"/>
        </w:rPr>
        <w:t>that allowing the issuers to freely determine the order of information items</w:t>
      </w:r>
      <w:r w:rsidRPr="007E601A">
        <w:rPr>
          <w:rFonts w:ascii="Calibri" w:hAnsi="Calibri"/>
        </w:rPr>
        <w:t xml:space="preserve"> would have any detrimental effect on investor protection.</w:t>
      </w:r>
    </w:p>
    <w:p w14:paraId="705F06CE" w14:textId="37A60CD7" w:rsidR="000A58BE" w:rsidRPr="003B7E46" w:rsidRDefault="003B7E46" w:rsidP="003B7E46">
      <w:pPr>
        <w:jc w:val="both"/>
        <w:rPr>
          <w:rFonts w:ascii="Calibri" w:hAnsi="Calibri"/>
          <w:color w:val="FF0000"/>
        </w:rPr>
      </w:pPr>
      <w:r w:rsidRPr="00562FA0">
        <w:rPr>
          <w:rFonts w:ascii="Calibri" w:hAnsi="Calibri"/>
        </w:rPr>
        <w:t xml:space="preserve">In addition, </w:t>
      </w:r>
      <w:r>
        <w:rPr>
          <w:rFonts w:ascii="Calibri" w:hAnsi="Calibri"/>
        </w:rPr>
        <w:t xml:space="preserve">we believe that </w:t>
      </w:r>
      <w:r w:rsidRPr="00562FA0">
        <w:rPr>
          <w:rFonts w:ascii="Calibri" w:hAnsi="Calibri"/>
        </w:rPr>
        <w:t xml:space="preserve">allowing flexibility in the disclosure of information </w:t>
      </w:r>
      <w:r>
        <w:rPr>
          <w:rFonts w:ascii="Calibri" w:hAnsi="Calibri"/>
        </w:rPr>
        <w:t>would not</w:t>
      </w:r>
      <w:r w:rsidRPr="00562FA0">
        <w:rPr>
          <w:rFonts w:ascii="Calibri" w:hAnsi="Calibri"/>
        </w:rPr>
        <w:t xml:space="preserve"> undermine </w:t>
      </w:r>
      <w:r>
        <w:rPr>
          <w:rFonts w:ascii="Calibri" w:hAnsi="Calibri"/>
        </w:rPr>
        <w:t>investors’</w:t>
      </w:r>
      <w:r w:rsidRPr="00562FA0">
        <w:rPr>
          <w:rFonts w:ascii="Calibri" w:hAnsi="Calibri"/>
        </w:rPr>
        <w:t xml:space="preserve"> ability to make </w:t>
      </w:r>
      <w:r>
        <w:rPr>
          <w:rFonts w:ascii="Calibri" w:hAnsi="Calibri"/>
        </w:rPr>
        <w:t>a comparability</w:t>
      </w:r>
      <w:r w:rsidRPr="00562FA0">
        <w:rPr>
          <w:rFonts w:ascii="Calibri" w:hAnsi="Calibri"/>
        </w:rPr>
        <w:t xml:space="preserve"> assessment. </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43"/>
        </w:numPr>
        <w:rPr>
          <w:rFonts w:ascii="Arial" w:hAnsi="Arial" w:cs="Arial"/>
        </w:rPr>
      </w:pPr>
      <w:r>
        <w:lastRenderedPageBreak/>
        <w:t xml:space="preserve">: </w:t>
      </w:r>
      <w:r w:rsidRPr="000A58BE">
        <w:rPr>
          <w:rFonts w:ascii="Arial" w:hAnsi="Arial" w:cs="Arial"/>
        </w:rPr>
        <w:t>Given the location of risk factors in Annexes IV and V of the Prospectus Regul</w:t>
      </w:r>
      <w:r w:rsidRPr="000A58BE">
        <w:rPr>
          <w:rFonts w:ascii="Arial" w:hAnsi="Arial" w:cs="Arial"/>
        </w:rPr>
        <w:t>a</w:t>
      </w:r>
      <w:r w:rsidRPr="000A58BE">
        <w:rPr>
          <w:rFonts w:ascii="Arial" w:hAnsi="Arial" w:cs="Arial"/>
        </w:rPr>
        <w:t>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66461239" w14:textId="77777777" w:rsidR="003B7E46" w:rsidRPr="007E601A" w:rsidRDefault="003B7E46" w:rsidP="00772FB7">
      <w:pPr>
        <w:suppressAutoHyphens/>
        <w:jc w:val="both"/>
        <w:rPr>
          <w:rFonts w:ascii="Calibri" w:hAnsi="Calibri"/>
        </w:rPr>
      </w:pPr>
      <w:permStart w:id="2082949404" w:edGrp="everyone"/>
      <w:r>
        <w:rPr>
          <w:rFonts w:ascii="Calibri" w:hAnsi="Calibri"/>
        </w:rPr>
        <w:t xml:space="preserve">We suggest that </w:t>
      </w:r>
      <w:r w:rsidRPr="007E601A">
        <w:rPr>
          <w:rFonts w:ascii="Calibri" w:hAnsi="Calibri"/>
        </w:rPr>
        <w:t>there is merit in placing the risk factors between the description of the issuer's strategy, performance and business environment and details of the offer</w:t>
      </w:r>
      <w:r>
        <w:rPr>
          <w:rFonts w:ascii="Calibri" w:hAnsi="Calibri"/>
        </w:rPr>
        <w:t>, which would seem to benefit investor protection</w:t>
      </w:r>
      <w:r w:rsidRPr="007E601A">
        <w:rPr>
          <w:rFonts w:ascii="Calibri" w:hAnsi="Calibri"/>
        </w:rPr>
        <w:t xml:space="preserve">. </w:t>
      </w:r>
      <w:r>
        <w:rPr>
          <w:rFonts w:ascii="Calibri" w:hAnsi="Calibri"/>
        </w:rPr>
        <w:t>Ho</w:t>
      </w:r>
      <w:r>
        <w:rPr>
          <w:rFonts w:ascii="Calibri" w:hAnsi="Calibri"/>
        </w:rPr>
        <w:t>w</w:t>
      </w:r>
      <w:r>
        <w:rPr>
          <w:rFonts w:ascii="Calibri" w:hAnsi="Calibri"/>
        </w:rPr>
        <w:t>ever, we believe that, from the perspective of the issuer, the section on risk factors should be located at the end of the document. By locating risk factors at the end of the document, issuers would be allowed to better explain them while being able to flag them in contents and relevant statements throughout the document.</w:t>
      </w:r>
    </w:p>
    <w:p w14:paraId="2936021B" w14:textId="77777777" w:rsidR="003B7E46" w:rsidRPr="007E601A" w:rsidRDefault="003B7E46" w:rsidP="00772FB7">
      <w:pPr>
        <w:suppressAutoHyphens/>
        <w:jc w:val="both"/>
        <w:rPr>
          <w:rFonts w:ascii="Calibri" w:hAnsi="Calibri"/>
        </w:rPr>
      </w:pPr>
      <w:r w:rsidRPr="007E601A">
        <w:rPr>
          <w:rFonts w:ascii="Calibri" w:hAnsi="Calibri"/>
        </w:rPr>
        <w:t xml:space="preserve">As </w:t>
      </w:r>
      <w:r>
        <w:rPr>
          <w:rFonts w:ascii="Calibri" w:hAnsi="Calibri"/>
        </w:rPr>
        <w:t>explained in our</w:t>
      </w:r>
      <w:r w:rsidRPr="007E601A">
        <w:rPr>
          <w:rFonts w:ascii="Calibri" w:hAnsi="Calibri"/>
        </w:rPr>
        <w:t xml:space="preserve"> response to Q20, we di</w:t>
      </w:r>
      <w:r>
        <w:rPr>
          <w:rFonts w:ascii="Calibri" w:hAnsi="Calibri"/>
        </w:rPr>
        <w:t>sagree with</w:t>
      </w:r>
      <w:r w:rsidRPr="007E601A">
        <w:rPr>
          <w:rFonts w:ascii="Calibri" w:hAnsi="Calibri"/>
        </w:rPr>
        <w:t xml:space="preserve"> the approach taken by ESMA in relation to the summary. In our view, </w:t>
      </w:r>
      <w:r>
        <w:rPr>
          <w:rFonts w:ascii="Calibri" w:hAnsi="Calibri"/>
        </w:rPr>
        <w:t>we believe that it could be potentially detrimental for both issuers and investors, particularly</w:t>
      </w:r>
      <w:r w:rsidRPr="007E601A">
        <w:rPr>
          <w:rFonts w:ascii="Calibri" w:hAnsi="Calibri"/>
        </w:rPr>
        <w:t xml:space="preserve"> in a single unified prospectus, for an arbitrary number of risk factors to be summarised in the summary and also to be fragmented in the manner suggested by ESMA.</w:t>
      </w:r>
    </w:p>
    <w:p w14:paraId="17FB80C8" w14:textId="77777777" w:rsidR="003B7E46" w:rsidRDefault="003B7E46" w:rsidP="00772FB7">
      <w:pPr>
        <w:suppressAutoHyphens/>
        <w:jc w:val="both"/>
        <w:rPr>
          <w:rFonts w:ascii="Calibri" w:hAnsi="Calibri"/>
        </w:rPr>
      </w:pPr>
      <w:r>
        <w:rPr>
          <w:rFonts w:ascii="Calibri" w:hAnsi="Calibri"/>
        </w:rPr>
        <w:t>T</w:t>
      </w:r>
      <w:r w:rsidRPr="007E601A">
        <w:rPr>
          <w:rFonts w:ascii="Calibri" w:hAnsi="Calibri"/>
        </w:rPr>
        <w:t xml:space="preserve">o include </w:t>
      </w:r>
      <w:r>
        <w:rPr>
          <w:rFonts w:ascii="Calibri" w:hAnsi="Calibri"/>
        </w:rPr>
        <w:t xml:space="preserve">some </w:t>
      </w:r>
      <w:r w:rsidRPr="007E601A">
        <w:rPr>
          <w:rFonts w:ascii="Calibri" w:hAnsi="Calibri"/>
        </w:rPr>
        <w:t>risk factors in the summary</w:t>
      </w:r>
      <w:r>
        <w:rPr>
          <w:rFonts w:ascii="Calibri" w:hAnsi="Calibri"/>
        </w:rPr>
        <w:t>, with a</w:t>
      </w:r>
      <w:r w:rsidRPr="007E601A">
        <w:rPr>
          <w:rFonts w:ascii="Calibri" w:hAnsi="Calibri"/>
        </w:rPr>
        <w:t xml:space="preserve"> mathematical cut off at </w:t>
      </w:r>
      <w:r>
        <w:rPr>
          <w:rFonts w:ascii="Calibri" w:hAnsi="Calibri"/>
        </w:rPr>
        <w:t>10,</w:t>
      </w:r>
      <w:r w:rsidRPr="007E601A">
        <w:rPr>
          <w:rFonts w:ascii="Calibri" w:hAnsi="Calibri"/>
        </w:rPr>
        <w:t xml:space="preserve"> </w:t>
      </w:r>
      <w:r>
        <w:rPr>
          <w:rFonts w:ascii="Calibri" w:hAnsi="Calibri"/>
        </w:rPr>
        <w:t xml:space="preserve">could lead to the potential risk that </w:t>
      </w:r>
      <w:r w:rsidRPr="007E601A">
        <w:rPr>
          <w:rFonts w:ascii="Calibri" w:hAnsi="Calibri"/>
        </w:rPr>
        <w:t xml:space="preserve">a retail investor may not give sufficient weight to </w:t>
      </w:r>
      <w:r>
        <w:rPr>
          <w:rFonts w:ascii="Calibri" w:hAnsi="Calibri"/>
        </w:rPr>
        <w:t>the other risk factors contained in the risk factors section</w:t>
      </w:r>
      <w:r w:rsidRPr="007E601A">
        <w:rPr>
          <w:rFonts w:ascii="Calibri" w:hAnsi="Calibri"/>
        </w:rPr>
        <w:t xml:space="preserve">. </w:t>
      </w:r>
      <w:r>
        <w:rPr>
          <w:rFonts w:ascii="Calibri" w:hAnsi="Calibri"/>
        </w:rPr>
        <w:t>This could misrepresent the issuer and mislead the investor.</w:t>
      </w:r>
    </w:p>
    <w:p w14:paraId="02E89718" w14:textId="50CA0941" w:rsidR="000A58BE" w:rsidRPr="003B7E46" w:rsidRDefault="003B7E46" w:rsidP="00772FB7">
      <w:pPr>
        <w:suppressAutoHyphens/>
        <w:jc w:val="both"/>
        <w:rPr>
          <w:rFonts w:ascii="Calibri" w:hAnsi="Calibri"/>
        </w:rPr>
      </w:pPr>
      <w:r>
        <w:rPr>
          <w:rFonts w:ascii="Calibri" w:hAnsi="Calibri"/>
        </w:rPr>
        <w:t>A better approach would be to include a</w:t>
      </w:r>
      <w:r w:rsidRPr="007E601A">
        <w:rPr>
          <w:rFonts w:ascii="Calibri" w:hAnsi="Calibri"/>
        </w:rPr>
        <w:t xml:space="preserve">n explanation </w:t>
      </w:r>
      <w:r>
        <w:rPr>
          <w:rFonts w:ascii="Calibri" w:hAnsi="Calibri"/>
        </w:rPr>
        <w:t>in the summary stating that</w:t>
      </w:r>
      <w:r w:rsidRPr="007E601A">
        <w:rPr>
          <w:rFonts w:ascii="Calibri" w:hAnsi="Calibri"/>
        </w:rPr>
        <w:t xml:space="preserve"> there are a number of risk factors that affect the issuer and its securities and which impact on the potential value of an investment, which should be read carefully</w:t>
      </w:r>
      <w:r>
        <w:rPr>
          <w:rFonts w:ascii="Calibri" w:hAnsi="Calibri"/>
        </w:rPr>
        <w:t xml:space="preserve">. </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w:t>
      </w:r>
      <w:r w:rsidRPr="000A58BE">
        <w:rPr>
          <w:rFonts w:ascii="Arial" w:hAnsi="Arial" w:cs="Arial"/>
        </w:rPr>
        <w:t>l</w:t>
      </w:r>
      <w:r w:rsidRPr="000A58BE">
        <w:rPr>
          <w:rFonts w:ascii="Arial" w:hAnsi="Arial" w:cs="Arial"/>
        </w:rPr>
        <w:t>ly in terms of the costs and benefits implied?</w:t>
      </w:r>
    </w:p>
    <w:p w14:paraId="5B66CFDB" w14:textId="77777777" w:rsidR="000A58BE" w:rsidRDefault="000A58BE" w:rsidP="000A58BE">
      <w:pPr>
        <w:rPr>
          <w:rFonts w:cs="Arial"/>
        </w:rPr>
      </w:pPr>
      <w:r>
        <w:rPr>
          <w:rFonts w:cs="Arial"/>
        </w:rPr>
        <w:t>&lt;ESMA_QUESTION_EUG_4&gt;</w:t>
      </w:r>
    </w:p>
    <w:p w14:paraId="2656E0D2" w14:textId="77777777" w:rsidR="003B7E46" w:rsidRPr="003C4550" w:rsidRDefault="003B7E46" w:rsidP="00772FB7">
      <w:pPr>
        <w:suppressAutoHyphens/>
        <w:jc w:val="both"/>
        <w:rPr>
          <w:rFonts w:ascii="Calibri" w:hAnsi="Calibri"/>
          <w:b/>
        </w:rPr>
      </w:pPr>
      <w:permStart w:id="1129066343" w:edGrp="everyone"/>
      <w:r>
        <w:rPr>
          <w:rFonts w:ascii="Calibri" w:hAnsi="Calibri"/>
        </w:rPr>
        <w:t>Given that the EU Growth prospectus should be a simplified document, adequate to the needs of smaller issuers, w</w:t>
      </w:r>
      <w:r w:rsidRPr="00B45543">
        <w:rPr>
          <w:rFonts w:ascii="Calibri" w:hAnsi="Calibri"/>
        </w:rPr>
        <w:t>e do not agree that the inclusion, format or content of a cover note should be mandated. This is not required under Level 1 and would increase costs to issuers, and reduce flexibility and the ability to produce more comprehensible documents.</w:t>
      </w:r>
      <w:r>
        <w:rPr>
          <w:rFonts w:ascii="Calibri" w:hAnsi="Calibri"/>
        </w:rPr>
        <w:t xml:space="preserve"> </w:t>
      </w:r>
    </w:p>
    <w:p w14:paraId="1240E52F" w14:textId="681659E3" w:rsidR="000A58BE" w:rsidRPr="003B7E46" w:rsidRDefault="003B7E46" w:rsidP="00772FB7">
      <w:pPr>
        <w:suppressAutoHyphens/>
        <w:jc w:val="both"/>
        <w:rPr>
          <w:rFonts w:ascii="Calibri" w:hAnsi="Calibri"/>
        </w:rPr>
      </w:pPr>
      <w:r>
        <w:rPr>
          <w:rFonts w:ascii="Calibri" w:hAnsi="Calibri"/>
        </w:rPr>
        <w:t>Furthermore, i</w:t>
      </w:r>
      <w:r w:rsidRPr="007E601A">
        <w:rPr>
          <w:rFonts w:ascii="Calibri" w:hAnsi="Calibri"/>
        </w:rPr>
        <w:t xml:space="preserve">t is difficult to assess whether it is appropriate for the suggested cover note to be limited to </w:t>
      </w:r>
      <w:r>
        <w:rPr>
          <w:rFonts w:ascii="Calibri" w:hAnsi="Calibri"/>
        </w:rPr>
        <w:t>three</w:t>
      </w:r>
      <w:r w:rsidRPr="007E601A">
        <w:rPr>
          <w:rFonts w:ascii="Calibri" w:hAnsi="Calibri"/>
        </w:rPr>
        <w:t xml:space="preserve"> pages without ESMA giving further </w:t>
      </w:r>
      <w:r>
        <w:rPr>
          <w:rFonts w:ascii="Calibri" w:hAnsi="Calibri"/>
        </w:rPr>
        <w:t>indications</w:t>
      </w:r>
      <w:r w:rsidRPr="007E601A">
        <w:rPr>
          <w:rFonts w:ascii="Calibri" w:hAnsi="Calibri"/>
        </w:rPr>
        <w:t xml:space="preserve"> as to what it expects to be contained within the cover note. We would not support any mandatory requirements. </w:t>
      </w:r>
      <w:r>
        <w:rPr>
          <w:rFonts w:ascii="Calibri" w:hAnsi="Calibri"/>
        </w:rPr>
        <w:t>I</w:t>
      </w:r>
      <w:r w:rsidRPr="007E601A">
        <w:rPr>
          <w:rFonts w:ascii="Calibri" w:hAnsi="Calibri"/>
        </w:rPr>
        <w:t xml:space="preserve">f the concept of a cover note is simply the name of the issuer and a broad outline of the offer </w:t>
      </w:r>
      <w:r>
        <w:rPr>
          <w:rFonts w:ascii="Calibri" w:hAnsi="Calibri"/>
        </w:rPr>
        <w:t xml:space="preserve">(as it is “standard practice”, as mentioned by ESMA) </w:t>
      </w:r>
      <w:r w:rsidRPr="007E601A">
        <w:rPr>
          <w:rFonts w:ascii="Calibri" w:hAnsi="Calibri"/>
        </w:rPr>
        <w:t xml:space="preserve">as well as the suggested statement that </w:t>
      </w:r>
      <w:r>
        <w:rPr>
          <w:rFonts w:ascii="Calibri" w:hAnsi="Calibri"/>
        </w:rPr>
        <w:t>the EU Growth p</w:t>
      </w:r>
      <w:r w:rsidRPr="007E601A">
        <w:rPr>
          <w:rFonts w:ascii="Calibri" w:hAnsi="Calibri"/>
        </w:rPr>
        <w:t xml:space="preserve">rospectus has been drawn up in accordance with Article 15 of the Prospectus Regulation, it is difficult to see that such a cover note would ever extend beyond </w:t>
      </w:r>
      <w:r>
        <w:rPr>
          <w:rFonts w:ascii="Calibri" w:hAnsi="Calibri"/>
        </w:rPr>
        <w:t>three</w:t>
      </w:r>
      <w:r w:rsidRPr="007E601A">
        <w:rPr>
          <w:rFonts w:ascii="Calibri" w:hAnsi="Calibri"/>
        </w:rPr>
        <w:t xml:space="preserve"> pages. In these circumstances, we question whether there is merit in mandating that it should be no more than </w:t>
      </w:r>
      <w:r>
        <w:rPr>
          <w:rFonts w:ascii="Calibri" w:hAnsi="Calibri"/>
        </w:rPr>
        <w:t xml:space="preserve">three </w:t>
      </w:r>
      <w:r w:rsidRPr="007E601A">
        <w:rPr>
          <w:rFonts w:ascii="Calibri" w:hAnsi="Calibri"/>
        </w:rPr>
        <w:t>pages as, in practice, it never will be that length.</w:t>
      </w:r>
      <w:r>
        <w:rPr>
          <w:rFonts w:ascii="Calibri" w:hAnsi="Calibri"/>
        </w:rPr>
        <w:t xml:space="preserve"> </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w:t>
      </w:r>
      <w:r w:rsidRPr="000A58BE">
        <w:rPr>
          <w:rFonts w:ascii="Arial" w:hAnsi="Arial" w:cs="Arial"/>
        </w:rPr>
        <w:t>r</w:t>
      </w:r>
      <w:r w:rsidRPr="000A58BE">
        <w:rPr>
          <w:rFonts w:ascii="Arial" w:hAnsi="Arial" w:cs="Arial"/>
        </w:rPr>
        <w:t>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1A7F4464" w14:textId="77777777" w:rsidR="003B7E46" w:rsidRPr="007E601A" w:rsidRDefault="003B7E46" w:rsidP="003B7E46">
      <w:pPr>
        <w:jc w:val="both"/>
        <w:rPr>
          <w:rFonts w:ascii="Calibri" w:hAnsi="Calibri"/>
        </w:rPr>
      </w:pPr>
      <w:permStart w:id="2028471795" w:edGrp="everyone"/>
      <w:r w:rsidRPr="007E601A">
        <w:rPr>
          <w:rFonts w:ascii="Calibri" w:hAnsi="Calibri"/>
        </w:rPr>
        <w:t xml:space="preserve">Annex V of the Prospectus Regulation states in paragraph II that "Working capital statement and statement of capitalisation and indebtedness (only for equity securities issued by companies with a market capitalisation above </w:t>
      </w:r>
      <w:r w:rsidRPr="007E601A">
        <w:rPr>
          <w:rFonts w:ascii="Calibri" w:hAnsi="Calibri"/>
        </w:rPr>
        <w:lastRenderedPageBreak/>
        <w:t>EUR 200,000,000)". ESMA has interpreted the language in parenthesis as qualifying both the need for a working capital statement</w:t>
      </w:r>
      <w:r>
        <w:rPr>
          <w:rFonts w:ascii="Calibri" w:hAnsi="Calibri"/>
        </w:rPr>
        <w:t>,</w:t>
      </w:r>
      <w:r w:rsidRPr="007E601A">
        <w:rPr>
          <w:rFonts w:ascii="Calibri" w:hAnsi="Calibri"/>
        </w:rPr>
        <w:t xml:space="preserve"> and the need for a statement of capitalisation and indebtedness. </w:t>
      </w:r>
    </w:p>
    <w:p w14:paraId="1F6F5F3C" w14:textId="77777777" w:rsidR="003B7E46" w:rsidRPr="007E601A" w:rsidRDefault="003B7E46" w:rsidP="003B7E46">
      <w:pPr>
        <w:jc w:val="both"/>
        <w:rPr>
          <w:rFonts w:ascii="Calibri" w:hAnsi="Calibri"/>
        </w:rPr>
      </w:pPr>
      <w:r w:rsidRPr="007E601A">
        <w:rPr>
          <w:rFonts w:ascii="Calibri" w:hAnsi="Calibri"/>
        </w:rPr>
        <w:t>This means that there is no requirement for a working cap</w:t>
      </w:r>
      <w:r>
        <w:rPr>
          <w:rFonts w:ascii="Calibri" w:hAnsi="Calibri"/>
        </w:rPr>
        <w:t>ital statement in an EU Growth p</w:t>
      </w:r>
      <w:r w:rsidRPr="007E601A">
        <w:rPr>
          <w:rFonts w:ascii="Calibri" w:hAnsi="Calibri"/>
        </w:rPr>
        <w:t xml:space="preserve">rospectus where a company has a market capitalisation of €200m or less. </w:t>
      </w:r>
    </w:p>
    <w:p w14:paraId="0EA54F66" w14:textId="77777777" w:rsidR="003B7E46" w:rsidRPr="007E601A" w:rsidRDefault="003B7E46" w:rsidP="00772FB7">
      <w:pPr>
        <w:suppressAutoHyphens/>
        <w:jc w:val="both"/>
        <w:rPr>
          <w:rFonts w:ascii="Calibri" w:hAnsi="Calibri"/>
        </w:rPr>
      </w:pPr>
      <w:r w:rsidRPr="007E601A">
        <w:rPr>
          <w:rFonts w:ascii="Calibri" w:hAnsi="Calibri"/>
        </w:rPr>
        <w:t xml:space="preserve">ESMA notes that a working capital statement is required for admission to an SME Growth Market.  Therefore </w:t>
      </w:r>
      <w:r>
        <w:rPr>
          <w:rFonts w:ascii="Calibri" w:hAnsi="Calibri"/>
        </w:rPr>
        <w:t>this interpretation means that</w:t>
      </w:r>
      <w:r w:rsidRPr="007E601A">
        <w:rPr>
          <w:rFonts w:ascii="Calibri" w:hAnsi="Calibri"/>
        </w:rPr>
        <w:t xml:space="preserve"> a working capital statement will not be needed for non</w:t>
      </w:r>
      <w:r>
        <w:rPr>
          <w:rFonts w:ascii="Calibri" w:hAnsi="Calibri"/>
        </w:rPr>
        <w:t>-</w:t>
      </w:r>
      <w:r w:rsidRPr="007E601A">
        <w:rPr>
          <w:rFonts w:ascii="Calibri" w:hAnsi="Calibri"/>
        </w:rPr>
        <w:t>SME Growth Market offers.</w:t>
      </w:r>
      <w:r>
        <w:rPr>
          <w:rFonts w:ascii="Calibri" w:hAnsi="Calibri"/>
        </w:rPr>
        <w:t xml:space="preserve"> </w:t>
      </w:r>
      <w:r w:rsidRPr="007E601A">
        <w:rPr>
          <w:rFonts w:ascii="Calibri" w:hAnsi="Calibri"/>
        </w:rPr>
        <w:t>Although there is a cost implication attached to the working capital exercise</w:t>
      </w:r>
      <w:r>
        <w:rPr>
          <w:rFonts w:ascii="Calibri" w:hAnsi="Calibri"/>
        </w:rPr>
        <w:t xml:space="preserve">, </w:t>
      </w:r>
      <w:r w:rsidRPr="007E601A">
        <w:rPr>
          <w:rFonts w:ascii="Calibri" w:hAnsi="Calibri"/>
        </w:rPr>
        <w:t>this</w:t>
      </w:r>
      <w:r>
        <w:rPr>
          <w:rFonts w:ascii="Calibri" w:hAnsi="Calibri"/>
        </w:rPr>
        <w:t xml:space="preserve"> is</w:t>
      </w:r>
      <w:r w:rsidRPr="007E601A">
        <w:rPr>
          <w:rFonts w:ascii="Calibri" w:hAnsi="Calibri"/>
        </w:rPr>
        <w:t xml:space="preserve"> an important disclosure underpinning a proposed investment in an SME</w:t>
      </w:r>
      <w:r>
        <w:rPr>
          <w:rFonts w:ascii="Calibri" w:hAnsi="Calibri"/>
        </w:rPr>
        <w:t>.</w:t>
      </w:r>
      <w:r w:rsidRPr="007E601A">
        <w:rPr>
          <w:rFonts w:ascii="Calibri" w:hAnsi="Calibri"/>
        </w:rPr>
        <w:t xml:space="preserve"> </w:t>
      </w:r>
    </w:p>
    <w:p w14:paraId="76E3C448" w14:textId="77777777" w:rsidR="003B7E46" w:rsidRDefault="003B7E46" w:rsidP="00772FB7">
      <w:pPr>
        <w:suppressAutoHyphens/>
        <w:jc w:val="both"/>
        <w:rPr>
          <w:rFonts w:ascii="Calibri" w:hAnsi="Calibri"/>
        </w:rPr>
      </w:pPr>
      <w:r w:rsidRPr="00D4181D">
        <w:rPr>
          <w:rFonts w:ascii="Calibri" w:hAnsi="Calibri"/>
        </w:rPr>
        <w:t xml:space="preserve">We </w:t>
      </w:r>
      <w:r>
        <w:rPr>
          <w:rFonts w:ascii="Calibri" w:hAnsi="Calibri"/>
        </w:rPr>
        <w:t>recommend</w:t>
      </w:r>
      <w:r w:rsidRPr="00D4181D">
        <w:rPr>
          <w:rFonts w:ascii="Calibri" w:hAnsi="Calibri"/>
        </w:rPr>
        <w:t xml:space="preserve"> that other disclosure requirements should be more generally considered by ESMA to be left out of the EU Growth </w:t>
      </w:r>
      <w:r>
        <w:rPr>
          <w:rFonts w:ascii="Calibri" w:hAnsi="Calibri"/>
        </w:rPr>
        <w:t>p</w:t>
      </w:r>
      <w:r w:rsidRPr="00D4181D">
        <w:rPr>
          <w:rFonts w:ascii="Calibri" w:hAnsi="Calibri"/>
        </w:rPr>
        <w:t xml:space="preserve">rospectus. </w:t>
      </w:r>
      <w:r>
        <w:rPr>
          <w:rFonts w:ascii="Calibri" w:hAnsi="Calibri"/>
        </w:rPr>
        <w:t>Omitting</w:t>
      </w:r>
      <w:r w:rsidRPr="00D4181D">
        <w:rPr>
          <w:rFonts w:ascii="Calibri" w:hAnsi="Calibri"/>
        </w:rPr>
        <w:t xml:space="preserve"> the requirement for a working capital statement fails to provide the kind of substantive alleviation smaller issuers would have hoped for. </w:t>
      </w:r>
    </w:p>
    <w:p w14:paraId="1AEE0242" w14:textId="77777777" w:rsidR="003B7E46" w:rsidRDefault="003B7E46" w:rsidP="00772FB7">
      <w:pPr>
        <w:suppressAutoHyphens/>
        <w:jc w:val="both"/>
        <w:rPr>
          <w:rFonts w:ascii="Calibri" w:hAnsi="Calibri"/>
        </w:rPr>
      </w:pPr>
    </w:p>
    <w:p w14:paraId="37D95A72" w14:textId="77777777" w:rsidR="003B7E46" w:rsidRPr="00D4181D" w:rsidRDefault="003B7E46" w:rsidP="00772FB7">
      <w:pPr>
        <w:suppressAutoHyphens/>
        <w:jc w:val="both"/>
        <w:rPr>
          <w:rFonts w:ascii="Calibri" w:hAnsi="Calibri"/>
        </w:rPr>
      </w:pPr>
      <w:r w:rsidRPr="00D4181D">
        <w:rPr>
          <w:rFonts w:ascii="Calibri" w:hAnsi="Calibri"/>
        </w:rPr>
        <w:t>There are other disclosure requirements that we believe could be removed in this regard without detriment to investor protection:</w:t>
      </w:r>
    </w:p>
    <w:p w14:paraId="286F914C" w14:textId="77777777" w:rsidR="003B7E46" w:rsidRPr="00D4181D" w:rsidRDefault="003B7E46" w:rsidP="00772FB7">
      <w:pPr>
        <w:pStyle w:val="ListParagraph"/>
        <w:numPr>
          <w:ilvl w:val="0"/>
          <w:numId w:val="39"/>
        </w:numPr>
        <w:suppressAutoHyphens/>
        <w:spacing w:after="200" w:line="276" w:lineRule="auto"/>
        <w:ind w:left="567" w:hanging="283"/>
        <w:contextualSpacing w:val="0"/>
        <w:jc w:val="both"/>
        <w:rPr>
          <w:rFonts w:ascii="Calibri" w:hAnsi="Calibri"/>
        </w:rPr>
      </w:pPr>
      <w:r w:rsidRPr="00D4181D">
        <w:rPr>
          <w:rFonts w:ascii="Calibri" w:hAnsi="Calibri"/>
        </w:rPr>
        <w:t>history of share capital and share capital reconciliation;</w:t>
      </w:r>
    </w:p>
    <w:p w14:paraId="5B25C7D5" w14:textId="77777777" w:rsidR="003B7E46" w:rsidRPr="00D4181D" w:rsidRDefault="003B7E46" w:rsidP="00772FB7">
      <w:pPr>
        <w:pStyle w:val="ListParagraph"/>
        <w:numPr>
          <w:ilvl w:val="0"/>
          <w:numId w:val="39"/>
        </w:numPr>
        <w:suppressAutoHyphens/>
        <w:spacing w:after="200" w:line="276" w:lineRule="auto"/>
        <w:ind w:left="567" w:hanging="283"/>
        <w:contextualSpacing w:val="0"/>
        <w:jc w:val="both"/>
        <w:rPr>
          <w:rFonts w:ascii="Calibri" w:hAnsi="Calibri"/>
        </w:rPr>
      </w:pPr>
      <w:r w:rsidRPr="00D4181D">
        <w:rPr>
          <w:rFonts w:ascii="Calibri" w:hAnsi="Calibri"/>
        </w:rPr>
        <w:t>resolutions under which the securities are created; and</w:t>
      </w:r>
    </w:p>
    <w:p w14:paraId="0AE6FCC9" w14:textId="6AA54C5E" w:rsidR="000A58BE" w:rsidRPr="003B7E46" w:rsidRDefault="003B7E46" w:rsidP="00772FB7">
      <w:pPr>
        <w:pStyle w:val="ListParagraph"/>
        <w:numPr>
          <w:ilvl w:val="0"/>
          <w:numId w:val="39"/>
        </w:numPr>
        <w:suppressAutoHyphens/>
        <w:spacing w:after="200" w:line="276" w:lineRule="auto"/>
        <w:ind w:left="567" w:hanging="283"/>
        <w:contextualSpacing w:val="0"/>
        <w:jc w:val="both"/>
        <w:rPr>
          <w:rFonts w:ascii="Calibri" w:hAnsi="Calibri"/>
        </w:rPr>
      </w:pPr>
      <w:r w:rsidRPr="00D4181D">
        <w:rPr>
          <w:rFonts w:ascii="Calibri" w:hAnsi="Calibri"/>
        </w:rPr>
        <w:t>objects and purpose under memorandum and articles of association.</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2814C95E" w:rsidR="000A58BE" w:rsidRPr="003B7E46" w:rsidRDefault="003B7E46" w:rsidP="003B7E46">
      <w:pPr>
        <w:jc w:val="both"/>
        <w:rPr>
          <w:rFonts w:ascii="Calibri" w:hAnsi="Calibri"/>
        </w:rPr>
      </w:pPr>
      <w:permStart w:id="1018577225" w:edGrp="everyone"/>
      <w:r w:rsidRPr="007E601A">
        <w:rPr>
          <w:rFonts w:ascii="Calibri" w:hAnsi="Calibri"/>
        </w:rPr>
        <w:t xml:space="preserve">In our view, it would be clearer if the Level 2 measures for registration documents for equity and non-equity issues were mandated separately. This would allow issuers to look at one set of requirements for each type of issue rather than reviewing a composite set of requirements and eliminating those that are not applicable. We also suggest that this </w:t>
      </w:r>
      <w:r>
        <w:rPr>
          <w:rFonts w:ascii="Calibri" w:hAnsi="Calibri"/>
        </w:rPr>
        <w:t>would allow for an easier drafting by the issuers and a potentially faster review by the NCA.</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w:t>
      </w:r>
      <w:r w:rsidRPr="000A58BE">
        <w:rPr>
          <w:rFonts w:ascii="Arial" w:hAnsi="Arial" w:cs="Arial"/>
        </w:rPr>
        <w:t>i</w:t>
      </w:r>
      <w:r w:rsidRPr="000A58BE">
        <w:rPr>
          <w:rFonts w:ascii="Arial" w:hAnsi="Arial" w:cs="Arial"/>
        </w:rPr>
        <w:t>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64C9E23F" w14:textId="77777777" w:rsidR="003B7E46" w:rsidRPr="003B7E46" w:rsidRDefault="003B7E46" w:rsidP="003B7E46">
      <w:pPr>
        <w:pStyle w:val="BodyText"/>
        <w:numPr>
          <w:ilvl w:val="0"/>
          <w:numId w:val="0"/>
        </w:numPr>
        <w:spacing w:after="200" w:line="276" w:lineRule="auto"/>
        <w:ind w:left="360"/>
        <w:rPr>
          <w:rFonts w:ascii="Calibri" w:hAnsi="Calibri"/>
          <w:sz w:val="20"/>
        </w:rPr>
      </w:pPr>
      <w:permStart w:id="780026321" w:edGrp="everyone"/>
      <w:r w:rsidRPr="003B7E46">
        <w:rPr>
          <w:rFonts w:ascii="Calibri" w:hAnsi="Calibri"/>
          <w:sz w:val="20"/>
        </w:rPr>
        <w:t>We agree with the requirement to include any published profit forecasts without an obligation for a report by independent accountants or auditors in the EU Growth prospectus.</w:t>
      </w:r>
    </w:p>
    <w:p w14:paraId="2FF968D9" w14:textId="77777777" w:rsidR="003B7E46" w:rsidRPr="003B7E46" w:rsidRDefault="003B7E46" w:rsidP="003B7E46">
      <w:pPr>
        <w:pStyle w:val="BodyText"/>
        <w:numPr>
          <w:ilvl w:val="0"/>
          <w:numId w:val="0"/>
        </w:numPr>
        <w:spacing w:after="200" w:line="276" w:lineRule="auto"/>
        <w:ind w:left="360"/>
        <w:rPr>
          <w:rFonts w:ascii="Calibri" w:hAnsi="Calibri"/>
          <w:sz w:val="20"/>
        </w:rPr>
      </w:pPr>
      <w:r w:rsidRPr="003B7E46">
        <w:rPr>
          <w:rFonts w:ascii="Calibri" w:hAnsi="Calibri"/>
          <w:sz w:val="20"/>
        </w:rPr>
        <w:t xml:space="preserve">ESMA proposes that profit forecasts are no longer required to be reported on, which is intended to be a cost saving measure. Our view is that, although not critical from an investor’s perspective, in practice, if a profit forecast/estimate is included in the document, as part of the due diligence and verification process, there is likely to be a high level of "private" comfort work involved. </w:t>
      </w:r>
    </w:p>
    <w:p w14:paraId="0E381E22" w14:textId="77777777" w:rsidR="003B7E46" w:rsidRPr="003B7E46" w:rsidRDefault="003B7E46" w:rsidP="00772FB7">
      <w:pPr>
        <w:pStyle w:val="BodyText"/>
        <w:numPr>
          <w:ilvl w:val="0"/>
          <w:numId w:val="0"/>
        </w:numPr>
        <w:suppressAutoHyphens/>
        <w:spacing w:after="200" w:line="276" w:lineRule="auto"/>
        <w:ind w:left="360"/>
        <w:rPr>
          <w:rFonts w:ascii="Calibri" w:hAnsi="Calibri"/>
          <w:sz w:val="20"/>
        </w:rPr>
      </w:pPr>
      <w:r w:rsidRPr="003B7E46">
        <w:rPr>
          <w:rFonts w:ascii="Calibri" w:hAnsi="Calibri"/>
          <w:sz w:val="20"/>
        </w:rPr>
        <w:lastRenderedPageBreak/>
        <w:t xml:space="preserve">It is also interesting to contrast the intended approach for the disclosure of pro forma information in a prospectus (which approach will also be adopted for SME Growth prospectuses) where an accountants' report will be needed. </w:t>
      </w:r>
    </w:p>
    <w:p w14:paraId="19E8B4E7" w14:textId="77777777" w:rsidR="003B7E46" w:rsidRPr="003B7E46" w:rsidRDefault="003B7E46" w:rsidP="003B7E46">
      <w:pPr>
        <w:pStyle w:val="BodyText"/>
        <w:numPr>
          <w:ilvl w:val="0"/>
          <w:numId w:val="0"/>
        </w:numPr>
        <w:spacing w:after="200" w:line="276" w:lineRule="auto"/>
        <w:ind w:left="360"/>
        <w:rPr>
          <w:rFonts w:ascii="Calibri" w:hAnsi="Calibri"/>
          <w:sz w:val="20"/>
        </w:rPr>
      </w:pPr>
      <w:r w:rsidRPr="003B7E46">
        <w:rPr>
          <w:rFonts w:ascii="Calibri" w:hAnsi="Calibri"/>
          <w:sz w:val="20"/>
        </w:rPr>
        <w:t>We point out that ESMA is seeking to reduce the regulatory burden for profit forecasts (which we support) by eliminating the requirement for an accountant’s report whilst maintaining a similar requirement for pro forma financial information. We recommend that, on this basis and for consistency, the requirement for an accoun</w:t>
      </w:r>
      <w:r w:rsidRPr="003B7E46">
        <w:rPr>
          <w:rFonts w:ascii="Calibri" w:hAnsi="Calibri"/>
          <w:sz w:val="20"/>
        </w:rPr>
        <w:t>t</w:t>
      </w:r>
      <w:r w:rsidRPr="003B7E46">
        <w:rPr>
          <w:rFonts w:ascii="Calibri" w:hAnsi="Calibri"/>
          <w:sz w:val="20"/>
        </w:rPr>
        <w:t>ants' report on pro forma information should also be eliminated.</w:t>
      </w:r>
    </w:p>
    <w:p w14:paraId="062BB374" w14:textId="4887EC4A" w:rsidR="000A58BE" w:rsidRPr="003B7E46" w:rsidRDefault="003B7E46" w:rsidP="003B7E46">
      <w:pPr>
        <w:pStyle w:val="BodyText"/>
        <w:numPr>
          <w:ilvl w:val="0"/>
          <w:numId w:val="0"/>
        </w:numPr>
        <w:spacing w:after="200" w:line="276" w:lineRule="auto"/>
        <w:ind w:left="360"/>
        <w:rPr>
          <w:rFonts w:ascii="Calibri" w:hAnsi="Calibri" w:cs="Arial"/>
          <w:sz w:val="20"/>
        </w:rPr>
      </w:pPr>
      <w:r w:rsidRPr="003B7E46">
        <w:rPr>
          <w:rFonts w:ascii="Calibri" w:hAnsi="Calibri"/>
          <w:sz w:val="20"/>
        </w:rPr>
        <w:t xml:space="preserve">In terms of costs, </w:t>
      </w:r>
      <w:r w:rsidRPr="003B7E46">
        <w:rPr>
          <w:rFonts w:ascii="Calibri" w:hAnsi="Calibri" w:cs="Arial"/>
          <w:sz w:val="20"/>
        </w:rPr>
        <w:t>the majority of the cost goes on the diligence report, the extra cost of the public opinion is smaller in comparison – it is principally a risk premium.</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consider that the requirement to provide information on the issuer’s bo</w:t>
      </w:r>
      <w:r w:rsidRPr="000A58BE">
        <w:rPr>
          <w:rFonts w:ascii="Arial" w:hAnsi="Arial" w:cs="Arial"/>
        </w:rPr>
        <w:t>r</w:t>
      </w:r>
      <w:r w:rsidRPr="000A58BE">
        <w:rPr>
          <w:rFonts w:ascii="Arial" w:hAnsi="Arial" w:cs="Arial"/>
        </w:rPr>
        <w:t>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10EAF205" w:rsidR="000A58BE" w:rsidRPr="003B7E46" w:rsidRDefault="003B7E46" w:rsidP="003B7E46">
      <w:pPr>
        <w:jc w:val="both"/>
        <w:rPr>
          <w:rFonts w:ascii="Calibri" w:hAnsi="Calibri"/>
        </w:rPr>
      </w:pPr>
      <w:permStart w:id="1166755168" w:edGrp="everyone"/>
      <w:r w:rsidRPr="007E601A">
        <w:rPr>
          <w:rFonts w:ascii="Calibri" w:hAnsi="Calibri"/>
        </w:rPr>
        <w:t>We consider that information on changes in the issuer's borrowing and funding structure, a description of the expected financing of its activities and a summary of the limitations on an issuer's methods of financing are also relevant to non-equity issues and should be described in an</w:t>
      </w:r>
      <w:r>
        <w:rPr>
          <w:rFonts w:ascii="Calibri" w:hAnsi="Calibri"/>
        </w:rPr>
        <w:t xml:space="preserve"> EU Growth p</w:t>
      </w:r>
      <w:r w:rsidRPr="007E601A">
        <w:rPr>
          <w:rFonts w:ascii="Calibri" w:hAnsi="Calibri"/>
        </w:rPr>
        <w:t>rospectus for non-equity issues.</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w:t>
      </w:r>
      <w:r w:rsidRPr="000A58BE">
        <w:rPr>
          <w:rFonts w:ascii="Arial" w:hAnsi="Arial" w:cs="Arial"/>
        </w:rPr>
        <w:t>d</w:t>
      </w:r>
      <w:r w:rsidRPr="000A58BE">
        <w:rPr>
          <w:rFonts w:ascii="Arial" w:hAnsi="Arial" w:cs="Arial"/>
        </w:rPr>
        <w:t>ed or removed please list them and provide examples,. Please also provide an e</w:t>
      </w:r>
      <w:r w:rsidRPr="000A58BE">
        <w:rPr>
          <w:rFonts w:ascii="Arial" w:hAnsi="Arial" w:cs="Arial"/>
        </w:rPr>
        <w:t>s</w:t>
      </w:r>
      <w:r w:rsidRPr="000A58BE">
        <w:rPr>
          <w:rFonts w:ascii="Arial" w:hAnsi="Arial" w:cs="Arial"/>
        </w:rPr>
        <w:t>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2451E2AB" w14:textId="77777777" w:rsidR="003B7E46" w:rsidRPr="007E601A" w:rsidRDefault="003B7E46" w:rsidP="00772FB7">
      <w:pPr>
        <w:suppressAutoHyphens/>
        <w:jc w:val="both"/>
        <w:rPr>
          <w:rFonts w:ascii="Calibri" w:hAnsi="Calibri" w:cs="Arial"/>
        </w:rPr>
      </w:pPr>
      <w:permStart w:id="1783837081" w:edGrp="everyone"/>
      <w:r w:rsidRPr="007E601A">
        <w:rPr>
          <w:rFonts w:ascii="Calibri" w:hAnsi="Calibri" w:cs="Arial"/>
        </w:rPr>
        <w:t xml:space="preserve">We note that the threshold for disclosure of major shareholders on SME growth markets is not covered by the Transparency Directive (EU 2004/109/EC (as amended by Directive 2013/50/EU). </w:t>
      </w:r>
      <w:r>
        <w:rPr>
          <w:rFonts w:ascii="Calibri" w:hAnsi="Calibri" w:cs="Arial"/>
        </w:rPr>
        <w:t xml:space="preserve">Some markets have adopted similar rules. </w:t>
      </w:r>
      <w:r w:rsidRPr="007E601A">
        <w:rPr>
          <w:rFonts w:ascii="Calibri" w:hAnsi="Calibri" w:cs="Arial"/>
        </w:rPr>
        <w:t xml:space="preserve">However, we would recommend that </w:t>
      </w:r>
      <w:r>
        <w:rPr>
          <w:rFonts w:ascii="Calibri" w:hAnsi="Calibri" w:cs="Arial"/>
        </w:rPr>
        <w:t>a definition of major shareholders is provided and allows</w:t>
      </w:r>
      <w:r w:rsidRPr="007E601A">
        <w:rPr>
          <w:rFonts w:ascii="Calibri" w:hAnsi="Calibri" w:cs="Arial"/>
        </w:rPr>
        <w:t xml:space="preserve"> caters for those </w:t>
      </w:r>
      <w:r>
        <w:rPr>
          <w:rFonts w:ascii="Calibri" w:hAnsi="Calibri" w:cs="Arial"/>
        </w:rPr>
        <w:t>EU m</w:t>
      </w:r>
      <w:r w:rsidRPr="007E601A">
        <w:rPr>
          <w:rFonts w:ascii="Calibri" w:hAnsi="Calibri" w:cs="Arial"/>
        </w:rPr>
        <w:t>ember</w:t>
      </w:r>
      <w:r>
        <w:rPr>
          <w:rFonts w:ascii="Calibri" w:hAnsi="Calibri" w:cs="Arial"/>
        </w:rPr>
        <w:t xml:space="preserve"> s</w:t>
      </w:r>
      <w:r w:rsidRPr="007E601A">
        <w:rPr>
          <w:rFonts w:ascii="Calibri" w:hAnsi="Calibri" w:cs="Arial"/>
        </w:rPr>
        <w:t xml:space="preserve">tates or EU Growth Markets which have a lower threshold for determining major shareholders. </w:t>
      </w:r>
    </w:p>
    <w:p w14:paraId="74717191" w14:textId="77777777" w:rsidR="003B7E46" w:rsidRDefault="003B7E46" w:rsidP="00772FB7">
      <w:pPr>
        <w:suppressAutoHyphens/>
        <w:jc w:val="both"/>
        <w:rPr>
          <w:rFonts w:ascii="Calibri" w:hAnsi="Calibri"/>
        </w:rPr>
      </w:pPr>
      <w:r>
        <w:rPr>
          <w:rFonts w:ascii="Calibri" w:hAnsi="Calibri"/>
        </w:rPr>
        <w:t xml:space="preserve">Furthermore, we believe </w:t>
      </w:r>
      <w:r w:rsidRPr="00A142F9">
        <w:rPr>
          <w:rFonts w:ascii="Calibri" w:hAnsi="Calibri"/>
        </w:rPr>
        <w:t xml:space="preserve">that the reference to “direct or indirect interests in the issuer’s capital or voting rights”, rather than notifiable voting rights is </w:t>
      </w:r>
      <w:r>
        <w:rPr>
          <w:rFonts w:ascii="Calibri" w:hAnsi="Calibri"/>
        </w:rPr>
        <w:t>not clear. T</w:t>
      </w:r>
      <w:r w:rsidRPr="00A142F9">
        <w:rPr>
          <w:rFonts w:ascii="Calibri" w:hAnsi="Calibri"/>
        </w:rPr>
        <w:t>he notificat</w:t>
      </w:r>
      <w:r>
        <w:rPr>
          <w:rFonts w:ascii="Calibri" w:hAnsi="Calibri"/>
        </w:rPr>
        <w:t>ion requirements</w:t>
      </w:r>
      <w:r w:rsidRPr="00A142F9">
        <w:rPr>
          <w:rFonts w:ascii="Calibri" w:hAnsi="Calibri"/>
        </w:rPr>
        <w:t xml:space="preserve"> of the Transparency Directive and its </w:t>
      </w:r>
      <w:r>
        <w:rPr>
          <w:rFonts w:ascii="Calibri" w:hAnsi="Calibri"/>
        </w:rPr>
        <w:t>associated terminology may provide a basis upon which to provide clarification.</w:t>
      </w:r>
    </w:p>
    <w:p w14:paraId="3F1EB166" w14:textId="77777777" w:rsidR="003B7E46" w:rsidRDefault="003B7E46" w:rsidP="00772FB7">
      <w:pPr>
        <w:suppressAutoHyphens/>
        <w:jc w:val="both"/>
        <w:rPr>
          <w:rFonts w:ascii="Calibri" w:hAnsi="Calibri"/>
        </w:rPr>
      </w:pPr>
      <w:r>
        <w:rPr>
          <w:rFonts w:ascii="Calibri" w:hAnsi="Calibri"/>
        </w:rPr>
        <w:t xml:space="preserve">The </w:t>
      </w:r>
      <w:r w:rsidRPr="00936C10">
        <w:rPr>
          <w:rFonts w:ascii="Calibri" w:hAnsi="Calibri"/>
        </w:rPr>
        <w:t>requirement</w:t>
      </w:r>
      <w:r>
        <w:rPr>
          <w:rFonts w:ascii="Calibri" w:hAnsi="Calibri"/>
        </w:rPr>
        <w:t xml:space="preserve"> proposed by ESMA</w:t>
      </w:r>
      <w:r w:rsidRPr="00936C10">
        <w:rPr>
          <w:rFonts w:ascii="Calibri" w:hAnsi="Calibri"/>
        </w:rPr>
        <w:t xml:space="preserve"> could cause co</w:t>
      </w:r>
      <w:r>
        <w:rPr>
          <w:rFonts w:ascii="Calibri" w:hAnsi="Calibri"/>
        </w:rPr>
        <w:t xml:space="preserve">nfusion </w:t>
      </w:r>
      <w:r w:rsidRPr="00936C10">
        <w:rPr>
          <w:rFonts w:ascii="Calibri" w:hAnsi="Calibri"/>
        </w:rPr>
        <w:t>and would need detailed guidance on its applicati</w:t>
      </w:r>
      <w:r>
        <w:rPr>
          <w:rFonts w:ascii="Calibri" w:hAnsi="Calibri"/>
        </w:rPr>
        <w:t xml:space="preserve">on in practice. Moreover, we believe that </w:t>
      </w:r>
      <w:r w:rsidRPr="00936C10">
        <w:rPr>
          <w:rFonts w:ascii="Calibri" w:hAnsi="Calibri"/>
        </w:rPr>
        <w:t xml:space="preserve">including this additional information </w:t>
      </w:r>
      <w:r>
        <w:rPr>
          <w:rFonts w:ascii="Calibri" w:hAnsi="Calibri"/>
        </w:rPr>
        <w:t xml:space="preserve">requirement in a </w:t>
      </w:r>
      <w:r w:rsidRPr="00936C10">
        <w:rPr>
          <w:rFonts w:ascii="Calibri" w:hAnsi="Calibri"/>
        </w:rPr>
        <w:t xml:space="preserve">prospectus is </w:t>
      </w:r>
      <w:r>
        <w:rPr>
          <w:rFonts w:ascii="Calibri" w:hAnsi="Calibri"/>
        </w:rPr>
        <w:t>dis</w:t>
      </w:r>
      <w:r w:rsidRPr="00936C10">
        <w:rPr>
          <w:rFonts w:ascii="Calibri" w:hAnsi="Calibri"/>
        </w:rPr>
        <w:t xml:space="preserve">proportionate to the </w:t>
      </w:r>
      <w:r>
        <w:rPr>
          <w:rFonts w:ascii="Calibri" w:hAnsi="Calibri"/>
        </w:rPr>
        <w:t xml:space="preserve">resulting </w:t>
      </w:r>
      <w:r w:rsidRPr="00936C10">
        <w:rPr>
          <w:rFonts w:ascii="Calibri" w:hAnsi="Calibri"/>
        </w:rPr>
        <w:t>additional complexity and associated time and costs</w:t>
      </w:r>
      <w:r>
        <w:rPr>
          <w:rFonts w:ascii="Calibri" w:hAnsi="Calibri"/>
        </w:rPr>
        <w:t xml:space="preserve"> for issuers.</w:t>
      </w:r>
    </w:p>
    <w:p w14:paraId="17887B49" w14:textId="77777777" w:rsidR="003B7E46" w:rsidRDefault="003B7E46" w:rsidP="00772FB7">
      <w:pPr>
        <w:suppressAutoHyphens/>
        <w:jc w:val="both"/>
        <w:rPr>
          <w:rFonts w:ascii="Calibri" w:hAnsi="Calibri"/>
        </w:rPr>
      </w:pPr>
      <w:r>
        <w:rPr>
          <w:rFonts w:ascii="Calibri" w:hAnsi="Calibri"/>
        </w:rPr>
        <w:t>We believe</w:t>
      </w:r>
      <w:r w:rsidRPr="00936C10">
        <w:rPr>
          <w:rFonts w:ascii="Calibri" w:hAnsi="Calibri"/>
        </w:rPr>
        <w:t xml:space="preserve"> th</w:t>
      </w:r>
      <w:r>
        <w:rPr>
          <w:rFonts w:ascii="Calibri" w:hAnsi="Calibri"/>
        </w:rPr>
        <w:t xml:space="preserve">at these provisions should clarify </w:t>
      </w:r>
      <w:r w:rsidRPr="00936C10">
        <w:rPr>
          <w:rFonts w:ascii="Calibri" w:hAnsi="Calibri"/>
        </w:rPr>
        <w:t>that they do not extend to any rights which would not be notif</w:t>
      </w:r>
      <w:r>
        <w:rPr>
          <w:rFonts w:ascii="Calibri" w:hAnsi="Calibri"/>
        </w:rPr>
        <w:t xml:space="preserve">iable if under the Transparency </w:t>
      </w:r>
      <w:r w:rsidRPr="00936C10">
        <w:rPr>
          <w:rFonts w:ascii="Calibri" w:hAnsi="Calibri"/>
        </w:rPr>
        <w:t xml:space="preserve">Directive if it were to apply to the relevant issuer (e.g. under other </w:t>
      </w:r>
      <w:r>
        <w:rPr>
          <w:rFonts w:ascii="Calibri" w:hAnsi="Calibri"/>
        </w:rPr>
        <w:t xml:space="preserve">notification regimes not </w:t>
      </w:r>
      <w:r w:rsidRPr="00936C10">
        <w:rPr>
          <w:rFonts w:ascii="Calibri" w:hAnsi="Calibri"/>
        </w:rPr>
        <w:t xml:space="preserve">derived from the Transparency Directive). </w:t>
      </w:r>
      <w:r>
        <w:rPr>
          <w:rFonts w:ascii="Calibri" w:hAnsi="Calibri"/>
        </w:rPr>
        <w:t xml:space="preserve">ESMA should also allow for the </w:t>
      </w:r>
      <w:r w:rsidRPr="00936C10">
        <w:rPr>
          <w:rFonts w:ascii="Calibri" w:hAnsi="Calibri"/>
        </w:rPr>
        <w:t>use of lower th</w:t>
      </w:r>
      <w:r>
        <w:rPr>
          <w:rFonts w:ascii="Calibri" w:hAnsi="Calibri"/>
        </w:rPr>
        <w:t>resholds imposed by individual EU member states or EU Growth Markets.</w:t>
      </w:r>
    </w:p>
    <w:p w14:paraId="3E2AF646" w14:textId="793A580D" w:rsidR="000A58BE" w:rsidRPr="003B7E46" w:rsidRDefault="003B7E46" w:rsidP="00772FB7">
      <w:pPr>
        <w:suppressAutoHyphens/>
        <w:jc w:val="both"/>
        <w:rPr>
          <w:rFonts w:ascii="Calibri" w:hAnsi="Calibri"/>
        </w:rPr>
      </w:pPr>
      <w:r>
        <w:rPr>
          <w:rFonts w:ascii="Calibri" w:hAnsi="Calibri" w:cs="Arial"/>
        </w:rPr>
        <w:t xml:space="preserve">We </w:t>
      </w:r>
      <w:r w:rsidRPr="007E601A">
        <w:rPr>
          <w:rFonts w:ascii="Calibri" w:hAnsi="Calibri" w:cs="Arial"/>
        </w:rPr>
        <w:t xml:space="preserve">suggest that, in addition to disclosing the holdings of major shareholders at the date of the registration statement, such information is also given, so far as is known (and on the basis of assumptions regarding the size of </w:t>
      </w:r>
      <w:r w:rsidRPr="007E601A">
        <w:rPr>
          <w:rFonts w:ascii="Calibri" w:hAnsi="Calibri" w:cs="Arial"/>
        </w:rPr>
        <w:lastRenderedPageBreak/>
        <w:t xml:space="preserve">the issue), at the date of admission to the relevant EU Growth Market or the closure of the offer. This </w:t>
      </w:r>
      <w:r>
        <w:rPr>
          <w:rFonts w:ascii="Calibri" w:hAnsi="Calibri" w:cs="Arial"/>
        </w:rPr>
        <w:t>could be given in an EU Growth p</w:t>
      </w:r>
      <w:r w:rsidRPr="007E601A">
        <w:rPr>
          <w:rFonts w:ascii="Calibri" w:hAnsi="Calibri" w:cs="Arial"/>
        </w:rPr>
        <w:t>rospectus drawn up as a single doc</w:t>
      </w:r>
      <w:r>
        <w:rPr>
          <w:rFonts w:ascii="Calibri" w:hAnsi="Calibri" w:cs="Arial"/>
        </w:rPr>
        <w:t>ument or in the securities note</w:t>
      </w:r>
      <w:r w:rsidRPr="007E601A">
        <w:rPr>
          <w:rFonts w:ascii="Calibri" w:hAnsi="Calibri" w:cs="Arial"/>
        </w:rPr>
        <w:t>.</w:t>
      </w:r>
      <w:r>
        <w:rPr>
          <w:rFonts w:ascii="Calibri" w:hAnsi="Calibri" w:cs="Arial"/>
        </w:rPr>
        <w:t xml:space="preserve"> </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16682933" w:rsidR="000A58BE" w:rsidRPr="003B7E46" w:rsidRDefault="003B7E46" w:rsidP="00772FB7">
      <w:pPr>
        <w:pStyle w:val="BodyText"/>
        <w:numPr>
          <w:ilvl w:val="0"/>
          <w:numId w:val="0"/>
        </w:numPr>
        <w:suppressAutoHyphens/>
        <w:spacing w:after="200" w:line="276" w:lineRule="auto"/>
        <w:rPr>
          <w:rFonts w:ascii="Calibri" w:hAnsi="Calibri"/>
          <w:sz w:val="20"/>
        </w:rPr>
      </w:pPr>
      <w:permStart w:id="1054356207" w:edGrp="everyone"/>
      <w:r w:rsidRPr="003B7E46">
        <w:rPr>
          <w:rFonts w:ascii="Calibri" w:hAnsi="Calibri"/>
          <w:sz w:val="20"/>
        </w:rPr>
        <w:t xml:space="preserve">We support the proposal that IFRS is not made mandatory and that national accounting standards should be permitted. There is undoubtedly a cost issue associated with the work stream of converting an issuer's national accounting standards to IFRS. That said, in certain EU member states, national accounting standards are increasingly being harmonised with IFRS meaning that, in those EU member states, the costs associated with IFRS conversion are diminishing. Whilst adopting different accounting standards on EU Growth Markets may make comparisons more difficult this would be outweighed by the ability for issuers to adopt a flexible yet informative approach when raising finance. </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41010D86" w14:textId="77777777" w:rsidR="003B7E46" w:rsidRPr="00724A43" w:rsidRDefault="003B7E46" w:rsidP="00724A43">
      <w:pPr>
        <w:pStyle w:val="BodyText"/>
        <w:numPr>
          <w:ilvl w:val="0"/>
          <w:numId w:val="0"/>
        </w:numPr>
        <w:spacing w:after="200" w:line="276" w:lineRule="auto"/>
        <w:rPr>
          <w:rFonts w:ascii="Calibri" w:hAnsi="Calibri"/>
          <w:sz w:val="20"/>
        </w:rPr>
      </w:pPr>
      <w:permStart w:id="2122062979" w:edGrp="everyone"/>
      <w:r w:rsidRPr="00724A43">
        <w:rPr>
          <w:rFonts w:ascii="Calibri" w:hAnsi="Calibri"/>
          <w:sz w:val="20"/>
        </w:rPr>
        <w:t xml:space="preserve">We question some of the specific requirements. For example: </w:t>
      </w:r>
    </w:p>
    <w:p w14:paraId="6070A99D" w14:textId="77777777" w:rsidR="003B7E46" w:rsidRPr="00724A43" w:rsidRDefault="003B7E46" w:rsidP="005F5F8A">
      <w:pPr>
        <w:pStyle w:val="BodyText"/>
        <w:numPr>
          <w:ilvl w:val="0"/>
          <w:numId w:val="40"/>
        </w:numPr>
        <w:spacing w:after="200" w:line="276" w:lineRule="auto"/>
        <w:rPr>
          <w:rFonts w:ascii="Calibri" w:hAnsi="Calibri"/>
          <w:sz w:val="20"/>
        </w:rPr>
      </w:pPr>
      <w:r w:rsidRPr="00724A43">
        <w:rPr>
          <w:rFonts w:ascii="Calibri" w:hAnsi="Calibri"/>
          <w:sz w:val="20"/>
        </w:rPr>
        <w:t>the need for a history of share capital;</w:t>
      </w:r>
    </w:p>
    <w:p w14:paraId="5D27E75E" w14:textId="77777777" w:rsidR="003B7E46" w:rsidRPr="00724A43" w:rsidRDefault="003B7E46" w:rsidP="005F5F8A">
      <w:pPr>
        <w:pStyle w:val="BodyText"/>
        <w:numPr>
          <w:ilvl w:val="0"/>
          <w:numId w:val="40"/>
        </w:numPr>
        <w:spacing w:after="200" w:line="276" w:lineRule="auto"/>
        <w:rPr>
          <w:rFonts w:ascii="Calibri" w:hAnsi="Calibri"/>
          <w:sz w:val="20"/>
        </w:rPr>
      </w:pPr>
      <w:r w:rsidRPr="00724A43">
        <w:rPr>
          <w:rFonts w:ascii="Calibri" w:hAnsi="Calibri"/>
          <w:sz w:val="20"/>
        </w:rPr>
        <w:t>disclosure of the resolutions under which securities are created;</w:t>
      </w:r>
    </w:p>
    <w:p w14:paraId="4CBDE4B9" w14:textId="39A68853" w:rsidR="000A58BE" w:rsidRPr="00724A43" w:rsidRDefault="003B7E46" w:rsidP="005F5F8A">
      <w:pPr>
        <w:pStyle w:val="BodyText"/>
        <w:numPr>
          <w:ilvl w:val="0"/>
          <w:numId w:val="40"/>
        </w:numPr>
        <w:spacing w:after="200" w:line="276" w:lineRule="auto"/>
        <w:rPr>
          <w:rFonts w:ascii="Calibri" w:hAnsi="Calibri"/>
          <w:sz w:val="20"/>
        </w:rPr>
      </w:pPr>
      <w:r w:rsidRPr="00724A43">
        <w:rPr>
          <w:rFonts w:ascii="Calibri" w:hAnsi="Calibri"/>
          <w:sz w:val="20"/>
        </w:rPr>
        <w:t xml:space="preserve">objects and purpose clause in Memorandum and Articles of Association. </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consider that the disclosure items in the EU Growth registration doc</w:t>
      </w:r>
      <w:r w:rsidRPr="000A58BE">
        <w:rPr>
          <w:rFonts w:ascii="Arial" w:hAnsi="Arial" w:cs="Arial"/>
        </w:rPr>
        <w:t>u</w:t>
      </w:r>
      <w:r w:rsidRPr="000A58BE">
        <w:rPr>
          <w:rFonts w:ascii="Arial" w:hAnsi="Arial" w:cs="Arial"/>
        </w:rPr>
        <w:t>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476111F7" w14:textId="77777777" w:rsidR="00724A43" w:rsidRDefault="00724A43" w:rsidP="00724A43">
      <w:pPr>
        <w:jc w:val="both"/>
        <w:rPr>
          <w:rFonts w:ascii="Calibri" w:hAnsi="Calibri"/>
        </w:rPr>
      </w:pPr>
      <w:permStart w:id="514665595" w:edGrp="everyone"/>
      <w:r w:rsidRPr="007E601A">
        <w:rPr>
          <w:rFonts w:ascii="Calibri" w:hAnsi="Calibri"/>
        </w:rPr>
        <w:t>As most of the disclosure items are based on the information required by the Prospectus Regulation (EU No 809/2004</w:t>
      </w:r>
      <w:r>
        <w:rPr>
          <w:rFonts w:ascii="Calibri" w:hAnsi="Calibri"/>
        </w:rPr>
        <w:t>)</w:t>
      </w:r>
      <w:r w:rsidRPr="007E601A">
        <w:rPr>
          <w:rFonts w:ascii="Calibri" w:hAnsi="Calibri"/>
        </w:rPr>
        <w:t>, we believe that they should be familiar to issuers.</w:t>
      </w:r>
      <w:r>
        <w:rPr>
          <w:rFonts w:ascii="Calibri" w:hAnsi="Calibri"/>
        </w:rPr>
        <w:t xml:space="preserve"> However, there are </w:t>
      </w:r>
      <w:r w:rsidRPr="00A142F9">
        <w:rPr>
          <w:rFonts w:ascii="Calibri" w:hAnsi="Calibri"/>
        </w:rPr>
        <w:t xml:space="preserve">a few areas where </w:t>
      </w:r>
      <w:r>
        <w:rPr>
          <w:rFonts w:ascii="Calibri" w:hAnsi="Calibri"/>
        </w:rPr>
        <w:t xml:space="preserve">we believe </w:t>
      </w:r>
      <w:r w:rsidRPr="00A142F9">
        <w:rPr>
          <w:rFonts w:ascii="Calibri" w:hAnsi="Calibri"/>
        </w:rPr>
        <w:t>guidan</w:t>
      </w:r>
      <w:r>
        <w:rPr>
          <w:rFonts w:ascii="Calibri" w:hAnsi="Calibri"/>
        </w:rPr>
        <w:t xml:space="preserve">ce would be needed for issuers: </w:t>
      </w:r>
    </w:p>
    <w:p w14:paraId="71FB18BA" w14:textId="77777777" w:rsidR="00724A43" w:rsidRDefault="00724A43" w:rsidP="005F5F8A">
      <w:pPr>
        <w:pStyle w:val="ListParagraph"/>
        <w:numPr>
          <w:ilvl w:val="0"/>
          <w:numId w:val="41"/>
        </w:numPr>
        <w:spacing w:after="200" w:line="276" w:lineRule="auto"/>
        <w:ind w:left="352" w:hanging="284"/>
        <w:contextualSpacing w:val="0"/>
        <w:jc w:val="both"/>
        <w:rPr>
          <w:rFonts w:ascii="Calibri" w:hAnsi="Calibri"/>
        </w:rPr>
      </w:pPr>
      <w:r w:rsidRPr="00CE1536">
        <w:rPr>
          <w:rFonts w:ascii="Calibri" w:hAnsi="Calibri"/>
        </w:rPr>
        <w:t>the new non-</w:t>
      </w:r>
      <w:r w:rsidRPr="00301D20">
        <w:rPr>
          <w:rFonts w:ascii="Calibri" w:hAnsi="Calibri"/>
        </w:rPr>
        <w:t>financial objective requirement;</w:t>
      </w:r>
    </w:p>
    <w:p w14:paraId="48F09C45" w14:textId="77777777" w:rsidR="00724A43" w:rsidRDefault="00724A43" w:rsidP="005F5F8A">
      <w:pPr>
        <w:pStyle w:val="ListParagraph"/>
        <w:numPr>
          <w:ilvl w:val="0"/>
          <w:numId w:val="41"/>
        </w:numPr>
        <w:spacing w:after="200" w:line="276" w:lineRule="auto"/>
        <w:ind w:left="352" w:hanging="284"/>
        <w:contextualSpacing w:val="0"/>
        <w:jc w:val="both"/>
        <w:rPr>
          <w:rFonts w:ascii="Calibri" w:hAnsi="Calibri"/>
        </w:rPr>
      </w:pPr>
      <w:r w:rsidRPr="00CE1536">
        <w:rPr>
          <w:rFonts w:ascii="Calibri" w:hAnsi="Calibri"/>
        </w:rPr>
        <w:t xml:space="preserve">risk factors </w:t>
      </w:r>
      <w:r>
        <w:rPr>
          <w:rFonts w:ascii="Calibri" w:hAnsi="Calibri"/>
        </w:rPr>
        <w:t>(</w:t>
      </w:r>
      <w:r w:rsidRPr="00CE1536">
        <w:rPr>
          <w:rFonts w:ascii="Calibri" w:hAnsi="Calibri"/>
        </w:rPr>
        <w:t>and how they should be ‘corroborated’ with the rest</w:t>
      </w:r>
      <w:r w:rsidRPr="00301D20">
        <w:rPr>
          <w:rFonts w:ascii="Calibri" w:hAnsi="Calibri"/>
        </w:rPr>
        <w:t xml:space="preserve"> of the prospectus</w:t>
      </w:r>
      <w:r>
        <w:rPr>
          <w:rFonts w:ascii="Calibri" w:hAnsi="Calibri"/>
        </w:rPr>
        <w:t>)</w:t>
      </w:r>
      <w:r w:rsidRPr="00301D20">
        <w:rPr>
          <w:rFonts w:ascii="Calibri" w:hAnsi="Calibri"/>
        </w:rPr>
        <w:t>;</w:t>
      </w:r>
    </w:p>
    <w:p w14:paraId="51A7D0EB" w14:textId="77777777" w:rsidR="00724A43" w:rsidRPr="00301D20" w:rsidRDefault="00724A43" w:rsidP="005F5F8A">
      <w:pPr>
        <w:pStyle w:val="ListParagraph"/>
        <w:numPr>
          <w:ilvl w:val="0"/>
          <w:numId w:val="41"/>
        </w:numPr>
        <w:spacing w:after="200" w:line="276" w:lineRule="auto"/>
        <w:ind w:left="352" w:hanging="284"/>
        <w:contextualSpacing w:val="0"/>
        <w:jc w:val="both"/>
        <w:rPr>
          <w:rFonts w:ascii="Calibri" w:hAnsi="Calibri"/>
        </w:rPr>
      </w:pPr>
      <w:r w:rsidRPr="00301D20">
        <w:rPr>
          <w:rFonts w:ascii="Calibri" w:hAnsi="Calibri"/>
        </w:rPr>
        <w:t>liability; and</w:t>
      </w:r>
    </w:p>
    <w:p w14:paraId="5B304300" w14:textId="6CA10BFC" w:rsidR="000A58BE" w:rsidRPr="00724A43" w:rsidRDefault="00724A43" w:rsidP="005F5F8A">
      <w:pPr>
        <w:pStyle w:val="ListParagraph"/>
        <w:numPr>
          <w:ilvl w:val="0"/>
          <w:numId w:val="41"/>
        </w:numPr>
        <w:spacing w:after="200" w:line="276" w:lineRule="auto"/>
        <w:ind w:left="352" w:hanging="284"/>
        <w:contextualSpacing w:val="0"/>
        <w:jc w:val="both"/>
        <w:rPr>
          <w:rFonts w:ascii="Calibri" w:hAnsi="Calibri"/>
        </w:rPr>
      </w:pPr>
      <w:r>
        <w:rPr>
          <w:rFonts w:ascii="Calibri" w:hAnsi="Calibri"/>
        </w:rPr>
        <w:t>what qualifies as “profit forecast”</w:t>
      </w:r>
      <w:r w:rsidRPr="00CE1536">
        <w:rPr>
          <w:rFonts w:ascii="Calibri" w:hAnsi="Calibri"/>
        </w:rPr>
        <w:t>.</w:t>
      </w:r>
    </w:p>
    <w:permEnd w:id="514665595"/>
    <w:p w14:paraId="65873CE7" w14:textId="778F35C8" w:rsidR="000A58BE" w:rsidRDefault="000A58BE" w:rsidP="000A58BE">
      <w:pPr>
        <w:rPr>
          <w:rFonts w:cs="Arial"/>
        </w:rPr>
      </w:pPr>
      <w:r>
        <w:rPr>
          <w:rFonts w:cs="Arial"/>
        </w:rPr>
        <w:lastRenderedPageBreak/>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EU Growth registration document could significantly impact on the cost of drawing up a prospectus. If applicable, please include examples and an e</w:t>
      </w:r>
      <w:r w:rsidRPr="000A58BE">
        <w:rPr>
          <w:rFonts w:ascii="Arial" w:hAnsi="Arial" w:cs="Arial"/>
        </w:rPr>
        <w:t>s</w:t>
      </w:r>
      <w:r w:rsidRPr="000A58BE">
        <w:rPr>
          <w:rFonts w:ascii="Arial" w:hAnsi="Arial" w:cs="Arial"/>
        </w:rPr>
        <w:t xml:space="preserve">timate of the cost alleviation to issuers. </w:t>
      </w:r>
    </w:p>
    <w:p w14:paraId="582C9872" w14:textId="77777777" w:rsidR="000A58BE" w:rsidRDefault="000A58BE" w:rsidP="000A58BE">
      <w:pPr>
        <w:rPr>
          <w:rFonts w:cs="Arial"/>
        </w:rPr>
      </w:pPr>
      <w:r>
        <w:rPr>
          <w:rFonts w:cs="Arial"/>
        </w:rPr>
        <w:t>&lt;ESMA_QUESTION_EUG_13&gt;</w:t>
      </w:r>
    </w:p>
    <w:p w14:paraId="70BA36C0" w14:textId="77777777" w:rsidR="00724A43" w:rsidRDefault="00724A43" w:rsidP="00724A43">
      <w:pPr>
        <w:jc w:val="both"/>
        <w:rPr>
          <w:rFonts w:ascii="Calibri" w:hAnsi="Calibri"/>
        </w:rPr>
      </w:pPr>
      <w:permStart w:id="1823872644" w:edGrp="everyone"/>
      <w:r>
        <w:rPr>
          <w:rFonts w:ascii="Calibri" w:hAnsi="Calibri"/>
        </w:rPr>
        <w:t>Please s</w:t>
      </w:r>
      <w:r w:rsidRPr="00EE14A5">
        <w:rPr>
          <w:rFonts w:ascii="Calibri" w:hAnsi="Calibri"/>
        </w:rPr>
        <w:t>ee our response to Q11</w:t>
      </w:r>
      <w:r>
        <w:rPr>
          <w:rFonts w:ascii="Calibri" w:hAnsi="Calibri"/>
        </w:rPr>
        <w:t>.</w:t>
      </w:r>
    </w:p>
    <w:p w14:paraId="32D349CE" w14:textId="77777777" w:rsidR="00724A43" w:rsidRDefault="00724A43" w:rsidP="00724A43">
      <w:pPr>
        <w:jc w:val="both"/>
        <w:rPr>
          <w:rFonts w:ascii="Calibri" w:hAnsi="Calibri" w:cs="Arial"/>
        </w:rPr>
      </w:pPr>
      <w:r w:rsidRPr="00CE1536">
        <w:rPr>
          <w:rFonts w:ascii="Calibri" w:hAnsi="Calibri" w:cs="Arial"/>
        </w:rPr>
        <w:t>In relation to K</w:t>
      </w:r>
      <w:r>
        <w:rPr>
          <w:rFonts w:ascii="Calibri" w:hAnsi="Calibri" w:cs="Arial"/>
        </w:rPr>
        <w:t xml:space="preserve">ey </w:t>
      </w:r>
      <w:r w:rsidRPr="00CE1536">
        <w:rPr>
          <w:rFonts w:ascii="Calibri" w:hAnsi="Calibri" w:cs="Arial"/>
        </w:rPr>
        <w:t>P</w:t>
      </w:r>
      <w:r>
        <w:rPr>
          <w:rFonts w:ascii="Calibri" w:hAnsi="Calibri" w:cs="Arial"/>
        </w:rPr>
        <w:t xml:space="preserve">erformance </w:t>
      </w:r>
      <w:r w:rsidRPr="00CE1536">
        <w:rPr>
          <w:rFonts w:ascii="Calibri" w:hAnsi="Calibri" w:cs="Arial"/>
        </w:rPr>
        <w:t>I</w:t>
      </w:r>
      <w:r>
        <w:rPr>
          <w:rFonts w:ascii="Calibri" w:hAnsi="Calibri" w:cs="Arial"/>
        </w:rPr>
        <w:t>ndicator</w:t>
      </w:r>
      <w:r w:rsidRPr="00CE1536">
        <w:rPr>
          <w:rFonts w:ascii="Calibri" w:hAnsi="Calibri" w:cs="Arial"/>
        </w:rPr>
        <w:t>s</w:t>
      </w:r>
      <w:r>
        <w:rPr>
          <w:rFonts w:ascii="Calibri" w:hAnsi="Calibri" w:cs="Arial"/>
        </w:rPr>
        <w:t xml:space="preserve"> (KPIs)</w:t>
      </w:r>
      <w:r w:rsidRPr="00CE1536">
        <w:rPr>
          <w:rFonts w:ascii="Calibri" w:hAnsi="Calibri" w:cs="Arial"/>
        </w:rPr>
        <w:t xml:space="preserve">, ESMA mentions, in paragraph 75, the “inclusion of at least one KPI based on liquidity such as current ratio, acid-test ratio, cash ratio, quick ratio, cash conversion cycle and at least one based on indebtedness such as debt to total assets ratio, debt to equity ratio or other measures of liquidity and indebtedness that are appropriate for the issuer and/or its industry”. </w:t>
      </w:r>
    </w:p>
    <w:p w14:paraId="6EC32698" w14:textId="77777777" w:rsidR="00724A43" w:rsidRDefault="00724A43" w:rsidP="00772FB7">
      <w:pPr>
        <w:suppressAutoHyphens/>
        <w:jc w:val="both"/>
        <w:rPr>
          <w:rFonts w:ascii="Calibri" w:hAnsi="Calibri" w:cs="Arial"/>
        </w:rPr>
      </w:pPr>
      <w:r w:rsidRPr="00CE1536">
        <w:rPr>
          <w:rFonts w:ascii="Calibri" w:hAnsi="Calibri" w:cs="Arial"/>
        </w:rPr>
        <w:t>We believe that ESMA should not mandate that companies should calculate KPIs – many small and mid-size companie</w:t>
      </w:r>
      <w:r>
        <w:rPr>
          <w:rFonts w:ascii="Calibri" w:hAnsi="Calibri" w:cs="Arial"/>
        </w:rPr>
        <w:t>s do not routinely measure KPIs and</w:t>
      </w:r>
      <w:r w:rsidRPr="00CE1536">
        <w:rPr>
          <w:rFonts w:ascii="Calibri" w:hAnsi="Calibri" w:cs="Arial"/>
        </w:rPr>
        <w:t xml:space="preserve"> instead just focus on the financials themselves (e.g. balance sheet). </w:t>
      </w:r>
    </w:p>
    <w:p w14:paraId="41E121A2" w14:textId="2A044C88" w:rsidR="000A58BE" w:rsidRPr="00724A43" w:rsidRDefault="00724A43" w:rsidP="00772FB7">
      <w:pPr>
        <w:suppressAutoHyphens/>
        <w:jc w:val="both"/>
        <w:rPr>
          <w:rFonts w:ascii="Calibri" w:hAnsi="Calibri" w:cs="Arial"/>
        </w:rPr>
      </w:pPr>
      <w:r>
        <w:rPr>
          <w:rFonts w:ascii="Calibri" w:hAnsi="Calibri" w:cs="Arial"/>
        </w:rPr>
        <w:t xml:space="preserve">As we indicate in </w:t>
      </w:r>
      <w:r w:rsidRPr="00CE1536">
        <w:rPr>
          <w:rFonts w:ascii="Calibri" w:hAnsi="Calibri" w:cs="Arial"/>
        </w:rPr>
        <w:t>our response to Q24, companies should be given free rein to report whatever KPIs (if any) they consider appropriate.</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14:paraId="2F7728D5" w14:textId="77777777" w:rsidR="000A58BE" w:rsidRDefault="000A58BE" w:rsidP="000A58BE">
      <w:pPr>
        <w:rPr>
          <w:rFonts w:cs="Arial"/>
        </w:rPr>
      </w:pPr>
      <w:r>
        <w:rPr>
          <w:rFonts w:cs="Arial"/>
        </w:rPr>
        <w:t>&lt;ESMA_QUESTION_EUG_14&gt;</w:t>
      </w:r>
    </w:p>
    <w:p w14:paraId="09664222" w14:textId="00825038" w:rsidR="000A58BE" w:rsidRPr="00724A43" w:rsidRDefault="00724A43" w:rsidP="00724A43">
      <w:pPr>
        <w:jc w:val="both"/>
        <w:rPr>
          <w:rFonts w:ascii="Calibri" w:hAnsi="Calibri"/>
        </w:rPr>
      </w:pPr>
      <w:permStart w:id="1060856489" w:edGrp="everyone"/>
      <w:r>
        <w:rPr>
          <w:rFonts w:ascii="Calibri" w:hAnsi="Calibri"/>
        </w:rPr>
        <w:t>Please see our response to Q15.</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proposal to introduce a single securities note that is appl</w:t>
      </w:r>
      <w:r w:rsidRPr="000A58BE">
        <w:rPr>
          <w:rFonts w:ascii="Arial" w:hAnsi="Arial" w:cs="Arial"/>
        </w:rPr>
        <w:t>i</w:t>
      </w:r>
      <w:r w:rsidRPr="000A58BE">
        <w:rPr>
          <w:rFonts w:ascii="Arial" w:hAnsi="Arial" w:cs="Arial"/>
        </w:rPr>
        <w:t>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3F44C5EB" w:rsidR="000A58BE" w:rsidRPr="00724A43" w:rsidRDefault="00724A43" w:rsidP="00724A43">
      <w:pPr>
        <w:jc w:val="both"/>
        <w:rPr>
          <w:rFonts w:ascii="Calibri" w:hAnsi="Calibri"/>
        </w:rPr>
      </w:pPr>
      <w:permStart w:id="1044217442" w:edGrp="everyone"/>
      <w:r>
        <w:rPr>
          <w:rFonts w:ascii="Calibri" w:hAnsi="Calibri"/>
        </w:rPr>
        <w:t>In line with what we had explained above in our</w:t>
      </w:r>
      <w:r w:rsidRPr="007E601A">
        <w:rPr>
          <w:rFonts w:ascii="Calibri" w:hAnsi="Calibri"/>
        </w:rPr>
        <w:t xml:space="preserve"> response to Q6</w:t>
      </w:r>
      <w:r>
        <w:rPr>
          <w:rFonts w:ascii="Calibri" w:hAnsi="Calibri"/>
        </w:rPr>
        <w:t>,</w:t>
      </w:r>
      <w:r w:rsidRPr="007E601A">
        <w:rPr>
          <w:rFonts w:ascii="Calibri" w:hAnsi="Calibri"/>
        </w:rPr>
        <w:t xml:space="preserve"> it would be clearer if the Level 2 measures for securities notes for equity and non-equity issues were mandated separately. This would allow issuers to look at one set of requirements for each type of issue rather than reviewing a composite set of requirements and eliminating those that are not applicable. </w:t>
      </w:r>
      <w:r>
        <w:rPr>
          <w:rFonts w:ascii="Calibri" w:hAnsi="Calibri"/>
        </w:rPr>
        <w:t>T</w:t>
      </w:r>
      <w:r w:rsidRPr="007E601A">
        <w:rPr>
          <w:rFonts w:ascii="Calibri" w:hAnsi="Calibri"/>
        </w:rPr>
        <w:t xml:space="preserve">his </w:t>
      </w:r>
      <w:r>
        <w:rPr>
          <w:rFonts w:ascii="Calibri" w:hAnsi="Calibri"/>
        </w:rPr>
        <w:t>would allow for an easier drafting by the issuers and a potentially faster review by the NCA.</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6A4C9685" w:rsidR="000A58BE" w:rsidRPr="00724A43" w:rsidRDefault="00724A43" w:rsidP="00724A43">
      <w:pPr>
        <w:jc w:val="both"/>
        <w:rPr>
          <w:rFonts w:ascii="Calibri" w:hAnsi="Calibri"/>
        </w:rPr>
      </w:pPr>
      <w:permStart w:id="123361535" w:edGrp="everyone"/>
      <w:r w:rsidRPr="007E601A">
        <w:rPr>
          <w:rFonts w:ascii="Calibri" w:hAnsi="Calibri"/>
        </w:rPr>
        <w:t>As most of the disclosure items are based on the information required by the Prospectus Regulation (EU No 809/2004), we believe that they should be familiar to issuers.</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prove the utility of the EU Growth securities note? If yes, please specify and pr</w:t>
      </w:r>
      <w:r w:rsidRPr="000A58BE">
        <w:rPr>
          <w:rFonts w:ascii="Arial" w:hAnsi="Arial" w:cs="Arial"/>
        </w:rPr>
        <w:t>o</w:t>
      </w:r>
      <w:r w:rsidRPr="000A58BE">
        <w:rPr>
          <w:rFonts w:ascii="Arial" w:hAnsi="Arial" w:cs="Arial"/>
        </w:rPr>
        <w:t>vide examples. In addition, please consider whether the categorisation of discl</w:t>
      </w:r>
      <w:r w:rsidRPr="000A58BE">
        <w:rPr>
          <w:rFonts w:ascii="Arial" w:hAnsi="Arial" w:cs="Arial"/>
        </w:rPr>
        <w:t>o</w:t>
      </w:r>
      <w:r w:rsidRPr="000A58BE">
        <w:rPr>
          <w:rFonts w:ascii="Arial" w:hAnsi="Arial" w:cs="Arial"/>
        </w:rPr>
        <w:t xml:space="preserve">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41A6E694" w:rsidR="000A58BE" w:rsidRPr="00724A43" w:rsidRDefault="00724A43" w:rsidP="00724A43">
      <w:pPr>
        <w:jc w:val="both"/>
        <w:rPr>
          <w:rFonts w:ascii="Calibri" w:hAnsi="Calibri"/>
        </w:rPr>
      </w:pPr>
      <w:permStart w:id="2102801137" w:edGrp="everyone"/>
      <w:r>
        <w:rPr>
          <w:rFonts w:ascii="Calibri" w:hAnsi="Calibri"/>
        </w:rPr>
        <w:t>Please see our responses to Q5 and Q11.</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Please provide an estimate of the benefit in terms of reduced costs that the pr</w:t>
      </w:r>
      <w:r w:rsidRPr="000A58BE">
        <w:rPr>
          <w:rFonts w:ascii="Arial" w:hAnsi="Arial" w:cs="Arial"/>
        </w:rPr>
        <w:t>o</w:t>
      </w:r>
      <w:r w:rsidRPr="000A58BE">
        <w:rPr>
          <w:rFonts w:ascii="Arial" w:hAnsi="Arial" w:cs="Arial"/>
        </w:rPr>
        <w:t>duction of a single securities note implies.</w:t>
      </w:r>
    </w:p>
    <w:p w14:paraId="6A4FA8AA" w14:textId="77777777" w:rsidR="000A58BE" w:rsidRDefault="000A58BE" w:rsidP="000A58BE">
      <w:pPr>
        <w:rPr>
          <w:rFonts w:cs="Arial"/>
        </w:rPr>
      </w:pPr>
      <w:r>
        <w:rPr>
          <w:rFonts w:cs="Arial"/>
        </w:rPr>
        <w:t>&lt;ESMA_QUESTION_EUG_18&gt;</w:t>
      </w:r>
    </w:p>
    <w:p w14:paraId="0D06760D" w14:textId="11C49145" w:rsidR="000A58BE" w:rsidRPr="00724A43" w:rsidRDefault="00724A43" w:rsidP="00724A43">
      <w:pPr>
        <w:jc w:val="both"/>
        <w:rPr>
          <w:rFonts w:ascii="Calibri" w:hAnsi="Calibri"/>
        </w:rPr>
      </w:pPr>
      <w:permStart w:id="1688285556" w:edGrp="everyone"/>
      <w:r>
        <w:rPr>
          <w:rFonts w:ascii="Calibri" w:hAnsi="Calibri"/>
        </w:rPr>
        <w:t>No benefit would be estimated in the case of equity and non-equity being amalgamated. Please see our response to Q15.</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securities note of the EU Growth prospectus could significantly i</w:t>
      </w:r>
      <w:r w:rsidRPr="000A58BE">
        <w:rPr>
          <w:rFonts w:ascii="Arial" w:hAnsi="Arial" w:cs="Arial"/>
        </w:rPr>
        <w:t>m</w:t>
      </w:r>
      <w:r w:rsidRPr="000A58BE">
        <w:rPr>
          <w:rFonts w:ascii="Arial" w:hAnsi="Arial" w:cs="Arial"/>
        </w:rPr>
        <w:t>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458F73AE" w:rsidR="000A58BE" w:rsidRPr="00724A43" w:rsidRDefault="00724A43" w:rsidP="00724A43">
      <w:pPr>
        <w:jc w:val="both"/>
        <w:rPr>
          <w:rFonts w:ascii="Calibri" w:hAnsi="Calibri"/>
        </w:rPr>
      </w:pPr>
      <w:permStart w:id="445206253" w:edGrp="everyone"/>
      <w:r>
        <w:rPr>
          <w:rFonts w:ascii="Calibri" w:hAnsi="Calibri"/>
        </w:rPr>
        <w:t>We do not have any further comments.</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14:paraId="7603DA33" w14:textId="77777777" w:rsidR="000A58BE" w:rsidRDefault="000A58BE" w:rsidP="000A58BE">
      <w:pPr>
        <w:rPr>
          <w:rFonts w:cs="Arial"/>
        </w:rPr>
      </w:pPr>
      <w:r>
        <w:rPr>
          <w:rFonts w:cs="Arial"/>
        </w:rPr>
        <w:t>&lt;ESMA_QUESTION_EUG_20&gt;</w:t>
      </w:r>
    </w:p>
    <w:p w14:paraId="26127BCF" w14:textId="77777777" w:rsidR="00724A43" w:rsidRPr="007E601A" w:rsidRDefault="00724A43" w:rsidP="00724A43">
      <w:pPr>
        <w:jc w:val="both"/>
        <w:rPr>
          <w:rFonts w:ascii="Calibri" w:hAnsi="Calibri"/>
        </w:rPr>
      </w:pPr>
      <w:permStart w:id="284240655" w:edGrp="everyone"/>
      <w:r>
        <w:rPr>
          <w:rFonts w:ascii="Calibri" w:hAnsi="Calibri"/>
        </w:rPr>
        <w:t xml:space="preserve">The proposed summary for the EU Growth prospectus does not achieve the purpose that has been set out by the European Commission to have a shorter summary that is specific for smaller issuers. </w:t>
      </w:r>
      <w:r w:rsidRPr="007E601A">
        <w:rPr>
          <w:rFonts w:ascii="Calibri" w:hAnsi="Calibri"/>
        </w:rPr>
        <w:t>ESMA has</w:t>
      </w:r>
      <w:r>
        <w:rPr>
          <w:rFonts w:ascii="Calibri" w:hAnsi="Calibri"/>
        </w:rPr>
        <w:t xml:space="preserve"> the</w:t>
      </w:r>
      <w:r w:rsidRPr="007E601A">
        <w:rPr>
          <w:rFonts w:ascii="Calibri" w:hAnsi="Calibri"/>
        </w:rPr>
        <w:t xml:space="preserve"> opportunity </w:t>
      </w:r>
      <w:r>
        <w:rPr>
          <w:rFonts w:ascii="Calibri" w:hAnsi="Calibri"/>
        </w:rPr>
        <w:t xml:space="preserve">to propose a simpler, more </w:t>
      </w:r>
      <w:r w:rsidRPr="007E601A">
        <w:rPr>
          <w:rFonts w:ascii="Calibri" w:hAnsi="Calibri"/>
        </w:rPr>
        <w:t>pragmatic and cost effective approach to the contents of the summary of</w:t>
      </w:r>
      <w:r>
        <w:rPr>
          <w:rFonts w:ascii="Calibri" w:hAnsi="Calibri"/>
        </w:rPr>
        <w:t xml:space="preserve"> an EU Growth p</w:t>
      </w:r>
      <w:r w:rsidRPr="007E601A">
        <w:rPr>
          <w:rFonts w:ascii="Calibri" w:hAnsi="Calibri"/>
        </w:rPr>
        <w:t xml:space="preserve">rospectus. </w:t>
      </w:r>
      <w:r>
        <w:rPr>
          <w:rFonts w:ascii="Calibri" w:hAnsi="Calibri"/>
        </w:rPr>
        <w:t>The European Commission’s mandate allows ESMA to take such an approach while adapting Article 7 to the needs of SMEs.</w:t>
      </w:r>
    </w:p>
    <w:p w14:paraId="2E246F8B" w14:textId="77777777" w:rsidR="00724A43" w:rsidRPr="007E601A" w:rsidRDefault="00724A43" w:rsidP="00724A43">
      <w:pPr>
        <w:jc w:val="both"/>
        <w:rPr>
          <w:rFonts w:ascii="Calibri" w:hAnsi="Calibri"/>
        </w:rPr>
      </w:pPr>
      <w:r>
        <w:rPr>
          <w:rFonts w:ascii="Calibri" w:hAnsi="Calibri"/>
        </w:rPr>
        <w:t xml:space="preserve">However, </w:t>
      </w:r>
      <w:r w:rsidRPr="007E601A">
        <w:rPr>
          <w:rFonts w:ascii="Calibri" w:hAnsi="Calibri"/>
        </w:rPr>
        <w:t xml:space="preserve">ESMA has closely followed the </w:t>
      </w:r>
      <w:r>
        <w:rPr>
          <w:rFonts w:ascii="Calibri" w:hAnsi="Calibri"/>
        </w:rPr>
        <w:t>four</w:t>
      </w:r>
      <w:r w:rsidRPr="007E601A">
        <w:rPr>
          <w:rFonts w:ascii="Calibri" w:hAnsi="Calibri"/>
        </w:rPr>
        <w:t xml:space="preserve"> section format </w:t>
      </w:r>
      <w:r>
        <w:rPr>
          <w:rFonts w:ascii="Calibri" w:hAnsi="Calibri"/>
        </w:rPr>
        <w:t xml:space="preserve">in </w:t>
      </w:r>
      <w:r w:rsidRPr="007E601A">
        <w:rPr>
          <w:rFonts w:ascii="Calibri" w:hAnsi="Calibri"/>
        </w:rPr>
        <w:t xml:space="preserve">Article 7 of the Prospectus Regulation </w:t>
      </w:r>
      <w:r>
        <w:rPr>
          <w:rFonts w:ascii="Calibri" w:hAnsi="Calibri"/>
        </w:rPr>
        <w:t xml:space="preserve">and </w:t>
      </w:r>
      <w:r w:rsidRPr="007E601A">
        <w:rPr>
          <w:rFonts w:ascii="Calibri" w:hAnsi="Calibri"/>
        </w:rPr>
        <w:t xml:space="preserve">has </w:t>
      </w:r>
      <w:r>
        <w:rPr>
          <w:rFonts w:ascii="Calibri" w:hAnsi="Calibri"/>
        </w:rPr>
        <w:t>proposed</w:t>
      </w:r>
      <w:r w:rsidRPr="007E601A">
        <w:rPr>
          <w:rFonts w:ascii="Calibri" w:hAnsi="Calibri"/>
        </w:rPr>
        <w:t xml:space="preserve"> other mandatory measures such as reducing the number of risk factors from 15 to 10 and the maximum number of pages from</w:t>
      </w:r>
      <w:r>
        <w:rPr>
          <w:rFonts w:ascii="Calibri" w:hAnsi="Calibri"/>
        </w:rPr>
        <w:t xml:space="preserve"> seven</w:t>
      </w:r>
      <w:r w:rsidRPr="007E601A">
        <w:rPr>
          <w:rFonts w:ascii="Calibri" w:hAnsi="Calibri"/>
        </w:rPr>
        <w:t xml:space="preserve"> to </w:t>
      </w:r>
      <w:r>
        <w:rPr>
          <w:rFonts w:ascii="Calibri" w:hAnsi="Calibri"/>
        </w:rPr>
        <w:t>six</w:t>
      </w:r>
      <w:r w:rsidRPr="007E601A">
        <w:rPr>
          <w:rFonts w:ascii="Calibri" w:hAnsi="Calibri"/>
        </w:rPr>
        <w:t xml:space="preserve">. </w:t>
      </w:r>
    </w:p>
    <w:p w14:paraId="46D7FBF1" w14:textId="77777777" w:rsidR="00724A43" w:rsidRPr="007E601A" w:rsidRDefault="00724A43" w:rsidP="00772FB7">
      <w:pPr>
        <w:suppressAutoHyphens/>
        <w:jc w:val="both"/>
        <w:rPr>
          <w:rFonts w:ascii="Calibri" w:hAnsi="Calibri"/>
        </w:rPr>
      </w:pPr>
      <w:r w:rsidRPr="007E601A">
        <w:rPr>
          <w:rFonts w:ascii="Calibri" w:hAnsi="Calibri"/>
        </w:rPr>
        <w:t xml:space="preserve">A reduction from </w:t>
      </w:r>
      <w:r>
        <w:rPr>
          <w:rFonts w:ascii="Calibri" w:hAnsi="Calibri"/>
        </w:rPr>
        <w:t>seven pages to six</w:t>
      </w:r>
      <w:r w:rsidRPr="007E601A">
        <w:rPr>
          <w:rFonts w:ascii="Calibri" w:hAnsi="Calibri"/>
        </w:rPr>
        <w:t xml:space="preserve"> pages </w:t>
      </w:r>
      <w:r>
        <w:rPr>
          <w:rFonts w:ascii="Calibri" w:hAnsi="Calibri"/>
        </w:rPr>
        <w:t>is</w:t>
      </w:r>
      <w:r w:rsidRPr="007E601A">
        <w:rPr>
          <w:rFonts w:ascii="Calibri" w:hAnsi="Calibri"/>
        </w:rPr>
        <w:t xml:space="preserve"> </w:t>
      </w:r>
      <w:r>
        <w:rPr>
          <w:rFonts w:ascii="Calibri" w:hAnsi="Calibri"/>
        </w:rPr>
        <w:t>an arbitrary approach and is unhelpful, as it</w:t>
      </w:r>
      <w:r w:rsidRPr="007E601A">
        <w:rPr>
          <w:rFonts w:ascii="Calibri" w:hAnsi="Calibri"/>
        </w:rPr>
        <w:t xml:space="preserve"> the reduction </w:t>
      </w:r>
      <w:r>
        <w:rPr>
          <w:rFonts w:ascii="Calibri" w:hAnsi="Calibri"/>
        </w:rPr>
        <w:t xml:space="preserve">in the number of risk factors. </w:t>
      </w:r>
      <w:r w:rsidRPr="007E601A">
        <w:rPr>
          <w:rFonts w:ascii="Calibri" w:hAnsi="Calibri"/>
        </w:rPr>
        <w:t xml:space="preserve">We question whether these </w:t>
      </w:r>
      <w:r>
        <w:rPr>
          <w:rFonts w:ascii="Calibri" w:hAnsi="Calibri"/>
        </w:rPr>
        <w:t>would be</w:t>
      </w:r>
      <w:r w:rsidRPr="007E601A">
        <w:rPr>
          <w:rFonts w:ascii="Calibri" w:hAnsi="Calibri"/>
        </w:rPr>
        <w:t xml:space="preserve"> effective measures. </w:t>
      </w:r>
      <w:r>
        <w:rPr>
          <w:rFonts w:ascii="Calibri" w:hAnsi="Calibri"/>
        </w:rPr>
        <w:t>Reducing the page length or the allowed number of risk factors instead of actually cutting down on items to be included could be seen as a ‘quick-fix’ solution by ESMA to meet the European Commission’s mandate for a shorter summary, without addressing the root of the problem or providing any effective benefit for issuers or investors.</w:t>
      </w:r>
    </w:p>
    <w:p w14:paraId="66E91B39" w14:textId="77777777" w:rsidR="00724A43" w:rsidRDefault="00724A43" w:rsidP="00772FB7">
      <w:pPr>
        <w:suppressAutoHyphens/>
        <w:jc w:val="both"/>
        <w:rPr>
          <w:rFonts w:ascii="Calibri" w:hAnsi="Calibri"/>
        </w:rPr>
      </w:pPr>
      <w:r w:rsidRPr="007E601A">
        <w:rPr>
          <w:rFonts w:ascii="Calibri" w:hAnsi="Calibri"/>
        </w:rPr>
        <w:t>Much of the information in the summary will repeat information which will be given shortly after in t</w:t>
      </w:r>
      <w:r>
        <w:rPr>
          <w:rFonts w:ascii="Calibri" w:hAnsi="Calibri"/>
        </w:rPr>
        <w:t>he main body of the SME Growth p</w:t>
      </w:r>
      <w:r w:rsidRPr="007E601A">
        <w:rPr>
          <w:rFonts w:ascii="Calibri" w:hAnsi="Calibri"/>
        </w:rPr>
        <w:t>rospectus. This seems an unnecessarily costly exercise</w:t>
      </w:r>
      <w:r>
        <w:rPr>
          <w:rFonts w:ascii="Calibri" w:hAnsi="Calibri"/>
        </w:rPr>
        <w:t xml:space="preserve"> with limited purpose</w:t>
      </w:r>
      <w:r w:rsidRPr="007E601A">
        <w:rPr>
          <w:rFonts w:ascii="Calibri" w:hAnsi="Calibri"/>
        </w:rPr>
        <w:t>. This will particularly be</w:t>
      </w:r>
      <w:r>
        <w:rPr>
          <w:rFonts w:ascii="Calibri" w:hAnsi="Calibri"/>
        </w:rPr>
        <w:t xml:space="preserve"> the case where the SME Growth p</w:t>
      </w:r>
      <w:r w:rsidRPr="007E601A">
        <w:rPr>
          <w:rFonts w:ascii="Calibri" w:hAnsi="Calibri"/>
        </w:rPr>
        <w:t>rospectus is drawn up as a single document rather than a tri-</w:t>
      </w:r>
      <w:r w:rsidRPr="007E601A">
        <w:rPr>
          <w:rFonts w:ascii="Calibri" w:hAnsi="Calibri"/>
        </w:rPr>
        <w:lastRenderedPageBreak/>
        <w:t xml:space="preserve">partite document. Such duplication will have a cost element, as will the professional analysis required to condense and "corroborate" the information in the main body of the SME Growth </w:t>
      </w:r>
      <w:r>
        <w:rPr>
          <w:rFonts w:ascii="Calibri" w:hAnsi="Calibri"/>
        </w:rPr>
        <w:t>prospectus.</w:t>
      </w:r>
    </w:p>
    <w:p w14:paraId="17C64F46" w14:textId="77777777" w:rsidR="00724A43" w:rsidRPr="007E601A" w:rsidRDefault="00724A43" w:rsidP="00724A43">
      <w:pPr>
        <w:jc w:val="both"/>
        <w:rPr>
          <w:rFonts w:ascii="Calibri" w:hAnsi="Calibri"/>
        </w:rPr>
      </w:pPr>
      <w:r>
        <w:rPr>
          <w:rFonts w:ascii="Calibri" w:hAnsi="Calibri"/>
        </w:rPr>
        <w:t>Furthermore, it would be a time consuming and</w:t>
      </w:r>
      <w:r w:rsidRPr="00A142F9">
        <w:rPr>
          <w:rFonts w:ascii="Calibri" w:hAnsi="Calibri"/>
        </w:rPr>
        <w:t xml:space="preserve"> potentially misleading</w:t>
      </w:r>
      <w:r>
        <w:rPr>
          <w:rFonts w:ascii="Calibri" w:hAnsi="Calibri"/>
        </w:rPr>
        <w:t xml:space="preserve"> exercise</w:t>
      </w:r>
      <w:r w:rsidRPr="00A142F9">
        <w:rPr>
          <w:rFonts w:ascii="Calibri" w:hAnsi="Calibri"/>
        </w:rPr>
        <w:t xml:space="preserve"> </w:t>
      </w:r>
      <w:r>
        <w:rPr>
          <w:rFonts w:ascii="Calibri" w:hAnsi="Calibri"/>
        </w:rPr>
        <w:t>to try to artificially fit b</w:t>
      </w:r>
      <w:r w:rsidRPr="00A142F9">
        <w:rPr>
          <w:rFonts w:ascii="Calibri" w:hAnsi="Calibri"/>
        </w:rPr>
        <w:t>oth risk factors and financial in</w:t>
      </w:r>
      <w:r>
        <w:rPr>
          <w:rFonts w:ascii="Calibri" w:hAnsi="Calibri"/>
        </w:rPr>
        <w:t>formation</w:t>
      </w:r>
      <w:r w:rsidRPr="00A142F9">
        <w:rPr>
          <w:rFonts w:ascii="Calibri" w:hAnsi="Calibri"/>
        </w:rPr>
        <w:t xml:space="preserve"> into a </w:t>
      </w:r>
      <w:r>
        <w:rPr>
          <w:rFonts w:ascii="Calibri" w:hAnsi="Calibri"/>
        </w:rPr>
        <w:t>prescribed smaller space</w:t>
      </w:r>
      <w:r w:rsidRPr="00A142F9">
        <w:rPr>
          <w:rFonts w:ascii="Calibri" w:hAnsi="Calibri"/>
        </w:rPr>
        <w:t xml:space="preserve"> (e.g. where risk factor 11 is as important as risk factor 10) and less comprehensible for investors (e.g. trying to </w:t>
      </w:r>
      <w:r>
        <w:rPr>
          <w:rFonts w:ascii="Calibri" w:hAnsi="Calibri"/>
        </w:rPr>
        <w:t>force</w:t>
      </w:r>
      <w:r w:rsidRPr="00A142F9">
        <w:rPr>
          <w:rFonts w:ascii="Calibri" w:hAnsi="Calibri"/>
        </w:rPr>
        <w:t xml:space="preserve"> financials into the summary format). </w:t>
      </w:r>
      <w:r>
        <w:rPr>
          <w:rFonts w:ascii="Calibri" w:hAnsi="Calibri"/>
        </w:rPr>
        <w:t xml:space="preserve">In this regard, </w:t>
      </w:r>
      <w:r w:rsidRPr="00A142F9">
        <w:rPr>
          <w:rFonts w:ascii="Calibri" w:hAnsi="Calibri"/>
        </w:rPr>
        <w:t>the sum</w:t>
      </w:r>
      <w:r>
        <w:rPr>
          <w:rFonts w:ascii="Calibri" w:hAnsi="Calibri"/>
        </w:rPr>
        <w:t xml:space="preserve">mary could just explain </w:t>
      </w:r>
      <w:r w:rsidRPr="00A142F9">
        <w:rPr>
          <w:rFonts w:ascii="Calibri" w:hAnsi="Calibri"/>
        </w:rPr>
        <w:t xml:space="preserve">where </w:t>
      </w:r>
      <w:r>
        <w:rPr>
          <w:rFonts w:ascii="Calibri" w:hAnsi="Calibri"/>
        </w:rPr>
        <w:t>this information can be found</w:t>
      </w:r>
      <w:r w:rsidRPr="00A142F9">
        <w:rPr>
          <w:rFonts w:ascii="Calibri" w:hAnsi="Calibri"/>
        </w:rPr>
        <w:t xml:space="preserve"> </w:t>
      </w:r>
      <w:r>
        <w:rPr>
          <w:rFonts w:ascii="Calibri" w:hAnsi="Calibri"/>
        </w:rPr>
        <w:t>so</w:t>
      </w:r>
      <w:r w:rsidRPr="00A142F9">
        <w:rPr>
          <w:rFonts w:ascii="Calibri" w:hAnsi="Calibri"/>
        </w:rPr>
        <w:t xml:space="preserve"> </w:t>
      </w:r>
      <w:r>
        <w:rPr>
          <w:rFonts w:ascii="Calibri" w:hAnsi="Calibri"/>
        </w:rPr>
        <w:t>that investors</w:t>
      </w:r>
      <w:r w:rsidRPr="00A142F9">
        <w:rPr>
          <w:rFonts w:ascii="Calibri" w:hAnsi="Calibri"/>
        </w:rPr>
        <w:t xml:space="preserve"> </w:t>
      </w:r>
      <w:r>
        <w:rPr>
          <w:rFonts w:ascii="Calibri" w:hAnsi="Calibri"/>
        </w:rPr>
        <w:t xml:space="preserve">can </w:t>
      </w:r>
      <w:r w:rsidRPr="00A142F9">
        <w:rPr>
          <w:rFonts w:ascii="Calibri" w:hAnsi="Calibri"/>
        </w:rPr>
        <w:t>be aware of the risks and</w:t>
      </w:r>
      <w:r>
        <w:rPr>
          <w:rFonts w:ascii="Calibri" w:hAnsi="Calibri"/>
        </w:rPr>
        <w:t xml:space="preserve"> can</w:t>
      </w:r>
      <w:r w:rsidRPr="00A142F9">
        <w:rPr>
          <w:rFonts w:ascii="Calibri" w:hAnsi="Calibri"/>
        </w:rPr>
        <w:t xml:space="preserve"> review the financials.</w:t>
      </w:r>
    </w:p>
    <w:p w14:paraId="2DDBE3AF" w14:textId="77777777" w:rsidR="00724A43" w:rsidRPr="007E601A" w:rsidRDefault="00724A43" w:rsidP="00772FB7">
      <w:pPr>
        <w:suppressAutoHyphens/>
        <w:jc w:val="both"/>
        <w:rPr>
          <w:rFonts w:ascii="Calibri" w:hAnsi="Calibri"/>
        </w:rPr>
      </w:pPr>
      <w:r w:rsidRPr="007E601A">
        <w:rPr>
          <w:rFonts w:ascii="Calibri" w:hAnsi="Calibri"/>
        </w:rPr>
        <w:t>Given that one of the objectives of the SME Growth prospectus is to make it more user-friendly</w:t>
      </w:r>
      <w:r>
        <w:rPr>
          <w:rFonts w:ascii="Calibri" w:hAnsi="Calibri"/>
        </w:rPr>
        <w:t xml:space="preserve"> for retail investors</w:t>
      </w:r>
      <w:r w:rsidRPr="007E601A">
        <w:rPr>
          <w:rFonts w:ascii="Calibri" w:hAnsi="Calibri"/>
        </w:rPr>
        <w:t xml:space="preserve">, </w:t>
      </w:r>
      <w:r>
        <w:rPr>
          <w:rFonts w:ascii="Calibri" w:hAnsi="Calibri"/>
        </w:rPr>
        <w:t xml:space="preserve">we suggest that </w:t>
      </w:r>
      <w:r w:rsidRPr="007E601A">
        <w:rPr>
          <w:rFonts w:ascii="Calibri" w:hAnsi="Calibri"/>
        </w:rPr>
        <w:t>it would make more sense to make the summary into a “</w:t>
      </w:r>
      <w:r w:rsidRPr="00D4181D">
        <w:rPr>
          <w:rFonts w:ascii="Calibri" w:hAnsi="Calibri"/>
        </w:rPr>
        <w:t>readers guide”</w:t>
      </w:r>
      <w:r w:rsidRPr="007E601A">
        <w:rPr>
          <w:rFonts w:ascii="Calibri" w:hAnsi="Calibri"/>
        </w:rPr>
        <w:t xml:space="preserve"> to the prospectus, which gives an overview of the issuer and the offer.</w:t>
      </w:r>
      <w:r>
        <w:rPr>
          <w:rFonts w:ascii="Calibri" w:hAnsi="Calibri"/>
        </w:rPr>
        <w:t xml:space="preserve"> </w:t>
      </w:r>
      <w:r w:rsidRPr="007E601A">
        <w:rPr>
          <w:rFonts w:ascii="Calibri" w:hAnsi="Calibri"/>
        </w:rPr>
        <w:t xml:space="preserve">There is no need for a substantial repetition of risk factors and financial information. Condensing and omitting this information may have a </w:t>
      </w:r>
      <w:r>
        <w:rPr>
          <w:rFonts w:ascii="Calibri" w:hAnsi="Calibri"/>
        </w:rPr>
        <w:t>damaging</w:t>
      </w:r>
      <w:r w:rsidRPr="007E601A">
        <w:rPr>
          <w:rFonts w:ascii="Calibri" w:hAnsi="Calibri"/>
        </w:rPr>
        <w:t xml:space="preserve"> effect. </w:t>
      </w:r>
    </w:p>
    <w:p w14:paraId="0CD6D2D6" w14:textId="7601885B" w:rsidR="000A58BE" w:rsidRPr="00724A43" w:rsidRDefault="00724A43" w:rsidP="00772FB7">
      <w:pPr>
        <w:suppressAutoHyphens/>
        <w:jc w:val="both"/>
        <w:rPr>
          <w:rFonts w:ascii="Calibri" w:hAnsi="Calibri"/>
        </w:rPr>
      </w:pPr>
      <w:r>
        <w:rPr>
          <w:rFonts w:ascii="Calibri" w:hAnsi="Calibri"/>
        </w:rPr>
        <w:t>W</w:t>
      </w:r>
      <w:r w:rsidRPr="007E601A">
        <w:rPr>
          <w:rFonts w:ascii="Calibri" w:hAnsi="Calibri"/>
        </w:rPr>
        <w:t>e question the wisdom of identifying a summary with a PRIIP and allowing it to be a free-standing document</w:t>
      </w:r>
      <w:r>
        <w:rPr>
          <w:rFonts w:ascii="Calibri" w:hAnsi="Calibri"/>
        </w:rPr>
        <w:t>.</w:t>
      </w:r>
      <w:r w:rsidRPr="007E601A">
        <w:rPr>
          <w:rFonts w:ascii="Calibri" w:hAnsi="Calibri"/>
        </w:rPr>
        <w:t xml:space="preserve"> A retail investor should not be encouraged to focus and rely solely on the s</w:t>
      </w:r>
      <w:r>
        <w:rPr>
          <w:rFonts w:ascii="Calibri" w:hAnsi="Calibri"/>
        </w:rPr>
        <w:t xml:space="preserve">ummary. </w:t>
      </w:r>
      <w:r w:rsidRPr="007E601A">
        <w:rPr>
          <w:rFonts w:ascii="Calibri" w:hAnsi="Calibri"/>
        </w:rPr>
        <w:t>The investment decision should be based on</w:t>
      </w:r>
      <w:r>
        <w:rPr>
          <w:rFonts w:ascii="Calibri" w:hAnsi="Calibri"/>
        </w:rPr>
        <w:t xml:space="preserve"> a proper consultation of</w:t>
      </w:r>
      <w:r w:rsidRPr="007E601A">
        <w:rPr>
          <w:rFonts w:ascii="Calibri" w:hAnsi="Calibri"/>
        </w:rPr>
        <w:t xml:space="preserve"> the whole</w:t>
      </w:r>
      <w:r>
        <w:rPr>
          <w:rFonts w:ascii="Calibri" w:hAnsi="Calibri"/>
        </w:rPr>
        <w:t xml:space="preserve"> of the EU Growth p</w:t>
      </w:r>
      <w:r w:rsidRPr="007E601A">
        <w:rPr>
          <w:rFonts w:ascii="Calibri" w:hAnsi="Calibri"/>
        </w:rPr>
        <w:t>rospectus</w:t>
      </w:r>
      <w:r>
        <w:rPr>
          <w:rFonts w:ascii="Calibri" w:hAnsi="Calibri"/>
        </w:rPr>
        <w:t>, which has been specifically shortened, by definition, to aid comprehensibility</w:t>
      </w:r>
      <w:r w:rsidRPr="007E601A">
        <w:rPr>
          <w:rFonts w:ascii="Calibri" w:hAnsi="Calibri"/>
        </w:rPr>
        <w:t>.</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FB574DA" w14:textId="77777777" w:rsidR="00724A43" w:rsidRDefault="00724A43" w:rsidP="00772FB7">
      <w:pPr>
        <w:suppressAutoHyphens/>
        <w:jc w:val="both"/>
        <w:rPr>
          <w:rFonts w:ascii="Calibri" w:hAnsi="Calibri"/>
        </w:rPr>
      </w:pPr>
      <w:permStart w:id="333717325" w:edGrp="everyone"/>
      <w:r>
        <w:rPr>
          <w:rFonts w:ascii="Calibri" w:hAnsi="Calibri"/>
        </w:rPr>
        <w:t>As mentioned above in</w:t>
      </w:r>
      <w:r w:rsidRPr="007E601A">
        <w:rPr>
          <w:rFonts w:ascii="Calibri" w:hAnsi="Calibri"/>
        </w:rPr>
        <w:t xml:space="preserve"> our response to Q20</w:t>
      </w:r>
      <w:r>
        <w:rPr>
          <w:rFonts w:ascii="Calibri" w:hAnsi="Calibri"/>
        </w:rPr>
        <w:t xml:space="preserve">, we consider the proposal to introduce a six page limit for the summary of the EU Growth prospectus as an arbitrary measure which would </w:t>
      </w:r>
      <w:r w:rsidRPr="00581AF5">
        <w:rPr>
          <w:rFonts w:ascii="Calibri" w:hAnsi="Calibri"/>
        </w:rPr>
        <w:t>essentially</w:t>
      </w:r>
      <w:r>
        <w:rPr>
          <w:rFonts w:ascii="Calibri" w:hAnsi="Calibri"/>
        </w:rPr>
        <w:t xml:space="preserve"> make the EU Growth Prospe</w:t>
      </w:r>
      <w:r>
        <w:rPr>
          <w:rFonts w:ascii="Calibri" w:hAnsi="Calibri"/>
        </w:rPr>
        <w:t>c</w:t>
      </w:r>
      <w:r>
        <w:rPr>
          <w:rFonts w:ascii="Calibri" w:hAnsi="Calibri"/>
        </w:rPr>
        <w:t>tus and its summary shorter, yet would not in practice meet the European Commission’s mandate to create a shorter summary that is specific for smaller issuers.</w:t>
      </w:r>
    </w:p>
    <w:p w14:paraId="45EA344E" w14:textId="56E433BF" w:rsidR="000A58BE" w:rsidRPr="00724A43" w:rsidRDefault="00724A43" w:rsidP="00772FB7">
      <w:pPr>
        <w:suppressAutoHyphens/>
        <w:jc w:val="both"/>
        <w:rPr>
          <w:rFonts w:ascii="Calibri" w:hAnsi="Calibri"/>
        </w:rPr>
      </w:pPr>
      <w:r>
        <w:rPr>
          <w:rFonts w:ascii="Calibri" w:hAnsi="Calibri"/>
        </w:rPr>
        <w:t>As an alternative to limiting the number of pages, we propose restructuring the summary into a reader’s guide to the prospectus, simply giving an overview of the issuer and the offer (while taking into consideration the European Commission’s mandate).</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w:t>
      </w:r>
      <w:r w:rsidRPr="000A58BE">
        <w:rPr>
          <w:rFonts w:ascii="Arial" w:hAnsi="Arial" w:cs="Arial"/>
        </w:rPr>
        <w:t>o</w:t>
      </w:r>
      <w:r w:rsidRPr="000A58BE">
        <w:rPr>
          <w:rFonts w:ascii="Arial" w:hAnsi="Arial" w:cs="Arial"/>
        </w:rPr>
        <w:t>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2FCAC9A6" w14:textId="77777777" w:rsidR="00724A43" w:rsidRDefault="00724A43" w:rsidP="00724A43">
      <w:pPr>
        <w:jc w:val="both"/>
        <w:rPr>
          <w:rFonts w:ascii="Calibri" w:hAnsi="Calibri"/>
        </w:rPr>
      </w:pPr>
      <w:permStart w:id="4278746" w:edGrp="everyone"/>
      <w:r>
        <w:rPr>
          <w:rFonts w:ascii="Calibri" w:hAnsi="Calibri"/>
        </w:rPr>
        <w:t>As mentioned above in</w:t>
      </w:r>
      <w:r w:rsidRPr="007E601A">
        <w:rPr>
          <w:rFonts w:ascii="Calibri" w:hAnsi="Calibri"/>
        </w:rPr>
        <w:t xml:space="preserve"> our response to Q20</w:t>
      </w:r>
      <w:r>
        <w:rPr>
          <w:rFonts w:ascii="Calibri" w:hAnsi="Calibri"/>
        </w:rPr>
        <w:t>, we consider the proposal to reduce the number of risk factors as an arbitrary measure which would essentially make the EU Growth prospectus and its summary shorter, yet would not in practice meet the European Commission’s mandate to create a shorter summary that is specific for smaller issuers.</w:t>
      </w:r>
    </w:p>
    <w:p w14:paraId="3226711F" w14:textId="448FA528" w:rsidR="000A58BE" w:rsidRPr="00724A43" w:rsidRDefault="00724A43" w:rsidP="00724A43">
      <w:pPr>
        <w:jc w:val="both"/>
        <w:rPr>
          <w:rFonts w:ascii="Calibri" w:hAnsi="Calibri"/>
        </w:rPr>
      </w:pPr>
      <w:r>
        <w:rPr>
          <w:rFonts w:ascii="Calibri" w:hAnsi="Calibri"/>
        </w:rPr>
        <w:t>While taking into consideration the European Commission’s mandate, we propose restructuring the summary as a readers guide to the prospectus, simply giving an overview of the issuer and the offer, and not including in it any risk factors.</w:t>
      </w:r>
    </w:p>
    <w:permEnd w:id="4278746"/>
    <w:p w14:paraId="07CE91E0" w14:textId="1EA3AE16"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43"/>
        </w:numPr>
        <w:rPr>
          <w:rFonts w:ascii="Arial" w:hAnsi="Arial" w:cs="Arial"/>
        </w:rPr>
      </w:pPr>
      <w:r>
        <w:lastRenderedPageBreak/>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6035E140" w14:textId="77777777" w:rsidR="00724A43" w:rsidRDefault="00724A43" w:rsidP="00724A43">
      <w:pPr>
        <w:jc w:val="both"/>
        <w:rPr>
          <w:rFonts w:ascii="Calibri" w:hAnsi="Calibri"/>
        </w:rPr>
      </w:pPr>
      <w:permStart w:id="206003776" w:edGrp="everyone"/>
      <w:r w:rsidRPr="007E601A">
        <w:rPr>
          <w:rFonts w:ascii="Calibri" w:hAnsi="Calibri"/>
        </w:rPr>
        <w:t>In practice</w:t>
      </w:r>
      <w:r>
        <w:rPr>
          <w:rFonts w:ascii="Calibri" w:hAnsi="Calibri"/>
        </w:rPr>
        <w:t>,</w:t>
      </w:r>
      <w:r w:rsidRPr="007E601A">
        <w:rPr>
          <w:rFonts w:ascii="Calibri" w:hAnsi="Calibri"/>
        </w:rPr>
        <w:t xml:space="preserve"> it is less common for offers by SME issuers to be u</w:t>
      </w:r>
      <w:r>
        <w:rPr>
          <w:rFonts w:ascii="Calibri" w:hAnsi="Calibri"/>
        </w:rPr>
        <w:t xml:space="preserve">nderwritten. </w:t>
      </w:r>
      <w:r w:rsidRPr="007E601A">
        <w:rPr>
          <w:rFonts w:ascii="Calibri" w:hAnsi="Calibri"/>
        </w:rPr>
        <w:t xml:space="preserve">For economic reasons, given their stage of development, SMEs are less likely to engage the services of large financial institutions which have the balance sheet capability to underwrite SME offers. </w:t>
      </w:r>
    </w:p>
    <w:p w14:paraId="18F3ED57" w14:textId="7C2DA30F" w:rsidR="000A58BE" w:rsidRPr="00724A43" w:rsidRDefault="00724A43" w:rsidP="00724A43">
      <w:pPr>
        <w:jc w:val="both"/>
        <w:rPr>
          <w:rFonts w:ascii="Calibri" w:hAnsi="Calibri"/>
        </w:rPr>
      </w:pPr>
      <w:r w:rsidRPr="007E601A">
        <w:rPr>
          <w:rFonts w:ascii="Calibri" w:hAnsi="Calibri"/>
        </w:rPr>
        <w:t xml:space="preserve">Moreover, the size of most SME offers does not warrant underwriting. However, </w:t>
      </w:r>
      <w:r>
        <w:rPr>
          <w:rFonts w:ascii="Calibri" w:hAnsi="Calibri"/>
        </w:rPr>
        <w:t xml:space="preserve">we agree that </w:t>
      </w:r>
      <w:r w:rsidRPr="007E601A">
        <w:rPr>
          <w:rFonts w:ascii="Calibri" w:hAnsi="Calibri"/>
        </w:rPr>
        <w:t xml:space="preserve">if there was an underwriting </w:t>
      </w:r>
      <w:r>
        <w:rPr>
          <w:rFonts w:ascii="Calibri" w:hAnsi="Calibri"/>
        </w:rPr>
        <w:t>the</w:t>
      </w:r>
      <w:r w:rsidRPr="007E601A">
        <w:rPr>
          <w:rFonts w:ascii="Calibri" w:hAnsi="Calibri"/>
        </w:rPr>
        <w:t xml:space="preserve"> disclosure of the underwriting arrangements</w:t>
      </w:r>
      <w:r>
        <w:rPr>
          <w:rFonts w:ascii="Calibri" w:hAnsi="Calibri"/>
        </w:rPr>
        <w:t xml:space="preserve"> would be expected –</w:t>
      </w:r>
      <w:r w:rsidRPr="007E601A">
        <w:rPr>
          <w:rFonts w:ascii="Calibri" w:hAnsi="Calibri"/>
        </w:rPr>
        <w:t xml:space="preserve"> for example, </w:t>
      </w:r>
      <w:r>
        <w:rPr>
          <w:rFonts w:ascii="Calibri" w:hAnsi="Calibri"/>
        </w:rPr>
        <w:t xml:space="preserve">regarding the </w:t>
      </w:r>
      <w:r w:rsidRPr="007E601A">
        <w:rPr>
          <w:rFonts w:ascii="Calibri" w:hAnsi="Calibri"/>
        </w:rPr>
        <w:t>certainty of funds and the commission and underwriting fees involved.</w:t>
      </w:r>
      <w:r>
        <w:rPr>
          <w:rFonts w:ascii="Calibri" w:hAnsi="Calibri"/>
        </w:rPr>
        <w:t xml:space="preserve"> </w:t>
      </w:r>
      <w:r w:rsidRPr="00CE1536">
        <w:rPr>
          <w:rFonts w:ascii="Calibri" w:hAnsi="Calibri"/>
        </w:rPr>
        <w:t>T</w:t>
      </w:r>
      <w:r w:rsidRPr="00CE1536">
        <w:rPr>
          <w:rFonts w:ascii="Calibri" w:hAnsi="Calibri" w:cs="Arial"/>
        </w:rPr>
        <w:t>he so-called ‘soft underwriting’ is not uncommon for SME issuers, which should in that case be disclosed.</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68C30696" w14:textId="77777777" w:rsidR="00724A43" w:rsidRDefault="00724A43" w:rsidP="00724A43">
      <w:pPr>
        <w:jc w:val="both"/>
        <w:rPr>
          <w:rFonts w:ascii="Calibri" w:hAnsi="Calibri" w:cs="Arial"/>
        </w:rPr>
      </w:pPr>
      <w:permStart w:id="160967962" w:edGrp="everyone"/>
      <w:r w:rsidRPr="00CE1536">
        <w:rPr>
          <w:rFonts w:ascii="Calibri" w:hAnsi="Calibri" w:cs="Arial"/>
        </w:rPr>
        <w:t xml:space="preserve">We </w:t>
      </w:r>
      <w:r>
        <w:rPr>
          <w:rFonts w:ascii="Calibri" w:hAnsi="Calibri" w:cs="Arial"/>
        </w:rPr>
        <w:t>do not think</w:t>
      </w:r>
      <w:r w:rsidRPr="00CE1536">
        <w:rPr>
          <w:rFonts w:ascii="Calibri" w:hAnsi="Calibri" w:cs="Arial"/>
        </w:rPr>
        <w:t xml:space="preserve"> that ESMA should be prescriptive o</w:t>
      </w:r>
      <w:r>
        <w:rPr>
          <w:rFonts w:ascii="Calibri" w:hAnsi="Calibri" w:cs="Arial"/>
        </w:rPr>
        <w:t>n</w:t>
      </w:r>
      <w:r w:rsidRPr="00CE1536">
        <w:rPr>
          <w:rFonts w:ascii="Calibri" w:hAnsi="Calibri" w:cs="Arial"/>
        </w:rPr>
        <w:t xml:space="preserve"> the line items </w:t>
      </w:r>
      <w:r>
        <w:rPr>
          <w:rFonts w:ascii="Calibri" w:hAnsi="Calibri" w:cs="Arial"/>
        </w:rPr>
        <w:t>that</w:t>
      </w:r>
      <w:r w:rsidRPr="00CE1536">
        <w:rPr>
          <w:rFonts w:ascii="Calibri" w:hAnsi="Calibri" w:cs="Arial"/>
        </w:rPr>
        <w:t xml:space="preserve"> should be included, since different measures are important for different industries. By specifying certain measures there is the danger that issuers will default to just producing those, without addressing what might be appropriate for their particular industry. </w:t>
      </w:r>
    </w:p>
    <w:p w14:paraId="1CE093CB" w14:textId="77777777" w:rsidR="00724A43" w:rsidRPr="00CE1536" w:rsidRDefault="00724A43" w:rsidP="00724A43">
      <w:pPr>
        <w:jc w:val="both"/>
        <w:rPr>
          <w:rFonts w:ascii="Calibri" w:hAnsi="Calibri" w:cs="Arial"/>
        </w:rPr>
      </w:pPr>
      <w:r w:rsidRPr="00CE1536">
        <w:rPr>
          <w:rFonts w:ascii="Calibri" w:hAnsi="Calibri" w:cs="Arial"/>
        </w:rPr>
        <w:t xml:space="preserve">For example, revenue and revenue growth may be of little relevance to an early stage natural resource developer. Furthermore, because use of local accounting standards is permitted, by specifying certain line items issuers will need to spend time trying to identify appropriate equivalent line items in their local accounting standards, rather than considering what might be appropriate measures. </w:t>
      </w:r>
    </w:p>
    <w:p w14:paraId="4CE2ADFA" w14:textId="6E928A6A" w:rsidR="000A58BE" w:rsidRDefault="00724A43" w:rsidP="00724A43">
      <w:pPr>
        <w:rPr>
          <w:rFonts w:cs="Arial"/>
        </w:rPr>
      </w:pPr>
      <w:r w:rsidRPr="00CE1536">
        <w:rPr>
          <w:rFonts w:ascii="Calibri" w:hAnsi="Calibri" w:cs="Arial"/>
        </w:rPr>
        <w:t>Furthermore, the use of KPIs should not be mandated – they should be an optional way of summarising the issuer’s liquidity, indebtedness and profitability.</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w:t>
      </w:r>
      <w:r w:rsidRPr="000A58BE">
        <w:rPr>
          <w:rFonts w:ascii="Arial" w:hAnsi="Arial" w:cs="Arial"/>
        </w:rPr>
        <w:t>d</w:t>
      </w:r>
      <w:r w:rsidRPr="000A58BE">
        <w:rPr>
          <w:rFonts w:ascii="Arial" w:hAnsi="Arial" w:cs="Arial"/>
        </w:rPr>
        <w:t>ditional benefit for investors from such disclosure.</w:t>
      </w:r>
    </w:p>
    <w:p w14:paraId="1F256285" w14:textId="77777777" w:rsidR="000A58BE" w:rsidRDefault="000A58BE" w:rsidP="000A58BE">
      <w:pPr>
        <w:rPr>
          <w:rFonts w:cs="Arial"/>
        </w:rPr>
      </w:pPr>
      <w:r>
        <w:rPr>
          <w:rFonts w:cs="Arial"/>
        </w:rPr>
        <w:t>&lt;ESMA_QUESTION_EUG_25&gt;</w:t>
      </w:r>
    </w:p>
    <w:p w14:paraId="78415963" w14:textId="780A5B75" w:rsidR="000A58BE" w:rsidRPr="00724A43" w:rsidRDefault="00724A43" w:rsidP="00724A43">
      <w:pPr>
        <w:jc w:val="both"/>
        <w:rPr>
          <w:rFonts w:ascii="Calibri" w:hAnsi="Calibri" w:cs="Arial"/>
        </w:rPr>
      </w:pPr>
      <w:permStart w:id="484913585" w:edGrp="everyone"/>
      <w:r w:rsidRPr="00CE1536">
        <w:rPr>
          <w:rFonts w:ascii="Calibri" w:hAnsi="Calibri" w:cs="Arial"/>
        </w:rPr>
        <w:t xml:space="preserve">We </w:t>
      </w:r>
      <w:r>
        <w:rPr>
          <w:rFonts w:ascii="Calibri" w:hAnsi="Calibri" w:cs="Arial"/>
        </w:rPr>
        <w:t>suggest</w:t>
      </w:r>
      <w:r w:rsidRPr="00CE1536">
        <w:rPr>
          <w:rFonts w:ascii="Calibri" w:hAnsi="Calibri" w:cs="Arial"/>
        </w:rPr>
        <w:t xml:space="preserve"> that there is no advantage </w:t>
      </w:r>
      <w:r>
        <w:rPr>
          <w:rFonts w:ascii="Calibri" w:hAnsi="Calibri" w:cs="Arial"/>
        </w:rPr>
        <w:t xml:space="preserve">gained from </w:t>
      </w:r>
      <w:r w:rsidRPr="00CE1536">
        <w:rPr>
          <w:rFonts w:ascii="Calibri" w:hAnsi="Calibri" w:cs="Arial"/>
        </w:rPr>
        <w:t xml:space="preserve">disclosing condensed pro forma information in the summary of the EU Growth </w:t>
      </w:r>
      <w:r>
        <w:rPr>
          <w:rFonts w:ascii="Calibri" w:hAnsi="Calibri" w:cs="Arial"/>
        </w:rPr>
        <w:t>p</w:t>
      </w:r>
      <w:r w:rsidRPr="00CE1536">
        <w:rPr>
          <w:rFonts w:ascii="Calibri" w:hAnsi="Calibri" w:cs="Arial"/>
        </w:rPr>
        <w:t xml:space="preserve">rospectus. Given that the pro forma information will be included later on, the additional costs of summarising it for the summary will not be significant; however, this would add to the length of the summary unnecessarily. Instead, there should be a reference in the summary </w:t>
      </w:r>
      <w:r>
        <w:rPr>
          <w:rFonts w:ascii="Calibri" w:hAnsi="Calibri" w:cs="Arial"/>
        </w:rPr>
        <w:t xml:space="preserve">to </w:t>
      </w:r>
      <w:r w:rsidRPr="00CE1536">
        <w:rPr>
          <w:rFonts w:ascii="Calibri" w:hAnsi="Calibri" w:cs="Arial"/>
        </w:rPr>
        <w:t>where the pro forma information can be found.</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43"/>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 xml:space="preserve">prove the utility of the EU Growth registration document? If yes, please specify and provide examples. </w:t>
      </w:r>
    </w:p>
    <w:p w14:paraId="1BFA64F2" w14:textId="77777777" w:rsidR="000A58BE" w:rsidRDefault="000A58BE" w:rsidP="000A58BE">
      <w:pPr>
        <w:rPr>
          <w:rFonts w:cs="Arial"/>
        </w:rPr>
      </w:pPr>
      <w:r>
        <w:rPr>
          <w:rFonts w:cs="Arial"/>
        </w:rPr>
        <w:t>&lt;ESMA_QUESTION_EUG_26&gt;</w:t>
      </w:r>
    </w:p>
    <w:p w14:paraId="6FFF5A13" w14:textId="6C32098B" w:rsidR="000A58BE" w:rsidRPr="00724A43" w:rsidRDefault="00724A43" w:rsidP="00724A43">
      <w:pPr>
        <w:jc w:val="both"/>
        <w:rPr>
          <w:rFonts w:ascii="Calibri" w:hAnsi="Calibri"/>
        </w:rPr>
      </w:pPr>
      <w:permStart w:id="673936836" w:edGrp="everyone"/>
      <w:r>
        <w:rPr>
          <w:rFonts w:ascii="Calibri" w:hAnsi="Calibri"/>
        </w:rPr>
        <w:lastRenderedPageBreak/>
        <w:t>We do not have any further comments.</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43"/>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2AE7E0B1" w:rsidR="000A58BE" w:rsidRPr="00724A43" w:rsidRDefault="00724A43" w:rsidP="00724A43">
      <w:pPr>
        <w:jc w:val="both"/>
        <w:rPr>
          <w:rFonts w:ascii="Calibri" w:hAnsi="Calibri"/>
        </w:rPr>
      </w:pPr>
      <w:permStart w:id="634987889" w:edGrp="everyone"/>
      <w:r>
        <w:rPr>
          <w:rFonts w:ascii="Calibri" w:hAnsi="Calibri"/>
        </w:rPr>
        <w:t>W</w:t>
      </w:r>
      <w:r w:rsidRPr="007E601A">
        <w:rPr>
          <w:rFonts w:ascii="Calibri" w:hAnsi="Calibri"/>
        </w:rPr>
        <w:t xml:space="preserve">e consider that the disclosure items proposed by ESMA are clear enough to be understood by </w:t>
      </w:r>
      <w:r>
        <w:rPr>
          <w:rFonts w:ascii="Calibri" w:hAnsi="Calibri"/>
        </w:rPr>
        <w:t>i</w:t>
      </w:r>
      <w:r w:rsidRPr="007E601A">
        <w:rPr>
          <w:rFonts w:ascii="Calibri" w:hAnsi="Calibri"/>
        </w:rPr>
        <w:t xml:space="preserve">ssuers. </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43"/>
        </w:numPr>
        <w:rPr>
          <w:rFonts w:ascii="Arial" w:hAnsi="Arial" w:cs="Arial"/>
        </w:rPr>
      </w:pPr>
      <w:r>
        <w:t>:</w:t>
      </w:r>
      <w:r w:rsidRPr="000A58BE">
        <w:rPr>
          <w:rFonts w:ascii="Arial" w:hAnsi="Arial" w:cs="Arial"/>
        </w:rPr>
        <w:t xml:space="preserve"> Please indicate if further reduction or simplification of the disclosure requir</w:t>
      </w:r>
      <w:r w:rsidRPr="000A58BE">
        <w:rPr>
          <w:rFonts w:ascii="Arial" w:hAnsi="Arial" w:cs="Arial"/>
        </w:rPr>
        <w:t>e</w:t>
      </w:r>
      <w:r w:rsidRPr="000A58BE">
        <w:rPr>
          <w:rFonts w:ascii="Arial" w:hAnsi="Arial" w:cs="Arial"/>
        </w:rPr>
        <w:t>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145313A8" w14:textId="135055CB" w:rsidR="000A58BE" w:rsidRPr="00724A43" w:rsidRDefault="00724A43" w:rsidP="00724A43">
      <w:pPr>
        <w:jc w:val="both"/>
        <w:rPr>
          <w:rFonts w:ascii="Calibri" w:hAnsi="Calibri"/>
        </w:rPr>
      </w:pPr>
      <w:permStart w:id="444481667" w:edGrp="everyone"/>
      <w:r>
        <w:rPr>
          <w:rFonts w:ascii="Calibri" w:hAnsi="Calibri"/>
        </w:rPr>
        <w:t>Please s</w:t>
      </w:r>
      <w:r w:rsidRPr="007E601A">
        <w:rPr>
          <w:rFonts w:ascii="Calibri" w:hAnsi="Calibri"/>
        </w:rPr>
        <w:t>ee our response to Q20.</w:t>
      </w:r>
      <w:r>
        <w:rPr>
          <w:rFonts w:ascii="Calibri" w:hAnsi="Calibri"/>
        </w:rPr>
        <w:t xml:space="preserve"> In terms of cost alleviation, the simplifications that we have proposed would significantly reduce time for preparing, drafting, editing and revising the prospectus, which in effect translates into reduced adviser and management fees and thus money saved by issuers.</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9190D" w14:textId="77777777" w:rsidR="008F1E61" w:rsidRDefault="008F1E61">
      <w:r>
        <w:separator/>
      </w:r>
    </w:p>
    <w:p w14:paraId="7332ED19" w14:textId="77777777" w:rsidR="008F1E61" w:rsidRDefault="008F1E61"/>
  </w:endnote>
  <w:endnote w:type="continuationSeparator" w:id="0">
    <w:p w14:paraId="4A1D8A0B" w14:textId="77777777" w:rsidR="008F1E61" w:rsidRDefault="008F1E61">
      <w:r>
        <w:continuationSeparator/>
      </w:r>
    </w:p>
    <w:p w14:paraId="6A45AC66" w14:textId="77777777" w:rsidR="008F1E61" w:rsidRDefault="008F1E61"/>
  </w:endnote>
  <w:endnote w:type="continuationNotice" w:id="1">
    <w:p w14:paraId="586DEE7B" w14:textId="77777777" w:rsidR="008F1E61" w:rsidRDefault="008F1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A408C6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72FB7">
            <w:rPr>
              <w:rFonts w:cs="Arial"/>
              <w:noProof/>
              <w:sz w:val="22"/>
              <w:szCs w:val="22"/>
            </w:rPr>
            <w:t>8</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A17F7" w14:textId="77777777" w:rsidR="008F1E61" w:rsidRDefault="008F1E61">
      <w:r>
        <w:separator/>
      </w:r>
    </w:p>
    <w:p w14:paraId="79862742" w14:textId="77777777" w:rsidR="008F1E61" w:rsidRDefault="008F1E61"/>
  </w:footnote>
  <w:footnote w:type="continuationSeparator" w:id="0">
    <w:p w14:paraId="655F34D6" w14:textId="77777777" w:rsidR="008F1E61" w:rsidRDefault="008F1E61">
      <w:r>
        <w:continuationSeparator/>
      </w:r>
    </w:p>
    <w:p w14:paraId="107AE77D" w14:textId="77777777" w:rsidR="008F1E61" w:rsidRDefault="008F1E61"/>
  </w:footnote>
  <w:footnote w:type="continuationNotice" w:id="1">
    <w:p w14:paraId="246B7CFC" w14:textId="77777777" w:rsidR="008F1E61" w:rsidRDefault="008F1E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2B2308"/>
    <w:multiLevelType w:val="hybridMultilevel"/>
    <w:tmpl w:val="483823A2"/>
    <w:lvl w:ilvl="0" w:tplc="FE56F7FA">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5E21CF"/>
    <w:multiLevelType w:val="hybridMultilevel"/>
    <w:tmpl w:val="AD5EA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9F02FA5"/>
    <w:multiLevelType w:val="hybridMultilevel"/>
    <w:tmpl w:val="F62A5AE2"/>
    <w:lvl w:ilvl="0" w:tplc="FE56F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4800195"/>
    <w:multiLevelType w:val="multilevel"/>
    <w:tmpl w:val="CB82C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C3E3A"/>
    <w:multiLevelType w:val="hybridMultilevel"/>
    <w:tmpl w:val="0F8CB73E"/>
    <w:lvl w:ilvl="0" w:tplc="FE56F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0"/>
  </w:num>
  <w:num w:numId="21">
    <w:abstractNumId w:val="40"/>
  </w:num>
  <w:num w:numId="22">
    <w:abstractNumId w:val="27"/>
  </w:num>
  <w:num w:numId="23">
    <w:abstractNumId w:val="9"/>
  </w:num>
  <w:num w:numId="24">
    <w:abstractNumId w:val="33"/>
  </w:num>
  <w:num w:numId="25">
    <w:abstractNumId w:val="32"/>
  </w:num>
  <w:num w:numId="26">
    <w:abstractNumId w:val="21"/>
  </w:num>
  <w:num w:numId="27">
    <w:abstractNumId w:val="37"/>
  </w:num>
  <w:num w:numId="28">
    <w:abstractNumId w:val="42"/>
  </w:num>
  <w:num w:numId="29">
    <w:abstractNumId w:val="7"/>
  </w:num>
  <w:num w:numId="30">
    <w:abstractNumId w:val="3"/>
  </w:num>
  <w:num w:numId="31">
    <w:abstractNumId w:val="24"/>
  </w:num>
  <w:num w:numId="32">
    <w:abstractNumId w:val="23"/>
  </w:num>
  <w:num w:numId="33">
    <w:abstractNumId w:val="39"/>
  </w:num>
  <w:num w:numId="34">
    <w:abstractNumId w:val="38"/>
  </w:num>
  <w:num w:numId="35">
    <w:abstractNumId w:val="1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2"/>
  </w:num>
  <w:num w:numId="39">
    <w:abstractNumId w:val="35"/>
  </w:num>
  <w:num w:numId="40">
    <w:abstractNumId w:val="2"/>
  </w:num>
  <w:num w:numId="41">
    <w:abstractNumId w:val="4"/>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B7E46"/>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C6EB3"/>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5F8A"/>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A43"/>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2FB7"/>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E61"/>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007"/>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20fbe147-bbda-4e53-b6b1-7e8bbff3fe19"/>
    <ds:schemaRef ds:uri="http://purl.org/dc/elements/1.1/"/>
    <ds:schemaRef ds:uri="http://schemas.microsoft.com/office/2006/metadata/propertie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CE4A9774-ABAD-4446-BE42-D080EEBA7B29}">
  <ds:schemaRefs>
    <ds:schemaRef ds:uri="http://schemas.openxmlformats.org/officeDocument/2006/bibliography"/>
  </ds:schemaRefs>
</ds:datastoreItem>
</file>

<file path=customXml/itemProps6.xml><?xml version="1.0" encoding="utf-8"?>
<ds:datastoreItem xmlns:ds="http://schemas.openxmlformats.org/officeDocument/2006/customXml" ds:itemID="{99139784-22C0-44BA-A113-0DDACA18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5146</Words>
  <Characters>27813</Characters>
  <Application>Microsoft Office Word</Application>
  <DocSecurity>8</DocSecurity>
  <Lines>505</Lines>
  <Paragraphs>272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32687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Callum Anderson</cp:lastModifiedBy>
  <cp:revision>2</cp:revision>
  <cp:lastPrinted>2015-02-18T11:01:00Z</cp:lastPrinted>
  <dcterms:created xsi:type="dcterms:W3CDTF">2017-09-28T15:25:00Z</dcterms:created>
  <dcterms:modified xsi:type="dcterms:W3CDTF">2017-09-28T15:25:00Z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