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0AEAC109" w:rsidR="00C2094B" w:rsidRPr="004E49B0" w:rsidRDefault="000A7D5F" w:rsidP="00EB2A3F">
            <w:pPr>
              <w:pStyle w:val="00bDBInfo"/>
              <w:rPr>
                <w:rFonts w:cs="Arial"/>
              </w:rPr>
            </w:pPr>
            <w:r>
              <w:rPr>
                <w:rFonts w:cs="Arial"/>
              </w:rPr>
              <w:t>24</w:t>
            </w:r>
            <w:r w:rsidR="00F65811">
              <w:rPr>
                <w:rFonts w:cs="Arial"/>
              </w:rPr>
              <w:t xml:space="preserve"> </w:t>
            </w:r>
            <w:r w:rsidR="00EB2A3F">
              <w:rPr>
                <w:rFonts w:cs="Arial"/>
              </w:rPr>
              <w:t>May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7777777"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14:paraId="4DA07DDD" w14:textId="77777777" w:rsidR="00EB2A3F" w:rsidRDefault="00EB2A3F" w:rsidP="00EB2A3F">
            <w:pPr>
              <w:pStyle w:val="01aDBTitle"/>
              <w:rPr>
                <w:rFonts w:cs="Arial"/>
                <w:sz w:val="26"/>
                <w:szCs w:val="26"/>
              </w:rPr>
            </w:pPr>
            <w:r w:rsidRPr="00EB2A3F">
              <w:rPr>
                <w:rFonts w:cs="Arial"/>
                <w:sz w:val="26"/>
                <w:szCs w:val="26"/>
              </w:rPr>
              <w:t xml:space="preserve">Draft technical advice, implementing technical standards </w:t>
            </w:r>
          </w:p>
          <w:p w14:paraId="427F2A9D" w14:textId="26FCDC69" w:rsidR="00EB2A3F" w:rsidRPr="00391CB0" w:rsidRDefault="00EB2A3F" w:rsidP="00EB2A3F">
            <w:pPr>
              <w:pStyle w:val="01aDBTitle"/>
              <w:rPr>
                <w:rFonts w:cs="Arial"/>
              </w:rPr>
            </w:pPr>
            <w:r w:rsidRPr="00EB2A3F">
              <w:rPr>
                <w:rFonts w:cs="Arial"/>
                <w:sz w:val="26"/>
                <w:szCs w:val="26"/>
              </w:rPr>
              <w:t>and guidelines under the MMF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344D20E4" w:rsidR="00620D7C" w:rsidRPr="004E49B0" w:rsidRDefault="00620D7C" w:rsidP="000A7D5F">
            <w:pPr>
              <w:pStyle w:val="02Date"/>
              <w:rPr>
                <w:rFonts w:cs="Arial"/>
              </w:rPr>
            </w:pPr>
            <w:r w:rsidRPr="004E49B0">
              <w:rPr>
                <w:rFonts w:cs="Arial"/>
              </w:rPr>
              <w:lastRenderedPageBreak/>
              <w:t xml:space="preserve">Date: </w:t>
            </w:r>
            <w:r w:rsidR="000A7D5F">
              <w:rPr>
                <w:rFonts w:cs="Arial"/>
              </w:rPr>
              <w:t>24</w:t>
            </w:r>
            <w:r w:rsidR="00F65811">
              <w:rPr>
                <w:rFonts w:cs="Arial"/>
              </w:rPr>
              <w:t xml:space="preserve"> </w:t>
            </w:r>
            <w:r w:rsidR="00EB2A3F">
              <w:rPr>
                <w:rFonts w:cs="Arial"/>
              </w:rPr>
              <w:t>May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550B729" w14:textId="73940039"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EB2A3F" w:rsidRPr="00EB2A3F">
        <w:rPr>
          <w:rFonts w:cs="Arial"/>
        </w:rPr>
        <w:t>Draft technical advice, implementing technical standards and guidelines under the MMF Regulation</w:t>
      </w:r>
      <w:r w:rsidR="005D0594">
        <w:rPr>
          <w:rFonts w:cs="Arial"/>
        </w:rPr>
        <w:t xml:space="preserve"> </w:t>
      </w:r>
      <w:r w:rsidR="008701E5" w:rsidRPr="008701E5">
        <w:rPr>
          <w:rFonts w:cs="Arial"/>
        </w:rPr>
        <w:t>(</w:t>
      </w:r>
      <w:r w:rsidR="00EB2A3F">
        <w:rPr>
          <w:rFonts w:cs="Arial"/>
        </w:rPr>
        <w:t>MMF</w:t>
      </w:r>
      <w:r w:rsidR="008701E5" w:rsidRPr="008701E5">
        <w:rPr>
          <w:rFonts w:cs="Arial"/>
        </w:rPr>
        <w:t>)</w:t>
      </w:r>
      <w:r w:rsidR="00015B5E" w:rsidRPr="00EF0769">
        <w:rPr>
          <w:rFonts w:cs="Arial"/>
        </w:rPr>
        <w:t>, published on the ESMA website</w:t>
      </w:r>
      <w:r w:rsidR="004E49B0" w:rsidRPr="00EF0769">
        <w:rPr>
          <w:rFonts w:cs="Arial"/>
        </w:rPr>
        <w:t>.</w:t>
      </w:r>
    </w:p>
    <w:p w14:paraId="748F6BF2" w14:textId="77777777" w:rsidR="001D000A" w:rsidRDefault="001D000A" w:rsidP="00F574D0">
      <w:pPr>
        <w:autoSpaceDE w:val="0"/>
        <w:autoSpaceDN w:val="0"/>
        <w:adjustRightInd w:val="0"/>
        <w:spacing w:before="120" w:after="120" w:line="276" w:lineRule="auto"/>
        <w:jc w:val="both"/>
        <w:rPr>
          <w:rStyle w:val="Strong4"/>
          <w:rFonts w:cs="Arial"/>
          <w:i/>
        </w:rPr>
      </w:pPr>
    </w:p>
    <w:p w14:paraId="3D2D0AC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402D1C1"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B3596B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14:paraId="51E35D11" w14:textId="2D73A372"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EB2A3F">
        <w:rPr>
          <w:rFonts w:cs="Arial"/>
        </w:rPr>
        <w:t>MMF</w:t>
      </w:r>
      <w:r w:rsidR="00E9344E" w:rsidRPr="00EF0769">
        <w:rPr>
          <w:rFonts w:cs="Arial"/>
        </w:rPr>
        <w:t>_</w:t>
      </w:r>
      <w:r w:rsidR="00F574D0" w:rsidRPr="00EF0769">
        <w:rPr>
          <w:rFonts w:cs="Arial"/>
        </w:rPr>
        <w:t>1&gt; - i.e. the response to one question has to be framed by the 2 tags corresponding to the question; and</w:t>
      </w:r>
    </w:p>
    <w:p w14:paraId="1A7641C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5C51DC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614D3AE"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809995E"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034D9F37"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53E1C251" w14:textId="77777777" w:rsidR="001D000A" w:rsidRDefault="001D000A" w:rsidP="000D17AA">
      <w:pPr>
        <w:pStyle w:val="04BodyText"/>
        <w:spacing w:before="120" w:after="120"/>
        <w:jc w:val="left"/>
        <w:rPr>
          <w:rFonts w:cs="Arial"/>
          <w:b/>
        </w:rPr>
      </w:pPr>
    </w:p>
    <w:p w14:paraId="16E88641" w14:textId="77777777" w:rsidR="000D17AA" w:rsidRPr="00EF0769" w:rsidRDefault="00606240" w:rsidP="000D17AA">
      <w:pPr>
        <w:pStyle w:val="04BodyText"/>
        <w:spacing w:before="120" w:after="120"/>
        <w:jc w:val="left"/>
        <w:rPr>
          <w:rFonts w:cs="Arial"/>
          <w:b/>
        </w:rPr>
      </w:pPr>
      <w:r>
        <w:rPr>
          <w:rFonts w:cs="Arial"/>
          <w:b/>
        </w:rPr>
        <w:t>Naming protocol</w:t>
      </w:r>
    </w:p>
    <w:p w14:paraId="71733A83"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6C9897B1" w14:textId="623C76F4" w:rsidR="000D17AA" w:rsidRPr="00EF0769" w:rsidRDefault="00021E83" w:rsidP="000D17AA">
      <w:pPr>
        <w:pStyle w:val="04BodyText"/>
        <w:spacing w:before="120" w:after="120"/>
        <w:jc w:val="left"/>
        <w:rPr>
          <w:rFonts w:cs="Arial"/>
        </w:rPr>
      </w:pPr>
      <w:r w:rsidRPr="00EF0769">
        <w:rPr>
          <w:rFonts w:cs="Arial"/>
        </w:rPr>
        <w:t>ESMA_</w:t>
      </w:r>
      <w:r w:rsidR="00EB2A3F">
        <w:rPr>
          <w:rFonts w:cs="Arial"/>
        </w:rPr>
        <w:t>MMF</w:t>
      </w:r>
      <w:r w:rsidRPr="00EF0769">
        <w:rPr>
          <w:rFonts w:cs="Arial"/>
        </w:rPr>
        <w:t>_NAMEOFCOMPANY_NAMEOFDOCUMENT</w:t>
      </w:r>
      <w:r w:rsidR="000D17AA" w:rsidRPr="00EF0769">
        <w:rPr>
          <w:rFonts w:cs="Arial"/>
        </w:rPr>
        <w:t>.</w:t>
      </w:r>
    </w:p>
    <w:p w14:paraId="350054E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68C67956" w14:textId="01097199" w:rsidR="00021E83" w:rsidRPr="00EF0769" w:rsidRDefault="00BF557C" w:rsidP="000D17AA">
      <w:pPr>
        <w:pStyle w:val="04BodyText"/>
        <w:spacing w:before="120" w:after="120"/>
        <w:jc w:val="left"/>
        <w:rPr>
          <w:rFonts w:cs="Arial"/>
        </w:rPr>
      </w:pPr>
      <w:r w:rsidRPr="00EF0769">
        <w:rPr>
          <w:rFonts w:cs="Arial"/>
        </w:rPr>
        <w:t>ESMA_</w:t>
      </w:r>
      <w:r w:rsidR="00EB2A3F">
        <w:rPr>
          <w:rFonts w:cs="Arial"/>
        </w:rPr>
        <w:t>MMF</w:t>
      </w:r>
      <w:r w:rsidR="00332304">
        <w:rPr>
          <w:rFonts w:cs="Arial"/>
        </w:rPr>
        <w:t>_</w:t>
      </w:r>
      <w:r>
        <w:rPr>
          <w:rFonts w:cs="Arial"/>
        </w:rPr>
        <w:t>XXXX</w:t>
      </w:r>
      <w:r w:rsidR="00021E83" w:rsidRPr="00EF0769">
        <w:rPr>
          <w:rFonts w:cs="Arial"/>
        </w:rPr>
        <w:t xml:space="preserve">_REPLYFORM or </w:t>
      </w:r>
    </w:p>
    <w:p w14:paraId="2129BA67" w14:textId="136C77F7" w:rsidR="000D17AA" w:rsidRPr="00EF0769" w:rsidRDefault="00BF557C" w:rsidP="000D17AA">
      <w:pPr>
        <w:pStyle w:val="04BodyText"/>
        <w:spacing w:before="120" w:after="120"/>
        <w:jc w:val="left"/>
        <w:rPr>
          <w:rFonts w:cs="Arial"/>
        </w:rPr>
      </w:pPr>
      <w:r w:rsidRPr="00EF0769">
        <w:rPr>
          <w:rFonts w:cs="Arial"/>
        </w:rPr>
        <w:t>ESMA_</w:t>
      </w:r>
      <w:r w:rsidR="00EB2A3F">
        <w:rPr>
          <w:rFonts w:cs="Arial"/>
        </w:rPr>
        <w:t>MMF</w:t>
      </w:r>
      <w:r>
        <w:rPr>
          <w:rFonts w:cs="Arial"/>
        </w:rPr>
        <w:t>_XXXX</w:t>
      </w:r>
      <w:r w:rsidR="00021E83" w:rsidRPr="00EF0769">
        <w:rPr>
          <w:rFonts w:cs="Arial"/>
        </w:rPr>
        <w:t>_ANNEX1</w:t>
      </w:r>
    </w:p>
    <w:p w14:paraId="58E0B2F2" w14:textId="77777777"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14:paraId="3F3DCA3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083E485" w14:textId="7145C452" w:rsidR="00F574D0" w:rsidRPr="00EF0769" w:rsidRDefault="00F574D0" w:rsidP="00F574D0">
      <w:pPr>
        <w:pStyle w:val="04BodyText"/>
        <w:spacing w:before="120" w:after="120"/>
        <w:rPr>
          <w:rFonts w:cs="Arial"/>
        </w:rPr>
      </w:pPr>
      <w:r w:rsidRPr="00EF0769">
        <w:rPr>
          <w:rFonts w:cs="Arial"/>
        </w:rPr>
        <w:t xml:space="preserve">Responses must reach us by </w:t>
      </w:r>
      <w:r w:rsidR="000A7D5F">
        <w:rPr>
          <w:b/>
        </w:rPr>
        <w:t>7 A</w:t>
      </w:r>
      <w:r w:rsidR="00EB2A3F">
        <w:rPr>
          <w:b/>
        </w:rPr>
        <w:t>ugust</w:t>
      </w:r>
      <w:r w:rsidR="00A150F7" w:rsidRPr="00F9173D">
        <w:rPr>
          <w:b/>
        </w:rPr>
        <w:t xml:space="preserve"> 2017</w:t>
      </w:r>
      <w:r w:rsidR="00B705C4">
        <w:rPr>
          <w:rFonts w:cs="Arial"/>
          <w:b/>
        </w:rPr>
        <w:t>.</w:t>
      </w:r>
    </w:p>
    <w:p w14:paraId="1EE286CE" w14:textId="77777777" w:rsidR="00F574D0"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735A410F" w14:textId="77777777" w:rsidR="000321C9" w:rsidRPr="00EF0769" w:rsidRDefault="000321C9" w:rsidP="00F574D0">
      <w:pPr>
        <w:pStyle w:val="04BodyText"/>
        <w:spacing w:before="120" w:after="120"/>
        <w:rPr>
          <w:rFonts w:cs="Arial"/>
        </w:rPr>
      </w:pPr>
    </w:p>
    <w:p w14:paraId="687ECD7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39C3E9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C1A1F3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112B69B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982DC3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46B179"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Titre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AB6D88" w:rsidRDefault="00B327E9" w:rsidP="00F136AD">
            <w:pPr>
              <w:rPr>
                <w:rFonts w:cs="Arial"/>
              </w:rPr>
            </w:pPr>
            <w:permStart w:id="584150857" w:edGrp="everyone" w:colFirst="1" w:colLast="1"/>
            <w:r w:rsidRPr="00AB6D88">
              <w:rPr>
                <w:rFonts w:cs="Arial"/>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1D2AEFF4" w14:textId="5A63A689" w:rsidR="00B327E9" w:rsidRPr="00AB6D88" w:rsidRDefault="000F2CBD" w:rsidP="000F2CBD">
                <w:pPr>
                  <w:rPr>
                    <w:rStyle w:val="Textedelespacerserv"/>
                    <w:rFonts w:cs="Arial"/>
                  </w:rPr>
                </w:pPr>
                <w:r>
                  <w:rPr>
                    <w:rStyle w:val="Textedelespacerserv"/>
                    <w:rFonts w:cs="Arial"/>
                  </w:rPr>
                  <w:t>AXA INVESTMENT MANAGERS</w:t>
                </w:r>
              </w:p>
            </w:tc>
          </w:sdtContent>
        </w:sdt>
      </w:tr>
      <w:tr w:rsidR="00B327E9" w:rsidRPr="00AB6D88" w14:paraId="08FFF92A" w14:textId="77777777" w:rsidTr="00F136AD">
        <w:tc>
          <w:tcPr>
            <w:tcW w:w="3929" w:type="dxa"/>
            <w:shd w:val="clear" w:color="auto" w:fill="auto"/>
          </w:tcPr>
          <w:p w14:paraId="388AB0CD" w14:textId="77777777" w:rsidR="00B327E9" w:rsidRPr="00AB6D88" w:rsidRDefault="00B327E9" w:rsidP="00F136AD">
            <w:pPr>
              <w:rPr>
                <w:rFonts w:cs="Arial"/>
              </w:rPr>
            </w:pPr>
            <w:permStart w:id="192116617" w:edGrp="everyone" w:colFirst="1" w:colLast="1"/>
            <w:permEnd w:id="584150857"/>
            <w:r w:rsidRPr="00AB6D88">
              <w:rPr>
                <w:rFonts w:cs="Arial"/>
              </w:rPr>
              <w:t>Activity</w:t>
            </w:r>
          </w:p>
        </w:tc>
        <w:tc>
          <w:tcPr>
            <w:tcW w:w="5595" w:type="dxa"/>
            <w:shd w:val="clear" w:color="auto" w:fill="auto"/>
          </w:tcPr>
          <w:p w14:paraId="3BAD78CC" w14:textId="78F5B314" w:rsidR="00B327E9" w:rsidRPr="00AB6D88" w:rsidRDefault="00A8630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F2CBD">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AB6D88" w:rsidRDefault="00B327E9" w:rsidP="00F136AD">
            <w:pPr>
              <w:rPr>
                <w:rFonts w:cs="Arial"/>
              </w:rPr>
            </w:pPr>
            <w:permStart w:id="250764791" w:edGrp="everyone" w:colFirst="1" w:colLast="1"/>
            <w:permEnd w:id="192116617"/>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499A626C" w:rsidR="00B327E9" w:rsidRPr="00AB6D88" w:rsidRDefault="000F2CBD"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AB6D88" w:rsidRDefault="00B327E9" w:rsidP="00F136AD">
            <w:pPr>
              <w:rPr>
                <w:rFonts w:cs="Arial"/>
              </w:rPr>
            </w:pPr>
            <w:permStart w:id="74910740" w:edGrp="everyone" w:colFirst="1" w:colLast="1"/>
            <w:permEnd w:id="250764791"/>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4F7D257F" w:rsidR="00B327E9" w:rsidRPr="00AB6D88" w:rsidRDefault="00D91B43" w:rsidP="00F136AD">
                <w:pPr>
                  <w:rPr>
                    <w:rFonts w:cs="Arial"/>
                  </w:rPr>
                </w:pPr>
                <w:r>
                  <w:rPr>
                    <w:rFonts w:cs="Arial"/>
                  </w:rPr>
                  <w:t>International</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Titre1"/>
        <w:numPr>
          <w:ilvl w:val="0"/>
          <w:numId w:val="0"/>
        </w:numPr>
        <w:ind w:left="431" w:hanging="431"/>
      </w:pPr>
      <w:r>
        <w:t>Introduction</w:t>
      </w:r>
    </w:p>
    <w:p w14:paraId="5B55F0E0" w14:textId="77777777" w:rsidR="00B327E9" w:rsidRPr="001D47A5" w:rsidRDefault="00B327E9" w:rsidP="00B327E9">
      <w:pPr>
        <w:rPr>
          <w:rStyle w:val="Emphaseintense"/>
        </w:rPr>
      </w:pPr>
      <w:r w:rsidRPr="001D47A5">
        <w:rPr>
          <w:rStyle w:val="Emphaseintense"/>
        </w:rPr>
        <w:t>Please make your introductory comments below, if any:</w:t>
      </w:r>
    </w:p>
    <w:p w14:paraId="0B06A88E" w14:textId="77777777" w:rsidR="00B327E9" w:rsidRPr="00BF28DA" w:rsidRDefault="00B327E9" w:rsidP="00B327E9"/>
    <w:p w14:paraId="197D07A3" w14:textId="34139844" w:rsidR="00B327E9" w:rsidRPr="006F4535" w:rsidRDefault="00B327E9" w:rsidP="00B327E9">
      <w:r w:rsidRPr="006F4535">
        <w:t>&lt;ESMA_COMMENT_</w:t>
      </w:r>
      <w:r w:rsidR="00EB2A3F">
        <w:t>MMF</w:t>
      </w:r>
      <w:r w:rsidRPr="006F4535">
        <w:t>_1&gt;</w:t>
      </w:r>
    </w:p>
    <w:p w14:paraId="64DBF1E1" w14:textId="77777777" w:rsidR="000F2CBD" w:rsidRDefault="000F2CBD" w:rsidP="000F2CBD">
      <w:pPr>
        <w:widowControl w:val="0"/>
        <w:spacing w:line="178" w:lineRule="auto"/>
        <w:ind w:left="147"/>
        <w:jc w:val="both"/>
        <w:outlineLvl w:val="2"/>
        <w:rPr>
          <w:rFonts w:ascii="Calibri" w:eastAsia="Arial Unicode MS" w:hAnsi="Calibri"/>
          <w:sz w:val="22"/>
          <w:szCs w:val="22"/>
          <w:lang w:val="en-US" w:eastAsia="en-US"/>
        </w:rPr>
      </w:pPr>
      <w:permStart w:id="1937050393" w:edGrp="everyone"/>
    </w:p>
    <w:p w14:paraId="39B1892A" w14:textId="7A86C847" w:rsidR="000F2CBD" w:rsidRPr="000F2CBD" w:rsidRDefault="000F2CBD" w:rsidP="000F2CBD">
      <w:pPr>
        <w:widowControl w:val="0"/>
        <w:spacing w:line="178" w:lineRule="auto"/>
        <w:ind w:left="147"/>
        <w:jc w:val="both"/>
        <w:outlineLvl w:val="2"/>
        <w:rPr>
          <w:rFonts w:ascii="Calibri" w:eastAsia="Arial Unicode MS" w:hAnsi="Calibri"/>
          <w:sz w:val="22"/>
          <w:szCs w:val="22"/>
          <w:lang w:val="en-US" w:eastAsia="en-US"/>
        </w:rPr>
      </w:pPr>
      <w:r w:rsidRPr="000F2CBD">
        <w:rPr>
          <w:rFonts w:ascii="Calibri" w:eastAsia="Arial Unicode MS" w:hAnsi="Calibri"/>
          <w:sz w:val="22"/>
          <w:szCs w:val="22"/>
          <w:lang w:val="en-US" w:eastAsia="en-US"/>
        </w:rPr>
        <w:t>AXA Investment Managers (AXA IM)</w:t>
      </w:r>
      <w:r w:rsidRPr="000F2CBD">
        <w:rPr>
          <w:rFonts w:ascii="Calibri" w:eastAsia="Arial Unicode MS" w:hAnsi="Calibri"/>
          <w:sz w:val="22"/>
          <w:szCs w:val="22"/>
          <w:vertAlign w:val="superscript"/>
          <w:lang w:val="en-US" w:eastAsia="en-US"/>
        </w:rPr>
        <w:footnoteReference w:id="2"/>
      </w:r>
      <w:r w:rsidR="00BB7FE6">
        <w:rPr>
          <w:rFonts w:ascii="Calibri" w:eastAsia="Arial Unicode MS" w:hAnsi="Calibri"/>
          <w:sz w:val="22"/>
          <w:szCs w:val="22"/>
          <w:lang w:val="en-US" w:eastAsia="en-US"/>
        </w:rPr>
        <w:t xml:space="preserve"> is glad to respond to ESMA’s consultation</w:t>
      </w:r>
      <w:r w:rsidRPr="000F2CBD">
        <w:rPr>
          <w:rFonts w:ascii="Calibri" w:eastAsia="Arial Unicode MS" w:hAnsi="Calibri"/>
          <w:sz w:val="22"/>
          <w:szCs w:val="22"/>
          <w:lang w:val="en-US" w:eastAsia="en-US"/>
        </w:rPr>
        <w:t xml:space="preserve"> on </w:t>
      </w:r>
      <w:r w:rsidR="00BB7FE6">
        <w:rPr>
          <w:rFonts w:ascii="Calibri" w:eastAsia="Arial Unicode MS" w:hAnsi="Calibri"/>
          <w:sz w:val="22"/>
          <w:szCs w:val="22"/>
          <w:lang w:val="en-US" w:eastAsia="en-US"/>
        </w:rPr>
        <w:t>Money Market Funds (MMFs).</w:t>
      </w:r>
    </w:p>
    <w:p w14:paraId="6AE7E958" w14:textId="77777777" w:rsidR="000F2CBD" w:rsidRPr="000F2CBD" w:rsidRDefault="000F2CBD" w:rsidP="000F2CBD">
      <w:pPr>
        <w:widowControl w:val="0"/>
        <w:spacing w:line="178" w:lineRule="auto"/>
        <w:ind w:left="147"/>
        <w:jc w:val="both"/>
        <w:outlineLvl w:val="2"/>
        <w:rPr>
          <w:rFonts w:ascii="Calibri" w:eastAsia="Arial Unicode MS" w:hAnsi="Calibri"/>
          <w:sz w:val="22"/>
          <w:szCs w:val="22"/>
          <w:lang w:val="en-US" w:eastAsia="en-US"/>
        </w:rPr>
      </w:pPr>
    </w:p>
    <w:p w14:paraId="47F96D16" w14:textId="63545F1E" w:rsidR="000F2CBD" w:rsidRPr="000F2CBD" w:rsidRDefault="000F2CBD" w:rsidP="000F2CBD">
      <w:pPr>
        <w:widowControl w:val="0"/>
        <w:spacing w:line="178" w:lineRule="auto"/>
        <w:ind w:left="147"/>
        <w:jc w:val="both"/>
        <w:outlineLvl w:val="2"/>
        <w:rPr>
          <w:rFonts w:ascii="Calibri" w:eastAsia="Arial Unicode MS" w:hAnsi="Calibri"/>
          <w:sz w:val="22"/>
          <w:szCs w:val="22"/>
          <w:lang w:val="en-US" w:eastAsia="en-US"/>
        </w:rPr>
      </w:pPr>
      <w:r w:rsidRPr="000F2CBD">
        <w:rPr>
          <w:rFonts w:ascii="Calibri" w:eastAsia="Arial Unicode MS" w:hAnsi="Calibri"/>
          <w:sz w:val="22"/>
          <w:szCs w:val="22"/>
          <w:lang w:val="en-US" w:eastAsia="en-US"/>
        </w:rPr>
        <w:t>AXA IM is ranked in the top 20 asset management companies worldwide, and in the top 5 EU-headquartered asset management companies</w:t>
      </w:r>
      <w:r w:rsidRPr="000F2CBD">
        <w:rPr>
          <w:rFonts w:ascii="Calibri" w:eastAsia="Arial Unicode MS" w:hAnsi="Calibri"/>
          <w:sz w:val="22"/>
          <w:szCs w:val="22"/>
          <w:vertAlign w:val="superscript"/>
          <w:lang w:val="en-US" w:eastAsia="en-US"/>
        </w:rPr>
        <w:footnoteReference w:id="3"/>
      </w:r>
      <w:r w:rsidRPr="000F2CBD">
        <w:rPr>
          <w:rFonts w:ascii="Calibri" w:eastAsia="Arial Unicode MS" w:hAnsi="Calibri"/>
          <w:sz w:val="22"/>
          <w:szCs w:val="22"/>
          <w:lang w:val="en-US" w:eastAsia="en-US"/>
        </w:rPr>
        <w:t xml:space="preserve">. Figures show that AXA IM is global in many senses, e.g. </w:t>
      </w:r>
      <w:r w:rsidR="00123C3F">
        <w:rPr>
          <w:rFonts w:ascii="Calibri" w:eastAsia="Arial Unicode MS" w:hAnsi="Calibri"/>
          <w:sz w:val="22"/>
          <w:szCs w:val="22"/>
          <w:lang w:val="en-US" w:eastAsia="en-US"/>
        </w:rPr>
        <w:t>more than</w:t>
      </w:r>
      <w:r w:rsidRPr="000F2CBD">
        <w:rPr>
          <w:rFonts w:ascii="Calibri" w:eastAsia="Arial Unicode MS" w:hAnsi="Calibri"/>
          <w:sz w:val="22"/>
          <w:szCs w:val="22"/>
          <w:lang w:val="en-US" w:eastAsia="en-US"/>
        </w:rPr>
        <w:t xml:space="preserve"> € 700billion of assets under management</w:t>
      </w:r>
      <w:r w:rsidRPr="000F2CBD">
        <w:rPr>
          <w:rFonts w:ascii="Calibri" w:eastAsia="Arial Unicode MS" w:hAnsi="Calibri"/>
          <w:sz w:val="22"/>
          <w:szCs w:val="22"/>
          <w:vertAlign w:val="superscript"/>
          <w:lang w:val="en-US" w:eastAsia="en-US"/>
        </w:rPr>
        <w:footnoteReference w:id="4"/>
      </w:r>
      <w:r w:rsidRPr="000F2CBD">
        <w:rPr>
          <w:rFonts w:ascii="Calibri" w:eastAsia="Arial Unicode MS" w:hAnsi="Calibri"/>
          <w:sz w:val="22"/>
          <w:szCs w:val="22"/>
          <w:lang w:val="en-US" w:eastAsia="en-US"/>
        </w:rPr>
        <w:t xml:space="preserve"> and </w:t>
      </w:r>
      <w:r w:rsidR="00123C3F">
        <w:rPr>
          <w:rFonts w:ascii="Calibri" w:eastAsia="Arial Unicode MS" w:hAnsi="Calibri"/>
          <w:sz w:val="22"/>
          <w:szCs w:val="22"/>
          <w:lang w:val="en-US" w:eastAsia="en-US"/>
        </w:rPr>
        <w:t>21</w:t>
      </w:r>
      <w:r w:rsidRPr="000F2CBD">
        <w:rPr>
          <w:rFonts w:ascii="Calibri" w:eastAsia="Arial Unicode MS" w:hAnsi="Calibri"/>
          <w:sz w:val="22"/>
          <w:szCs w:val="22"/>
          <w:lang w:val="en-US" w:eastAsia="en-US"/>
        </w:rPr>
        <w:t xml:space="preserve"> investment management locations throughout the world (including 11 locations in Europe and 3 Asian JVs), serving clients from more than 60 di</w:t>
      </w:r>
      <w:r w:rsidRPr="000F2CBD">
        <w:rPr>
          <w:rFonts w:ascii="Calibri" w:eastAsia="Arial Unicode MS" w:hAnsi="Calibri"/>
          <w:sz w:val="22"/>
          <w:szCs w:val="22"/>
          <w:lang w:val="en-US" w:eastAsia="en-US"/>
        </w:rPr>
        <w:t>f</w:t>
      </w:r>
      <w:r w:rsidRPr="000F2CBD">
        <w:rPr>
          <w:rFonts w:ascii="Calibri" w:eastAsia="Arial Unicode MS" w:hAnsi="Calibri"/>
          <w:sz w:val="22"/>
          <w:szCs w:val="22"/>
          <w:lang w:val="en-US" w:eastAsia="en-US"/>
        </w:rPr>
        <w:t>ferent countries.</w:t>
      </w:r>
    </w:p>
    <w:p w14:paraId="06B4AFAC" w14:textId="77777777" w:rsidR="000F2CBD" w:rsidRPr="000F2CBD" w:rsidRDefault="000F2CBD" w:rsidP="00B327E9">
      <w:pPr>
        <w:rPr>
          <w:lang w:val="en-US"/>
        </w:rPr>
      </w:pPr>
    </w:p>
    <w:permEnd w:id="1937050393"/>
    <w:p w14:paraId="03F5FFC5" w14:textId="4F7F8259" w:rsidR="00B327E9" w:rsidRPr="00BF28DA" w:rsidRDefault="00B327E9" w:rsidP="00B327E9">
      <w:r w:rsidRPr="00BF28DA">
        <w:t>&lt;ESMA_COMMENT_</w:t>
      </w:r>
      <w:r w:rsidR="00EB2A3F">
        <w:rPr>
          <w:rFonts w:cs="Arial"/>
        </w:rPr>
        <w:t>MMF</w:t>
      </w:r>
      <w:r w:rsidRPr="00BF28DA">
        <w:t>_1&gt;</w:t>
      </w:r>
    </w:p>
    <w:p w14:paraId="2AC9A34C" w14:textId="028F2E1A" w:rsidR="002E7113" w:rsidRDefault="002E7113" w:rsidP="002E7113">
      <w:pPr>
        <w:pStyle w:val="Titre1"/>
        <w:numPr>
          <w:ilvl w:val="0"/>
          <w:numId w:val="0"/>
        </w:numPr>
      </w:pPr>
    </w:p>
    <w:p w14:paraId="6E441FCE" w14:textId="77777777" w:rsidR="00F31E57" w:rsidRPr="00BF28DA" w:rsidRDefault="00F31E57" w:rsidP="00D34282"/>
    <w:p w14:paraId="00714246" w14:textId="77777777" w:rsidR="000A7D5F" w:rsidRDefault="00F31E57" w:rsidP="000A7D5F">
      <w:pPr>
        <w:pStyle w:val="Questionstyle"/>
        <w:numPr>
          <w:ilvl w:val="0"/>
          <w:numId w:val="55"/>
        </w:numPr>
        <w:rPr>
          <w:rFonts w:ascii="Arial" w:hAnsi="Arial"/>
          <w:szCs w:val="22"/>
        </w:rPr>
      </w:pPr>
      <w:r w:rsidRPr="0075015C">
        <w:br w:type="page"/>
      </w:r>
      <w:r w:rsidR="000A7D5F">
        <w:lastRenderedPageBreak/>
        <w:t>: Do you agree that the abovementioned references to EU/US standards are relevant in the context of the issuance by ESMA of technical advice on quantitative and qualitative liquidity and credit quality requirements applicable to assets received as part of a reverse repurchase agreement in the context of the MMF Regulation? Do you identify other pieces of natio</w:t>
      </w:r>
      <w:r w:rsidR="000A7D5F">
        <w:t>n</w:t>
      </w:r>
      <w:r w:rsidR="000A7D5F">
        <w:t>al/EU/International law that would be relevant in view of the work on this part of the advice?</w:t>
      </w:r>
    </w:p>
    <w:p w14:paraId="14081854" w14:textId="77777777" w:rsidR="000A7D5F" w:rsidRDefault="000A7D5F" w:rsidP="000A7D5F">
      <w:r>
        <w:t>&lt;ESMA_QUESTION_MMF_1&gt;</w:t>
      </w:r>
    </w:p>
    <w:p w14:paraId="4AE53228" w14:textId="77777777" w:rsidR="00E25A9C" w:rsidRDefault="00E25A9C" w:rsidP="00E25A9C">
      <w:pPr>
        <w:jc w:val="both"/>
        <w:rPr>
          <w:lang w:val="en-US"/>
        </w:rPr>
      </w:pPr>
      <w:permStart w:id="1708934220" w:edGrp="everyone"/>
    </w:p>
    <w:p w14:paraId="1AEF6842" w14:textId="77777777" w:rsidR="00E25A9C" w:rsidRDefault="00E25A9C" w:rsidP="00E25A9C">
      <w:pPr>
        <w:jc w:val="both"/>
        <w:rPr>
          <w:lang w:val="en-US"/>
        </w:rPr>
      </w:pPr>
      <w:r w:rsidRPr="00B96DF7">
        <w:rPr>
          <w:lang w:val="en-US"/>
        </w:rPr>
        <w:t>We do not identify other pieces of regulation relevant to the work concerning this part of the advice.</w:t>
      </w:r>
    </w:p>
    <w:p w14:paraId="6D7F6226" w14:textId="77777777" w:rsidR="00E25A9C" w:rsidRPr="00B96DF7" w:rsidRDefault="00E25A9C" w:rsidP="00E25A9C">
      <w:pPr>
        <w:jc w:val="both"/>
        <w:rPr>
          <w:lang w:val="en-US"/>
        </w:rPr>
      </w:pPr>
      <w:r>
        <w:rPr>
          <w:lang w:val="en-US"/>
        </w:rPr>
        <w:t>While w</w:t>
      </w:r>
      <w:r w:rsidRPr="00B96DF7">
        <w:rPr>
          <w:lang w:val="en-US"/>
        </w:rPr>
        <w:t>e agree that the abovementioned references to</w:t>
      </w:r>
      <w:r>
        <w:rPr>
          <w:lang w:val="en-US"/>
        </w:rPr>
        <w:t xml:space="preserve"> </w:t>
      </w:r>
      <w:r w:rsidRPr="00B96DF7">
        <w:rPr>
          <w:lang w:val="en-US"/>
        </w:rPr>
        <w:t>EU/US</w:t>
      </w:r>
      <w:r>
        <w:rPr>
          <w:lang w:val="en-US"/>
        </w:rPr>
        <w:t xml:space="preserve"> </w:t>
      </w:r>
      <w:r w:rsidRPr="00B96DF7">
        <w:rPr>
          <w:lang w:val="en-US"/>
        </w:rPr>
        <w:t>standards are rel</w:t>
      </w:r>
      <w:r>
        <w:rPr>
          <w:lang w:val="en-US"/>
        </w:rPr>
        <w:t xml:space="preserve">evant in this </w:t>
      </w:r>
      <w:r w:rsidRPr="00B96DF7">
        <w:rPr>
          <w:lang w:val="en-US"/>
        </w:rPr>
        <w:t>context</w:t>
      </w:r>
      <w:r>
        <w:rPr>
          <w:lang w:val="en-US"/>
        </w:rPr>
        <w:t>, we want to highlight the fact that European and US markets are different in terms of market practices, regul</w:t>
      </w:r>
      <w:r>
        <w:rPr>
          <w:lang w:val="en-US"/>
        </w:rPr>
        <w:t>a</w:t>
      </w:r>
      <w:r>
        <w:rPr>
          <w:lang w:val="en-US"/>
        </w:rPr>
        <w:t>tion and fund structures. The MMF industry is also different from the banking one. As such, existing refe</w:t>
      </w:r>
      <w:r>
        <w:rPr>
          <w:lang w:val="en-US"/>
        </w:rPr>
        <w:t>r</w:t>
      </w:r>
      <w:r>
        <w:rPr>
          <w:lang w:val="en-US"/>
        </w:rPr>
        <w:t xml:space="preserve">ences can’t be directly replicated in the MMFR. </w:t>
      </w:r>
    </w:p>
    <w:p w14:paraId="1599F808" w14:textId="6CAF44CD" w:rsidR="000A7D5F" w:rsidRPr="00E25A9C" w:rsidRDefault="000A7D5F" w:rsidP="000A7D5F">
      <w:pPr>
        <w:rPr>
          <w:lang w:val="en-US"/>
        </w:rPr>
      </w:pPr>
    </w:p>
    <w:permEnd w:id="1708934220"/>
    <w:p w14:paraId="4ECCFBA6" w14:textId="77777777" w:rsidR="000A7D5F" w:rsidRDefault="000A7D5F" w:rsidP="000A7D5F">
      <w:r>
        <w:t>&lt;ESMA_QUESTION_MMF_1&gt;</w:t>
      </w:r>
    </w:p>
    <w:p w14:paraId="28DEDBFF" w14:textId="77777777" w:rsidR="000A7D5F" w:rsidRDefault="000A7D5F" w:rsidP="000A7D5F"/>
    <w:p w14:paraId="08AA88C7" w14:textId="77777777" w:rsidR="000A7D5F" w:rsidRDefault="000A7D5F" w:rsidP="000A7D5F">
      <w:pPr>
        <w:pStyle w:val="Questionstyle"/>
        <w:numPr>
          <w:ilvl w:val="0"/>
          <w:numId w:val="55"/>
        </w:numPr>
      </w:pPr>
      <w:r>
        <w:t xml:space="preserve">: Which of the options described above regarding credit quality and liquidity requirements would you favour? </w:t>
      </w:r>
    </w:p>
    <w:p w14:paraId="114DE42E" w14:textId="77777777" w:rsidR="000A7D5F" w:rsidRDefault="000A7D5F" w:rsidP="000A7D5F">
      <w:r>
        <w:t>&lt;ESMA_QUESTION_MMF_2&gt;</w:t>
      </w:r>
    </w:p>
    <w:p w14:paraId="5624739B" w14:textId="77777777" w:rsidR="00D64999" w:rsidRDefault="00D64999" w:rsidP="00D64999">
      <w:pPr>
        <w:spacing w:after="200" w:line="276" w:lineRule="auto"/>
        <w:jc w:val="both"/>
        <w:rPr>
          <w:rFonts w:ascii="Calibri" w:eastAsia="Calibri" w:hAnsi="Calibri"/>
          <w:sz w:val="22"/>
          <w:szCs w:val="22"/>
          <w:lang w:val="en-US" w:eastAsia="en-US"/>
        </w:rPr>
      </w:pPr>
      <w:permStart w:id="1885931262" w:edGrp="everyone"/>
    </w:p>
    <w:p w14:paraId="3216569F" w14:textId="1886BDF2" w:rsidR="00D64999" w:rsidRPr="00D64999" w:rsidRDefault="00D64999" w:rsidP="00D64999">
      <w:pPr>
        <w:spacing w:after="200" w:line="276" w:lineRule="auto"/>
        <w:jc w:val="both"/>
        <w:rPr>
          <w:rFonts w:ascii="Calibri" w:eastAsia="Calibri" w:hAnsi="Calibri"/>
          <w:sz w:val="22"/>
          <w:szCs w:val="22"/>
          <w:lang w:val="en-US" w:eastAsia="en-US"/>
        </w:rPr>
      </w:pPr>
      <w:r w:rsidRPr="00D64999">
        <w:rPr>
          <w:rFonts w:ascii="Calibri" w:eastAsia="Calibri" w:hAnsi="Calibri"/>
          <w:sz w:val="22"/>
          <w:szCs w:val="22"/>
          <w:lang w:val="en-US" w:eastAsia="en-US"/>
        </w:rPr>
        <w:t xml:space="preserve">The best option for the credit quality requirements referring to the assets in article 15 (6)(a) in the MMFR is </w:t>
      </w:r>
      <w:r w:rsidRPr="00D64999">
        <w:rPr>
          <w:rFonts w:ascii="Calibri" w:eastAsia="Calibri" w:hAnsi="Calibri"/>
          <w:b/>
          <w:sz w:val="22"/>
          <w:szCs w:val="22"/>
          <w:lang w:val="en-US" w:eastAsia="en-US"/>
        </w:rPr>
        <w:t>option a)</w:t>
      </w:r>
      <w:r w:rsidR="001E17C8">
        <w:rPr>
          <w:rFonts w:ascii="Calibri" w:eastAsia="Calibri" w:hAnsi="Calibri"/>
          <w:b/>
          <w:sz w:val="22"/>
          <w:szCs w:val="22"/>
          <w:lang w:val="en-US" w:eastAsia="en-US"/>
        </w:rPr>
        <w:t>.</w:t>
      </w:r>
    </w:p>
    <w:p w14:paraId="1E05D114" w14:textId="0431AD6E" w:rsidR="00D64999" w:rsidRPr="00D64999" w:rsidRDefault="00D64999" w:rsidP="00D64999">
      <w:pPr>
        <w:spacing w:after="200" w:line="276" w:lineRule="auto"/>
        <w:jc w:val="both"/>
        <w:rPr>
          <w:rFonts w:ascii="Calibri" w:eastAsia="Calibri" w:hAnsi="Calibri"/>
          <w:sz w:val="22"/>
          <w:szCs w:val="22"/>
          <w:lang w:val="en-US" w:eastAsia="en-US"/>
        </w:rPr>
      </w:pPr>
      <w:r w:rsidRPr="00D64999">
        <w:rPr>
          <w:rFonts w:ascii="Calibri" w:eastAsia="Calibri" w:hAnsi="Calibri"/>
          <w:sz w:val="22"/>
          <w:szCs w:val="22"/>
          <w:lang w:val="en-US" w:eastAsia="en-US"/>
        </w:rPr>
        <w:t xml:space="preserve">The best option for the liquidity requirements referring to the assets in article 15 (6)(a) and 15(6)(b) in the MMFR is </w:t>
      </w:r>
      <w:r w:rsidRPr="00D64999">
        <w:rPr>
          <w:rFonts w:ascii="Calibri" w:eastAsia="Calibri" w:hAnsi="Calibri"/>
          <w:b/>
          <w:sz w:val="22"/>
          <w:szCs w:val="22"/>
          <w:lang w:val="en-US" w:eastAsia="en-US"/>
        </w:rPr>
        <w:t>option a)</w:t>
      </w:r>
      <w:r w:rsidR="001E17C8">
        <w:rPr>
          <w:rFonts w:ascii="Calibri" w:eastAsia="Calibri" w:hAnsi="Calibri"/>
          <w:b/>
          <w:sz w:val="22"/>
          <w:szCs w:val="22"/>
          <w:lang w:val="en-US" w:eastAsia="en-US"/>
        </w:rPr>
        <w:t>.</w:t>
      </w:r>
    </w:p>
    <w:p w14:paraId="6032B266" w14:textId="77777777" w:rsidR="00D64999" w:rsidRPr="00D64999" w:rsidRDefault="00D64999" w:rsidP="00D64999">
      <w:pPr>
        <w:spacing w:after="200" w:line="276" w:lineRule="auto"/>
        <w:jc w:val="both"/>
        <w:rPr>
          <w:rFonts w:ascii="Calibri" w:eastAsia="Calibri" w:hAnsi="Calibri"/>
          <w:sz w:val="22"/>
          <w:szCs w:val="22"/>
          <w:lang w:val="en-US" w:eastAsia="en-US"/>
        </w:rPr>
      </w:pPr>
      <w:r w:rsidRPr="00D64999">
        <w:rPr>
          <w:rFonts w:ascii="Calibri" w:eastAsia="Calibri" w:hAnsi="Calibri"/>
          <w:sz w:val="22"/>
          <w:szCs w:val="22"/>
          <w:lang w:val="en-US" w:eastAsia="en-US"/>
        </w:rPr>
        <w:t xml:space="preserve">- It is worth highlighting that these credit quality and liquidity requirements are in the context of assets received as part of a reverse repurchase agreement, not for direct investments. </w:t>
      </w:r>
    </w:p>
    <w:p w14:paraId="13F2CD7F" w14:textId="77777777" w:rsidR="00D64999" w:rsidRPr="00D64999" w:rsidRDefault="00D64999" w:rsidP="00D64999">
      <w:pPr>
        <w:spacing w:after="200" w:line="276" w:lineRule="auto"/>
        <w:jc w:val="both"/>
        <w:rPr>
          <w:rFonts w:ascii="Calibri" w:eastAsia="Calibri" w:hAnsi="Calibri"/>
          <w:sz w:val="22"/>
          <w:szCs w:val="22"/>
          <w:lang w:val="en-US" w:eastAsia="en-US"/>
        </w:rPr>
      </w:pPr>
      <w:r w:rsidRPr="00D64999">
        <w:rPr>
          <w:rFonts w:ascii="Calibri" w:eastAsia="Calibri" w:hAnsi="Calibri"/>
          <w:sz w:val="22"/>
          <w:szCs w:val="22"/>
          <w:lang w:val="en-US" w:eastAsia="en-US"/>
        </w:rPr>
        <w:t xml:space="preserve">- As such, they represent </w:t>
      </w:r>
      <w:r w:rsidRPr="00D64999">
        <w:rPr>
          <w:rFonts w:ascii="Calibri" w:eastAsia="Calibri" w:hAnsi="Calibri"/>
          <w:b/>
          <w:sz w:val="22"/>
          <w:szCs w:val="22"/>
          <w:lang w:val="en-US" w:eastAsia="en-US"/>
        </w:rPr>
        <w:t>indirect risks</w:t>
      </w:r>
      <w:r w:rsidRPr="00D64999">
        <w:rPr>
          <w:rFonts w:ascii="Calibri" w:eastAsia="Calibri" w:hAnsi="Calibri"/>
          <w:sz w:val="22"/>
          <w:szCs w:val="22"/>
          <w:lang w:val="en-US" w:eastAsia="en-US"/>
        </w:rPr>
        <w:t xml:space="preserve"> only materializing in case of counterparty’s default. </w:t>
      </w:r>
    </w:p>
    <w:p w14:paraId="64C23DD4" w14:textId="77777777" w:rsidR="00D64999" w:rsidRPr="00D64999" w:rsidRDefault="00D64999" w:rsidP="00D64999">
      <w:pPr>
        <w:spacing w:after="200" w:line="276" w:lineRule="auto"/>
        <w:jc w:val="both"/>
        <w:rPr>
          <w:rFonts w:ascii="Calibri" w:eastAsia="Calibri" w:hAnsi="Calibri"/>
          <w:sz w:val="22"/>
          <w:szCs w:val="22"/>
          <w:lang w:val="en-US" w:eastAsia="en-US"/>
        </w:rPr>
      </w:pPr>
      <w:r w:rsidRPr="00D64999">
        <w:rPr>
          <w:rFonts w:ascii="Calibri" w:eastAsia="Calibri" w:hAnsi="Calibri"/>
          <w:sz w:val="22"/>
          <w:szCs w:val="22"/>
          <w:lang w:val="en-US" w:eastAsia="en-US"/>
        </w:rPr>
        <w:t xml:space="preserve">- Moreover, </w:t>
      </w:r>
      <w:r w:rsidRPr="00D64999">
        <w:rPr>
          <w:rFonts w:ascii="Calibri" w:eastAsia="Calibri" w:hAnsi="Calibri"/>
          <w:b/>
          <w:sz w:val="22"/>
          <w:szCs w:val="22"/>
          <w:lang w:val="en-US" w:eastAsia="en-US"/>
        </w:rPr>
        <w:t>eligibility criteria for the collateral are already very strict</w:t>
      </w:r>
      <w:r w:rsidRPr="00D64999">
        <w:rPr>
          <w:rFonts w:ascii="Calibri" w:eastAsia="Calibri" w:hAnsi="Calibri"/>
          <w:sz w:val="22"/>
          <w:szCs w:val="22"/>
          <w:lang w:val="en-US" w:eastAsia="en-US"/>
        </w:rPr>
        <w:t xml:space="preserve"> as assets have to be issued or guaranteed by the Union, a central authority or central bank of a Member State, the ECB, the EIB the ESM, the EFSF or issued or guaranteed  by a central authority or central bank of a third country.</w:t>
      </w:r>
    </w:p>
    <w:p w14:paraId="0ACACCCE" w14:textId="77777777" w:rsidR="00D64999" w:rsidRPr="00D64999" w:rsidRDefault="00D64999" w:rsidP="00D64999">
      <w:pPr>
        <w:spacing w:after="200" w:line="276" w:lineRule="auto"/>
        <w:jc w:val="both"/>
        <w:rPr>
          <w:rFonts w:ascii="Calibri" w:eastAsia="Calibri" w:hAnsi="Calibri"/>
          <w:sz w:val="22"/>
          <w:szCs w:val="22"/>
          <w:lang w:val="en-US" w:eastAsia="en-US"/>
        </w:rPr>
      </w:pPr>
      <w:r w:rsidRPr="00D64999">
        <w:rPr>
          <w:rFonts w:ascii="Calibri" w:eastAsia="Calibri" w:hAnsi="Calibri"/>
          <w:sz w:val="22"/>
          <w:szCs w:val="22"/>
          <w:lang w:val="en-US" w:eastAsia="en-US"/>
        </w:rPr>
        <w:t>- It is coherent and consistent to consider that eligibility criteria are similar for assets eligible for both investment and collateral.</w:t>
      </w:r>
    </w:p>
    <w:p w14:paraId="743780CA" w14:textId="211FA5B2" w:rsidR="000A7D5F" w:rsidRDefault="00D64999" w:rsidP="00D64999">
      <w:pPr>
        <w:rPr>
          <w:rFonts w:ascii="Calibri" w:eastAsia="Calibri" w:hAnsi="Calibri"/>
          <w:sz w:val="22"/>
          <w:szCs w:val="22"/>
          <w:lang w:val="en-US" w:eastAsia="en-US"/>
        </w:rPr>
      </w:pPr>
      <w:r w:rsidRPr="00D64999">
        <w:rPr>
          <w:rFonts w:ascii="Calibri" w:eastAsia="Calibri" w:hAnsi="Calibri"/>
          <w:sz w:val="22"/>
          <w:szCs w:val="22"/>
          <w:lang w:val="en-US" w:eastAsia="en-US"/>
        </w:rPr>
        <w:t>- We support the view that reverse repo transactions with non-regulated entities should be subject to overcollateralization through a proportionate haircut policy.</w:t>
      </w:r>
    </w:p>
    <w:p w14:paraId="4F73E842" w14:textId="77777777" w:rsidR="00D64999" w:rsidRDefault="00D64999" w:rsidP="00D64999"/>
    <w:permEnd w:id="1885931262"/>
    <w:p w14:paraId="1054BB8C" w14:textId="77777777" w:rsidR="000A7D5F" w:rsidRDefault="000A7D5F" w:rsidP="000A7D5F">
      <w:r>
        <w:t>&lt;ESMA_QUESTION_MMF_2&gt;</w:t>
      </w:r>
    </w:p>
    <w:p w14:paraId="1DABAE92" w14:textId="77777777" w:rsidR="000A7D5F" w:rsidRDefault="000A7D5F" w:rsidP="000A7D5F"/>
    <w:p w14:paraId="5E54E02B" w14:textId="77777777" w:rsidR="000A7D5F" w:rsidRDefault="000A7D5F" w:rsidP="000A7D5F">
      <w:pPr>
        <w:pStyle w:val="Questionstyle"/>
        <w:numPr>
          <w:ilvl w:val="0"/>
          <w:numId w:val="55"/>
        </w:numPr>
      </w:pPr>
      <w:r>
        <w:t xml:space="preserve">: With respect to option a), do you think the haircut policy should be determined as suggested, or should there be more flexibility given to the manager on this determination? Do you think that the decision of equivalence vis a vis third countries mentioned in this option should relate to the one mentioned in Article 114 (107 in the case of credit institutions) of CRR? </w:t>
      </w:r>
    </w:p>
    <w:p w14:paraId="7928B63F" w14:textId="77777777" w:rsidR="000A7D5F" w:rsidRDefault="000A7D5F" w:rsidP="000A7D5F">
      <w:r>
        <w:lastRenderedPageBreak/>
        <w:t>&lt;ESMA_QUESTION_MMF_3&gt;</w:t>
      </w:r>
    </w:p>
    <w:p w14:paraId="6A61515A" w14:textId="77777777" w:rsidR="00BD2432" w:rsidRDefault="00BD2432" w:rsidP="00BD2432">
      <w:pPr>
        <w:spacing w:line="276" w:lineRule="auto"/>
        <w:jc w:val="both"/>
        <w:rPr>
          <w:rFonts w:ascii="Calibri" w:eastAsia="Calibri" w:hAnsi="Calibri"/>
          <w:sz w:val="22"/>
          <w:szCs w:val="22"/>
          <w:lang w:val="en-US" w:eastAsia="en-US"/>
        </w:rPr>
      </w:pPr>
      <w:permStart w:id="2031238594" w:edGrp="everyone"/>
    </w:p>
    <w:p w14:paraId="0A30C072" w14:textId="77777777" w:rsidR="00BD2432" w:rsidRPr="00BD2432" w:rsidRDefault="00BD2432" w:rsidP="00BD2432">
      <w:pPr>
        <w:spacing w:line="276" w:lineRule="auto"/>
        <w:jc w:val="both"/>
        <w:rPr>
          <w:rFonts w:ascii="Calibri" w:eastAsia="Calibri" w:hAnsi="Calibri"/>
          <w:sz w:val="22"/>
          <w:szCs w:val="22"/>
          <w:lang w:val="en-US" w:eastAsia="en-US"/>
        </w:rPr>
      </w:pPr>
      <w:r w:rsidRPr="00BD2432">
        <w:rPr>
          <w:rFonts w:ascii="Calibri" w:eastAsia="Calibri" w:hAnsi="Calibri"/>
          <w:sz w:val="22"/>
          <w:szCs w:val="22"/>
          <w:lang w:val="en-US" w:eastAsia="en-US"/>
        </w:rPr>
        <w:t>Applying the Basel Committee on Banking Supervision’s haircut policy has the merit of :</w:t>
      </w:r>
    </w:p>
    <w:p w14:paraId="0B539C73" w14:textId="77777777" w:rsidR="00BD2432" w:rsidRPr="00BD2432" w:rsidRDefault="00BD2432" w:rsidP="00BD2432">
      <w:pPr>
        <w:spacing w:line="276" w:lineRule="auto"/>
        <w:jc w:val="both"/>
        <w:rPr>
          <w:rFonts w:ascii="Calibri" w:eastAsia="Calibri" w:hAnsi="Calibri"/>
          <w:sz w:val="22"/>
          <w:szCs w:val="22"/>
          <w:lang w:val="en-US" w:eastAsia="en-US"/>
        </w:rPr>
      </w:pPr>
      <w:r w:rsidRPr="00BD2432">
        <w:rPr>
          <w:rFonts w:ascii="Calibri" w:eastAsia="Calibri" w:hAnsi="Calibri"/>
          <w:sz w:val="22"/>
          <w:szCs w:val="22"/>
          <w:lang w:val="en-US" w:eastAsia="en-US"/>
        </w:rPr>
        <w:t>- setting a market standard allowing money market funds to be aligned with market practice</w:t>
      </w:r>
    </w:p>
    <w:p w14:paraId="4966DCC8" w14:textId="21A5A2C0" w:rsidR="00BD2432" w:rsidRDefault="00BD2432" w:rsidP="00BD2432">
      <w:pPr>
        <w:rPr>
          <w:rFonts w:ascii="Calibri" w:eastAsia="Calibri" w:hAnsi="Calibri"/>
          <w:sz w:val="22"/>
          <w:szCs w:val="22"/>
          <w:lang w:val="en-US" w:eastAsia="en-US"/>
        </w:rPr>
      </w:pPr>
      <w:r w:rsidRPr="00BD2432">
        <w:rPr>
          <w:rFonts w:ascii="Calibri" w:eastAsia="Calibri" w:hAnsi="Calibri"/>
          <w:sz w:val="22"/>
          <w:szCs w:val="22"/>
          <w:lang w:val="en-US" w:eastAsia="en-US"/>
        </w:rPr>
        <w:t>- facilitating the haircut negotiation with counterparties as standards will be determined by an ind</w:t>
      </w:r>
      <w:r w:rsidRPr="00BD2432">
        <w:rPr>
          <w:rFonts w:ascii="Calibri" w:eastAsia="Calibri" w:hAnsi="Calibri"/>
          <w:sz w:val="22"/>
          <w:szCs w:val="22"/>
          <w:lang w:val="en-US" w:eastAsia="en-US"/>
        </w:rPr>
        <w:t>e</w:t>
      </w:r>
      <w:r w:rsidRPr="00BD2432">
        <w:rPr>
          <w:rFonts w:ascii="Calibri" w:eastAsia="Calibri" w:hAnsi="Calibri"/>
          <w:sz w:val="22"/>
          <w:szCs w:val="22"/>
          <w:lang w:val="en-US" w:eastAsia="en-US"/>
        </w:rPr>
        <w:t>pendent regulatory body with no possibility for the counterparty to impose a lower level of collateraliz</w:t>
      </w:r>
      <w:r w:rsidRPr="00BD2432">
        <w:rPr>
          <w:rFonts w:ascii="Calibri" w:eastAsia="Calibri" w:hAnsi="Calibri"/>
          <w:sz w:val="22"/>
          <w:szCs w:val="22"/>
          <w:lang w:val="en-US" w:eastAsia="en-US"/>
        </w:rPr>
        <w:t>a</w:t>
      </w:r>
      <w:r w:rsidRPr="00BD2432">
        <w:rPr>
          <w:rFonts w:ascii="Calibri" w:eastAsia="Calibri" w:hAnsi="Calibri"/>
          <w:sz w:val="22"/>
          <w:szCs w:val="22"/>
          <w:lang w:val="en-US" w:eastAsia="en-US"/>
        </w:rPr>
        <w:t>tion.</w:t>
      </w:r>
    </w:p>
    <w:p w14:paraId="327ACCFA" w14:textId="77777777" w:rsidR="00BD2432" w:rsidRDefault="00BD2432" w:rsidP="00BD2432"/>
    <w:permEnd w:id="2031238594"/>
    <w:p w14:paraId="3FFEDAEE" w14:textId="77777777" w:rsidR="000A7D5F" w:rsidRDefault="000A7D5F" w:rsidP="000A7D5F">
      <w:r>
        <w:t>&lt;ESMA_QUESTION_MMF_3&gt;</w:t>
      </w:r>
    </w:p>
    <w:p w14:paraId="2F21A1D9" w14:textId="77777777" w:rsidR="000A7D5F" w:rsidRDefault="000A7D5F" w:rsidP="000A7D5F"/>
    <w:p w14:paraId="384ABCF4" w14:textId="77777777" w:rsidR="000A7D5F" w:rsidRDefault="000A7D5F" w:rsidP="000A7D5F">
      <w:pPr>
        <w:pStyle w:val="Questionstyle"/>
        <w:numPr>
          <w:ilvl w:val="0"/>
          <w:numId w:val="55"/>
        </w:numPr>
      </w:pPr>
      <w:r>
        <w:t>: With respect to option b) on liquidity requirements, do you think that requiring assets co</w:t>
      </w:r>
      <w:r>
        <w:t>n</w:t>
      </w:r>
      <w:r>
        <w:t>vertible to cash in one business day or less is appropriate? Do you think this requirement should be more detailed and refer to trade date or settlement date, for example? With respect to that same option b), how do you think that the criteria mentioned in this option could be defined in more detail, and how could quantitative indicators be introduced? Do you think all the criteria mentioned in Article 2(3) of this option b) are relevant? Under this option, when the liquidity assessment of the manager is that the assets would no longer be liquid assets, the manager shall take immediately any appropriate action including the replacement of the co</w:t>
      </w:r>
      <w:r>
        <w:t>l</w:t>
      </w:r>
      <w:r>
        <w:t>lateral with another asset that would be qualified as liquid assets. Do you think that the r</w:t>
      </w:r>
      <w:r>
        <w:t>e</w:t>
      </w:r>
      <w:r>
        <w:t>placement of the collateral could be carried out overnight?</w:t>
      </w:r>
    </w:p>
    <w:p w14:paraId="263F9C2F" w14:textId="77777777" w:rsidR="000A7D5F" w:rsidRDefault="000A7D5F" w:rsidP="000A7D5F">
      <w:r>
        <w:t>&lt;ESMA_QUESTION_MMF_4&gt;</w:t>
      </w:r>
    </w:p>
    <w:p w14:paraId="0E37C8E2" w14:textId="77777777" w:rsidR="001575D6" w:rsidRDefault="001575D6" w:rsidP="001575D6">
      <w:pPr>
        <w:spacing w:after="200" w:line="276" w:lineRule="auto"/>
        <w:jc w:val="both"/>
        <w:rPr>
          <w:rFonts w:ascii="Calibri" w:eastAsia="Calibri" w:hAnsi="Calibri"/>
          <w:sz w:val="22"/>
          <w:szCs w:val="22"/>
          <w:lang w:val="en-US" w:eastAsia="en-US"/>
        </w:rPr>
      </w:pPr>
      <w:permStart w:id="46205388" w:edGrp="everyone"/>
    </w:p>
    <w:p w14:paraId="298C7534" w14:textId="77777777" w:rsidR="001575D6" w:rsidRPr="001575D6" w:rsidRDefault="001575D6" w:rsidP="001575D6">
      <w:pPr>
        <w:spacing w:after="200" w:line="276" w:lineRule="auto"/>
        <w:jc w:val="both"/>
        <w:rPr>
          <w:rFonts w:ascii="Calibri" w:eastAsia="Calibri" w:hAnsi="Calibri"/>
          <w:sz w:val="22"/>
          <w:szCs w:val="22"/>
          <w:lang w:val="en-US" w:eastAsia="en-US"/>
        </w:rPr>
      </w:pPr>
      <w:r w:rsidRPr="001575D6">
        <w:rPr>
          <w:rFonts w:ascii="Calibri" w:eastAsia="Calibri" w:hAnsi="Calibri"/>
          <w:sz w:val="22"/>
          <w:szCs w:val="22"/>
          <w:lang w:val="en-US" w:eastAsia="en-US"/>
        </w:rPr>
        <w:t>We do not support option b) as we think it will be difficult to bring some more clarity to the criteria mentioned and it raises some issues about the day to day implementation.</w:t>
      </w:r>
    </w:p>
    <w:p w14:paraId="0C790B5C" w14:textId="77777777" w:rsidR="001575D6" w:rsidRPr="001575D6" w:rsidRDefault="001575D6" w:rsidP="001575D6">
      <w:pPr>
        <w:spacing w:after="200" w:line="276" w:lineRule="auto"/>
        <w:jc w:val="both"/>
        <w:rPr>
          <w:rFonts w:ascii="Calibri" w:eastAsia="Calibri" w:hAnsi="Calibri"/>
          <w:sz w:val="22"/>
          <w:szCs w:val="22"/>
          <w:lang w:val="en-US" w:eastAsia="en-US"/>
        </w:rPr>
      </w:pPr>
      <w:r w:rsidRPr="001575D6">
        <w:rPr>
          <w:rFonts w:ascii="Calibri" w:eastAsia="Calibri" w:hAnsi="Calibri"/>
          <w:sz w:val="22"/>
          <w:szCs w:val="22"/>
          <w:lang w:val="en-US" w:eastAsia="en-US"/>
        </w:rPr>
        <w:t>Requiring assets “to be convertible to cash in one business day or less” is not realistic as the settlement period for securities traded on secondary markets is generally “T+2”. Imposing a “fire sale” of the colla</w:t>
      </w:r>
      <w:r w:rsidRPr="001575D6">
        <w:rPr>
          <w:rFonts w:ascii="Calibri" w:eastAsia="Calibri" w:hAnsi="Calibri"/>
          <w:sz w:val="22"/>
          <w:szCs w:val="22"/>
          <w:lang w:val="en-US" w:eastAsia="en-US"/>
        </w:rPr>
        <w:t>t</w:t>
      </w:r>
      <w:r w:rsidRPr="001575D6">
        <w:rPr>
          <w:rFonts w:ascii="Calibri" w:eastAsia="Calibri" w:hAnsi="Calibri"/>
          <w:sz w:val="22"/>
          <w:szCs w:val="22"/>
          <w:lang w:val="en-US" w:eastAsia="en-US"/>
        </w:rPr>
        <w:t>eral may be detrimental to the best execution of the trade as everybody would be forced seller at the same time. Giving some more leeway would put sellers in a better situation.</w:t>
      </w:r>
    </w:p>
    <w:p w14:paraId="1AB57621" w14:textId="77777777" w:rsidR="001575D6" w:rsidRPr="001575D6" w:rsidRDefault="001575D6" w:rsidP="001575D6">
      <w:pPr>
        <w:spacing w:after="200" w:line="276" w:lineRule="auto"/>
        <w:jc w:val="both"/>
        <w:rPr>
          <w:rFonts w:ascii="Calibri" w:eastAsia="Calibri" w:hAnsi="Calibri"/>
          <w:sz w:val="22"/>
          <w:szCs w:val="22"/>
          <w:lang w:val="en-US" w:eastAsia="en-US"/>
        </w:rPr>
      </w:pPr>
      <w:r w:rsidRPr="001575D6">
        <w:rPr>
          <w:rFonts w:ascii="Calibri" w:eastAsia="Calibri" w:hAnsi="Calibri"/>
          <w:sz w:val="22"/>
          <w:szCs w:val="22"/>
          <w:lang w:val="en-US" w:eastAsia="en-US"/>
        </w:rPr>
        <w:t xml:space="preserve">The notion of replacement of collateral does not seem relevant. Current market practice is to recall the reverse repo operation when there are fears about the liquidity of the collateral. </w:t>
      </w:r>
    </w:p>
    <w:p w14:paraId="5C2C4629" w14:textId="3E81A22F" w:rsidR="001575D6" w:rsidRDefault="001575D6" w:rsidP="001575D6">
      <w:pPr>
        <w:rPr>
          <w:rFonts w:ascii="Calibri" w:eastAsia="Calibri" w:hAnsi="Calibri"/>
          <w:sz w:val="22"/>
          <w:szCs w:val="22"/>
          <w:lang w:val="en-US" w:eastAsia="en-US"/>
        </w:rPr>
      </w:pPr>
      <w:r w:rsidRPr="001575D6">
        <w:rPr>
          <w:rFonts w:ascii="Calibri" w:eastAsia="Calibri" w:hAnsi="Calibri"/>
          <w:sz w:val="22"/>
          <w:szCs w:val="22"/>
          <w:lang w:val="en-US" w:eastAsia="en-US"/>
        </w:rPr>
        <w:t>Replacement of collateral may be operated within a tri-party reverse repo, but it seems that only very few (if any) money market funds have already implemented it. It also raises the question of the ability of the asset manager to assess at any time the level of liquidity when there is a high collateral turn over.</w:t>
      </w:r>
    </w:p>
    <w:p w14:paraId="0D22377C" w14:textId="77777777" w:rsidR="001575D6" w:rsidRDefault="001575D6" w:rsidP="001575D6"/>
    <w:permEnd w:id="46205388"/>
    <w:p w14:paraId="41CD72D3" w14:textId="77777777" w:rsidR="000A7D5F" w:rsidRDefault="000A7D5F" w:rsidP="000A7D5F">
      <w:r>
        <w:t>&lt;ESMA_QUESTION_MMF_4&gt;</w:t>
      </w:r>
    </w:p>
    <w:p w14:paraId="01BAECFC" w14:textId="77777777" w:rsidR="000A7D5F" w:rsidRDefault="000A7D5F" w:rsidP="000A7D5F"/>
    <w:p w14:paraId="7B223B56" w14:textId="77777777" w:rsidR="000A7D5F" w:rsidRDefault="000A7D5F" w:rsidP="000A7D5F">
      <w:pPr>
        <w:pStyle w:val="Questionstyle"/>
        <w:numPr>
          <w:ilvl w:val="0"/>
          <w:numId w:val="55"/>
        </w:numPr>
      </w:pPr>
      <w:r>
        <w:t>: What would be in your view the consequences in terms of costs of the chosen option, and of the other options mentioned above? Do you agree with reasoning mention in the CBA (annex III) in relation to the possible costs and benefits of the options as regards the abovementioned credit quality and liquidity requirements? Which other costs or benefits would you consider in this context?</w:t>
      </w:r>
    </w:p>
    <w:p w14:paraId="6B4B507F" w14:textId="77777777" w:rsidR="000A7D5F" w:rsidRDefault="000A7D5F" w:rsidP="000A7D5F">
      <w:r>
        <w:lastRenderedPageBreak/>
        <w:t>&lt;ESMA_QUESTION_MMF_5&gt;</w:t>
      </w:r>
    </w:p>
    <w:p w14:paraId="2C8DAA1D" w14:textId="77777777" w:rsidR="00DD4C6C" w:rsidRDefault="00DD4C6C" w:rsidP="00DD4C6C">
      <w:pPr>
        <w:spacing w:after="200" w:line="276" w:lineRule="auto"/>
        <w:jc w:val="both"/>
        <w:rPr>
          <w:rFonts w:ascii="Calibri" w:eastAsia="Calibri" w:hAnsi="Calibri"/>
          <w:sz w:val="22"/>
          <w:szCs w:val="22"/>
          <w:lang w:val="en-US" w:eastAsia="en-US"/>
        </w:rPr>
      </w:pPr>
      <w:permStart w:id="1016286607" w:edGrp="everyone"/>
    </w:p>
    <w:p w14:paraId="7E5E1AA6" w14:textId="77777777" w:rsidR="00DD4C6C" w:rsidRPr="00DD4C6C" w:rsidRDefault="00DD4C6C" w:rsidP="00DD4C6C">
      <w:pPr>
        <w:spacing w:after="200" w:line="276" w:lineRule="auto"/>
        <w:jc w:val="both"/>
        <w:rPr>
          <w:rFonts w:ascii="Calibri" w:eastAsia="Calibri" w:hAnsi="Calibri"/>
          <w:sz w:val="22"/>
          <w:szCs w:val="22"/>
          <w:lang w:val="en-US" w:eastAsia="en-US"/>
        </w:rPr>
      </w:pPr>
      <w:r w:rsidRPr="00DD4C6C">
        <w:rPr>
          <w:rFonts w:ascii="Calibri" w:eastAsia="Calibri" w:hAnsi="Calibri"/>
          <w:sz w:val="22"/>
          <w:szCs w:val="22"/>
          <w:lang w:val="en-US" w:eastAsia="en-US"/>
        </w:rPr>
        <w:t>In terms of cost analysis, we agree with ESMA’s CBA (p 90) that option a) is unlikely to lead to significant additional costs. Haircuts tables are given and the determination of the quality of the counterparty follows straightforward criteria.</w:t>
      </w:r>
    </w:p>
    <w:p w14:paraId="3D22E2A8" w14:textId="7B31476A" w:rsidR="00DD4C6C" w:rsidRDefault="00DD4C6C" w:rsidP="00DD4C6C">
      <w:pPr>
        <w:rPr>
          <w:rFonts w:ascii="Calibri" w:eastAsia="Calibri" w:hAnsi="Calibri"/>
          <w:sz w:val="22"/>
          <w:szCs w:val="22"/>
          <w:lang w:val="en-US" w:eastAsia="en-US"/>
        </w:rPr>
      </w:pPr>
      <w:r w:rsidRPr="00DD4C6C">
        <w:rPr>
          <w:rFonts w:ascii="Calibri" w:eastAsia="Calibri" w:hAnsi="Calibri"/>
          <w:sz w:val="22"/>
          <w:szCs w:val="22"/>
          <w:lang w:val="en-US" w:eastAsia="en-US"/>
        </w:rPr>
        <w:t>Regarding option b, we disagree with the ESMA’s CBA (p 91), as we foresee operational difficulties with the daily monitoring of such a bunch of criteria, knowing that the benefit of such an approach is totally marginal with regards to the objective assigned.</w:t>
      </w:r>
    </w:p>
    <w:p w14:paraId="51C3F712" w14:textId="77777777" w:rsidR="00DD4C6C" w:rsidRDefault="00DD4C6C" w:rsidP="00DD4C6C"/>
    <w:permEnd w:id="1016286607"/>
    <w:p w14:paraId="3D302999" w14:textId="77777777" w:rsidR="000A7D5F" w:rsidRDefault="000A7D5F" w:rsidP="000A7D5F">
      <w:r>
        <w:t>&lt;ESMA_QUESTION_MMF_5&gt;</w:t>
      </w:r>
    </w:p>
    <w:p w14:paraId="7BB89EDB" w14:textId="77777777" w:rsidR="000A7D5F" w:rsidRDefault="000A7D5F" w:rsidP="000A7D5F"/>
    <w:p w14:paraId="74B33450" w14:textId="77777777" w:rsidR="000A7D5F" w:rsidRDefault="000A7D5F" w:rsidP="000A7D5F">
      <w:pPr>
        <w:pStyle w:val="Questionstyle"/>
        <w:numPr>
          <w:ilvl w:val="0"/>
          <w:numId w:val="55"/>
        </w:numPr>
      </w:pPr>
      <w:r>
        <w:t>: Do you agree that the abovementioned references to EU and US standards are relevant in the context of the issuance by ESMA of technical advice on credit quality assessment under the r</w:t>
      </w:r>
      <w:r>
        <w:t>e</w:t>
      </w:r>
      <w:r>
        <w:t>quirements of the MMF Regulation? Do you identify other pieces of national/EU/International law that would be relevant in view of the work on ESMA technical advice on credit quality a</w:t>
      </w:r>
      <w:r>
        <w:t>s</w:t>
      </w:r>
      <w:r>
        <w:t>sessment under the requirements of the MMF Regulation?</w:t>
      </w:r>
    </w:p>
    <w:p w14:paraId="19EACB8A" w14:textId="77777777" w:rsidR="000A7D5F" w:rsidRDefault="000A7D5F" w:rsidP="000A7D5F">
      <w:r>
        <w:t>&lt;ESMA_QUESTION_MMF_6&gt;</w:t>
      </w:r>
    </w:p>
    <w:p w14:paraId="5529135A" w14:textId="77777777" w:rsidR="004E25A0" w:rsidRDefault="004E25A0" w:rsidP="000A7D5F">
      <w:pPr>
        <w:rPr>
          <w:rFonts w:ascii="Calibri" w:eastAsia="Calibri" w:hAnsi="Calibri"/>
          <w:sz w:val="22"/>
          <w:szCs w:val="22"/>
          <w:lang w:val="en-US" w:eastAsia="en-US"/>
        </w:rPr>
      </w:pPr>
      <w:permStart w:id="1425146464" w:edGrp="everyone"/>
    </w:p>
    <w:p w14:paraId="23322A6F" w14:textId="5692B4A5" w:rsidR="004E25A0" w:rsidRDefault="004E25A0" w:rsidP="000A7D5F">
      <w:pPr>
        <w:rPr>
          <w:rFonts w:ascii="Calibri" w:eastAsia="Calibri" w:hAnsi="Calibri"/>
          <w:sz w:val="22"/>
          <w:szCs w:val="22"/>
          <w:lang w:val="en-US" w:eastAsia="en-US"/>
        </w:rPr>
      </w:pPr>
      <w:r w:rsidRPr="004E25A0">
        <w:rPr>
          <w:rFonts w:ascii="Calibri" w:eastAsia="Calibri" w:hAnsi="Calibri"/>
          <w:sz w:val="22"/>
          <w:szCs w:val="22"/>
          <w:lang w:val="en-US" w:eastAsia="en-US"/>
        </w:rPr>
        <w:t>We think it is worth mentioning these references but they are not directly applicable in the case of MMFR. We consider that referring to CRA to estimate the quality of the methodology of the internal credit assessment process of a MMF would be disproportionate, since asset managers are assessing credit quality for an internal use only.  Furthermore, the requirement in CRA regulation is that the met</w:t>
      </w:r>
      <w:r w:rsidRPr="004E25A0">
        <w:rPr>
          <w:rFonts w:ascii="Calibri" w:eastAsia="Calibri" w:hAnsi="Calibri"/>
          <w:sz w:val="22"/>
          <w:szCs w:val="22"/>
          <w:lang w:val="en-US" w:eastAsia="en-US"/>
        </w:rPr>
        <w:t>h</w:t>
      </w:r>
      <w:r w:rsidRPr="004E25A0">
        <w:rPr>
          <w:rFonts w:ascii="Calibri" w:eastAsia="Calibri" w:hAnsi="Calibri"/>
          <w:sz w:val="22"/>
          <w:szCs w:val="22"/>
          <w:lang w:val="en-US" w:eastAsia="en-US"/>
        </w:rPr>
        <w:t>odology be rigorous, systematic and continuous when in MMFR “prudent” replaces “rigorous”, which evidences that the purpose is different.</w:t>
      </w:r>
    </w:p>
    <w:p w14:paraId="23D855BD" w14:textId="77777777" w:rsidR="004E25A0" w:rsidRDefault="004E25A0" w:rsidP="000A7D5F"/>
    <w:permEnd w:id="1425146464"/>
    <w:p w14:paraId="11898AD9" w14:textId="77777777" w:rsidR="000A7D5F" w:rsidRDefault="000A7D5F" w:rsidP="000A7D5F">
      <w:r>
        <w:t>&lt;ESMA_QUESTION_MMF_6&gt;</w:t>
      </w:r>
    </w:p>
    <w:p w14:paraId="64A05104" w14:textId="77777777" w:rsidR="000A7D5F" w:rsidRDefault="000A7D5F" w:rsidP="000A7D5F"/>
    <w:p w14:paraId="7550EA68" w14:textId="77777777" w:rsidR="000A7D5F" w:rsidRDefault="000A7D5F" w:rsidP="000A7D5F">
      <w:pPr>
        <w:pStyle w:val="Questionstyle"/>
        <w:numPr>
          <w:ilvl w:val="0"/>
          <w:numId w:val="55"/>
        </w:numPr>
      </w:pPr>
      <w:r>
        <w:t>: Do you agree with the proposed option on each of the requirements mentioned in Article 22 of the MMF Regulation? If not, could you specify which existing regulatory framework would you suggest as a basis for the work on the technical advice related to Article 22 of the MMF Regulation?</w:t>
      </w:r>
    </w:p>
    <w:p w14:paraId="3C3D7D76" w14:textId="77777777" w:rsidR="000A7D5F" w:rsidRDefault="000A7D5F" w:rsidP="000A7D5F">
      <w:r>
        <w:t>&lt;ESMA_QUESTION_MMF_7&gt;</w:t>
      </w:r>
    </w:p>
    <w:p w14:paraId="25B41D8E" w14:textId="77777777" w:rsidR="004B6FF0" w:rsidRDefault="004B6FF0" w:rsidP="004B6FF0">
      <w:pPr>
        <w:spacing w:line="276" w:lineRule="auto"/>
        <w:jc w:val="both"/>
        <w:rPr>
          <w:rFonts w:ascii="Calibri" w:eastAsia="Calibri" w:hAnsi="Calibri"/>
          <w:sz w:val="22"/>
          <w:szCs w:val="22"/>
          <w:lang w:val="en-US" w:eastAsia="en-US"/>
        </w:rPr>
      </w:pPr>
      <w:permStart w:id="1575883312" w:edGrp="everyone"/>
    </w:p>
    <w:p w14:paraId="35411F43" w14:textId="77777777" w:rsidR="004B6FF0" w:rsidRPr="004B6FF0" w:rsidRDefault="004B6FF0" w:rsidP="004B6FF0">
      <w:pPr>
        <w:spacing w:line="276" w:lineRule="auto"/>
        <w:jc w:val="both"/>
        <w:rPr>
          <w:rFonts w:ascii="Calibri" w:eastAsia="Calibri" w:hAnsi="Calibri"/>
          <w:sz w:val="22"/>
          <w:szCs w:val="22"/>
          <w:lang w:val="en-US" w:eastAsia="en-US"/>
        </w:rPr>
      </w:pPr>
      <w:r w:rsidRPr="004B6FF0">
        <w:rPr>
          <w:rFonts w:ascii="Calibri" w:eastAsia="Calibri" w:hAnsi="Calibri"/>
          <w:sz w:val="22"/>
          <w:szCs w:val="22"/>
          <w:lang w:val="en-US" w:eastAsia="en-US"/>
        </w:rPr>
        <w:t>In article 2(b) we propose to delete “all” to read “Incorporate factors deemed relevant”.</w:t>
      </w:r>
    </w:p>
    <w:p w14:paraId="1E592DED" w14:textId="77777777" w:rsidR="004B6FF0" w:rsidRPr="004B6FF0" w:rsidRDefault="004B6FF0" w:rsidP="004B6FF0">
      <w:pPr>
        <w:spacing w:line="276" w:lineRule="auto"/>
        <w:jc w:val="both"/>
        <w:rPr>
          <w:rFonts w:ascii="Calibri" w:eastAsia="Calibri" w:hAnsi="Calibri"/>
          <w:sz w:val="22"/>
          <w:szCs w:val="22"/>
          <w:lang w:val="en-US" w:eastAsia="en-US"/>
        </w:rPr>
      </w:pPr>
    </w:p>
    <w:p w14:paraId="5E4395BE" w14:textId="77777777" w:rsidR="004B6FF0" w:rsidRPr="004B6FF0" w:rsidRDefault="004B6FF0" w:rsidP="004B6FF0">
      <w:pPr>
        <w:spacing w:after="200" w:line="276" w:lineRule="auto"/>
        <w:jc w:val="both"/>
        <w:rPr>
          <w:rFonts w:ascii="Calibri" w:eastAsia="Calibri" w:hAnsi="Calibri"/>
          <w:sz w:val="22"/>
          <w:szCs w:val="22"/>
          <w:lang w:val="en-US" w:eastAsia="en-US"/>
        </w:rPr>
      </w:pPr>
      <w:r w:rsidRPr="004B6FF0">
        <w:rPr>
          <w:rFonts w:ascii="Calibri" w:eastAsia="Calibri" w:hAnsi="Calibri"/>
          <w:sz w:val="22"/>
          <w:szCs w:val="22"/>
          <w:lang w:val="en-US" w:eastAsia="en-US"/>
        </w:rPr>
        <w:t>We disagree with ESMA’s reference to a “scale of credit rating” in article 3 (page 101). First, MMFR does not refer to such a scale. Second, the reasons that brought MMFR not to ask for a scale are linked to the specificities of credit assessment in the context of asset management. We are convinced that the divers</w:t>
      </w:r>
      <w:r w:rsidRPr="004B6FF0">
        <w:rPr>
          <w:rFonts w:ascii="Calibri" w:eastAsia="Calibri" w:hAnsi="Calibri"/>
          <w:sz w:val="22"/>
          <w:szCs w:val="22"/>
          <w:lang w:val="en-US" w:eastAsia="en-US"/>
        </w:rPr>
        <w:t>i</w:t>
      </w:r>
      <w:r w:rsidRPr="004B6FF0">
        <w:rPr>
          <w:rFonts w:ascii="Calibri" w:eastAsia="Calibri" w:hAnsi="Calibri"/>
          <w:sz w:val="22"/>
          <w:szCs w:val="22"/>
          <w:lang w:val="en-US" w:eastAsia="en-US"/>
        </w:rPr>
        <w:t>ty of internal processes should prevail. Putting in place a second process specific to MMFs is not cost effective with little, if any, corresponding benefits. Therefore, criteria listed in the technical advice under article 22 should be illustrative with no obligation to implement all of them in the credit quality asses</w:t>
      </w:r>
      <w:r w:rsidRPr="004B6FF0">
        <w:rPr>
          <w:rFonts w:ascii="Calibri" w:eastAsia="Calibri" w:hAnsi="Calibri"/>
          <w:sz w:val="22"/>
          <w:szCs w:val="22"/>
          <w:lang w:val="en-US" w:eastAsia="en-US"/>
        </w:rPr>
        <w:t>s</w:t>
      </w:r>
      <w:r w:rsidRPr="004B6FF0">
        <w:rPr>
          <w:rFonts w:ascii="Calibri" w:eastAsia="Calibri" w:hAnsi="Calibri"/>
          <w:sz w:val="22"/>
          <w:szCs w:val="22"/>
          <w:lang w:val="en-US" w:eastAsia="en-US"/>
        </w:rPr>
        <w:t>ment methodology.</w:t>
      </w:r>
    </w:p>
    <w:p w14:paraId="61D48026" w14:textId="0697A02A" w:rsidR="004B6FF0" w:rsidRDefault="004B6FF0" w:rsidP="004B6FF0">
      <w:pPr>
        <w:spacing w:line="276" w:lineRule="auto"/>
        <w:jc w:val="both"/>
        <w:rPr>
          <w:rFonts w:ascii="Calibri" w:eastAsia="Calibri" w:hAnsi="Calibri"/>
          <w:sz w:val="22"/>
          <w:szCs w:val="22"/>
          <w:lang w:val="en-US" w:eastAsia="en-US"/>
        </w:rPr>
      </w:pPr>
      <w:r w:rsidRPr="004B6FF0">
        <w:rPr>
          <w:rFonts w:ascii="Calibri" w:eastAsia="Calibri" w:hAnsi="Calibri"/>
          <w:sz w:val="22"/>
          <w:szCs w:val="22"/>
          <w:lang w:val="en-US" w:eastAsia="en-US"/>
        </w:rPr>
        <w:lastRenderedPageBreak/>
        <w:t>Proportionality should be included when addressing the validation of the methodology under MMFR. As mentioned, MMFR has a less stringent requirement than CRA</w:t>
      </w:r>
      <w:r w:rsidR="00A42B10">
        <w:rPr>
          <w:rFonts w:ascii="Calibri" w:eastAsia="Calibri" w:hAnsi="Calibri"/>
          <w:sz w:val="22"/>
          <w:szCs w:val="22"/>
          <w:lang w:val="en-US" w:eastAsia="en-US"/>
        </w:rPr>
        <w:t>R</w:t>
      </w:r>
      <w:r w:rsidRPr="004B6FF0">
        <w:rPr>
          <w:rFonts w:ascii="Calibri" w:eastAsia="Calibri" w:hAnsi="Calibri"/>
          <w:sz w:val="22"/>
          <w:szCs w:val="22"/>
          <w:lang w:val="en-US" w:eastAsia="en-US"/>
        </w:rPr>
        <w:t>, since “prudent” (MMFR) is of a different nature of “rigorous” (CRAR). We only agree to refer to CRA</w:t>
      </w:r>
      <w:r w:rsidR="00A42B10">
        <w:rPr>
          <w:rFonts w:ascii="Calibri" w:eastAsia="Calibri" w:hAnsi="Calibri"/>
          <w:sz w:val="22"/>
          <w:szCs w:val="22"/>
          <w:lang w:val="en-US" w:eastAsia="en-US"/>
        </w:rPr>
        <w:t>R</w:t>
      </w:r>
      <w:r w:rsidRPr="004B6FF0">
        <w:rPr>
          <w:rFonts w:ascii="Calibri" w:eastAsia="Calibri" w:hAnsi="Calibri"/>
          <w:sz w:val="22"/>
          <w:szCs w:val="22"/>
          <w:lang w:val="en-US" w:eastAsia="en-US"/>
        </w:rPr>
        <w:t xml:space="preserve"> if proportionality is introduced. Typically, where CRA</w:t>
      </w:r>
      <w:r w:rsidR="00A42B10">
        <w:rPr>
          <w:rFonts w:ascii="Calibri" w:eastAsia="Calibri" w:hAnsi="Calibri"/>
          <w:sz w:val="22"/>
          <w:szCs w:val="22"/>
          <w:lang w:val="en-US" w:eastAsia="en-US"/>
        </w:rPr>
        <w:t>R</w:t>
      </w:r>
      <w:r w:rsidRPr="004B6FF0">
        <w:rPr>
          <w:rFonts w:ascii="Calibri" w:eastAsia="Calibri" w:hAnsi="Calibri"/>
          <w:sz w:val="22"/>
          <w:szCs w:val="22"/>
          <w:lang w:val="en-US" w:eastAsia="en-US"/>
        </w:rPr>
        <w:t xml:space="preserve"> imposes rules, MMFR should express suggestions and the same criteria should not be ma</w:t>
      </w:r>
      <w:r w:rsidRPr="004B6FF0">
        <w:rPr>
          <w:rFonts w:ascii="Calibri" w:eastAsia="Calibri" w:hAnsi="Calibri"/>
          <w:sz w:val="22"/>
          <w:szCs w:val="22"/>
          <w:lang w:val="en-US" w:eastAsia="en-US"/>
        </w:rPr>
        <w:t>n</w:t>
      </w:r>
      <w:r w:rsidRPr="004B6FF0">
        <w:rPr>
          <w:rFonts w:ascii="Calibri" w:eastAsia="Calibri" w:hAnsi="Calibri"/>
          <w:sz w:val="22"/>
          <w:szCs w:val="22"/>
          <w:lang w:val="en-US" w:eastAsia="en-US"/>
        </w:rPr>
        <w:t>datory but illustrative.</w:t>
      </w:r>
    </w:p>
    <w:p w14:paraId="01E827BB" w14:textId="77777777" w:rsidR="00A42B10" w:rsidRPr="004B6FF0" w:rsidRDefault="00A42B10" w:rsidP="004B6FF0">
      <w:pPr>
        <w:spacing w:line="276" w:lineRule="auto"/>
        <w:jc w:val="both"/>
        <w:rPr>
          <w:rFonts w:ascii="Calibri" w:eastAsia="Calibri" w:hAnsi="Calibri"/>
          <w:sz w:val="22"/>
          <w:szCs w:val="22"/>
          <w:lang w:val="en-US" w:eastAsia="en-US"/>
        </w:rPr>
      </w:pPr>
    </w:p>
    <w:p w14:paraId="304521C0" w14:textId="65FDB220" w:rsidR="004B6FF0" w:rsidRPr="004B6FF0" w:rsidRDefault="00A42B10" w:rsidP="004B6FF0">
      <w:pPr>
        <w:spacing w:line="276" w:lineRule="auto"/>
        <w:jc w:val="both"/>
        <w:rPr>
          <w:rFonts w:ascii="Calibri" w:eastAsia="Calibri" w:hAnsi="Calibri"/>
          <w:sz w:val="22"/>
          <w:szCs w:val="22"/>
          <w:lang w:val="en-US" w:eastAsia="en-US"/>
        </w:rPr>
      </w:pPr>
      <w:r>
        <w:rPr>
          <w:rFonts w:ascii="Calibri" w:eastAsia="Calibri" w:hAnsi="Calibri"/>
          <w:sz w:val="22"/>
          <w:szCs w:val="22"/>
          <w:lang w:val="en-US" w:eastAsia="en-US"/>
        </w:rPr>
        <w:t>Article 3 (3): t</w:t>
      </w:r>
      <w:r w:rsidR="004B6FF0" w:rsidRPr="004B6FF0">
        <w:rPr>
          <w:rFonts w:ascii="Calibri" w:eastAsia="Calibri" w:hAnsi="Calibri"/>
          <w:sz w:val="22"/>
          <w:szCs w:val="22"/>
          <w:lang w:val="en-US" w:eastAsia="en-US"/>
        </w:rPr>
        <w:t xml:space="preserve">he manager of a MMF shall use a credit quality assessment methodology which ex-ante defines its own </w:t>
      </w:r>
      <w:r w:rsidR="004B6FF0" w:rsidRPr="004B6FF0">
        <w:rPr>
          <w:rFonts w:ascii="Calibri" w:eastAsia="Calibri" w:hAnsi="Calibri"/>
          <w:b/>
          <w:strike/>
          <w:sz w:val="22"/>
          <w:szCs w:val="22"/>
          <w:lang w:val="en-US" w:eastAsia="en-US"/>
        </w:rPr>
        <w:t>scale</w:t>
      </w:r>
      <w:r w:rsidR="004B6FF0" w:rsidRPr="004B6FF0">
        <w:rPr>
          <w:rFonts w:ascii="Calibri" w:eastAsia="Calibri" w:hAnsi="Calibri"/>
          <w:sz w:val="22"/>
          <w:szCs w:val="22"/>
          <w:lang w:val="en-US" w:eastAsia="en-US"/>
        </w:rPr>
        <w:t xml:space="preserve"> “</w:t>
      </w:r>
      <w:r w:rsidR="004B6FF0" w:rsidRPr="004B6FF0">
        <w:rPr>
          <w:rFonts w:ascii="Calibri" w:eastAsia="Calibri" w:hAnsi="Calibri"/>
          <w:b/>
          <w:i/>
          <w:sz w:val="22"/>
          <w:szCs w:val="22"/>
          <w:u w:val="single"/>
          <w:lang w:val="en-US" w:eastAsia="en-US"/>
        </w:rPr>
        <w:t>nomenclature”</w:t>
      </w:r>
      <w:r w:rsidR="004B6FF0" w:rsidRPr="004B6FF0">
        <w:rPr>
          <w:rFonts w:ascii="Calibri" w:eastAsia="Calibri" w:hAnsi="Calibri"/>
          <w:sz w:val="22"/>
          <w:szCs w:val="22"/>
          <w:lang w:val="en-US" w:eastAsia="en-US"/>
        </w:rPr>
        <w:t xml:space="preserve"> of credit </w:t>
      </w:r>
      <w:r w:rsidR="004B6FF0" w:rsidRPr="004B6FF0">
        <w:rPr>
          <w:rFonts w:ascii="Calibri" w:eastAsia="Calibri" w:hAnsi="Calibri"/>
          <w:b/>
          <w:strike/>
          <w:sz w:val="22"/>
          <w:szCs w:val="22"/>
          <w:lang w:val="en-US" w:eastAsia="en-US"/>
        </w:rPr>
        <w:t>rating</w:t>
      </w:r>
      <w:r w:rsidR="004B6FF0" w:rsidRPr="004B6FF0">
        <w:rPr>
          <w:rFonts w:ascii="Calibri" w:eastAsia="Calibri" w:hAnsi="Calibri"/>
          <w:sz w:val="22"/>
          <w:szCs w:val="22"/>
          <w:lang w:val="en-US" w:eastAsia="en-US"/>
        </w:rPr>
        <w:t xml:space="preserve"> </w:t>
      </w:r>
      <w:r w:rsidR="004B6FF0" w:rsidRPr="004B6FF0">
        <w:rPr>
          <w:rFonts w:ascii="Calibri" w:eastAsia="Calibri" w:hAnsi="Calibri"/>
          <w:b/>
          <w:i/>
          <w:sz w:val="22"/>
          <w:szCs w:val="22"/>
          <w:u w:val="single"/>
          <w:lang w:val="en-US" w:eastAsia="en-US"/>
        </w:rPr>
        <w:t>assessment</w:t>
      </w:r>
      <w:r w:rsidR="004B6FF0" w:rsidRPr="004B6FF0">
        <w:rPr>
          <w:rFonts w:ascii="Calibri" w:eastAsia="Calibri" w:hAnsi="Calibri"/>
          <w:sz w:val="22"/>
          <w:szCs w:val="22"/>
          <w:lang w:val="en-US" w:eastAsia="en-US"/>
        </w:rPr>
        <w:t xml:space="preserve"> and identifies the situations where the assessment is deemed to be favorable.</w:t>
      </w:r>
    </w:p>
    <w:p w14:paraId="672C8476" w14:textId="77777777" w:rsidR="004B6FF0" w:rsidRPr="004B6FF0" w:rsidRDefault="004B6FF0" w:rsidP="004B6FF0">
      <w:pPr>
        <w:spacing w:line="276" w:lineRule="auto"/>
        <w:jc w:val="both"/>
        <w:rPr>
          <w:rFonts w:ascii="Calibri" w:eastAsia="Calibri" w:hAnsi="Calibri"/>
          <w:sz w:val="22"/>
          <w:szCs w:val="22"/>
          <w:lang w:eastAsia="en-US"/>
        </w:rPr>
      </w:pPr>
    </w:p>
    <w:p w14:paraId="31E2882C" w14:textId="77777777" w:rsidR="004B6FF0" w:rsidRPr="004B6FF0" w:rsidRDefault="004B6FF0" w:rsidP="004B6FF0">
      <w:pPr>
        <w:spacing w:after="200" w:line="276" w:lineRule="auto"/>
        <w:jc w:val="both"/>
        <w:rPr>
          <w:rFonts w:ascii="Calibri" w:eastAsia="Calibri" w:hAnsi="Calibri"/>
          <w:sz w:val="22"/>
          <w:szCs w:val="22"/>
          <w:lang w:val="en-US" w:eastAsia="en-US"/>
        </w:rPr>
      </w:pPr>
      <w:r w:rsidRPr="004B6FF0">
        <w:rPr>
          <w:rFonts w:ascii="Calibri" w:eastAsia="Calibri" w:hAnsi="Calibri"/>
          <w:sz w:val="22"/>
          <w:szCs w:val="22"/>
          <w:lang w:val="en-US" w:eastAsia="en-US"/>
        </w:rPr>
        <w:t>Regarding the section on material change on page 104, we propose to delete the redundant enumer</w:t>
      </w:r>
      <w:r w:rsidRPr="004B6FF0">
        <w:rPr>
          <w:rFonts w:ascii="Calibri" w:eastAsia="Calibri" w:hAnsi="Calibri"/>
          <w:sz w:val="22"/>
          <w:szCs w:val="22"/>
          <w:lang w:val="en-US" w:eastAsia="en-US"/>
        </w:rPr>
        <w:t>a</w:t>
      </w:r>
      <w:r w:rsidRPr="004B6FF0">
        <w:rPr>
          <w:rFonts w:ascii="Calibri" w:eastAsia="Calibri" w:hAnsi="Calibri"/>
          <w:sz w:val="22"/>
          <w:szCs w:val="22"/>
          <w:lang w:val="en-US" w:eastAsia="en-US"/>
        </w:rPr>
        <w:t xml:space="preserve">tion of bullet points relating to # 2.  </w:t>
      </w:r>
    </w:p>
    <w:p w14:paraId="4335497C" w14:textId="6A4C44B2" w:rsidR="004B6FF0" w:rsidRDefault="004B6FF0" w:rsidP="004B6FF0">
      <w:pPr>
        <w:rPr>
          <w:rFonts w:ascii="Calibri" w:eastAsia="Calibri" w:hAnsi="Calibri"/>
          <w:sz w:val="22"/>
          <w:szCs w:val="22"/>
          <w:lang w:val="en-US" w:eastAsia="en-US"/>
        </w:rPr>
      </w:pPr>
      <w:r w:rsidRPr="004B6FF0">
        <w:rPr>
          <w:rFonts w:ascii="Calibri" w:eastAsia="Calibri" w:hAnsi="Calibri"/>
          <w:sz w:val="22"/>
          <w:szCs w:val="22"/>
          <w:lang w:val="en-US" w:eastAsia="en-US"/>
        </w:rPr>
        <w:t>#4 should not introduce any obligation to integrate CRAs</w:t>
      </w:r>
      <w:r w:rsidR="001F5B18">
        <w:rPr>
          <w:rFonts w:ascii="Calibri" w:eastAsia="Calibri" w:hAnsi="Calibri"/>
          <w:sz w:val="22"/>
          <w:szCs w:val="22"/>
          <w:lang w:val="en-US" w:eastAsia="en-US"/>
        </w:rPr>
        <w:t>’</w:t>
      </w:r>
      <w:r w:rsidRPr="004B6FF0">
        <w:rPr>
          <w:rFonts w:ascii="Calibri" w:eastAsia="Calibri" w:hAnsi="Calibri"/>
          <w:sz w:val="22"/>
          <w:szCs w:val="22"/>
          <w:lang w:val="en-US" w:eastAsia="en-US"/>
        </w:rPr>
        <w:t xml:space="preserve"> ratings in the MMFs’ assessment processes. This point is essential for the effectiveness of reducing the credit rating mechanistic dependency. All articles in MMFR are totally free of such an obligation as the legislator did not intend to introduce it. Use of CRA should be left at the discretion of the asset manager with no obligation to refer to one or several of them in its internal process.</w:t>
      </w:r>
    </w:p>
    <w:p w14:paraId="32DA6142" w14:textId="77777777" w:rsidR="004B6FF0" w:rsidRDefault="004B6FF0" w:rsidP="004B6FF0"/>
    <w:permEnd w:id="1575883312"/>
    <w:p w14:paraId="6F0E604E" w14:textId="77777777" w:rsidR="000A7D5F" w:rsidRDefault="000A7D5F" w:rsidP="000A7D5F">
      <w:r>
        <w:t>&lt;ESMA_QUESTION_MMF_7&gt;</w:t>
      </w:r>
    </w:p>
    <w:p w14:paraId="159195A3" w14:textId="77777777" w:rsidR="000A7D5F" w:rsidRDefault="000A7D5F" w:rsidP="000A7D5F"/>
    <w:p w14:paraId="0D264717" w14:textId="77777777" w:rsidR="000A7D5F" w:rsidRDefault="000A7D5F" w:rsidP="000A7D5F">
      <w:pPr>
        <w:pStyle w:val="Questionstyle"/>
        <w:numPr>
          <w:ilvl w:val="0"/>
          <w:numId w:val="55"/>
        </w:numPr>
      </w:pPr>
      <w:r>
        <w:t>: In your view, what would be the consequences (including operational ones) of the level of d</w:t>
      </w:r>
      <w:r>
        <w:t>e</w:t>
      </w:r>
      <w:r>
        <w:t>tail and prescription suggested above in the proposed technical advice on credit quality a</w:t>
      </w:r>
      <w:r>
        <w:t>s</w:t>
      </w:r>
      <w:r>
        <w:t>sessment under the MMF Regulation (which would be broadly similar as in the delegated Re</w:t>
      </w:r>
      <w:r>
        <w:t>g</w:t>
      </w:r>
      <w:r>
        <w:t>ulation on the assessment of compliance of credit rating methodologies (447/2012), and in the technical advice on reducing sole and mechanistic reliance on external credit ratings (2015/1471))?</w:t>
      </w:r>
    </w:p>
    <w:p w14:paraId="1081EBAA" w14:textId="77777777" w:rsidR="000A7D5F" w:rsidRDefault="000A7D5F" w:rsidP="000A7D5F">
      <w:r>
        <w:t>&lt;ESMA_QUESTION_MMF_8&gt;</w:t>
      </w:r>
    </w:p>
    <w:p w14:paraId="0DCC1FAB" w14:textId="77777777" w:rsidR="00C23338" w:rsidRDefault="00C23338" w:rsidP="00C23338">
      <w:pPr>
        <w:spacing w:after="200" w:line="276" w:lineRule="auto"/>
        <w:jc w:val="both"/>
        <w:rPr>
          <w:rFonts w:ascii="Calibri" w:eastAsia="Calibri" w:hAnsi="Calibri"/>
          <w:sz w:val="22"/>
          <w:szCs w:val="22"/>
          <w:lang w:eastAsia="en-US"/>
        </w:rPr>
      </w:pPr>
      <w:permStart w:id="2011248432" w:edGrp="everyone"/>
    </w:p>
    <w:p w14:paraId="3ADFD537" w14:textId="77777777" w:rsidR="00C23338" w:rsidRPr="00C23338" w:rsidRDefault="00C23338" w:rsidP="00C23338">
      <w:pPr>
        <w:spacing w:after="200" w:line="276" w:lineRule="auto"/>
        <w:jc w:val="both"/>
        <w:rPr>
          <w:rFonts w:ascii="Calibri" w:eastAsia="Calibri" w:hAnsi="Calibri"/>
          <w:sz w:val="22"/>
          <w:szCs w:val="22"/>
          <w:lang w:val="en-US" w:eastAsia="en-US"/>
        </w:rPr>
      </w:pPr>
      <w:r w:rsidRPr="00C23338">
        <w:rPr>
          <w:rFonts w:ascii="Calibri" w:eastAsia="Calibri" w:hAnsi="Calibri"/>
          <w:sz w:val="22"/>
          <w:szCs w:val="22"/>
          <w:lang w:val="en-US" w:eastAsia="en-US"/>
        </w:rPr>
        <w:t xml:space="preserve">A too detailed and prescriptive approach would lead asset managers to implement similar processes with the risk of delivering similar / standardized credit quality assessments. The consequence would be an increase of systemic risk. </w:t>
      </w:r>
    </w:p>
    <w:p w14:paraId="380375D3" w14:textId="77777777" w:rsidR="00C23338" w:rsidRPr="00C23338" w:rsidRDefault="00C23338" w:rsidP="00C23338">
      <w:pPr>
        <w:spacing w:after="200" w:line="276" w:lineRule="auto"/>
        <w:jc w:val="both"/>
        <w:rPr>
          <w:rFonts w:ascii="Calibri" w:eastAsia="Calibri" w:hAnsi="Calibri"/>
          <w:sz w:val="22"/>
          <w:szCs w:val="22"/>
          <w:lang w:val="en-US" w:eastAsia="en-US"/>
        </w:rPr>
      </w:pPr>
      <w:r w:rsidRPr="00C23338">
        <w:rPr>
          <w:rFonts w:ascii="Calibri" w:eastAsia="Calibri" w:hAnsi="Calibri"/>
          <w:sz w:val="22"/>
          <w:szCs w:val="22"/>
          <w:lang w:val="en-US" w:eastAsia="en-US"/>
        </w:rPr>
        <w:t xml:space="preserve">The difference of views from market participants is a key pillar of the functioning of financial markets. It is highly important to preserve the diversity of views between MMF managers for the same issuer. </w:t>
      </w:r>
    </w:p>
    <w:p w14:paraId="77CBE721" w14:textId="77777777" w:rsidR="00C23338" w:rsidRPr="00C23338" w:rsidRDefault="00C23338" w:rsidP="00C23338">
      <w:pPr>
        <w:spacing w:after="200" w:line="276" w:lineRule="auto"/>
        <w:jc w:val="both"/>
        <w:rPr>
          <w:rFonts w:ascii="Calibri" w:eastAsia="Calibri" w:hAnsi="Calibri"/>
          <w:sz w:val="22"/>
          <w:szCs w:val="22"/>
          <w:lang w:val="en-US" w:eastAsia="en-US"/>
        </w:rPr>
      </w:pPr>
      <w:r w:rsidRPr="00C23338">
        <w:rPr>
          <w:rFonts w:ascii="Calibri" w:eastAsia="Calibri" w:hAnsi="Calibri"/>
          <w:sz w:val="22"/>
          <w:szCs w:val="22"/>
          <w:lang w:val="en-US" w:eastAsia="en-US"/>
        </w:rPr>
        <w:t>While quantitative metrics are part of the criteria used in the evaluation process, they are nevertheless information from the past. Projections of these information are based on assumptions, anticipations, that by definition can differ from one analyst to another. On the other hand, qualitative measures (ma</w:t>
      </w:r>
      <w:r w:rsidRPr="00C23338">
        <w:rPr>
          <w:rFonts w:ascii="Calibri" w:eastAsia="Calibri" w:hAnsi="Calibri"/>
          <w:sz w:val="22"/>
          <w:szCs w:val="22"/>
          <w:lang w:val="en-US" w:eastAsia="en-US"/>
        </w:rPr>
        <w:t>n</w:t>
      </w:r>
      <w:r w:rsidRPr="00C23338">
        <w:rPr>
          <w:rFonts w:ascii="Calibri" w:eastAsia="Calibri" w:hAnsi="Calibri"/>
          <w:sz w:val="22"/>
          <w:szCs w:val="22"/>
          <w:lang w:val="en-US" w:eastAsia="en-US"/>
        </w:rPr>
        <w:t>agement effectiveness, strategy...) are subjective and only the future will tell what was the right answer.</w:t>
      </w:r>
    </w:p>
    <w:p w14:paraId="219A634A" w14:textId="646EE821" w:rsidR="00C23338" w:rsidRDefault="00C23338" w:rsidP="00C23338">
      <w:pPr>
        <w:rPr>
          <w:rFonts w:ascii="Calibri" w:eastAsia="Calibri" w:hAnsi="Calibri"/>
          <w:sz w:val="22"/>
          <w:szCs w:val="22"/>
          <w:lang w:val="en-US" w:eastAsia="en-US"/>
        </w:rPr>
      </w:pPr>
      <w:r w:rsidRPr="00C23338">
        <w:rPr>
          <w:rFonts w:ascii="Calibri" w:eastAsia="Calibri" w:hAnsi="Calibri"/>
          <w:sz w:val="22"/>
          <w:szCs w:val="22"/>
          <w:lang w:val="en-US" w:eastAsia="en-US"/>
        </w:rPr>
        <w:t>Credit analysis plays a key role in the management of investment funds. The success in anticipating the evolution of the credit quality of an issuer is a major component in the creation of performance and is an important element of the reputation of an asset manager.</w:t>
      </w:r>
    </w:p>
    <w:p w14:paraId="6AE7A940" w14:textId="77777777" w:rsidR="00C23338" w:rsidRDefault="00C23338" w:rsidP="00C23338"/>
    <w:permEnd w:id="2011248432"/>
    <w:p w14:paraId="59985AA8" w14:textId="77777777" w:rsidR="000A7D5F" w:rsidRDefault="000A7D5F" w:rsidP="000A7D5F">
      <w:r>
        <w:lastRenderedPageBreak/>
        <w:t>&lt;ESMA_QUESTION_MMF_8&gt;</w:t>
      </w:r>
    </w:p>
    <w:p w14:paraId="44DAB9C5" w14:textId="77777777" w:rsidR="000A7D5F" w:rsidRDefault="000A7D5F" w:rsidP="000A7D5F"/>
    <w:p w14:paraId="16159322" w14:textId="77777777" w:rsidR="000A7D5F" w:rsidRDefault="000A7D5F" w:rsidP="000A7D5F">
      <w:pPr>
        <w:pStyle w:val="Questionstyle"/>
        <w:numPr>
          <w:ilvl w:val="0"/>
          <w:numId w:val="55"/>
        </w:numPr>
      </w:pPr>
      <w:r>
        <w:t>: What would be in your view the consequences in terms of costs of the chosen options d</w:t>
      </w:r>
      <w:r>
        <w:t>e</w:t>
      </w:r>
      <w:r>
        <w:t>scribed above in relation to the requirements included in the technical advice under Article 22 of the MMF Regulation? Do you agree with the assessment of costs and benefits mentioned in the CBA (annex III) on the technical advice under Article 22 of the MMF Regulation? If not, please explain why and provide any available quantitative data that the proposal would imply.</w:t>
      </w:r>
    </w:p>
    <w:p w14:paraId="54BA4DA7" w14:textId="77777777" w:rsidR="000A7D5F" w:rsidRDefault="000A7D5F" w:rsidP="000A7D5F">
      <w:r>
        <w:t>&lt;ESMA_QUESTION_MMF_9&gt;</w:t>
      </w:r>
    </w:p>
    <w:p w14:paraId="7D808FA8" w14:textId="77777777" w:rsidR="00192E8D" w:rsidRDefault="00192E8D" w:rsidP="000A7D5F">
      <w:pPr>
        <w:rPr>
          <w:rFonts w:ascii="Calibri" w:eastAsia="Calibri" w:hAnsi="Calibri"/>
          <w:sz w:val="22"/>
          <w:szCs w:val="22"/>
          <w:lang w:val="en-US" w:eastAsia="en-US"/>
        </w:rPr>
      </w:pPr>
      <w:permStart w:id="1634947516" w:edGrp="everyone"/>
    </w:p>
    <w:p w14:paraId="0CB9C2EC" w14:textId="4D7786F0" w:rsidR="00192E8D" w:rsidRDefault="00192E8D" w:rsidP="000A7D5F">
      <w:pPr>
        <w:rPr>
          <w:rFonts w:ascii="Calibri" w:eastAsia="Calibri" w:hAnsi="Calibri"/>
          <w:sz w:val="22"/>
          <w:szCs w:val="22"/>
          <w:lang w:val="en-US" w:eastAsia="en-US"/>
        </w:rPr>
      </w:pPr>
      <w:r w:rsidRPr="00192E8D">
        <w:rPr>
          <w:rFonts w:ascii="Calibri" w:eastAsia="Calibri" w:hAnsi="Calibri"/>
          <w:sz w:val="22"/>
          <w:szCs w:val="22"/>
          <w:lang w:val="en-US" w:eastAsia="en-US"/>
        </w:rPr>
        <w:t>Any attempt to replicate requirements of CRA for the methodology and the production of a pre-established scale of credit quality would have a significant impact on costs. We agree that the chosen options should get closer to current market practices, which is less costly given the internal systems and processes already in place.</w:t>
      </w:r>
    </w:p>
    <w:p w14:paraId="48142481" w14:textId="77777777" w:rsidR="00192E8D" w:rsidRDefault="00192E8D" w:rsidP="000A7D5F"/>
    <w:permEnd w:id="1634947516"/>
    <w:p w14:paraId="1A310E30" w14:textId="77777777" w:rsidR="000A7D5F" w:rsidRDefault="000A7D5F" w:rsidP="000A7D5F">
      <w:r>
        <w:t>&lt;ESMA_QUESTION_MMF_9&gt;</w:t>
      </w:r>
    </w:p>
    <w:p w14:paraId="66FA0254" w14:textId="77777777" w:rsidR="000A7D5F" w:rsidRDefault="000A7D5F" w:rsidP="000A7D5F"/>
    <w:p w14:paraId="203847E1" w14:textId="77777777" w:rsidR="000A7D5F" w:rsidRDefault="000A7D5F" w:rsidP="000A7D5F">
      <w:pPr>
        <w:pStyle w:val="Questionstyle"/>
        <w:numPr>
          <w:ilvl w:val="0"/>
          <w:numId w:val="55"/>
        </w:numPr>
      </w:pPr>
      <w:r>
        <w:t>: Do you think other type of information should be considered as “characteristics” of the MMF?</w:t>
      </w:r>
    </w:p>
    <w:p w14:paraId="2A2A43C7" w14:textId="77777777" w:rsidR="000A7D5F" w:rsidRDefault="000A7D5F" w:rsidP="000A7D5F">
      <w:r>
        <w:t>&lt;ESMA_QUESTION_MMF_10&gt;</w:t>
      </w:r>
    </w:p>
    <w:p w14:paraId="71D60791" w14:textId="77777777" w:rsidR="00C56A06" w:rsidRDefault="00C56A06" w:rsidP="00C56A06">
      <w:pPr>
        <w:spacing w:after="200" w:line="276" w:lineRule="auto"/>
        <w:jc w:val="both"/>
        <w:rPr>
          <w:rFonts w:ascii="Calibri" w:eastAsia="Calibri" w:hAnsi="Calibri"/>
          <w:sz w:val="22"/>
          <w:szCs w:val="22"/>
          <w:lang w:val="en-US" w:eastAsia="en-US"/>
        </w:rPr>
      </w:pPr>
      <w:permStart w:id="1819626807" w:edGrp="everyone"/>
    </w:p>
    <w:p w14:paraId="043D5998" w14:textId="77777777" w:rsidR="00C56A06" w:rsidRPr="00C56A06" w:rsidRDefault="00C56A06" w:rsidP="00C56A06">
      <w:pPr>
        <w:spacing w:after="200"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We agree with ESMA’s proposal to build on the existing reporting within AIFM whenever possible, but also think that the sections of the MMF reporting template should not diverge from the MMFR mandate. It should only focus on items that are deemed appropriate for MMFs in the context of the MMFR.</w:t>
      </w:r>
    </w:p>
    <w:p w14:paraId="40A2CA3A"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Please find below our comments with regards to the items included in the Annex I to the draft ITS:</w:t>
      </w:r>
    </w:p>
    <w:p w14:paraId="4034DAC7" w14:textId="77777777" w:rsidR="00C56A06" w:rsidRPr="00C56A06" w:rsidRDefault="00C56A06" w:rsidP="00C56A06">
      <w:pPr>
        <w:spacing w:line="276" w:lineRule="auto"/>
        <w:jc w:val="both"/>
        <w:rPr>
          <w:rFonts w:ascii="Calibri" w:eastAsia="Calibri" w:hAnsi="Calibri"/>
          <w:sz w:val="22"/>
          <w:szCs w:val="22"/>
          <w:lang w:val="en-US" w:eastAsia="en-US"/>
        </w:rPr>
      </w:pPr>
    </w:p>
    <w:p w14:paraId="46B9D79D"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Items A.1.2 and A.1.4: the LEI code is sufficient, well known and identified. No other code should be required. This rule should be applied for all the sections of the report.</w:t>
      </w:r>
    </w:p>
    <w:p w14:paraId="62917B46" w14:textId="77777777" w:rsidR="00C56A06" w:rsidRPr="00C56A06" w:rsidRDefault="00C56A06" w:rsidP="00C56A06">
      <w:pPr>
        <w:spacing w:line="276" w:lineRule="auto"/>
        <w:jc w:val="both"/>
        <w:rPr>
          <w:rFonts w:ascii="Calibri" w:eastAsia="Calibri" w:hAnsi="Calibri"/>
          <w:sz w:val="22"/>
          <w:szCs w:val="22"/>
          <w:lang w:val="en-US" w:eastAsia="en-US"/>
        </w:rPr>
      </w:pPr>
    </w:p>
    <w:p w14:paraId="02331316"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Items A.1.13, A.1.14, A.1.15: reference to a “benchmark” should be replaced as the benchmark regul</w:t>
      </w:r>
      <w:r w:rsidRPr="00C56A06">
        <w:rPr>
          <w:rFonts w:ascii="Calibri" w:eastAsia="Calibri" w:hAnsi="Calibri"/>
          <w:sz w:val="22"/>
          <w:szCs w:val="22"/>
          <w:lang w:val="en-US" w:eastAsia="en-US"/>
        </w:rPr>
        <w:t>a</w:t>
      </w:r>
      <w:r w:rsidRPr="00C56A06">
        <w:rPr>
          <w:rFonts w:ascii="Calibri" w:eastAsia="Calibri" w:hAnsi="Calibri"/>
          <w:sz w:val="22"/>
          <w:szCs w:val="22"/>
          <w:lang w:val="en-US" w:eastAsia="en-US"/>
        </w:rPr>
        <w:t>tion is not yet applied and the terminology choice between “reference index” and “benchmark” is still to be assessed.</w:t>
      </w:r>
    </w:p>
    <w:p w14:paraId="7C6FE09F" w14:textId="77777777" w:rsidR="00C56A06" w:rsidRPr="00C56A06" w:rsidRDefault="00C56A06" w:rsidP="00C56A06">
      <w:pPr>
        <w:spacing w:line="276" w:lineRule="auto"/>
        <w:ind w:left="720"/>
        <w:contextualSpacing/>
        <w:jc w:val="both"/>
        <w:rPr>
          <w:rFonts w:ascii="Calibri" w:eastAsia="Calibri" w:hAnsi="Calibri"/>
          <w:sz w:val="22"/>
          <w:szCs w:val="22"/>
          <w:lang w:eastAsia="en-US"/>
        </w:rPr>
      </w:pPr>
    </w:p>
    <w:p w14:paraId="6B09255A"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 xml:space="preserve">Item A.3.3: being a second code for the same MMF, this item should be deleted. </w:t>
      </w:r>
    </w:p>
    <w:p w14:paraId="58EAEC8C" w14:textId="77777777" w:rsidR="00C56A06" w:rsidRPr="00C56A06" w:rsidRDefault="00C56A06" w:rsidP="00C56A06">
      <w:pPr>
        <w:spacing w:line="276" w:lineRule="auto"/>
        <w:ind w:left="720"/>
        <w:contextualSpacing/>
        <w:jc w:val="both"/>
        <w:rPr>
          <w:rFonts w:ascii="Calibri" w:eastAsia="Calibri" w:hAnsi="Calibri"/>
          <w:sz w:val="22"/>
          <w:szCs w:val="22"/>
          <w:lang w:eastAsia="en-US"/>
        </w:rPr>
      </w:pPr>
    </w:p>
    <w:p w14:paraId="4781A4A1"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 xml:space="preserve">Items A.3.5, 3.6, 3.8 and 3.9 should be deleted as the answer to  question A.3.7 on the single ISIN of the different share classes will provide the answer. </w:t>
      </w:r>
    </w:p>
    <w:p w14:paraId="5395924C" w14:textId="77777777" w:rsidR="00C56A06" w:rsidRPr="00C56A06" w:rsidRDefault="00C56A06" w:rsidP="00C56A06">
      <w:pPr>
        <w:spacing w:line="276" w:lineRule="auto"/>
        <w:ind w:left="720"/>
        <w:contextualSpacing/>
        <w:jc w:val="both"/>
        <w:rPr>
          <w:rFonts w:ascii="Calibri" w:eastAsia="Calibri" w:hAnsi="Calibri"/>
          <w:sz w:val="22"/>
          <w:szCs w:val="22"/>
          <w:lang w:eastAsia="en-US"/>
        </w:rPr>
      </w:pPr>
    </w:p>
    <w:p w14:paraId="2C1A5756" w14:textId="77777777" w:rsidR="00C56A06" w:rsidRPr="00C56A06" w:rsidRDefault="00C56A06" w:rsidP="00C56A06">
      <w:pPr>
        <w:spacing w:line="276" w:lineRule="auto"/>
        <w:ind w:left="720"/>
        <w:contextualSpacing/>
        <w:jc w:val="both"/>
        <w:rPr>
          <w:rFonts w:ascii="Calibri" w:eastAsia="Calibri" w:hAnsi="Calibri"/>
          <w:sz w:val="22"/>
          <w:szCs w:val="22"/>
          <w:lang w:eastAsia="en-US"/>
        </w:rPr>
      </w:pPr>
    </w:p>
    <w:p w14:paraId="09953D09"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Items as A.3.14 that refer to the “shadow NAV”: does this correspond to an intention of the regulator or is it to be changed at a later stage in the “NAV calculation as foreseen in Article 30 of MMFR”?</w:t>
      </w:r>
    </w:p>
    <w:p w14:paraId="3D533DFD" w14:textId="77777777" w:rsidR="00C56A06" w:rsidRDefault="00C56A06" w:rsidP="00E949C4">
      <w:pPr>
        <w:spacing w:line="276" w:lineRule="auto"/>
        <w:contextualSpacing/>
        <w:jc w:val="both"/>
        <w:rPr>
          <w:rFonts w:ascii="Calibri" w:eastAsia="Calibri" w:hAnsi="Calibri"/>
          <w:sz w:val="22"/>
          <w:szCs w:val="22"/>
          <w:lang w:eastAsia="en-US"/>
        </w:rPr>
      </w:pPr>
    </w:p>
    <w:p w14:paraId="3D7DE3D5"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lastRenderedPageBreak/>
        <w:t>Items A.3.17 to 3.23 of section “c) Information on preceding fund or liquidation”: we think that only the last one - on the procedure of liquidation of the MMF (A.3.23) - is relevant in a regular reporting. It is of no use to carry every quarter an historical view of the previous mergers or acquisitions of a fund: they have to be reported at the time of the merger on behalf of the merged fund and as its last reporting exercise. We think that there could be a specific format for last reporting of a MMF who will merge with another fund.</w:t>
      </w:r>
    </w:p>
    <w:p w14:paraId="219A42D0" w14:textId="77777777" w:rsidR="00C56A06" w:rsidRPr="00C56A06" w:rsidRDefault="00C56A06" w:rsidP="00C56A06">
      <w:pPr>
        <w:spacing w:line="276" w:lineRule="auto"/>
        <w:ind w:left="720"/>
        <w:contextualSpacing/>
        <w:jc w:val="both"/>
        <w:rPr>
          <w:rFonts w:ascii="Calibri" w:eastAsia="Calibri" w:hAnsi="Calibri"/>
          <w:sz w:val="22"/>
          <w:szCs w:val="22"/>
          <w:lang w:eastAsia="en-US"/>
        </w:rPr>
      </w:pPr>
    </w:p>
    <w:p w14:paraId="3601F6A3"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 xml:space="preserve">Item A.4.9. on the “portfolio liquidity profile”: the time intervals should be relevant for MMFs : 1 day; 7 days; 1 month; we do not think that MMF will hold assets that cannot be liquidated within 1 month. These periods should reflect the real expected cash flow and not the date of exercise of a put option when cash flow are deferred. </w:t>
      </w:r>
    </w:p>
    <w:p w14:paraId="045F933A" w14:textId="77777777" w:rsidR="00C56A06" w:rsidRPr="00C56A06" w:rsidRDefault="00C56A06" w:rsidP="00C56A06">
      <w:pPr>
        <w:spacing w:line="276" w:lineRule="auto"/>
        <w:jc w:val="both"/>
        <w:rPr>
          <w:rFonts w:ascii="Calibri" w:eastAsia="Calibri" w:hAnsi="Calibri"/>
          <w:sz w:val="22"/>
          <w:szCs w:val="22"/>
          <w:lang w:val="en-US" w:eastAsia="en-US"/>
        </w:rPr>
      </w:pPr>
    </w:p>
    <w:p w14:paraId="619FBA89"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 xml:space="preserve">Item A.4.10 on “unencumbered cash”: this is valuable information in the case of a hedge fund, not a MMF. </w:t>
      </w:r>
    </w:p>
    <w:p w14:paraId="47C408E3" w14:textId="77777777" w:rsidR="00C56A06" w:rsidRPr="00C56A06" w:rsidRDefault="00C56A06" w:rsidP="00C56A06">
      <w:pPr>
        <w:spacing w:line="276" w:lineRule="auto"/>
        <w:jc w:val="both"/>
        <w:rPr>
          <w:rFonts w:ascii="Calibri" w:eastAsia="Calibri" w:hAnsi="Calibri"/>
          <w:sz w:val="22"/>
          <w:szCs w:val="22"/>
          <w:lang w:val="en-US" w:eastAsia="en-US"/>
        </w:rPr>
      </w:pPr>
    </w:p>
    <w:p w14:paraId="4695D49D"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 xml:space="preserve">On page 120, we propose to delete all sections. The yield measurements are appropriated for the bond market, but not relevant for the money market. </w:t>
      </w:r>
    </w:p>
    <w:p w14:paraId="7D0A774E" w14:textId="77777777" w:rsidR="00C56A06" w:rsidRPr="00C56A06" w:rsidRDefault="00C56A06" w:rsidP="00C56A06">
      <w:pPr>
        <w:spacing w:line="276" w:lineRule="auto"/>
        <w:jc w:val="both"/>
        <w:rPr>
          <w:rFonts w:ascii="Calibri" w:eastAsia="Calibri" w:hAnsi="Calibri"/>
          <w:sz w:val="22"/>
          <w:szCs w:val="22"/>
          <w:lang w:val="en-US" w:eastAsia="en-US"/>
        </w:rPr>
      </w:pPr>
    </w:p>
    <w:p w14:paraId="158FD73C"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On page 121, we propose to retain only those indicators that are of real use, i.e., the first range as fo</w:t>
      </w:r>
      <w:r w:rsidRPr="00C56A06">
        <w:rPr>
          <w:rFonts w:ascii="Calibri" w:eastAsia="Calibri" w:hAnsi="Calibri"/>
          <w:sz w:val="22"/>
          <w:szCs w:val="22"/>
          <w:lang w:val="en-US" w:eastAsia="en-US"/>
        </w:rPr>
        <w:t>l</w:t>
      </w:r>
      <w:r w:rsidRPr="00C56A06">
        <w:rPr>
          <w:rFonts w:ascii="Calibri" w:eastAsia="Calibri" w:hAnsi="Calibri"/>
          <w:sz w:val="22"/>
          <w:szCs w:val="22"/>
          <w:lang w:val="en-US" w:eastAsia="en-US"/>
        </w:rPr>
        <w:t xml:space="preserve">lows: YTD, 1M, 3M, 1Y. </w:t>
      </w:r>
    </w:p>
    <w:p w14:paraId="4A40E1DA" w14:textId="77777777" w:rsidR="00C56A06" w:rsidRPr="00C56A06" w:rsidRDefault="00C56A06" w:rsidP="00C56A06">
      <w:pPr>
        <w:spacing w:line="276" w:lineRule="auto"/>
        <w:jc w:val="both"/>
        <w:rPr>
          <w:rFonts w:ascii="Calibri" w:eastAsia="Calibri" w:hAnsi="Calibri"/>
          <w:sz w:val="22"/>
          <w:szCs w:val="22"/>
          <w:lang w:val="en-US" w:eastAsia="en-US"/>
        </w:rPr>
      </w:pPr>
    </w:p>
    <w:p w14:paraId="362545DB" w14:textId="77777777" w:rsidR="00C56A06" w:rsidRPr="00C56A06" w:rsidRDefault="00C56A06" w:rsidP="00C56A06">
      <w:pPr>
        <w:spacing w:line="276" w:lineRule="auto"/>
        <w:jc w:val="both"/>
        <w:rPr>
          <w:rFonts w:ascii="Calibri" w:eastAsia="Calibri" w:hAnsi="Calibri"/>
          <w:sz w:val="22"/>
          <w:szCs w:val="22"/>
          <w:lang w:eastAsia="en-US"/>
        </w:rPr>
      </w:pPr>
      <w:r w:rsidRPr="00C56A06">
        <w:rPr>
          <w:rFonts w:ascii="Calibri" w:eastAsia="Calibri" w:hAnsi="Calibri"/>
          <w:sz w:val="22"/>
          <w:szCs w:val="22"/>
          <w:lang w:eastAsia="en-US"/>
        </w:rPr>
        <w:t>On page 137, relating to the liabilities of the MMF: it should be specified that the marking of orders by intermediaries is still not a reality and needs regulatory push to be effective. Currently, there is no obl</w:t>
      </w:r>
      <w:r w:rsidRPr="00C56A06">
        <w:rPr>
          <w:rFonts w:ascii="Calibri" w:eastAsia="Calibri" w:hAnsi="Calibri"/>
          <w:sz w:val="22"/>
          <w:szCs w:val="22"/>
          <w:lang w:eastAsia="en-US"/>
        </w:rPr>
        <w:t>i</w:t>
      </w:r>
      <w:r w:rsidRPr="00C56A06">
        <w:rPr>
          <w:rFonts w:ascii="Calibri" w:eastAsia="Calibri" w:hAnsi="Calibri"/>
          <w:sz w:val="22"/>
          <w:szCs w:val="22"/>
          <w:lang w:eastAsia="en-US"/>
        </w:rPr>
        <w:t xml:space="preserve">gation for intermediaries to mark orders and some intermediaries are even invoking confidentiality reasons. Thus, some technical difficulties still exist to obtain a look through view on investors. </w:t>
      </w:r>
    </w:p>
    <w:p w14:paraId="4EF5BE58" w14:textId="77777777" w:rsidR="00C56A06" w:rsidRPr="00C56A06" w:rsidRDefault="00C56A06" w:rsidP="00C56A06">
      <w:pPr>
        <w:spacing w:line="276" w:lineRule="auto"/>
        <w:ind w:left="720"/>
        <w:contextualSpacing/>
        <w:jc w:val="both"/>
        <w:rPr>
          <w:rFonts w:ascii="Calibri" w:eastAsia="Calibri" w:hAnsi="Calibri"/>
          <w:sz w:val="22"/>
          <w:szCs w:val="22"/>
          <w:lang w:eastAsia="en-US"/>
        </w:rPr>
      </w:pPr>
    </w:p>
    <w:p w14:paraId="4494235D" w14:textId="77777777" w:rsidR="00C56A06" w:rsidRPr="00C56A06" w:rsidRDefault="00C56A06" w:rsidP="00C56A06">
      <w:pPr>
        <w:spacing w:line="276" w:lineRule="auto"/>
        <w:jc w:val="both"/>
        <w:rPr>
          <w:rFonts w:ascii="Calibri" w:eastAsia="Calibri" w:hAnsi="Calibri"/>
          <w:sz w:val="22"/>
          <w:szCs w:val="22"/>
          <w:lang w:val="en-US" w:eastAsia="en-US"/>
        </w:rPr>
      </w:pPr>
      <w:r w:rsidRPr="00C56A06">
        <w:rPr>
          <w:rFonts w:ascii="Calibri" w:eastAsia="Calibri" w:hAnsi="Calibri"/>
          <w:sz w:val="22"/>
          <w:szCs w:val="22"/>
          <w:lang w:val="en-US" w:eastAsia="en-US"/>
        </w:rPr>
        <w:t>On page 138, relating to item A.7.3.: ‘private banking’ should be added to the investor groups.</w:t>
      </w:r>
    </w:p>
    <w:p w14:paraId="021D881F" w14:textId="77777777" w:rsidR="00C56A06" w:rsidRPr="00C56A06" w:rsidRDefault="00C56A06" w:rsidP="00C56A06">
      <w:pPr>
        <w:spacing w:after="200" w:line="276" w:lineRule="auto"/>
        <w:jc w:val="both"/>
        <w:rPr>
          <w:rFonts w:ascii="Calibri" w:eastAsia="Calibri" w:hAnsi="Calibri"/>
          <w:sz w:val="22"/>
          <w:szCs w:val="22"/>
          <w:lang w:eastAsia="en-US"/>
        </w:rPr>
      </w:pPr>
    </w:p>
    <w:p w14:paraId="4AF01C50" w14:textId="41FBBEDD" w:rsidR="00C56A06" w:rsidRDefault="00C56A06" w:rsidP="00C56A06">
      <w:pPr>
        <w:rPr>
          <w:rFonts w:ascii="Calibri" w:eastAsia="Calibri" w:hAnsi="Calibri"/>
          <w:sz w:val="22"/>
          <w:szCs w:val="22"/>
          <w:lang w:eastAsia="en-US"/>
        </w:rPr>
      </w:pPr>
      <w:r w:rsidRPr="00C56A06">
        <w:rPr>
          <w:rFonts w:ascii="Calibri" w:eastAsia="Calibri" w:hAnsi="Calibri"/>
          <w:sz w:val="22"/>
          <w:szCs w:val="22"/>
          <w:lang w:eastAsia="en-US"/>
        </w:rPr>
        <w:t>On pages 140, 141, 142, as the report will be provided on a quarterly basis, it seems more relevant to apply the information from a reporting period to another.</w:t>
      </w:r>
    </w:p>
    <w:p w14:paraId="7210241E" w14:textId="77777777" w:rsidR="00E949C4" w:rsidRDefault="00E949C4" w:rsidP="00C56A06">
      <w:pPr>
        <w:rPr>
          <w:rFonts w:ascii="Calibri" w:eastAsia="Calibri" w:hAnsi="Calibri"/>
          <w:sz w:val="22"/>
          <w:szCs w:val="22"/>
          <w:lang w:eastAsia="en-US"/>
        </w:rPr>
      </w:pPr>
    </w:p>
    <w:p w14:paraId="148A2F9A" w14:textId="48A2D96B" w:rsidR="00E949C4" w:rsidRPr="00E949C4" w:rsidRDefault="00E949C4" w:rsidP="00E949C4">
      <w:pPr>
        <w:rPr>
          <w:rFonts w:ascii="Calibri" w:eastAsia="Calibri" w:hAnsi="Calibri"/>
          <w:sz w:val="22"/>
          <w:szCs w:val="22"/>
          <w:lang w:eastAsia="en-US"/>
        </w:rPr>
      </w:pPr>
      <w:r w:rsidRPr="00E949C4">
        <w:rPr>
          <w:rFonts w:ascii="Calibri" w:eastAsia="Calibri" w:hAnsi="Calibri"/>
          <w:sz w:val="22"/>
          <w:szCs w:val="22"/>
          <w:lang w:eastAsia="en-US"/>
        </w:rPr>
        <w:t>Last, from a general perspective regarding the building of the various fields of the reporting template, we would su</w:t>
      </w:r>
      <w:r>
        <w:rPr>
          <w:rFonts w:ascii="Calibri" w:eastAsia="Calibri" w:hAnsi="Calibri"/>
          <w:sz w:val="22"/>
          <w:szCs w:val="22"/>
          <w:lang w:eastAsia="en-US"/>
        </w:rPr>
        <w:t xml:space="preserve">ggest avoiding multiple information in a single field </w:t>
      </w:r>
      <w:r w:rsidR="00D8668D">
        <w:rPr>
          <w:rFonts w:ascii="Calibri" w:eastAsia="Calibri" w:hAnsi="Calibri"/>
          <w:sz w:val="22"/>
          <w:szCs w:val="22"/>
          <w:lang w:eastAsia="en-US"/>
        </w:rPr>
        <w:t xml:space="preserve">(e.g. mentioning several countries in a single field) </w:t>
      </w:r>
      <w:r>
        <w:rPr>
          <w:rFonts w:ascii="Calibri" w:eastAsia="Calibri" w:hAnsi="Calibri"/>
          <w:sz w:val="22"/>
          <w:szCs w:val="22"/>
          <w:lang w:eastAsia="en-US"/>
        </w:rPr>
        <w:t>– as it will create difficulties for optimising the electronic treatment of such an information afte</w:t>
      </w:r>
      <w:r>
        <w:rPr>
          <w:rFonts w:ascii="Calibri" w:eastAsia="Calibri" w:hAnsi="Calibri"/>
          <w:sz w:val="22"/>
          <w:szCs w:val="22"/>
          <w:lang w:eastAsia="en-US"/>
        </w:rPr>
        <w:t>r</w:t>
      </w:r>
      <w:r>
        <w:rPr>
          <w:rFonts w:ascii="Calibri" w:eastAsia="Calibri" w:hAnsi="Calibri"/>
          <w:sz w:val="22"/>
          <w:szCs w:val="22"/>
          <w:lang w:eastAsia="en-US"/>
        </w:rPr>
        <w:t>wards. If multiple info</w:t>
      </w:r>
      <w:r>
        <w:rPr>
          <w:rFonts w:ascii="Calibri" w:eastAsia="Calibri" w:hAnsi="Calibri"/>
          <w:sz w:val="22"/>
          <w:szCs w:val="22"/>
          <w:lang w:eastAsia="en-US"/>
        </w:rPr>
        <w:t>r</w:t>
      </w:r>
      <w:r>
        <w:rPr>
          <w:rFonts w:ascii="Calibri" w:eastAsia="Calibri" w:hAnsi="Calibri"/>
          <w:sz w:val="22"/>
          <w:szCs w:val="22"/>
          <w:lang w:eastAsia="en-US"/>
        </w:rPr>
        <w:t>mation is to be given, we would suggest to create one specific field to be filled in for each piece of this multiple info</w:t>
      </w:r>
      <w:r>
        <w:rPr>
          <w:rFonts w:ascii="Calibri" w:eastAsia="Calibri" w:hAnsi="Calibri"/>
          <w:sz w:val="22"/>
          <w:szCs w:val="22"/>
          <w:lang w:eastAsia="en-US"/>
        </w:rPr>
        <w:t>r</w:t>
      </w:r>
      <w:r>
        <w:rPr>
          <w:rFonts w:ascii="Calibri" w:eastAsia="Calibri" w:hAnsi="Calibri"/>
          <w:sz w:val="22"/>
          <w:szCs w:val="22"/>
          <w:lang w:eastAsia="en-US"/>
        </w:rPr>
        <w:t>mation.</w:t>
      </w:r>
    </w:p>
    <w:p w14:paraId="7046992B" w14:textId="77777777" w:rsidR="00E949C4" w:rsidRDefault="00E949C4" w:rsidP="00C56A06">
      <w:pPr>
        <w:rPr>
          <w:rFonts w:ascii="Calibri" w:eastAsia="Calibri" w:hAnsi="Calibri"/>
          <w:sz w:val="22"/>
          <w:szCs w:val="22"/>
          <w:lang w:eastAsia="en-US"/>
        </w:rPr>
      </w:pPr>
    </w:p>
    <w:p w14:paraId="3AED2A01" w14:textId="77777777" w:rsidR="00C56A06" w:rsidRDefault="00C56A06" w:rsidP="00C56A06"/>
    <w:permEnd w:id="1819626807"/>
    <w:p w14:paraId="18D19745" w14:textId="77777777" w:rsidR="000A7D5F" w:rsidRDefault="000A7D5F" w:rsidP="000A7D5F">
      <w:r>
        <w:t>&lt;ESMA_QUESTION_MMF_10&gt;</w:t>
      </w:r>
    </w:p>
    <w:p w14:paraId="3BA4F760" w14:textId="77777777" w:rsidR="000A7D5F" w:rsidRDefault="000A7D5F" w:rsidP="000A7D5F"/>
    <w:p w14:paraId="42B2F863" w14:textId="77777777" w:rsidR="000A7D5F" w:rsidRDefault="000A7D5F" w:rsidP="000A7D5F">
      <w:pPr>
        <w:pStyle w:val="Questionstyle"/>
        <w:numPr>
          <w:ilvl w:val="0"/>
          <w:numId w:val="55"/>
        </w:numPr>
      </w:pPr>
      <w:r>
        <w:t xml:space="preserve">: Do you agree with the proposed way of reporting the yield of the MMF? If not, could you indicate what would be the more appropriate way to report yield in your views? Do you </w:t>
      </w:r>
      <w:r>
        <w:lastRenderedPageBreak/>
        <w:t>think the 7-days gross yield should be reported for each week of the reporting period? If not, what should be the appropriate frequency of reporting on this item?</w:t>
      </w:r>
      <w:r>
        <w:rPr>
          <w:vertAlign w:val="superscript"/>
        </w:rPr>
        <w:footnoteReference w:id="5"/>
      </w:r>
      <w:r>
        <w:rPr>
          <w:vertAlign w:val="superscript"/>
        </w:rPr>
        <w:t xml:space="preserve"> </w:t>
      </w:r>
      <w:r>
        <w:t>Do you think that the calendar year performance and yield could be calculated at (sub)fund level and at share class level? Which difficulties do you identify while doing so? At which frequency should it be r</w:t>
      </w:r>
      <w:r>
        <w:t>e</w:t>
      </w:r>
      <w:r>
        <w:t>ported?</w:t>
      </w:r>
    </w:p>
    <w:p w14:paraId="66EFD7FC" w14:textId="77777777" w:rsidR="000A7D5F" w:rsidRDefault="000A7D5F" w:rsidP="000A7D5F">
      <w:r>
        <w:t>&lt;ESMA_QUESTION_MMF_11&gt;</w:t>
      </w:r>
    </w:p>
    <w:p w14:paraId="714F76B6" w14:textId="77777777" w:rsidR="00D8668D" w:rsidRDefault="00D8668D" w:rsidP="00D8668D">
      <w:pPr>
        <w:spacing w:after="200" w:line="276" w:lineRule="auto"/>
        <w:jc w:val="both"/>
        <w:rPr>
          <w:rFonts w:ascii="Calibri" w:eastAsia="Calibri" w:hAnsi="Calibri"/>
          <w:sz w:val="22"/>
          <w:szCs w:val="22"/>
          <w:lang w:val="en-US" w:eastAsia="en-US"/>
        </w:rPr>
      </w:pPr>
      <w:permStart w:id="761009981" w:edGrp="everyone"/>
    </w:p>
    <w:p w14:paraId="768AF670" w14:textId="77777777" w:rsidR="00D8668D" w:rsidRPr="00D8668D" w:rsidRDefault="00D8668D" w:rsidP="00D8668D">
      <w:pPr>
        <w:spacing w:after="200" w:line="276" w:lineRule="auto"/>
        <w:jc w:val="both"/>
        <w:rPr>
          <w:rFonts w:ascii="Calibri" w:eastAsia="Calibri" w:hAnsi="Calibri"/>
          <w:sz w:val="22"/>
          <w:szCs w:val="22"/>
          <w:lang w:val="en-US" w:eastAsia="en-US"/>
        </w:rPr>
      </w:pPr>
      <w:r w:rsidRPr="00D8668D">
        <w:rPr>
          <w:rFonts w:ascii="Calibri" w:eastAsia="Calibri" w:hAnsi="Calibri"/>
          <w:sz w:val="22"/>
          <w:szCs w:val="22"/>
          <w:lang w:val="en-US" w:eastAsia="en-US"/>
        </w:rPr>
        <w:t>We believe that 7 different yield measurements is exaggerated. We think the best indicator is not a portfolio yield but the performance of the fund on a given time horizon. The 7 day yield is specific to stable NAV funds (amortized cost accounting). For VNAV, the marked to market impact and the active management of the fund play a significant role in the level of performance (i.e. : the yield at a given time gives no information about the alpha generated by the active management. The performance does).</w:t>
      </w:r>
    </w:p>
    <w:p w14:paraId="4C1D1F79" w14:textId="77777777" w:rsidR="00D8668D" w:rsidRPr="00D8668D" w:rsidRDefault="00D8668D" w:rsidP="00D8668D">
      <w:pPr>
        <w:spacing w:line="276" w:lineRule="auto"/>
        <w:jc w:val="both"/>
        <w:rPr>
          <w:rFonts w:ascii="Calibri" w:eastAsia="Calibri" w:hAnsi="Calibri"/>
          <w:sz w:val="22"/>
          <w:szCs w:val="22"/>
          <w:lang w:val="en-US" w:eastAsia="en-US"/>
        </w:rPr>
      </w:pPr>
      <w:r w:rsidRPr="00D8668D">
        <w:rPr>
          <w:rFonts w:ascii="Calibri" w:eastAsia="Calibri" w:hAnsi="Calibri"/>
          <w:sz w:val="22"/>
          <w:szCs w:val="22"/>
          <w:lang w:val="en-US" w:eastAsia="en-US"/>
        </w:rPr>
        <w:t>For MMFs, share classes do not develop specific investment strategies, they cover different types of distribution channels (and various share prices and fees for example) or different base currencies. Ther</w:t>
      </w:r>
      <w:r w:rsidRPr="00D8668D">
        <w:rPr>
          <w:rFonts w:ascii="Calibri" w:eastAsia="Calibri" w:hAnsi="Calibri"/>
          <w:sz w:val="22"/>
          <w:szCs w:val="22"/>
          <w:lang w:val="en-US" w:eastAsia="en-US"/>
        </w:rPr>
        <w:t>e</w:t>
      </w:r>
      <w:r w:rsidRPr="00D8668D">
        <w:rPr>
          <w:rFonts w:ascii="Calibri" w:eastAsia="Calibri" w:hAnsi="Calibri"/>
          <w:sz w:val="22"/>
          <w:szCs w:val="22"/>
          <w:lang w:val="en-US" w:eastAsia="en-US"/>
        </w:rPr>
        <w:t>fore, there is no specific additional risk nor performance engine at the level of the share class.</w:t>
      </w:r>
    </w:p>
    <w:p w14:paraId="108A19FC" w14:textId="77777777" w:rsidR="00D8668D" w:rsidRDefault="00D8668D" w:rsidP="000A7D5F">
      <w:pPr>
        <w:rPr>
          <w:rFonts w:ascii="Calibri" w:eastAsia="Calibri" w:hAnsi="Calibri"/>
          <w:sz w:val="22"/>
          <w:szCs w:val="22"/>
          <w:lang w:val="en-US" w:eastAsia="en-US"/>
        </w:rPr>
      </w:pPr>
      <w:r w:rsidRPr="00D8668D">
        <w:rPr>
          <w:rFonts w:ascii="Calibri" w:eastAsia="Calibri" w:hAnsi="Calibri"/>
          <w:sz w:val="22"/>
          <w:szCs w:val="22"/>
          <w:lang w:val="en-US" w:eastAsia="en-US"/>
        </w:rPr>
        <w:t>MMF reporting is due quarterly (annually for smaller funds), so this would be the appropriate frequency of reporting.</w:t>
      </w:r>
    </w:p>
    <w:p w14:paraId="10576638" w14:textId="77777777" w:rsidR="00D8668D" w:rsidRDefault="00D8668D" w:rsidP="000A7D5F">
      <w:pPr>
        <w:rPr>
          <w:rFonts w:ascii="Calibri" w:eastAsia="Calibri" w:hAnsi="Calibri"/>
          <w:sz w:val="22"/>
          <w:szCs w:val="22"/>
          <w:lang w:val="en-US" w:eastAsia="en-US"/>
        </w:rPr>
      </w:pPr>
    </w:p>
    <w:permEnd w:id="761009981"/>
    <w:p w14:paraId="52B6DC00" w14:textId="1D138163" w:rsidR="000A7D5F" w:rsidRDefault="000A7D5F" w:rsidP="000A7D5F">
      <w:r>
        <w:t>&lt;ESMA_QUESTION_MMF_11&gt;</w:t>
      </w:r>
    </w:p>
    <w:p w14:paraId="4C22BE6C" w14:textId="77777777" w:rsidR="000A7D5F" w:rsidRDefault="000A7D5F" w:rsidP="000A7D5F"/>
    <w:p w14:paraId="6BF00794" w14:textId="77777777" w:rsidR="000A7D5F" w:rsidRDefault="000A7D5F" w:rsidP="000A7D5F">
      <w:pPr>
        <w:pStyle w:val="Questionstyle"/>
        <w:numPr>
          <w:ilvl w:val="0"/>
          <w:numId w:val="55"/>
        </w:numPr>
      </w:pPr>
      <w:r>
        <w:t xml:space="preserve">: Which type of measure would you suggest using to report the quantified outcome of the credit assessment procedure? </w:t>
      </w:r>
    </w:p>
    <w:p w14:paraId="725FAA81" w14:textId="77777777" w:rsidR="000A7D5F" w:rsidRDefault="000A7D5F" w:rsidP="000A7D5F">
      <w:r>
        <w:t>&lt;ESMA_QUESTION_MMF_12&gt;</w:t>
      </w:r>
    </w:p>
    <w:p w14:paraId="0D7BBE8F" w14:textId="77777777" w:rsidR="00EF4A30" w:rsidRDefault="00EF4A30" w:rsidP="00EF4A30">
      <w:pPr>
        <w:spacing w:line="276" w:lineRule="auto"/>
        <w:jc w:val="both"/>
        <w:rPr>
          <w:rFonts w:ascii="Calibri" w:eastAsia="Calibri" w:hAnsi="Calibri"/>
          <w:sz w:val="22"/>
          <w:szCs w:val="22"/>
          <w:lang w:val="en-US" w:eastAsia="en-US"/>
        </w:rPr>
      </w:pPr>
      <w:permStart w:id="1367828031" w:edGrp="everyone"/>
    </w:p>
    <w:p w14:paraId="3137CF2A" w14:textId="77777777" w:rsidR="00EF4A30" w:rsidRPr="00EF4A30" w:rsidRDefault="00EF4A30" w:rsidP="00EF4A30">
      <w:pPr>
        <w:spacing w:line="276" w:lineRule="auto"/>
        <w:jc w:val="both"/>
        <w:rPr>
          <w:rFonts w:ascii="Calibri" w:eastAsia="Calibri" w:hAnsi="Calibri"/>
          <w:sz w:val="22"/>
          <w:szCs w:val="22"/>
          <w:lang w:val="en-US" w:eastAsia="en-US"/>
        </w:rPr>
      </w:pPr>
      <w:r w:rsidRPr="00EF4A30">
        <w:rPr>
          <w:rFonts w:ascii="Calibri" w:eastAsia="Calibri" w:hAnsi="Calibri"/>
          <w:sz w:val="22"/>
          <w:szCs w:val="22"/>
          <w:lang w:val="en-US" w:eastAsia="en-US"/>
        </w:rPr>
        <w:t>We do not agree with reporting requirements in ESMA’s ITS asking to report quantified outcomes of the internal credit quality assessment procedure. Article 37(2)(d)(</w:t>
      </w:r>
      <w:proofErr w:type="spellStart"/>
      <w:r w:rsidRPr="00EF4A30">
        <w:rPr>
          <w:rFonts w:ascii="Calibri" w:eastAsia="Calibri" w:hAnsi="Calibri"/>
          <w:sz w:val="22"/>
          <w:szCs w:val="22"/>
          <w:lang w:val="en-US" w:eastAsia="en-US"/>
        </w:rPr>
        <w:t>i</w:t>
      </w:r>
      <w:proofErr w:type="spellEnd"/>
      <w:r w:rsidRPr="00EF4A30">
        <w:rPr>
          <w:rFonts w:ascii="Calibri" w:eastAsia="Calibri" w:hAnsi="Calibri"/>
          <w:sz w:val="22"/>
          <w:szCs w:val="22"/>
          <w:lang w:val="en-US" w:eastAsia="en-US"/>
        </w:rPr>
        <w:t xml:space="preserve">) reads: “the characteristics of each asset , such as name, country, issuer category, risk or maturity and the outcome of the internal credit quality assessment procedure”. </w:t>
      </w:r>
    </w:p>
    <w:p w14:paraId="288C80D9" w14:textId="451338ED" w:rsidR="00EF4A30" w:rsidRDefault="00EF4A30" w:rsidP="00EF4A30">
      <w:pPr>
        <w:rPr>
          <w:rFonts w:ascii="Calibri" w:eastAsia="Calibri" w:hAnsi="Calibri"/>
          <w:sz w:val="22"/>
          <w:szCs w:val="22"/>
          <w:lang w:val="en-US" w:eastAsia="en-US"/>
        </w:rPr>
      </w:pPr>
      <w:r w:rsidRPr="00EF4A30">
        <w:rPr>
          <w:rFonts w:ascii="Calibri" w:eastAsia="Calibri" w:hAnsi="Calibri"/>
          <w:sz w:val="22"/>
          <w:szCs w:val="22"/>
          <w:lang w:val="en-US" w:eastAsia="en-US"/>
        </w:rPr>
        <w:t>MMFR requires to report the outcome, not the “quantified” outcome of the internal credit quality a</w:t>
      </w:r>
      <w:r w:rsidRPr="00EF4A30">
        <w:rPr>
          <w:rFonts w:ascii="Calibri" w:eastAsia="Calibri" w:hAnsi="Calibri"/>
          <w:sz w:val="22"/>
          <w:szCs w:val="22"/>
          <w:lang w:val="en-US" w:eastAsia="en-US"/>
        </w:rPr>
        <w:t>s</w:t>
      </w:r>
      <w:r w:rsidRPr="00EF4A30">
        <w:rPr>
          <w:rFonts w:ascii="Calibri" w:eastAsia="Calibri" w:hAnsi="Calibri"/>
          <w:sz w:val="22"/>
          <w:szCs w:val="22"/>
          <w:lang w:val="en-US" w:eastAsia="en-US"/>
        </w:rPr>
        <w:t>sessment procedure.</w:t>
      </w:r>
    </w:p>
    <w:p w14:paraId="5F4A1AFC" w14:textId="77777777" w:rsidR="00EF4A30" w:rsidRDefault="00EF4A30" w:rsidP="00EF4A30"/>
    <w:permEnd w:id="1367828031"/>
    <w:p w14:paraId="0483CA84" w14:textId="77777777" w:rsidR="000A7D5F" w:rsidRDefault="000A7D5F" w:rsidP="000A7D5F">
      <w:r>
        <w:t>&lt;ESMA_QUESTION_MMF_12&gt;</w:t>
      </w:r>
    </w:p>
    <w:p w14:paraId="4EFCD4F6" w14:textId="77777777" w:rsidR="000A7D5F" w:rsidRDefault="000A7D5F" w:rsidP="000A7D5F"/>
    <w:p w14:paraId="5482C53F" w14:textId="77777777" w:rsidR="000A7D5F" w:rsidRDefault="000A7D5F" w:rsidP="000A7D5F">
      <w:pPr>
        <w:pStyle w:val="Questionstyle"/>
        <w:numPr>
          <w:ilvl w:val="0"/>
          <w:numId w:val="55"/>
        </w:numPr>
        <w:rPr>
          <w:rFonts w:cstheme="minorHAnsi"/>
          <w:b w:val="0"/>
          <w:color w:val="000000"/>
        </w:rPr>
      </w:pPr>
      <w:r>
        <w:t>: With respect to reverse repurchase agreement, do you agree that the information r</w:t>
      </w:r>
      <w:r>
        <w:t>e</w:t>
      </w:r>
      <w:r>
        <w:t>quested is appropriate? With respect to repurchase agreements, do you think the value of cash received should be reported as a breakdown per investment purposes, i.e. liquidity manag</w:t>
      </w:r>
      <w:r>
        <w:t>e</w:t>
      </w:r>
      <w:r>
        <w:t xml:space="preserve">ment or investment in assets referred to in Article 15(6)? (given the information on the amount of cash received as part of repurchase agreements that is also requested). What should be the appropriate frequency of reporting on this information? Do you think the </w:t>
      </w:r>
      <w:r>
        <w:rPr>
          <w:rFonts w:cstheme="minorHAnsi"/>
          <w:color w:val="000000"/>
        </w:rPr>
        <w:t xml:space="preserve">value </w:t>
      </w:r>
      <w:r>
        <w:rPr>
          <w:rFonts w:cstheme="minorHAnsi"/>
          <w:color w:val="000000"/>
        </w:rPr>
        <w:lastRenderedPageBreak/>
        <w:t>of unencumbered cash should be reported as a breakdown per country where the bank a</w:t>
      </w:r>
      <w:r>
        <w:rPr>
          <w:rFonts w:cstheme="minorHAnsi"/>
          <w:color w:val="000000"/>
        </w:rPr>
        <w:t>c</w:t>
      </w:r>
      <w:r>
        <w:rPr>
          <w:rFonts w:cstheme="minorHAnsi"/>
          <w:color w:val="000000"/>
        </w:rPr>
        <w:t xml:space="preserve">count is located and currency? (given the information on deposits that is also requested) </w:t>
      </w:r>
    </w:p>
    <w:p w14:paraId="37D5E099" w14:textId="77777777" w:rsidR="000A7D5F" w:rsidRDefault="000A7D5F" w:rsidP="000A7D5F">
      <w:pPr>
        <w:rPr>
          <w:rFonts w:cstheme="minorBidi"/>
        </w:rPr>
      </w:pPr>
      <w:r>
        <w:t>&lt;ESMA_QUESTION_MMF_13&gt;</w:t>
      </w:r>
    </w:p>
    <w:p w14:paraId="20D6FF9A" w14:textId="77777777" w:rsidR="009904A4" w:rsidRDefault="009904A4" w:rsidP="009904A4">
      <w:pPr>
        <w:spacing w:after="200" w:line="276" w:lineRule="auto"/>
        <w:jc w:val="both"/>
        <w:rPr>
          <w:rFonts w:ascii="Calibri" w:eastAsia="Calibri" w:hAnsi="Calibri"/>
          <w:sz w:val="22"/>
          <w:szCs w:val="22"/>
          <w:lang w:val="en-US" w:eastAsia="en-US"/>
        </w:rPr>
      </w:pPr>
      <w:permStart w:id="695366878" w:edGrp="everyone"/>
    </w:p>
    <w:p w14:paraId="35F609AD"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Concerning items A.6.51 to A.6.54, we don’t find it useful to provide both the exposure in EUR and in the base currency. The amount in EUR should be sufficient.</w:t>
      </w:r>
    </w:p>
    <w:p w14:paraId="3ADE00AC"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Items A.6.51 to A.6.54 :</w:t>
      </w:r>
    </w:p>
    <w:p w14:paraId="71CCA39E"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 why asking if the outcome of the internal credit assessment procedure is favorable / unfavorable ? We assume that if the outcome is unfavorable, assets should not be received as collateral.</w:t>
      </w:r>
    </w:p>
    <w:p w14:paraId="52ADDC22"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-why making a distinction between assets mentioned in Art 15(6) and those mentioned in Art 15(2) ?</w:t>
      </w:r>
    </w:p>
    <w:p w14:paraId="72E2E83A"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We do not agree with reporting requirements in ESMA’s ITS asking to report quantified outcomes of the internal credit quality assessment procedure.</w:t>
      </w:r>
    </w:p>
    <w:p w14:paraId="05F3FE26"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Items A.6.57 : not relevant in the context of reverse repo collateral.</w:t>
      </w:r>
    </w:p>
    <w:p w14:paraId="7C699BB1" w14:textId="77777777" w:rsidR="009904A4" w:rsidRPr="009904A4" w:rsidRDefault="009904A4" w:rsidP="009904A4">
      <w:pPr>
        <w:spacing w:after="200"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Items A.6.51 to A.6.68 : too many items concerning reverse repo. It should be lightened / simplified.</w:t>
      </w:r>
    </w:p>
    <w:p w14:paraId="7A86D5BA" w14:textId="77777777" w:rsidR="009904A4" w:rsidRPr="009904A4" w:rsidRDefault="009904A4" w:rsidP="009904A4">
      <w:pPr>
        <w:spacing w:line="276" w:lineRule="auto"/>
        <w:jc w:val="both"/>
        <w:rPr>
          <w:rFonts w:ascii="Calibri" w:eastAsia="Calibri" w:hAnsi="Calibri"/>
          <w:sz w:val="22"/>
          <w:szCs w:val="22"/>
          <w:lang w:val="en-US" w:eastAsia="en-US"/>
        </w:rPr>
      </w:pPr>
      <w:r w:rsidRPr="009904A4">
        <w:rPr>
          <w:rFonts w:ascii="Calibri" w:eastAsia="Calibri" w:hAnsi="Calibri"/>
          <w:sz w:val="22"/>
          <w:szCs w:val="22"/>
          <w:lang w:val="en-US" w:eastAsia="en-US"/>
        </w:rPr>
        <w:t>MMF reporting is due quarterly and annually for smaller funds. Therefore, this would be the appropriate frequency of reporting on this information.</w:t>
      </w:r>
    </w:p>
    <w:p w14:paraId="21C22726" w14:textId="77777777" w:rsidR="009904A4" w:rsidRPr="009904A4" w:rsidRDefault="009904A4" w:rsidP="009904A4">
      <w:pPr>
        <w:spacing w:line="276" w:lineRule="auto"/>
        <w:jc w:val="both"/>
        <w:rPr>
          <w:rFonts w:ascii="Calibri" w:eastAsia="Calibri" w:hAnsi="Calibri"/>
          <w:sz w:val="22"/>
          <w:szCs w:val="22"/>
          <w:lang w:val="en-US" w:eastAsia="en-US"/>
        </w:rPr>
      </w:pPr>
    </w:p>
    <w:p w14:paraId="231617D7" w14:textId="3064A9E8" w:rsidR="000A7D5F" w:rsidRDefault="009904A4" w:rsidP="009904A4">
      <w:r w:rsidRPr="009904A4">
        <w:rPr>
          <w:rFonts w:ascii="Calibri" w:eastAsia="Calibri" w:hAnsi="Calibri"/>
          <w:sz w:val="22"/>
          <w:szCs w:val="22"/>
          <w:lang w:val="en-US" w:eastAsia="en-US"/>
        </w:rPr>
        <w:t xml:space="preserve">We do not see the need to report unencumbered assets nor the subsequent breakdown of liquidity by country and currency. The introduction of unencumbered assets that is not defined in MMFR and the fact that this concept may be relevant in the banking industry but not for MMFs - where re-hypothecation and re-use are strictly limited or forbidden </w:t>
      </w:r>
      <w:r w:rsidRPr="009904A4">
        <w:rPr>
          <w:rFonts w:ascii="Calibri" w:eastAsia="Calibri" w:hAnsi="Calibri"/>
          <w:sz w:val="22"/>
          <w:szCs w:val="22"/>
          <w:lang w:val="en-US" w:eastAsia="en-US"/>
        </w:rPr>
        <w:softHyphen/>
        <w:t>- are at the core of our reasoning.</w:t>
      </w:r>
    </w:p>
    <w:p w14:paraId="4452C255" w14:textId="77777777" w:rsidR="009904A4" w:rsidRDefault="009904A4" w:rsidP="000A7D5F"/>
    <w:permEnd w:id="695366878"/>
    <w:p w14:paraId="219D46CF" w14:textId="77777777" w:rsidR="000A7D5F" w:rsidRDefault="000A7D5F" w:rsidP="000A7D5F">
      <w:r>
        <w:t>&lt;ESMA_QUESTION_MMF_13&gt;</w:t>
      </w:r>
    </w:p>
    <w:p w14:paraId="29B2336A" w14:textId="77777777" w:rsidR="000A7D5F" w:rsidRDefault="000A7D5F" w:rsidP="000A7D5F"/>
    <w:p w14:paraId="346B3689" w14:textId="77777777" w:rsidR="000A7D5F" w:rsidRDefault="000A7D5F" w:rsidP="000A7D5F">
      <w:pPr>
        <w:pStyle w:val="Questionstyle"/>
        <w:numPr>
          <w:ilvl w:val="0"/>
          <w:numId w:val="55"/>
        </w:numPr>
      </w:pPr>
      <w:r>
        <w:t>: Do you think the information on the investor ‘lock-up’ period in days (report asset weighted notice period if multiple classes or shares or units) is relevant in the case of MMFs (this information is included in the AIFMD reporting template)? )? Do you agree with the pr</w:t>
      </w:r>
      <w:r>
        <w:t>o</w:t>
      </w:r>
      <w:r>
        <w:t>posed way to report stress tests?</w:t>
      </w:r>
    </w:p>
    <w:p w14:paraId="1017F51F" w14:textId="77777777" w:rsidR="000A7D5F" w:rsidRDefault="000A7D5F" w:rsidP="000A7D5F">
      <w:r>
        <w:t>&lt;ESMA_QUESTION_MMF_14&gt;</w:t>
      </w:r>
    </w:p>
    <w:p w14:paraId="7F09E818" w14:textId="77777777" w:rsidR="005A15F7" w:rsidRDefault="005A15F7" w:rsidP="005A15F7">
      <w:pPr>
        <w:spacing w:after="200" w:line="276" w:lineRule="auto"/>
        <w:jc w:val="both"/>
        <w:rPr>
          <w:rFonts w:ascii="Calibri" w:eastAsia="Calibri" w:hAnsi="Calibri"/>
          <w:sz w:val="22"/>
          <w:szCs w:val="22"/>
          <w:lang w:val="en-US" w:eastAsia="en-US"/>
        </w:rPr>
      </w:pPr>
      <w:permStart w:id="369246682" w:edGrp="everyone"/>
    </w:p>
    <w:p w14:paraId="01615088" w14:textId="77777777" w:rsidR="005A15F7" w:rsidRPr="005A15F7" w:rsidRDefault="005A15F7" w:rsidP="005A15F7">
      <w:pPr>
        <w:spacing w:after="200" w:line="276" w:lineRule="auto"/>
        <w:jc w:val="both"/>
        <w:rPr>
          <w:rFonts w:ascii="Calibri" w:eastAsia="Calibri" w:hAnsi="Calibri"/>
          <w:sz w:val="22"/>
          <w:szCs w:val="22"/>
          <w:lang w:val="en-US" w:eastAsia="en-US"/>
        </w:rPr>
      </w:pPr>
      <w:r w:rsidRPr="005A15F7">
        <w:rPr>
          <w:rFonts w:ascii="Calibri" w:eastAsia="Calibri" w:hAnsi="Calibri"/>
          <w:sz w:val="22"/>
          <w:szCs w:val="22"/>
          <w:lang w:val="en-US" w:eastAsia="en-US"/>
        </w:rPr>
        <w:t>Lock up periods for MMFs are highly hypothetic. We would stick to the MMFR requirements.</w:t>
      </w:r>
    </w:p>
    <w:p w14:paraId="02236774" w14:textId="0D5B34EC" w:rsidR="000A7D5F" w:rsidRDefault="005A15F7" w:rsidP="005A15F7">
      <w:r w:rsidRPr="005A15F7">
        <w:rPr>
          <w:rFonts w:ascii="Calibri" w:eastAsia="Calibri" w:hAnsi="Calibri"/>
          <w:sz w:val="22"/>
          <w:szCs w:val="22"/>
          <w:lang w:val="en-US" w:eastAsia="en-US"/>
        </w:rPr>
        <w:t>Reporting requirement should be strictly limited to what is expressly foreseen in the level 1 text. Article 28 in the MMFR requires for stress tests to be regularly conducted (at least every 6 months) by the MMF or the management company and, in case of vulnerability, requires an extensive report to be produced, submitted to the board of directors and, after amendments, submitted to the competent authority that will in turn send it to ESMA.</w:t>
      </w:r>
    </w:p>
    <w:p w14:paraId="17E683F7" w14:textId="77777777" w:rsidR="005A15F7" w:rsidRDefault="005A15F7" w:rsidP="000A7D5F"/>
    <w:permEnd w:id="369246682"/>
    <w:p w14:paraId="234481AB" w14:textId="77777777" w:rsidR="000A7D5F" w:rsidRDefault="000A7D5F" w:rsidP="000A7D5F">
      <w:r>
        <w:lastRenderedPageBreak/>
        <w:t>&lt;ESMA_QUESTION_MMF_14&gt;</w:t>
      </w:r>
    </w:p>
    <w:p w14:paraId="162F3D44" w14:textId="77777777" w:rsidR="000A7D5F" w:rsidRDefault="000A7D5F" w:rsidP="000A7D5F"/>
    <w:p w14:paraId="2D4E1067" w14:textId="77777777" w:rsidR="000A7D5F" w:rsidRDefault="000A7D5F" w:rsidP="000A7D5F">
      <w:pPr>
        <w:pStyle w:val="Questionstyle"/>
        <w:numPr>
          <w:ilvl w:val="0"/>
          <w:numId w:val="55"/>
        </w:numPr>
      </w:pPr>
      <w:r>
        <w:t>: Do you identify other type of information that should be included in the requested i</w:t>
      </w:r>
      <w:r>
        <w:t>n</w:t>
      </w:r>
      <w:r>
        <w:t>formation in the reported template? What would be in your view the consequences in terms of costs of the proposed options for the reporting template? Do you agree with the asses</w:t>
      </w:r>
      <w:r>
        <w:t>s</w:t>
      </w:r>
      <w:r>
        <w:t>ment of costs and benefits above for the proposal mentioned in the CBA (Annex III) on the r</w:t>
      </w:r>
      <w:r>
        <w:t>e</w:t>
      </w:r>
      <w:r>
        <w:t>porting template? If not, please explain why and provide any available quantitative data on the one-off and ongoing costs (if any) that the proposal would imply. Do you have specific views on the potential use of the ISO 20022 standard?</w:t>
      </w:r>
    </w:p>
    <w:p w14:paraId="26D809D3" w14:textId="77777777" w:rsidR="000A7D5F" w:rsidRDefault="000A7D5F" w:rsidP="000A7D5F">
      <w:r>
        <w:t>&lt;ESMA_QUESTION_MMF_15&gt;</w:t>
      </w:r>
    </w:p>
    <w:p w14:paraId="40D730C0" w14:textId="77777777" w:rsidR="007F2609" w:rsidRDefault="007F2609" w:rsidP="007F2609">
      <w:pPr>
        <w:spacing w:line="276" w:lineRule="auto"/>
        <w:jc w:val="both"/>
        <w:rPr>
          <w:rFonts w:ascii="Calibri" w:eastAsia="Calibri" w:hAnsi="Calibri"/>
          <w:sz w:val="22"/>
          <w:szCs w:val="22"/>
          <w:lang w:val="en-US" w:eastAsia="en-US"/>
        </w:rPr>
      </w:pPr>
      <w:permStart w:id="1111519994" w:edGrp="everyone"/>
    </w:p>
    <w:p w14:paraId="0590CFDD" w14:textId="77777777" w:rsidR="007F2609" w:rsidRPr="007F2609" w:rsidRDefault="007F2609" w:rsidP="007F2609">
      <w:pPr>
        <w:spacing w:line="276" w:lineRule="auto"/>
        <w:jc w:val="both"/>
        <w:rPr>
          <w:rFonts w:ascii="Calibri" w:eastAsia="Calibri" w:hAnsi="Calibri"/>
          <w:sz w:val="22"/>
          <w:szCs w:val="22"/>
          <w:lang w:val="en-US" w:eastAsia="en-US"/>
        </w:rPr>
      </w:pPr>
      <w:r w:rsidRPr="007F2609">
        <w:rPr>
          <w:rFonts w:ascii="Calibri" w:eastAsia="Calibri" w:hAnsi="Calibri"/>
          <w:sz w:val="22"/>
          <w:szCs w:val="22"/>
          <w:lang w:val="en-US" w:eastAsia="en-US"/>
        </w:rPr>
        <w:t>Most MMF are currently UCITS. As such they are not currently reporting under the AIFM template.</w:t>
      </w:r>
    </w:p>
    <w:p w14:paraId="1F82F1BB" w14:textId="77777777" w:rsidR="007F2609" w:rsidRPr="007F2609" w:rsidRDefault="007F2609" w:rsidP="007F2609">
      <w:pPr>
        <w:spacing w:line="276" w:lineRule="auto"/>
        <w:jc w:val="both"/>
        <w:rPr>
          <w:rFonts w:ascii="Calibri" w:eastAsia="Calibri" w:hAnsi="Calibri"/>
          <w:sz w:val="22"/>
          <w:szCs w:val="22"/>
          <w:lang w:val="en-US" w:eastAsia="en-US"/>
        </w:rPr>
      </w:pPr>
      <w:r w:rsidRPr="007F2609">
        <w:rPr>
          <w:rFonts w:ascii="Calibri" w:eastAsia="Calibri" w:hAnsi="Calibri"/>
          <w:sz w:val="22"/>
          <w:szCs w:val="22"/>
          <w:lang w:val="en-US" w:eastAsia="en-US"/>
        </w:rPr>
        <w:t>While it can be useful to consider the AIFMD template for the sake of reporting harmonization, we believe that the reporting under MMFR should stick to the MMFR requirements.</w:t>
      </w:r>
    </w:p>
    <w:p w14:paraId="4A504C6D" w14:textId="7D805F5B" w:rsidR="007F2609" w:rsidRDefault="007F2609" w:rsidP="007F2609">
      <w:pPr>
        <w:rPr>
          <w:rFonts w:ascii="Calibri" w:eastAsia="Calibri" w:hAnsi="Calibri"/>
          <w:sz w:val="22"/>
          <w:szCs w:val="22"/>
          <w:lang w:val="en-US" w:eastAsia="en-US"/>
        </w:rPr>
      </w:pPr>
      <w:r w:rsidRPr="007F2609">
        <w:rPr>
          <w:rFonts w:ascii="Calibri" w:eastAsia="Calibri" w:hAnsi="Calibri"/>
          <w:sz w:val="22"/>
          <w:szCs w:val="22"/>
          <w:lang w:val="en-US" w:eastAsia="en-US"/>
        </w:rPr>
        <w:t>We expect the implementation of the reporting template to generate significant additional costs mainly linked to IT developments and additional human resources . As already highlighted, so far, our MMF are not under the AIFMD reporting.</w:t>
      </w:r>
    </w:p>
    <w:p w14:paraId="1A7617FC" w14:textId="77777777" w:rsidR="007F2609" w:rsidRDefault="007F2609" w:rsidP="007F2609"/>
    <w:permEnd w:id="1111519994"/>
    <w:p w14:paraId="45BAE638" w14:textId="77777777" w:rsidR="000A7D5F" w:rsidRDefault="000A7D5F" w:rsidP="000A7D5F">
      <w:r>
        <w:t>&lt;ESMA_QUESTION_MMF_15&gt;</w:t>
      </w:r>
    </w:p>
    <w:p w14:paraId="2E1EC01F" w14:textId="77777777" w:rsidR="000A7D5F" w:rsidRDefault="000A7D5F" w:rsidP="000A7D5F"/>
    <w:p w14:paraId="6CBD2D91" w14:textId="77777777" w:rsidR="000A7D5F" w:rsidRDefault="000A7D5F" w:rsidP="000A7D5F">
      <w:pPr>
        <w:pStyle w:val="Questionstyle"/>
        <w:numPr>
          <w:ilvl w:val="0"/>
          <w:numId w:val="55"/>
        </w:numPr>
      </w:pPr>
      <w:r>
        <w:t>: Do you agree that the abovementioned references to EU/international standards are relevant in the context of the issuance by ESMA of guidelines on stress testing of MMFs? Do you identify other pieces of EU/International law that would be relevant in view of the work on ESMA guidelines on stress testing of MMFs?</w:t>
      </w:r>
    </w:p>
    <w:p w14:paraId="3089F861" w14:textId="77777777" w:rsidR="000A7D5F" w:rsidRDefault="000A7D5F" w:rsidP="000A7D5F">
      <w:r>
        <w:t>&lt;ESMA_QUESTION_MMF_16&gt;</w:t>
      </w:r>
    </w:p>
    <w:p w14:paraId="35B09209" w14:textId="77777777" w:rsidR="00E1658E" w:rsidRDefault="00E1658E" w:rsidP="000A7D5F">
      <w:pPr>
        <w:rPr>
          <w:rFonts w:ascii="Calibri" w:eastAsia="Calibri" w:hAnsi="Calibri"/>
          <w:sz w:val="22"/>
          <w:szCs w:val="22"/>
          <w:lang w:val="en-US" w:eastAsia="en-US"/>
        </w:rPr>
      </w:pPr>
      <w:permStart w:id="784548278" w:edGrp="everyone"/>
    </w:p>
    <w:p w14:paraId="41B2CCC4" w14:textId="13D9B44C" w:rsidR="00E1658E" w:rsidRDefault="00E1658E" w:rsidP="000A7D5F">
      <w:pPr>
        <w:rPr>
          <w:rFonts w:ascii="Calibri" w:eastAsia="Calibri" w:hAnsi="Calibri"/>
          <w:sz w:val="22"/>
          <w:szCs w:val="22"/>
          <w:lang w:eastAsia="en-US"/>
        </w:rPr>
      </w:pPr>
      <w:r w:rsidRPr="00E1658E">
        <w:rPr>
          <w:rFonts w:ascii="Calibri" w:eastAsia="Calibri" w:hAnsi="Calibri"/>
          <w:sz w:val="22"/>
          <w:szCs w:val="22"/>
          <w:lang w:val="en-US" w:eastAsia="en-US"/>
        </w:rPr>
        <w:t>We agree with ESMA’s exercise to acknowledge exi</w:t>
      </w:r>
      <w:r w:rsidR="00E97C6C">
        <w:rPr>
          <w:rFonts w:ascii="Calibri" w:eastAsia="Calibri" w:hAnsi="Calibri"/>
          <w:sz w:val="22"/>
          <w:szCs w:val="22"/>
          <w:lang w:val="en-US" w:eastAsia="en-US"/>
        </w:rPr>
        <w:t>s</w:t>
      </w:r>
      <w:r w:rsidRPr="00E1658E">
        <w:rPr>
          <w:rFonts w:ascii="Calibri" w:eastAsia="Calibri" w:hAnsi="Calibri"/>
          <w:sz w:val="22"/>
          <w:szCs w:val="22"/>
          <w:lang w:val="en-US" w:eastAsia="en-US"/>
        </w:rPr>
        <w:t xml:space="preserve">ting practices at EU level, notably those referring to UCITS and AIFMD. </w:t>
      </w:r>
      <w:r w:rsidRPr="00E1658E">
        <w:rPr>
          <w:rFonts w:ascii="Calibri" w:eastAsia="Calibri" w:hAnsi="Calibri"/>
          <w:sz w:val="22"/>
          <w:szCs w:val="22"/>
          <w:lang w:eastAsia="en-US"/>
        </w:rPr>
        <w:t xml:space="preserve"> These seem consistent with FSB high level recommendations on the risks of run and fire-sales. Also, they do not oppose the US approach, although here again we insist that US and EU MMF markets are fundamentally different. Therefore, any reference to US regulation in this field should be certainly not used to be extrapolated into detailed implementation rules.</w:t>
      </w:r>
    </w:p>
    <w:p w14:paraId="51DF2308" w14:textId="77777777" w:rsidR="00E1658E" w:rsidRDefault="00E1658E" w:rsidP="000A7D5F"/>
    <w:permEnd w:id="784548278"/>
    <w:p w14:paraId="05D877AA" w14:textId="77777777" w:rsidR="000A7D5F" w:rsidRDefault="000A7D5F" w:rsidP="000A7D5F">
      <w:r>
        <w:t>&lt;ESMA_QUESTION_MMF_16&gt;</w:t>
      </w:r>
    </w:p>
    <w:p w14:paraId="5C736C94" w14:textId="77777777" w:rsidR="000A7D5F" w:rsidRDefault="000A7D5F" w:rsidP="000A7D5F"/>
    <w:p w14:paraId="53194FF8" w14:textId="77777777" w:rsidR="000A7D5F" w:rsidRDefault="000A7D5F" w:rsidP="000A7D5F">
      <w:pPr>
        <w:pStyle w:val="Questionstyle"/>
        <w:numPr>
          <w:ilvl w:val="0"/>
          <w:numId w:val="55"/>
        </w:numPr>
      </w:pPr>
      <w:r>
        <w:t>: Do you have specific views on the interpretation of the requirements of Article 25(1) of the MMF Regulation on the meaning of the abovementioned “effects on the MMF”?</w:t>
      </w:r>
    </w:p>
    <w:p w14:paraId="0D1DADA5" w14:textId="77777777" w:rsidR="000A7D5F" w:rsidRDefault="000A7D5F" w:rsidP="000A7D5F">
      <w:r>
        <w:t>&lt;ESMA_QUESTION_MMF_17&gt;</w:t>
      </w:r>
    </w:p>
    <w:p w14:paraId="7A46D311" w14:textId="77777777" w:rsidR="00182E49" w:rsidRDefault="00182E49" w:rsidP="00182E49">
      <w:pPr>
        <w:spacing w:after="200" w:line="276" w:lineRule="auto"/>
        <w:jc w:val="both"/>
        <w:rPr>
          <w:rFonts w:ascii="Calibri" w:eastAsia="Calibri" w:hAnsi="Calibri"/>
          <w:sz w:val="22"/>
          <w:szCs w:val="22"/>
          <w:lang w:eastAsia="en-US"/>
        </w:rPr>
      </w:pPr>
      <w:permStart w:id="1902721457" w:edGrp="everyone"/>
    </w:p>
    <w:p w14:paraId="6F21E47A" w14:textId="77777777" w:rsidR="00182E49" w:rsidRPr="00182E49" w:rsidRDefault="00182E49" w:rsidP="00182E49">
      <w:pPr>
        <w:spacing w:after="200" w:line="276" w:lineRule="auto"/>
        <w:jc w:val="both"/>
        <w:rPr>
          <w:rFonts w:ascii="Calibri" w:eastAsia="Calibri" w:hAnsi="Calibri"/>
          <w:sz w:val="22"/>
          <w:szCs w:val="22"/>
          <w:lang w:eastAsia="en-US"/>
        </w:rPr>
      </w:pPr>
      <w:r w:rsidRPr="00182E49">
        <w:rPr>
          <w:rFonts w:ascii="Calibri" w:eastAsia="Calibri" w:hAnsi="Calibri"/>
          <w:sz w:val="22"/>
          <w:szCs w:val="22"/>
          <w:lang w:eastAsia="en-US"/>
        </w:rPr>
        <w:t xml:space="preserve">In the MMFR there are provisions for a minimum level of daily and weekly liquidity. The MMFR deals with the issue of liquidity in another way than the bucket approach that has been introduced in the US. For this reason, we do not support the idea mentioned in  paragraph 205b (page 55) that volatility, as in the US MMF framework, would be a significant item when stress testing MMFs nor the reference to liquidity buckets made in paragraph 205c (page 56). </w:t>
      </w:r>
    </w:p>
    <w:p w14:paraId="60DF3C87" w14:textId="02470992" w:rsidR="00182E49" w:rsidRDefault="00182E49" w:rsidP="00182E49">
      <w:pPr>
        <w:rPr>
          <w:rFonts w:ascii="Calibri" w:eastAsia="Calibri" w:hAnsi="Calibri"/>
          <w:sz w:val="22"/>
          <w:szCs w:val="22"/>
          <w:lang w:eastAsia="en-US"/>
        </w:rPr>
      </w:pPr>
      <w:r w:rsidRPr="00182E49">
        <w:rPr>
          <w:rFonts w:ascii="Calibri" w:eastAsia="Calibri" w:hAnsi="Calibri"/>
          <w:sz w:val="22"/>
          <w:szCs w:val="22"/>
          <w:lang w:eastAsia="en-US"/>
        </w:rPr>
        <w:lastRenderedPageBreak/>
        <w:t>Our view is that the stress tests outcome should be measured in terms of NAV impact and liquidity ratio. Therefore, we would agree with ESMA on criteria a, while the concept of ‘bucket’ in c) would be replaced by the exact reference to the MMFR requirement to comply with minimum ratios of liquidity.</w:t>
      </w:r>
    </w:p>
    <w:p w14:paraId="0A1C39C1" w14:textId="77777777" w:rsidR="00182E49" w:rsidRDefault="00182E49" w:rsidP="00182E49"/>
    <w:permEnd w:id="1902721457"/>
    <w:p w14:paraId="4F6D5715" w14:textId="77777777" w:rsidR="000A7D5F" w:rsidRDefault="000A7D5F" w:rsidP="000A7D5F">
      <w:r>
        <w:t>&lt;ESMA_QUESTION_MMF_17&gt;</w:t>
      </w:r>
    </w:p>
    <w:p w14:paraId="30B2AD20" w14:textId="77777777" w:rsidR="000A7D5F" w:rsidRDefault="000A7D5F" w:rsidP="000A7D5F"/>
    <w:p w14:paraId="51A87F10" w14:textId="77777777" w:rsidR="000A7D5F" w:rsidRDefault="000A7D5F" w:rsidP="000A7D5F">
      <w:pPr>
        <w:pStyle w:val="Questionstyle"/>
        <w:numPr>
          <w:ilvl w:val="0"/>
          <w:numId w:val="55"/>
        </w:numPr>
      </w:pPr>
      <w:r>
        <w:t>: Do you have views on the specifications of the following criteria:</w:t>
      </w:r>
    </w:p>
    <w:p w14:paraId="481F6BDE" w14:textId="77777777" w:rsidR="000A7D5F" w:rsidRDefault="000A7D5F" w:rsidP="000A7D5F">
      <w:pPr>
        <w:pStyle w:val="Questionstyle"/>
        <w:ind w:left="360"/>
      </w:pPr>
      <w:r>
        <w:t xml:space="preserve">- level of changes of liquidity of the assets with respect to Article 28(1)(a), </w:t>
      </w:r>
    </w:p>
    <w:p w14:paraId="787A026E" w14:textId="77777777" w:rsidR="000A7D5F" w:rsidRDefault="000A7D5F" w:rsidP="000A7D5F">
      <w:pPr>
        <w:pStyle w:val="Questionstyle"/>
        <w:ind w:left="360"/>
      </w:pPr>
      <w:r>
        <w:t xml:space="preserve">- levels of changes of credit risk of the asset  with respect to Article 28(1)(b), </w:t>
      </w:r>
    </w:p>
    <w:p w14:paraId="7BBC2D8B" w14:textId="77777777" w:rsidR="000A7D5F" w:rsidRDefault="000A7D5F" w:rsidP="000A7D5F">
      <w:pPr>
        <w:pStyle w:val="Questionstyle"/>
        <w:ind w:left="360"/>
      </w:pPr>
      <w:r>
        <w:t xml:space="preserve">- levels of change of the interest rates and exchange rates with respect to Article 28(1)(c), </w:t>
      </w:r>
    </w:p>
    <w:p w14:paraId="7D2C29CC" w14:textId="77777777" w:rsidR="000A7D5F" w:rsidRDefault="000A7D5F" w:rsidP="000A7D5F">
      <w:pPr>
        <w:pStyle w:val="Questionstyle"/>
        <w:ind w:left="360"/>
      </w:pPr>
      <w:r>
        <w:t xml:space="preserve">- levels of redemption  with respect to Article 28(1)(d), </w:t>
      </w:r>
    </w:p>
    <w:p w14:paraId="224C8480" w14:textId="77777777" w:rsidR="000A7D5F" w:rsidRDefault="000A7D5F" w:rsidP="000A7D5F">
      <w:pPr>
        <w:pStyle w:val="Questionstyle"/>
        <w:ind w:left="360"/>
      </w:pPr>
      <w:r>
        <w:t>- levels of widening or narrowing of spreads among indexes to which interest rates of portfolio s</w:t>
      </w:r>
      <w:r>
        <w:t>e</w:t>
      </w:r>
      <w:r>
        <w:t xml:space="preserve">curities are tied  with respect to Article  28(1)(e), </w:t>
      </w:r>
    </w:p>
    <w:p w14:paraId="6C83F30C" w14:textId="77777777" w:rsidR="000A7D5F" w:rsidRDefault="000A7D5F" w:rsidP="000A7D5F">
      <w:pPr>
        <w:pStyle w:val="Questionstyle"/>
        <w:ind w:left="360"/>
      </w:pPr>
      <w:r>
        <w:t>- identification of macro-systemic shocks affecting the economy as a whole with respect to Article 28(1)(f))? (how would set the calibration of the relevant factors in the case of the Lehman Brot</w:t>
      </w:r>
      <w:r>
        <w:t>h</w:t>
      </w:r>
      <w:r>
        <w:t>ers’ event, and the two proposed scenarios A and B? With respect to scenario B mentioned above, do you think the duration of 12 months is appropriate?)</w:t>
      </w:r>
    </w:p>
    <w:p w14:paraId="1D0FF751" w14:textId="77777777" w:rsidR="000A7D5F" w:rsidRDefault="000A7D5F" w:rsidP="000A7D5F">
      <w:r>
        <w:t>&lt;ESMA_QUESTION_MMF_18&gt;</w:t>
      </w:r>
    </w:p>
    <w:p w14:paraId="3F6724D6" w14:textId="77777777" w:rsidR="001D29E9" w:rsidRDefault="001D29E9" w:rsidP="001D29E9">
      <w:pPr>
        <w:spacing w:after="200" w:line="276" w:lineRule="auto"/>
        <w:jc w:val="both"/>
        <w:rPr>
          <w:rFonts w:ascii="Calibri" w:eastAsia="Calibri" w:hAnsi="Calibri"/>
          <w:sz w:val="22"/>
          <w:szCs w:val="22"/>
          <w:lang w:val="en-US" w:eastAsia="en-US"/>
        </w:rPr>
      </w:pPr>
      <w:permStart w:id="546836467" w:edGrp="everyone"/>
    </w:p>
    <w:p w14:paraId="1E0E5905" w14:textId="19282EAF"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 xml:space="preserve">We believe that it can be useful, as an illustration, to list the different factors that could be taken into account when stress testing the MMF. Nevertheless, we think that whatever the criteria and </w:t>
      </w:r>
      <w:proofErr w:type="spellStart"/>
      <w:r w:rsidRPr="001D29E9">
        <w:rPr>
          <w:rFonts w:ascii="Calibri" w:eastAsia="Calibri" w:hAnsi="Calibri"/>
          <w:sz w:val="22"/>
          <w:szCs w:val="22"/>
          <w:lang w:val="en-US" w:eastAsia="en-US"/>
        </w:rPr>
        <w:t>scenar</w:t>
      </w:r>
      <w:r w:rsidR="00AA3157">
        <w:rPr>
          <w:rFonts w:ascii="Calibri" w:eastAsia="Calibri" w:hAnsi="Calibri"/>
          <w:sz w:val="22"/>
          <w:szCs w:val="22"/>
          <w:lang w:val="en-US" w:eastAsia="en-US"/>
        </w:rPr>
        <w:t>i</w:t>
      </w:r>
      <w:r w:rsidRPr="001D29E9">
        <w:rPr>
          <w:rFonts w:ascii="Calibri" w:eastAsia="Calibri" w:hAnsi="Calibri"/>
          <w:sz w:val="22"/>
          <w:szCs w:val="22"/>
          <w:lang w:val="en-US" w:eastAsia="en-US"/>
        </w:rPr>
        <w:t>i</w:t>
      </w:r>
      <w:proofErr w:type="spellEnd"/>
      <w:r w:rsidRPr="001D29E9">
        <w:rPr>
          <w:rFonts w:ascii="Calibri" w:eastAsia="Calibri" w:hAnsi="Calibri"/>
          <w:sz w:val="22"/>
          <w:szCs w:val="22"/>
          <w:lang w:val="en-US" w:eastAsia="en-US"/>
        </w:rPr>
        <w:t xml:space="preserve"> contemplated, impacts on a MMF can be classified in 3 categories :</w:t>
      </w:r>
    </w:p>
    <w:p w14:paraId="2779C599" w14:textId="77777777"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 impacts on credit spreads (at the portfolio level (WAL) or at the security level),</w:t>
      </w:r>
    </w:p>
    <w:p w14:paraId="059E3B94" w14:textId="77777777"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 xml:space="preserve">- impacts on interest rates (at the portfolio level (WAM) or at the security level), </w:t>
      </w:r>
    </w:p>
    <w:p w14:paraId="22604AB3" w14:textId="4F17C87D"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 impacts on redemptions</w:t>
      </w:r>
      <w:r w:rsidR="002D2D37">
        <w:rPr>
          <w:rFonts w:ascii="Calibri" w:eastAsia="Calibri" w:hAnsi="Calibri"/>
          <w:sz w:val="22"/>
          <w:szCs w:val="22"/>
          <w:lang w:val="en-US" w:eastAsia="en-US"/>
        </w:rPr>
        <w:t>.</w:t>
      </w:r>
    </w:p>
    <w:p w14:paraId="631E75C3" w14:textId="77777777"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 xml:space="preserve">Liquidity changes, macro-systemic shocks… will be reflected at portfolios’ level by a move in spreads or yields, and/or by in/outflows. </w:t>
      </w:r>
    </w:p>
    <w:p w14:paraId="2298B7A6" w14:textId="749C4F5D"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Stress scenario should be kept simple as MMF have rather straightforward investment strategies. We think that a calibration</w:t>
      </w:r>
      <w:r w:rsidR="002D2D37">
        <w:rPr>
          <w:rFonts w:ascii="Calibri" w:eastAsia="Calibri" w:hAnsi="Calibri"/>
          <w:sz w:val="22"/>
          <w:szCs w:val="22"/>
          <w:lang w:val="en-US" w:eastAsia="en-US"/>
        </w:rPr>
        <w:t xml:space="preserve"> of shocks</w:t>
      </w:r>
      <w:r w:rsidRPr="001D29E9">
        <w:rPr>
          <w:rFonts w:ascii="Calibri" w:eastAsia="Calibri" w:hAnsi="Calibri"/>
          <w:sz w:val="22"/>
          <w:szCs w:val="22"/>
          <w:lang w:val="en-US" w:eastAsia="en-US"/>
        </w:rPr>
        <w:t xml:space="preserve"> based on historical events is relevant and levels should be set based on the strategy/specificities of managed portfolios. Therefore we are of the view that no specific level of stress testing should be imposed to managers. They should themselves define shock levels which are appropriate to the way funds are managed. We think that instead of considering multiple levels of shocks for the same parameter, we should focus on one extreme level.</w:t>
      </w:r>
      <w:r w:rsidRPr="001D29E9">
        <w:rPr>
          <w:rFonts w:ascii="Calibri" w:eastAsia="Calibri" w:hAnsi="Calibri"/>
          <w:color w:val="FF0000"/>
          <w:sz w:val="22"/>
          <w:szCs w:val="22"/>
          <w:lang w:val="en-US" w:eastAsia="en-US"/>
        </w:rPr>
        <w:t xml:space="preserve"> </w:t>
      </w:r>
      <w:r w:rsidRPr="001D29E9">
        <w:rPr>
          <w:rFonts w:ascii="Calibri" w:eastAsia="Calibri" w:hAnsi="Calibri"/>
          <w:sz w:val="22"/>
          <w:szCs w:val="22"/>
          <w:lang w:val="en-US" w:eastAsia="en-US"/>
        </w:rPr>
        <w:t xml:space="preserve">Consistently </w:t>
      </w:r>
      <w:r w:rsidR="000F42FA">
        <w:rPr>
          <w:rFonts w:ascii="Calibri" w:eastAsia="Calibri" w:hAnsi="Calibri"/>
          <w:sz w:val="22"/>
          <w:szCs w:val="22"/>
          <w:lang w:val="en-US" w:eastAsia="en-US"/>
        </w:rPr>
        <w:t>with regulators’ positions such as</w:t>
      </w:r>
      <w:r w:rsidRPr="001D29E9">
        <w:rPr>
          <w:rFonts w:ascii="Calibri" w:eastAsia="Calibri" w:hAnsi="Calibri"/>
          <w:sz w:val="22"/>
          <w:szCs w:val="22"/>
          <w:lang w:val="en-US" w:eastAsia="en-US"/>
        </w:rPr>
        <w:t xml:space="preserve"> AMF’s Guide for Asset Management Companies “The use of stress tests as part of risk management”, we  b</w:t>
      </w:r>
      <w:r w:rsidRPr="001D29E9">
        <w:rPr>
          <w:rFonts w:ascii="Calibri" w:eastAsia="Calibri" w:hAnsi="Calibri"/>
          <w:sz w:val="22"/>
          <w:szCs w:val="22"/>
          <w:lang w:val="en-US" w:eastAsia="en-US"/>
        </w:rPr>
        <w:t>e</w:t>
      </w:r>
      <w:r w:rsidRPr="001D29E9">
        <w:rPr>
          <w:rFonts w:ascii="Calibri" w:eastAsia="Calibri" w:hAnsi="Calibri"/>
          <w:sz w:val="22"/>
          <w:szCs w:val="22"/>
          <w:lang w:val="en-US" w:eastAsia="en-US"/>
        </w:rPr>
        <w:t xml:space="preserve">lieve that using a large number of stress tests makes it hard to analyze their results and therefore makes them less effective. </w:t>
      </w:r>
    </w:p>
    <w:p w14:paraId="57CA0DCE" w14:textId="6ECD2572" w:rsidR="001D29E9" w:rsidRPr="001D29E9" w:rsidRDefault="001D29E9" w:rsidP="001D29E9">
      <w:pPr>
        <w:spacing w:after="200" w:line="276" w:lineRule="auto"/>
        <w:jc w:val="both"/>
        <w:rPr>
          <w:rFonts w:ascii="Calibri" w:eastAsia="Calibri" w:hAnsi="Calibri"/>
          <w:sz w:val="22"/>
          <w:szCs w:val="22"/>
          <w:u w:val="single"/>
          <w:lang w:eastAsia="en-US"/>
        </w:rPr>
      </w:pPr>
      <w:r w:rsidRPr="001D29E9">
        <w:rPr>
          <w:rFonts w:ascii="Calibri" w:eastAsia="Calibri" w:hAnsi="Calibri"/>
          <w:sz w:val="22"/>
          <w:szCs w:val="22"/>
          <w:u w:val="single"/>
          <w:lang w:eastAsia="en-US"/>
        </w:rPr>
        <w:t>Levels of changes of credit risk of the asset</w:t>
      </w:r>
      <w:r w:rsidR="00CE0D6E">
        <w:rPr>
          <w:rFonts w:ascii="Calibri" w:eastAsia="Calibri" w:hAnsi="Calibri"/>
          <w:sz w:val="22"/>
          <w:szCs w:val="22"/>
          <w:u w:val="single"/>
          <w:lang w:eastAsia="en-US"/>
        </w:rPr>
        <w:t>s</w:t>
      </w:r>
    </w:p>
    <w:p w14:paraId="7D808202" w14:textId="77777777" w:rsidR="001D29E9" w:rsidRPr="001D29E9" w:rsidRDefault="001D29E9" w:rsidP="001D29E9">
      <w:pPr>
        <w:spacing w:after="200" w:line="276" w:lineRule="auto"/>
        <w:jc w:val="both"/>
        <w:rPr>
          <w:rFonts w:ascii="Calibri" w:eastAsia="Calibri" w:hAnsi="Calibri"/>
          <w:sz w:val="22"/>
          <w:szCs w:val="22"/>
          <w:lang w:eastAsia="en-US"/>
        </w:rPr>
      </w:pPr>
      <w:r w:rsidRPr="001D29E9">
        <w:rPr>
          <w:rFonts w:ascii="Calibri" w:eastAsia="Calibri" w:hAnsi="Calibri"/>
          <w:sz w:val="22"/>
          <w:szCs w:val="22"/>
          <w:lang w:eastAsia="en-US"/>
        </w:rPr>
        <w:lastRenderedPageBreak/>
        <w:t>Credit Spread is a reasonable proxy for credit risk as probabilities of default or rating migration could be hard to take into account in stress tests scenarios. To a certain extent, spread accounts for downgrade/ default risk.</w:t>
      </w:r>
    </w:p>
    <w:p w14:paraId="46086F54" w14:textId="77777777" w:rsidR="001D29E9" w:rsidRPr="001D29E9" w:rsidRDefault="001D29E9" w:rsidP="001D29E9">
      <w:pPr>
        <w:spacing w:after="200" w:line="276" w:lineRule="auto"/>
        <w:jc w:val="both"/>
        <w:rPr>
          <w:rFonts w:ascii="Calibri" w:eastAsia="Calibri" w:hAnsi="Calibri"/>
          <w:sz w:val="22"/>
          <w:szCs w:val="22"/>
          <w:u w:val="single"/>
          <w:lang w:eastAsia="en-US"/>
        </w:rPr>
      </w:pPr>
      <w:r w:rsidRPr="001D29E9">
        <w:rPr>
          <w:rFonts w:ascii="Calibri" w:eastAsia="Calibri" w:hAnsi="Calibri"/>
          <w:sz w:val="22"/>
          <w:szCs w:val="22"/>
          <w:u w:val="single"/>
          <w:lang w:eastAsia="en-US"/>
        </w:rPr>
        <w:t>Levels of redemption</w:t>
      </w:r>
    </w:p>
    <w:p w14:paraId="4CA3B2DF" w14:textId="77777777" w:rsidR="001D29E9" w:rsidRPr="001D29E9" w:rsidRDefault="001D29E9" w:rsidP="001D29E9">
      <w:pPr>
        <w:spacing w:after="200" w:line="276" w:lineRule="auto"/>
        <w:jc w:val="both"/>
        <w:rPr>
          <w:rFonts w:ascii="Calibri" w:eastAsia="Calibri" w:hAnsi="Calibri"/>
          <w:sz w:val="22"/>
          <w:szCs w:val="22"/>
          <w:lang w:eastAsia="en-US"/>
        </w:rPr>
      </w:pPr>
      <w:r w:rsidRPr="001D29E9">
        <w:rPr>
          <w:rFonts w:ascii="Calibri" w:eastAsia="Calibri" w:hAnsi="Calibri"/>
          <w:sz w:val="22"/>
          <w:szCs w:val="22"/>
          <w:lang w:eastAsia="en-US"/>
        </w:rPr>
        <w:t>X% redemption scenario should be complemented with assumptions about how assets would be sold to meet redemptions (proportionate liquidation or liquidation of the most liquid securities first), otherwise it makes it difficult to compare MMFs across EU countries. Also, assumptions are needed on how much market price impact will be incurred by these assets sales in a distressed or potentially illiquid market environment.</w:t>
      </w:r>
    </w:p>
    <w:p w14:paraId="3F11E82F" w14:textId="77777777" w:rsidR="001D29E9" w:rsidRPr="001D29E9" w:rsidRDefault="001D29E9" w:rsidP="001D29E9">
      <w:pPr>
        <w:spacing w:after="200" w:line="276" w:lineRule="auto"/>
        <w:jc w:val="both"/>
        <w:rPr>
          <w:rFonts w:ascii="Calibri" w:eastAsia="Calibri" w:hAnsi="Calibri"/>
          <w:sz w:val="22"/>
          <w:szCs w:val="22"/>
          <w:u w:val="single"/>
          <w:lang w:val="en-US" w:eastAsia="en-US"/>
        </w:rPr>
      </w:pPr>
      <w:r w:rsidRPr="001D29E9">
        <w:rPr>
          <w:rFonts w:ascii="Calibri" w:eastAsia="Calibri" w:hAnsi="Calibri"/>
          <w:sz w:val="22"/>
          <w:szCs w:val="22"/>
          <w:u w:val="single"/>
          <w:lang w:val="en-US" w:eastAsia="en-US"/>
        </w:rPr>
        <w:t>Macro-systemic shocks</w:t>
      </w:r>
    </w:p>
    <w:p w14:paraId="2D051E61" w14:textId="77777777" w:rsidR="001D29E9" w:rsidRPr="001D29E9" w:rsidRDefault="001D29E9" w:rsidP="001D29E9">
      <w:pPr>
        <w:spacing w:after="200" w:line="276" w:lineRule="auto"/>
        <w:jc w:val="both"/>
        <w:rPr>
          <w:rFonts w:ascii="Calibri" w:eastAsia="Calibri" w:hAnsi="Calibri"/>
          <w:sz w:val="22"/>
          <w:szCs w:val="22"/>
          <w:lang w:eastAsia="en-US"/>
        </w:rPr>
      </w:pPr>
      <w:r w:rsidRPr="001D29E9">
        <w:rPr>
          <w:rFonts w:ascii="Calibri" w:eastAsia="Calibri" w:hAnsi="Calibri"/>
          <w:sz w:val="22"/>
          <w:szCs w:val="22"/>
          <w:lang w:val="en-US" w:eastAsia="en-US"/>
        </w:rPr>
        <w:t>A scenario combining 3 different factors (interest rates, credit spreads and redemptions) would be a</w:t>
      </w:r>
      <w:r w:rsidRPr="001D29E9">
        <w:rPr>
          <w:rFonts w:ascii="Calibri" w:eastAsia="Calibri" w:hAnsi="Calibri"/>
          <w:sz w:val="22"/>
          <w:szCs w:val="22"/>
          <w:lang w:val="en-US" w:eastAsia="en-US"/>
        </w:rPr>
        <w:t>p</w:t>
      </w:r>
      <w:r w:rsidRPr="001D29E9">
        <w:rPr>
          <w:rFonts w:ascii="Calibri" w:eastAsia="Calibri" w:hAnsi="Calibri"/>
          <w:sz w:val="22"/>
          <w:szCs w:val="22"/>
          <w:lang w:val="en-US" w:eastAsia="en-US"/>
        </w:rPr>
        <w:t xml:space="preserve">propriate to stress a macro-systemic shock. In fact, </w:t>
      </w:r>
      <w:r w:rsidRPr="001D29E9">
        <w:rPr>
          <w:rFonts w:ascii="Calibri" w:eastAsia="Calibri" w:hAnsi="Calibri"/>
          <w:sz w:val="22"/>
          <w:szCs w:val="22"/>
          <w:lang w:eastAsia="en-US"/>
        </w:rPr>
        <w:t>Scenarios A or B described in paragraph 225 f. are a combination of worst case interest rates, credit spread and redemption level stress tests scenarios that are of great interest to MMFs. This shows how, in the end, macro-systemic shocks are the outcome of the other factors that are already being tested. We therefore see some redundancy in the use of macro-economic criteria.</w:t>
      </w:r>
    </w:p>
    <w:p w14:paraId="386B37C5" w14:textId="77777777" w:rsidR="001D29E9" w:rsidRPr="001D29E9" w:rsidRDefault="001D29E9" w:rsidP="001D29E9">
      <w:pPr>
        <w:spacing w:after="200" w:line="276" w:lineRule="auto"/>
        <w:jc w:val="both"/>
        <w:rPr>
          <w:rFonts w:ascii="Calibri" w:eastAsia="Calibri" w:hAnsi="Calibri"/>
          <w:sz w:val="22"/>
          <w:szCs w:val="22"/>
          <w:lang w:val="en-US" w:eastAsia="en-US"/>
        </w:rPr>
      </w:pPr>
      <w:r w:rsidRPr="001D29E9">
        <w:rPr>
          <w:rFonts w:ascii="Calibri" w:eastAsia="Calibri" w:hAnsi="Calibri"/>
          <w:sz w:val="22"/>
          <w:szCs w:val="22"/>
          <w:lang w:val="en-US" w:eastAsia="en-US"/>
        </w:rPr>
        <w:t>We would not limit the time horizon to one year for historical data as it would have been almost useless in the months preceding the Lehman crisis.</w:t>
      </w:r>
    </w:p>
    <w:p w14:paraId="610DE183" w14:textId="044753D1" w:rsidR="001D29E9" w:rsidRDefault="001D29E9" w:rsidP="001D29E9">
      <w:r w:rsidRPr="001D29E9">
        <w:rPr>
          <w:rFonts w:ascii="Calibri" w:eastAsia="Calibri" w:hAnsi="Calibri"/>
          <w:sz w:val="22"/>
          <w:szCs w:val="22"/>
          <w:lang w:val="en-US" w:eastAsia="en-US"/>
        </w:rPr>
        <w:t>We want to highlight the fact that stress tests give some information about the way a portfolio would react to extreme situations at a given time. As such, they give valuable information to fund managers. Nevertheless, we don’t think that a MMF should be managed with a “fail” or “pass” approach.</w:t>
      </w:r>
    </w:p>
    <w:p w14:paraId="6C915247" w14:textId="77777777" w:rsidR="001D29E9" w:rsidRDefault="001D29E9" w:rsidP="000A7D5F"/>
    <w:permEnd w:id="546836467"/>
    <w:p w14:paraId="08A907E7" w14:textId="40E3E95B" w:rsidR="000A7D5F" w:rsidRDefault="000A7D5F" w:rsidP="000A7D5F">
      <w:r>
        <w:t>&lt;ESMA_QUESTION_MMF_18&gt;</w:t>
      </w:r>
    </w:p>
    <w:p w14:paraId="57A0D4C0" w14:textId="77777777" w:rsidR="000A7D5F" w:rsidRDefault="000A7D5F" w:rsidP="000A7D5F"/>
    <w:p w14:paraId="500EAD8E" w14:textId="77777777" w:rsidR="000A7D5F" w:rsidRDefault="000A7D5F" w:rsidP="000A7D5F">
      <w:pPr>
        <w:pStyle w:val="Questionstyle"/>
        <w:numPr>
          <w:ilvl w:val="0"/>
          <w:numId w:val="55"/>
        </w:numPr>
      </w:pPr>
      <w:r>
        <w:t>: Are you of the view that ESMA should specify other criteria that should be taken into account? If yes, which ones?</w:t>
      </w:r>
    </w:p>
    <w:p w14:paraId="5E24F853" w14:textId="77777777" w:rsidR="000A7D5F" w:rsidRDefault="000A7D5F" w:rsidP="000A7D5F">
      <w:r>
        <w:t>&lt;ESMA_QUESTION_MMF_19&gt;</w:t>
      </w:r>
    </w:p>
    <w:p w14:paraId="445E4DC0" w14:textId="77777777" w:rsidR="00E66279" w:rsidRDefault="00E66279" w:rsidP="000A7D5F">
      <w:pPr>
        <w:rPr>
          <w:rFonts w:ascii="Calibri" w:eastAsia="Calibri" w:hAnsi="Calibri"/>
          <w:sz w:val="22"/>
          <w:szCs w:val="22"/>
          <w:lang w:val="en-US" w:eastAsia="en-US"/>
        </w:rPr>
      </w:pPr>
      <w:permStart w:id="286069424" w:edGrp="everyone"/>
    </w:p>
    <w:p w14:paraId="3063A37B" w14:textId="79837CF9" w:rsidR="00E66279" w:rsidRDefault="00E66279" w:rsidP="000A7D5F">
      <w:pPr>
        <w:rPr>
          <w:rFonts w:ascii="Calibri" w:eastAsia="Calibri" w:hAnsi="Calibri"/>
          <w:sz w:val="22"/>
          <w:szCs w:val="22"/>
          <w:lang w:val="en-US" w:eastAsia="en-US"/>
        </w:rPr>
      </w:pPr>
      <w:r w:rsidRPr="00E66279">
        <w:rPr>
          <w:rFonts w:ascii="Calibri" w:eastAsia="Calibri" w:hAnsi="Calibri"/>
          <w:sz w:val="22"/>
          <w:szCs w:val="22"/>
          <w:lang w:val="en-US" w:eastAsia="en-US"/>
        </w:rPr>
        <w:t>We do not think that additional criteria would make stress tests more robust and there is a risk of not being able to disentangle the effects of each element and not counting them properly. Complexity  is not always synonymous with efficiency : “using a large number of stress tests makes it hard to analyze their results and therefore makes them less effective” (see AMF’s Guide for Asset Management Companies “The use of stress tests as part of risk management”).</w:t>
      </w:r>
    </w:p>
    <w:p w14:paraId="70D98ACD" w14:textId="77777777" w:rsidR="00E66279" w:rsidRDefault="00E66279" w:rsidP="000A7D5F"/>
    <w:permEnd w:id="286069424"/>
    <w:p w14:paraId="765F1084" w14:textId="77777777" w:rsidR="000A7D5F" w:rsidRDefault="000A7D5F" w:rsidP="000A7D5F">
      <w:r>
        <w:t>&lt;ESMA_QUESTION_MMF_19&gt;</w:t>
      </w:r>
    </w:p>
    <w:p w14:paraId="3809820D" w14:textId="77777777" w:rsidR="000A7D5F" w:rsidRDefault="000A7D5F" w:rsidP="000A7D5F"/>
    <w:p w14:paraId="5FCF0E5A" w14:textId="77777777" w:rsidR="000A7D5F" w:rsidRDefault="000A7D5F" w:rsidP="000A7D5F">
      <w:pPr>
        <w:pStyle w:val="Questionstyle"/>
        <w:numPr>
          <w:ilvl w:val="0"/>
          <w:numId w:val="55"/>
        </w:numPr>
      </w:pPr>
      <w:r>
        <w:t>: Are you of the view that other topic should be covered in the ESMA guidelines under the requirements of Article 28 of the MMF Regulation?</w:t>
      </w:r>
    </w:p>
    <w:p w14:paraId="25668689" w14:textId="77777777" w:rsidR="000A7D5F" w:rsidRDefault="000A7D5F" w:rsidP="000A7D5F">
      <w:r>
        <w:t>&lt;ESMA_QUESTION_MMF_20&gt;</w:t>
      </w:r>
    </w:p>
    <w:p w14:paraId="483368AA" w14:textId="77777777" w:rsidR="00964C8D" w:rsidRDefault="00964C8D" w:rsidP="00964C8D">
      <w:pPr>
        <w:spacing w:after="200" w:line="276" w:lineRule="auto"/>
        <w:jc w:val="both"/>
        <w:rPr>
          <w:rFonts w:ascii="Calibri" w:eastAsia="Calibri" w:hAnsi="Calibri"/>
          <w:sz w:val="22"/>
          <w:szCs w:val="22"/>
          <w:lang w:val="en-US" w:eastAsia="en-US"/>
        </w:rPr>
      </w:pPr>
      <w:permStart w:id="254756785" w:edGrp="everyone"/>
    </w:p>
    <w:p w14:paraId="025C82ED" w14:textId="054D3CB0" w:rsidR="00964C8D" w:rsidRDefault="00964C8D" w:rsidP="00E945EB">
      <w:pPr>
        <w:spacing w:after="200" w:line="276" w:lineRule="auto"/>
        <w:jc w:val="both"/>
        <w:rPr>
          <w:rFonts w:ascii="Calibri" w:eastAsia="Calibri" w:hAnsi="Calibri"/>
          <w:sz w:val="22"/>
          <w:szCs w:val="22"/>
          <w:lang w:val="en-US" w:eastAsia="en-US"/>
        </w:rPr>
      </w:pPr>
      <w:r w:rsidRPr="00964C8D">
        <w:rPr>
          <w:rFonts w:ascii="Calibri" w:eastAsia="Calibri" w:hAnsi="Calibri"/>
          <w:sz w:val="22"/>
          <w:szCs w:val="22"/>
          <w:lang w:val="en-US" w:eastAsia="en-US"/>
        </w:rPr>
        <w:lastRenderedPageBreak/>
        <w:t>We do not think that additional topics should be covered in the ESMA guidelines.</w:t>
      </w:r>
    </w:p>
    <w:p w14:paraId="5897BA51" w14:textId="77777777" w:rsidR="00E945EB" w:rsidRPr="00964C8D" w:rsidRDefault="00E945EB" w:rsidP="00E945EB">
      <w:pPr>
        <w:spacing w:after="200" w:line="276" w:lineRule="auto"/>
        <w:jc w:val="both"/>
        <w:rPr>
          <w:lang w:val="en-US"/>
        </w:rPr>
      </w:pPr>
    </w:p>
    <w:permEnd w:id="254756785"/>
    <w:p w14:paraId="7209717F" w14:textId="77777777" w:rsidR="000A7D5F" w:rsidRDefault="000A7D5F" w:rsidP="000A7D5F">
      <w:r>
        <w:t>&lt;ESMA_QUESTION_MMF_20&gt;</w:t>
      </w:r>
    </w:p>
    <w:p w14:paraId="6F5418A2" w14:textId="77777777" w:rsidR="000A7D5F" w:rsidRDefault="000A7D5F" w:rsidP="000A7D5F"/>
    <w:p w14:paraId="0841F6AA" w14:textId="77777777" w:rsidR="000A7D5F" w:rsidRDefault="000A7D5F" w:rsidP="000A7D5F">
      <w:pPr>
        <w:pStyle w:val="Questionstyle"/>
        <w:numPr>
          <w:ilvl w:val="0"/>
          <w:numId w:val="55"/>
        </w:numPr>
      </w:pPr>
      <w:r>
        <w:t>: Do you agree with the assessment of costs and benefits mentioned in the CBA (Annex III) on the different options on the Guidelines on stress tests? If not, please explain why and provide any available quantitative data on costs (if any) that the proposal would imply.</w:t>
      </w:r>
    </w:p>
    <w:p w14:paraId="65A09C51" w14:textId="77777777" w:rsidR="000A7D5F" w:rsidRDefault="000A7D5F" w:rsidP="000A7D5F">
      <w:r>
        <w:t>&lt;ESMA_QUESTION_MMF_21&gt;</w:t>
      </w:r>
    </w:p>
    <w:p w14:paraId="5DC0D5BC" w14:textId="77777777" w:rsidR="00A86303" w:rsidRDefault="00A86303" w:rsidP="000A7D5F">
      <w:pPr>
        <w:rPr>
          <w:rFonts w:ascii="Calibri" w:eastAsia="Calibri" w:hAnsi="Calibri"/>
          <w:sz w:val="22"/>
          <w:szCs w:val="22"/>
          <w:lang w:val="en-US" w:eastAsia="en-US"/>
        </w:rPr>
      </w:pPr>
      <w:permStart w:id="304492130" w:edGrp="everyone"/>
    </w:p>
    <w:p w14:paraId="1D92DAD6" w14:textId="72EBDE6C" w:rsidR="00A86303" w:rsidRDefault="00A86303" w:rsidP="000A7D5F">
      <w:pPr>
        <w:rPr>
          <w:rFonts w:ascii="Calibri" w:eastAsia="Calibri" w:hAnsi="Calibri"/>
          <w:sz w:val="22"/>
          <w:szCs w:val="22"/>
          <w:lang w:val="en-US" w:eastAsia="en-US"/>
        </w:rPr>
      </w:pPr>
      <w:r w:rsidRPr="00A86303">
        <w:rPr>
          <w:rFonts w:ascii="Calibri" w:eastAsia="Calibri" w:hAnsi="Calibri"/>
          <w:sz w:val="22"/>
          <w:szCs w:val="22"/>
          <w:lang w:val="en-US" w:eastAsia="en-US"/>
        </w:rPr>
        <w:t>We agree with the costs and benefits highlighted. Nevertheless, we are supportive of option 1 as it will allow to have stress tests customized to the specificities of portfolios managed by each Asset Manager, and are of the view that using a large number of stress tests makes it hard to analyze their results and therefore makes them less effective (see AMF’s Guide for Asset Management Companies “The use of stress tests as part of risk management”).</w:t>
      </w:r>
    </w:p>
    <w:p w14:paraId="49D47AEB" w14:textId="77777777" w:rsidR="00A86303" w:rsidRDefault="00A86303" w:rsidP="000A7D5F">
      <w:bookmarkStart w:id="3" w:name="_GoBack"/>
      <w:bookmarkEnd w:id="3"/>
    </w:p>
    <w:permEnd w:id="304492130"/>
    <w:p w14:paraId="6C277A0D" w14:textId="77777777" w:rsidR="000A7D5F" w:rsidRDefault="000A7D5F" w:rsidP="000A7D5F">
      <w:r>
        <w:t>&lt;ESMA_QUESTION_MMF_21&gt;</w:t>
      </w:r>
    </w:p>
    <w:p w14:paraId="41824201" w14:textId="77777777" w:rsidR="000A7D5F" w:rsidRDefault="000A7D5F" w:rsidP="000A7D5F"/>
    <w:p w14:paraId="3D2AEED0" w14:textId="77777777" w:rsidR="000A7D5F" w:rsidRDefault="000A7D5F" w:rsidP="000A7D5F"/>
    <w:p w14:paraId="0603DE9D" w14:textId="66E77196" w:rsidR="008701E5" w:rsidRDefault="00EB2A3F" w:rsidP="000A7D5F">
      <w:pPr>
        <w:pStyle w:val="Questionstyle"/>
        <w:ind w:left="720"/>
        <w:rPr>
          <w:b w:val="0"/>
        </w:rPr>
      </w:pPr>
      <w:r>
        <w:rPr>
          <w:b w:val="0"/>
        </w:rPr>
        <w:t xml:space="preserve"> </w:t>
      </w: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CE92B" w14:textId="77777777" w:rsidR="00181CA0" w:rsidRDefault="00181CA0">
      <w:r>
        <w:separator/>
      </w:r>
    </w:p>
    <w:p w14:paraId="212A14E1" w14:textId="77777777" w:rsidR="00181CA0" w:rsidRDefault="00181CA0"/>
  </w:endnote>
  <w:endnote w:type="continuationSeparator" w:id="0">
    <w:p w14:paraId="66007E62" w14:textId="77777777" w:rsidR="00181CA0" w:rsidRDefault="00181CA0">
      <w:r>
        <w:continuationSeparator/>
      </w:r>
    </w:p>
    <w:p w14:paraId="3BFD6073" w14:textId="77777777" w:rsidR="00181CA0" w:rsidRDefault="00181CA0"/>
  </w:endnote>
  <w:endnote w:type="continuationNotice" w:id="1">
    <w:p w14:paraId="361D3EC7" w14:textId="77777777" w:rsidR="00181CA0" w:rsidRDefault="0018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7F75AB3E"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86303">
            <w:rPr>
              <w:rFonts w:cs="Arial"/>
              <w:noProof/>
              <w:sz w:val="22"/>
              <w:szCs w:val="22"/>
            </w:rPr>
            <w:t>16</w:t>
          </w:r>
          <w:r w:rsidRPr="00616B9B">
            <w:rPr>
              <w:rFonts w:cs="Arial"/>
              <w:noProof/>
              <w:sz w:val="22"/>
              <w:szCs w:val="22"/>
            </w:rPr>
            <w:fldChar w:fldCharType="end"/>
          </w:r>
        </w:p>
      </w:tc>
    </w:tr>
  </w:tbl>
  <w:p w14:paraId="3F8E2998" w14:textId="77777777"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6919F" w14:textId="77777777" w:rsidR="00181CA0" w:rsidRDefault="00181CA0">
      <w:r>
        <w:separator/>
      </w:r>
    </w:p>
    <w:p w14:paraId="4CFD6EAE" w14:textId="77777777" w:rsidR="00181CA0" w:rsidRDefault="00181CA0"/>
  </w:footnote>
  <w:footnote w:type="continuationSeparator" w:id="0">
    <w:p w14:paraId="61413C7C" w14:textId="77777777" w:rsidR="00181CA0" w:rsidRDefault="00181CA0">
      <w:r>
        <w:continuationSeparator/>
      </w:r>
    </w:p>
    <w:p w14:paraId="1EBA46F4" w14:textId="77777777" w:rsidR="00181CA0" w:rsidRDefault="00181CA0"/>
  </w:footnote>
  <w:footnote w:type="continuationNotice" w:id="1">
    <w:p w14:paraId="2C2BF881" w14:textId="77777777" w:rsidR="00181CA0" w:rsidRDefault="00181CA0"/>
  </w:footnote>
  <w:footnote w:id="2">
    <w:p w14:paraId="46DAB324" w14:textId="77777777" w:rsidR="000F2CBD" w:rsidRPr="00A409AF" w:rsidRDefault="000F2CBD" w:rsidP="000F2CBD">
      <w:pPr>
        <w:pStyle w:val="Notedebasdepage"/>
        <w:rPr>
          <w:rFonts w:asciiTheme="minorHAnsi" w:hAnsiTheme="minorHAnsi"/>
          <w:sz w:val="18"/>
          <w:szCs w:val="18"/>
          <w:lang w:val="en-US"/>
        </w:rPr>
      </w:pPr>
      <w:r w:rsidRPr="00A409AF">
        <w:rPr>
          <w:rStyle w:val="Appelnotedebasdep"/>
          <w:rFonts w:asciiTheme="minorHAnsi" w:hAnsiTheme="minorHAnsi"/>
          <w:sz w:val="18"/>
          <w:szCs w:val="18"/>
        </w:rPr>
        <w:footnoteRef/>
      </w:r>
      <w:r w:rsidRPr="00A65359">
        <w:rPr>
          <w:rFonts w:asciiTheme="minorHAnsi" w:hAnsiTheme="minorHAnsi"/>
          <w:sz w:val="18"/>
          <w:szCs w:val="18"/>
          <w:lang w:val="en-US"/>
        </w:rPr>
        <w:t xml:space="preserve"> EU Transparency Register number : 75149096203-49</w:t>
      </w:r>
    </w:p>
  </w:footnote>
  <w:footnote w:id="3">
    <w:p w14:paraId="4F17573A" w14:textId="5003BB30" w:rsidR="000F2CBD" w:rsidRDefault="000F2CBD" w:rsidP="000F2CBD">
      <w:pPr>
        <w:pStyle w:val="Notedebasdepage"/>
        <w:rPr>
          <w:lang w:val="en-US"/>
        </w:rPr>
      </w:pPr>
      <w:r w:rsidRPr="00F4633F">
        <w:rPr>
          <w:rStyle w:val="Appelnotedebasdep"/>
          <w:rFonts w:ascii="Calibri" w:hAnsi="Calibri"/>
          <w:sz w:val="18"/>
          <w:szCs w:val="18"/>
        </w:rPr>
        <w:footnoteRef/>
      </w:r>
      <w:r w:rsidRPr="00F4633F">
        <w:rPr>
          <w:rFonts w:ascii="Calibri" w:hAnsi="Calibri"/>
          <w:sz w:val="18"/>
          <w:szCs w:val="18"/>
          <w:lang w:val="en-US"/>
        </w:rPr>
        <w:t xml:space="preserve"> </w:t>
      </w:r>
      <w:r w:rsidRPr="00F4633F">
        <w:rPr>
          <w:rFonts w:ascii="Calibri" w:hAnsi="Calibri"/>
          <w:color w:val="000000"/>
          <w:kern w:val="24"/>
          <w:sz w:val="18"/>
          <w:szCs w:val="18"/>
          <w:lang w:val="en-US"/>
        </w:rPr>
        <w:t>By €</w:t>
      </w:r>
      <w:proofErr w:type="spellStart"/>
      <w:r w:rsidRPr="00F4633F">
        <w:rPr>
          <w:rFonts w:ascii="Calibri" w:hAnsi="Calibri"/>
          <w:color w:val="000000"/>
          <w:kern w:val="24"/>
          <w:sz w:val="18"/>
          <w:szCs w:val="18"/>
          <w:lang w:val="en-US"/>
        </w:rPr>
        <w:t>AuM</w:t>
      </w:r>
      <w:proofErr w:type="spellEnd"/>
      <w:r w:rsidRPr="00F4633F">
        <w:rPr>
          <w:rFonts w:ascii="Calibri" w:hAnsi="Calibri"/>
          <w:color w:val="000000"/>
          <w:kern w:val="24"/>
          <w:sz w:val="18"/>
          <w:szCs w:val="18"/>
          <w:lang w:val="en-US"/>
        </w:rPr>
        <w:t>. Source: Invest</w:t>
      </w:r>
      <w:r>
        <w:rPr>
          <w:rFonts w:ascii="Calibri" w:hAnsi="Calibri"/>
          <w:color w:val="000000"/>
          <w:kern w:val="24"/>
          <w:sz w:val="18"/>
          <w:szCs w:val="18"/>
          <w:lang w:val="en-US"/>
        </w:rPr>
        <w:t xml:space="preserve">ment &amp; </w:t>
      </w:r>
      <w:r w:rsidR="00BB7FE6">
        <w:rPr>
          <w:rFonts w:ascii="Calibri" w:hAnsi="Calibri"/>
          <w:color w:val="000000"/>
          <w:kern w:val="24"/>
          <w:sz w:val="18"/>
          <w:szCs w:val="18"/>
          <w:lang w:val="en-US"/>
        </w:rPr>
        <w:t>Pensions Europe June 2017</w:t>
      </w:r>
      <w:r w:rsidRPr="00F4633F">
        <w:rPr>
          <w:rFonts w:ascii="Calibri" w:hAnsi="Calibri"/>
          <w:color w:val="000000"/>
          <w:kern w:val="24"/>
          <w:sz w:val="18"/>
          <w:szCs w:val="18"/>
          <w:lang w:val="en-US"/>
        </w:rPr>
        <w:t xml:space="preserve"> issue “</w:t>
      </w:r>
      <w:r>
        <w:rPr>
          <w:rFonts w:ascii="Calibri" w:hAnsi="Calibri"/>
          <w:i/>
          <w:color w:val="000000"/>
          <w:kern w:val="24"/>
          <w:sz w:val="18"/>
          <w:szCs w:val="18"/>
          <w:lang w:val="en-US"/>
        </w:rPr>
        <w:t>Top 400 Asset Managers 201</w:t>
      </w:r>
      <w:r w:rsidR="00BB7FE6">
        <w:rPr>
          <w:rFonts w:ascii="Calibri" w:hAnsi="Calibri"/>
          <w:i/>
          <w:color w:val="000000"/>
          <w:kern w:val="24"/>
          <w:sz w:val="18"/>
          <w:szCs w:val="18"/>
          <w:lang w:val="en-US"/>
        </w:rPr>
        <w:t>7</w:t>
      </w:r>
      <w:r>
        <w:rPr>
          <w:rFonts w:ascii="Calibri" w:hAnsi="Calibri"/>
          <w:color w:val="000000"/>
          <w:kern w:val="24"/>
          <w:sz w:val="18"/>
          <w:szCs w:val="18"/>
          <w:lang w:val="en-US"/>
        </w:rPr>
        <w:t>”</w:t>
      </w:r>
    </w:p>
  </w:footnote>
  <w:footnote w:id="4">
    <w:p w14:paraId="4D7A1C2B" w14:textId="34D9E781" w:rsidR="000F2CBD" w:rsidRPr="000C0F31" w:rsidRDefault="000F2CBD" w:rsidP="000F2CBD">
      <w:pPr>
        <w:pStyle w:val="Notedebasdepage"/>
        <w:rPr>
          <w:lang w:val="en-US"/>
        </w:rPr>
      </w:pPr>
      <w:r>
        <w:rPr>
          <w:rStyle w:val="Appelnotedebasdep"/>
        </w:rPr>
        <w:footnoteRef/>
      </w:r>
      <w:r w:rsidRPr="000C0F31">
        <w:rPr>
          <w:lang w:val="en-US"/>
        </w:rPr>
        <w:t xml:space="preserve"> </w:t>
      </w:r>
      <w:r w:rsidR="00E45018">
        <w:rPr>
          <w:rFonts w:ascii="Calibri" w:hAnsi="Calibri"/>
          <w:color w:val="000000"/>
          <w:kern w:val="24"/>
          <w:sz w:val="18"/>
          <w:szCs w:val="18"/>
          <w:lang w:val="en-US"/>
        </w:rPr>
        <w:t>€ 747</w:t>
      </w:r>
      <w:r w:rsidRPr="000C0F31">
        <w:rPr>
          <w:rFonts w:ascii="Calibri" w:hAnsi="Calibri"/>
          <w:color w:val="000000"/>
          <w:kern w:val="24"/>
          <w:sz w:val="18"/>
          <w:szCs w:val="18"/>
          <w:lang w:val="en-US"/>
        </w:rPr>
        <w:t xml:space="preserve">bn as of end of </w:t>
      </w:r>
      <w:r w:rsidR="00E45018">
        <w:rPr>
          <w:rFonts w:ascii="Calibri" w:hAnsi="Calibri"/>
          <w:color w:val="000000"/>
          <w:kern w:val="24"/>
          <w:sz w:val="18"/>
          <w:szCs w:val="18"/>
          <w:lang w:val="en-US"/>
        </w:rPr>
        <w:t>March 2017</w:t>
      </w:r>
    </w:p>
  </w:footnote>
  <w:footnote w:id="5">
    <w:p w14:paraId="33188239" w14:textId="77777777" w:rsidR="000A7D5F" w:rsidRDefault="000A7D5F" w:rsidP="000A7D5F">
      <w:pPr>
        <w:pStyle w:val="Notedebasdepage"/>
      </w:pPr>
      <w:r>
        <w:rPr>
          <w:rStyle w:val="Appelnotedebasdep"/>
        </w:rPr>
        <w:footnoteRef/>
      </w:r>
      <w:r>
        <w:t xml:space="preserve"> in order in particular to build meaningful time series to be used for understanding the activity of a fund and for analysis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811EDA" w:rsidRDefault="00DE66EB">
    <w:pPr>
      <w:pStyle w:val="En-tte"/>
    </w:pPr>
    <w:r>
      <w:rPr>
        <w:noProof/>
        <w:lang w:val="fr-FR" w:eastAsia="zh-CN"/>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CN"/>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BAEE2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811EDA" w:rsidRDefault="00DE66EB" w:rsidP="00013CCE">
    <w:pPr>
      <w:pStyle w:val="En-tte"/>
      <w:jc w:val="right"/>
    </w:pPr>
    <w:r>
      <w:rPr>
        <w:noProof/>
        <w:lang w:val="fr-FR" w:eastAsia="zh-CN"/>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CN"/>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En-tte"/>
      <w:rPr>
        <w:lang w:val="fr-FR"/>
      </w:rPr>
    </w:pPr>
  </w:p>
  <w:p w14:paraId="7D075F96" w14:textId="77777777" w:rsidR="00811EDA" w:rsidRPr="002F4496" w:rsidRDefault="00811EDA" w:rsidP="000C06C9">
    <w:pPr>
      <w:pStyle w:val="En-tte"/>
      <w:tabs>
        <w:tab w:val="clear" w:pos="4536"/>
        <w:tab w:val="clear" w:pos="9072"/>
        <w:tab w:val="left" w:pos="8227"/>
      </w:tabs>
      <w:rPr>
        <w:lang w:val="fr-FR"/>
      </w:rPr>
    </w:pPr>
  </w:p>
  <w:p w14:paraId="1EEAF2AF" w14:textId="77777777" w:rsidR="00811EDA" w:rsidRPr="002F4496" w:rsidRDefault="00811EDA" w:rsidP="000C06C9">
    <w:pPr>
      <w:pStyle w:val="En-tte"/>
      <w:tabs>
        <w:tab w:val="clear" w:pos="4536"/>
        <w:tab w:val="clear" w:pos="9072"/>
        <w:tab w:val="left" w:pos="8227"/>
      </w:tabs>
      <w:rPr>
        <w:lang w:val="fr-FR"/>
      </w:rPr>
    </w:pPr>
  </w:p>
  <w:p w14:paraId="366CDA59" w14:textId="77777777" w:rsidR="00811EDA" w:rsidRPr="002F4496" w:rsidRDefault="00811EDA">
    <w:pPr>
      <w:pStyle w:val="En-tte"/>
      <w:rPr>
        <w:lang w:val="fr-FR"/>
      </w:rPr>
    </w:pPr>
  </w:p>
  <w:p w14:paraId="090159B5" w14:textId="77777777" w:rsidR="00811EDA" w:rsidRPr="002F4496" w:rsidRDefault="00811EDA">
    <w:pPr>
      <w:pStyle w:val="En-tte"/>
      <w:rPr>
        <w:lang w:val="fr-FR"/>
      </w:rPr>
    </w:pPr>
  </w:p>
  <w:p w14:paraId="13DB3246" w14:textId="77777777" w:rsidR="00811EDA" w:rsidRPr="002F4496" w:rsidRDefault="00811EDA">
    <w:pPr>
      <w:pStyle w:val="En-tte"/>
      <w:rPr>
        <w:lang w:val="fr-FR"/>
      </w:rPr>
    </w:pPr>
  </w:p>
  <w:p w14:paraId="5B245FC6" w14:textId="77777777" w:rsidR="00811EDA" w:rsidRPr="002F4496" w:rsidRDefault="00811EDA">
    <w:pPr>
      <w:pStyle w:val="En-tte"/>
      <w:rPr>
        <w:lang w:val="fr-FR"/>
      </w:rPr>
    </w:pPr>
  </w:p>
  <w:p w14:paraId="1D7B1F8D" w14:textId="77777777" w:rsidR="00811EDA" w:rsidRPr="002F4496" w:rsidRDefault="00811EDA">
    <w:pPr>
      <w:pStyle w:val="En-tte"/>
      <w:rPr>
        <w:highlight w:val="yellow"/>
        <w:lang w:val="fr-FR"/>
      </w:rPr>
    </w:pPr>
  </w:p>
  <w:p w14:paraId="177617ED" w14:textId="77777777" w:rsidR="00811EDA" w:rsidRDefault="00DE66EB">
    <w:pPr>
      <w:pStyle w:val="En-tte"/>
    </w:pPr>
    <w:r>
      <w:rPr>
        <w:noProof/>
        <w:lang w:val="fr-FR" w:eastAsia="zh-CN"/>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F6E72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zh-CN"/>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3F107E81"/>
    <w:multiLevelType w:val="hybridMultilevel"/>
    <w:tmpl w:val="F8A0DA8C"/>
    <w:lvl w:ilvl="0" w:tplc="EDB4D48C">
      <w:start w:val="1"/>
      <w:numFmt w:val="bullet"/>
      <w:lvlText w:val="*"/>
      <w:lvlJc w:val="left"/>
      <w:pPr>
        <w:ind w:left="548" w:hanging="258"/>
      </w:pPr>
      <w:rPr>
        <w:rFonts w:ascii="Arial" w:eastAsia="Arial" w:hAnsi="Arial" w:hint="default"/>
        <w:b/>
        <w:bCs/>
        <w:color w:val="FF0000"/>
        <w:w w:val="101"/>
        <w:position w:val="-14"/>
        <w:sz w:val="31"/>
        <w:szCs w:val="31"/>
      </w:rPr>
    </w:lvl>
    <w:lvl w:ilvl="1" w:tplc="A8EC158A">
      <w:start w:val="1"/>
      <w:numFmt w:val="bullet"/>
      <w:lvlText w:val="•"/>
      <w:lvlJc w:val="left"/>
      <w:pPr>
        <w:ind w:left="1509" w:hanging="258"/>
      </w:pPr>
      <w:rPr>
        <w:rFonts w:hint="default"/>
      </w:rPr>
    </w:lvl>
    <w:lvl w:ilvl="2" w:tplc="CC50A24E">
      <w:start w:val="1"/>
      <w:numFmt w:val="bullet"/>
      <w:lvlText w:val="•"/>
      <w:lvlJc w:val="left"/>
      <w:pPr>
        <w:ind w:left="2471" w:hanging="258"/>
      </w:pPr>
      <w:rPr>
        <w:rFonts w:hint="default"/>
      </w:rPr>
    </w:lvl>
    <w:lvl w:ilvl="3" w:tplc="2ADA4DA2">
      <w:start w:val="1"/>
      <w:numFmt w:val="bullet"/>
      <w:lvlText w:val="•"/>
      <w:lvlJc w:val="left"/>
      <w:pPr>
        <w:ind w:left="3433" w:hanging="258"/>
      </w:pPr>
      <w:rPr>
        <w:rFonts w:hint="default"/>
      </w:rPr>
    </w:lvl>
    <w:lvl w:ilvl="4" w:tplc="92F8B080">
      <w:start w:val="1"/>
      <w:numFmt w:val="bullet"/>
      <w:lvlText w:val="•"/>
      <w:lvlJc w:val="left"/>
      <w:pPr>
        <w:ind w:left="4395" w:hanging="258"/>
      </w:pPr>
      <w:rPr>
        <w:rFonts w:hint="default"/>
      </w:rPr>
    </w:lvl>
    <w:lvl w:ilvl="5" w:tplc="9C4EC3C2">
      <w:start w:val="1"/>
      <w:numFmt w:val="bullet"/>
      <w:lvlText w:val="•"/>
      <w:lvlJc w:val="left"/>
      <w:pPr>
        <w:ind w:left="5356" w:hanging="258"/>
      </w:pPr>
      <w:rPr>
        <w:rFonts w:hint="default"/>
      </w:rPr>
    </w:lvl>
    <w:lvl w:ilvl="6" w:tplc="84B6AA16">
      <w:start w:val="1"/>
      <w:numFmt w:val="bullet"/>
      <w:lvlText w:val="•"/>
      <w:lvlJc w:val="left"/>
      <w:pPr>
        <w:ind w:left="6318" w:hanging="258"/>
      </w:pPr>
      <w:rPr>
        <w:rFonts w:hint="default"/>
      </w:rPr>
    </w:lvl>
    <w:lvl w:ilvl="7" w:tplc="94C6DDB0">
      <w:start w:val="1"/>
      <w:numFmt w:val="bullet"/>
      <w:lvlText w:val="•"/>
      <w:lvlJc w:val="left"/>
      <w:pPr>
        <w:ind w:left="7280" w:hanging="258"/>
      </w:pPr>
      <w:rPr>
        <w:rFonts w:hint="default"/>
      </w:rPr>
    </w:lvl>
    <w:lvl w:ilvl="8" w:tplc="52A88512">
      <w:start w:val="1"/>
      <w:numFmt w:val="bullet"/>
      <w:lvlText w:val="•"/>
      <w:lvlJc w:val="left"/>
      <w:pPr>
        <w:ind w:left="8242" w:hanging="258"/>
      </w:pPr>
      <w:rPr>
        <w:rFonts w:hint="default"/>
      </w:r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2c+tv8QCpUfOdqCVRoHnQkK++Zss3tyavuOXJT+Y04B/ZixD1S75ZWQOPCzemWCJVma/4naqAAnGyFdQu3/JWA==" w:salt="6c5I5lrLWmvgss0A56XM5w=="/>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09"/>
    <w:rsid w:val="000E1AEC"/>
    <w:rsid w:val="000E3937"/>
    <w:rsid w:val="000E4926"/>
    <w:rsid w:val="000E5F7F"/>
    <w:rsid w:val="000E7086"/>
    <w:rsid w:val="000E7C65"/>
    <w:rsid w:val="000F04D2"/>
    <w:rsid w:val="000F2CBD"/>
    <w:rsid w:val="000F42FA"/>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C3F"/>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5D6"/>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1CA0"/>
    <w:rsid w:val="0018204A"/>
    <w:rsid w:val="00182E49"/>
    <w:rsid w:val="00182F7C"/>
    <w:rsid w:val="001843B5"/>
    <w:rsid w:val="00186829"/>
    <w:rsid w:val="001868CA"/>
    <w:rsid w:val="00187304"/>
    <w:rsid w:val="001875BE"/>
    <w:rsid w:val="0019017A"/>
    <w:rsid w:val="00190B8C"/>
    <w:rsid w:val="00190FF8"/>
    <w:rsid w:val="00192E8D"/>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29E9"/>
    <w:rsid w:val="001D3A1F"/>
    <w:rsid w:val="001D3FB6"/>
    <w:rsid w:val="001D4550"/>
    <w:rsid w:val="001D5498"/>
    <w:rsid w:val="001D5BAF"/>
    <w:rsid w:val="001D6401"/>
    <w:rsid w:val="001D66C9"/>
    <w:rsid w:val="001D722A"/>
    <w:rsid w:val="001E04FC"/>
    <w:rsid w:val="001E17C8"/>
    <w:rsid w:val="001E407D"/>
    <w:rsid w:val="001E40FB"/>
    <w:rsid w:val="001E66EC"/>
    <w:rsid w:val="001E68C5"/>
    <w:rsid w:val="001F0F63"/>
    <w:rsid w:val="001F3996"/>
    <w:rsid w:val="001F44A4"/>
    <w:rsid w:val="001F579D"/>
    <w:rsid w:val="001F5B18"/>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D37"/>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0C85"/>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F0"/>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5A0"/>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15F7"/>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220"/>
    <w:rsid w:val="007E4AAA"/>
    <w:rsid w:val="007E4BD2"/>
    <w:rsid w:val="007E4C29"/>
    <w:rsid w:val="007E5E44"/>
    <w:rsid w:val="007F0DDA"/>
    <w:rsid w:val="007F1939"/>
    <w:rsid w:val="007F260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3410"/>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4C8D"/>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4A4"/>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6CF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2B10"/>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6303"/>
    <w:rsid w:val="00A8728B"/>
    <w:rsid w:val="00A91682"/>
    <w:rsid w:val="00A92E4A"/>
    <w:rsid w:val="00A958CA"/>
    <w:rsid w:val="00A966B6"/>
    <w:rsid w:val="00A96B46"/>
    <w:rsid w:val="00AA003B"/>
    <w:rsid w:val="00AA016B"/>
    <w:rsid w:val="00AA15DD"/>
    <w:rsid w:val="00AA1C09"/>
    <w:rsid w:val="00AA2F67"/>
    <w:rsid w:val="00AA315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B7FE6"/>
    <w:rsid w:val="00BC15B1"/>
    <w:rsid w:val="00BC16E9"/>
    <w:rsid w:val="00BC3C06"/>
    <w:rsid w:val="00BC4E8B"/>
    <w:rsid w:val="00BC5622"/>
    <w:rsid w:val="00BC6060"/>
    <w:rsid w:val="00BC7897"/>
    <w:rsid w:val="00BD0F35"/>
    <w:rsid w:val="00BD2432"/>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338"/>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6A06"/>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0D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999"/>
    <w:rsid w:val="00D67101"/>
    <w:rsid w:val="00D7106D"/>
    <w:rsid w:val="00D71B45"/>
    <w:rsid w:val="00D71F8A"/>
    <w:rsid w:val="00D75603"/>
    <w:rsid w:val="00D75FEE"/>
    <w:rsid w:val="00D76933"/>
    <w:rsid w:val="00D76D88"/>
    <w:rsid w:val="00D77CC9"/>
    <w:rsid w:val="00D83D4B"/>
    <w:rsid w:val="00D8668D"/>
    <w:rsid w:val="00D871C6"/>
    <w:rsid w:val="00D91010"/>
    <w:rsid w:val="00D91B43"/>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C6C"/>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58E"/>
    <w:rsid w:val="00E16FB5"/>
    <w:rsid w:val="00E179D6"/>
    <w:rsid w:val="00E21407"/>
    <w:rsid w:val="00E22668"/>
    <w:rsid w:val="00E227D3"/>
    <w:rsid w:val="00E22BFF"/>
    <w:rsid w:val="00E22CB0"/>
    <w:rsid w:val="00E23798"/>
    <w:rsid w:val="00E2585D"/>
    <w:rsid w:val="00E25A9C"/>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018"/>
    <w:rsid w:val="00E47430"/>
    <w:rsid w:val="00E50FB7"/>
    <w:rsid w:val="00E5199F"/>
    <w:rsid w:val="00E526DF"/>
    <w:rsid w:val="00E53C15"/>
    <w:rsid w:val="00E54EE6"/>
    <w:rsid w:val="00E56715"/>
    <w:rsid w:val="00E56C2C"/>
    <w:rsid w:val="00E57F8E"/>
    <w:rsid w:val="00E611C8"/>
    <w:rsid w:val="00E6344A"/>
    <w:rsid w:val="00E64E69"/>
    <w:rsid w:val="00E64FB7"/>
    <w:rsid w:val="00E66279"/>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45EB"/>
    <w:rsid w:val="00E949C4"/>
    <w:rsid w:val="00E97C6C"/>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4A30"/>
    <w:rsid w:val="00EF61C1"/>
    <w:rsid w:val="00EF6E68"/>
    <w:rsid w:val="00EF76DB"/>
    <w:rsid w:val="00F005FD"/>
    <w:rsid w:val="00F02C04"/>
    <w:rsid w:val="00F03AF1"/>
    <w:rsid w:val="00F04BCD"/>
    <w:rsid w:val="00F05A8C"/>
    <w:rsid w:val="00F06211"/>
    <w:rsid w:val="00F10A54"/>
    <w:rsid w:val="00F123D0"/>
    <w:rsid w:val="00F13200"/>
    <w:rsid w:val="00F13411"/>
    <w:rsid w:val="00F13495"/>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0C5D"/>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4e156a7-4389-4348-bdc5-772e1b15193f">
      <Value>76</Value>
      <Value>2</Value>
      <Value>125</Value>
      <Value>85</Value>
    </TaxCatchAll>
    <MeetingDate xmlns="04e156a7-4389-4348-bdc5-772e1b15193f" xsi:nil="true"/>
    <Year xmlns="04e156a7-4389-4348-bdc5-772e1b15193f">2017</Year>
    <_dlc_DocId xmlns="04e156a7-4389-4348-bdc5-772e1b15193f">ESMA71-102-160</_dlc_DocId>
    <_dlc_DocIdUrl xmlns="04e156a7-4389-4348-bdc5-772e1b15193f">
      <Url>http://sherpa.esma.europa.eu/sites/COM/_layouts/15/DocIdRedir.aspx?ID=ESMA71-102-160</Url>
      <Description>ESMA71-102-160</Description>
    </_dlc_DocIdUrl>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c8637115ca234e04bb3384934748beb0>
    <gda4d86408c5493e8985022410f7cd57 xmlns="04e156a7-4389-4348-bdc5-772e1b15193f">
      <Terms xmlns="http://schemas.microsoft.com/office/infopath/2007/PartnerControls"/>
    </gda4d86408c5493e8985022410f7cd57>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documentManagement>
</p:properties>
</file>

<file path=customXml/item3.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3" ma:contentTypeDescription="" ma:contentTypeScope="" ma:versionID="40197cbc16f92aa3cc02cf9b3204be90">
  <xsd:schema xmlns:xsd="http://www.w3.org/2001/XMLSchema" xmlns:xs="http://www.w3.org/2001/XMLSchema" xmlns:p="http://schemas.microsoft.com/office/2006/metadata/properties" xmlns:ns1="http://schemas.microsoft.com/sharepoint/v3" xmlns:ns2="04e156a7-4389-4348-bdc5-772e1b15193f" xmlns:ns3="http://schemas.microsoft.com/sharepoint/v4" targetNamespace="http://schemas.microsoft.com/office/2006/metadata/properties" ma:root="true" ma:fieldsID="719b9ca3217baa07eb0e210948fd8ee9" ns1:_="" ns2:_="" ns3:_="">
    <xsd:import namespace="http://schemas.microsoft.com/sharepoint/v3"/>
    <xsd:import namespace="04e156a7-4389-4348-bdc5-772e1b15193f"/>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7" ma:description="" ma:internalName="Year">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default="" ma:fieldId="{0da4d864-08c5-493e-8985-022410f7cd57}"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04e156a7-4389-4348-bdc5-772e1b15193f"/>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sharepoint/v3"/>
    <ds:schemaRef ds:uri="http://schemas.microsoft.com/office/infopath/2007/PartnerControls"/>
    <ds:schemaRef ds:uri="http://www.w3.org/XML/1998/namespace"/>
    <ds:schemaRef ds:uri="http://schemas.openxmlformats.org/package/2006/metadata/core-properties"/>
    <ds:schemaRef ds:uri="http://schemas.microsoft.com/sharepoint/v4"/>
  </ds:schemaRefs>
</ds:datastoreItem>
</file>

<file path=customXml/itemProps3.xml><?xml version="1.0" encoding="utf-8"?>
<ds:datastoreItem xmlns:ds="http://schemas.openxmlformats.org/officeDocument/2006/customXml" ds:itemID="{ABE14D46-4CA3-4694-AF5A-7A252308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156a7-4389-4348-bdc5-772e1b15193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7FA5D391-4F49-43F4-BD04-C63332E3558A}">
  <ds:schemaRefs>
    <ds:schemaRef ds:uri="http://schemas.openxmlformats.org/officeDocument/2006/bibliography"/>
  </ds:schemaRefs>
</ds:datastoreItem>
</file>

<file path=customXml/itemProps6.xml><?xml version="1.0" encoding="utf-8"?>
<ds:datastoreItem xmlns:ds="http://schemas.openxmlformats.org/officeDocument/2006/customXml" ds:itemID="{0D25B124-6D0C-4790-9E10-54B60509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5322</Words>
  <Characters>27863</Characters>
  <Application>Microsoft Office Word</Application>
  <DocSecurity>8</DocSecurity>
  <Lines>232</Lines>
  <Paragraphs>66</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33119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JANIN Stéphane</cp:lastModifiedBy>
  <cp:revision>40</cp:revision>
  <cp:lastPrinted>2015-02-18T11:01:00Z</cp:lastPrinted>
  <dcterms:created xsi:type="dcterms:W3CDTF">2017-08-03T09:11:00Z</dcterms:created>
  <dcterms:modified xsi:type="dcterms:W3CDTF">2017-08-03T09:57:00Z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EsmaAudience">
    <vt:lpwstr/>
  </property>
  <property fmtid="{D5CDD505-2E9C-101B-9397-08002B2CF9AE}" pid="4" name="TeamName">
    <vt:lpwstr>125;#Investment Management|9630b78b-e81c-4ffd-baef-5f8b4aeb7ac5</vt:lpwstr>
  </property>
  <property fmtid="{D5CDD505-2E9C-101B-9397-08002B2CF9AE}" pid="5" name="Topic">
    <vt:lpwstr>76;#Publications|e7965682-b06b-4956-a8ca-d94498dfae3d</vt:lpwstr>
  </property>
  <property fmtid="{D5CDD505-2E9C-101B-9397-08002B2CF9AE}" pid="6" name="SubTopic">
    <vt:lpwstr/>
  </property>
  <property fmtid="{D5CDD505-2E9C-101B-9397-08002B2CF9AE}" pid="7" name="DocumentType">
    <vt:lpwstr>85;#Form / Request|efe27f23-61a2-47e7-916e-544dd02c80f4</vt:lpwstr>
  </property>
  <property fmtid="{D5CDD505-2E9C-101B-9397-08002B2CF9AE}" pid="8" name="ConfidentialityLevel">
    <vt:lpwstr>2;#Regular|07f1e362-856b-423d-bea6-a14079762141</vt:lpwstr>
  </property>
  <property fmtid="{D5CDD505-2E9C-101B-9397-08002B2CF9AE}" pid="9" name="_dlc_DocIdItemGuid">
    <vt:lpwstr>93034d5d-1643-420a-992c-69eb446d0ecf</vt:lpwstr>
  </property>
</Properties>
</file>