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B33D2A" w14:paraId="075C914B" w14:textId="77777777" w:rsidTr="00315E96">
        <w:trPr>
          <w:trHeight w:val="284"/>
        </w:trPr>
        <w:tc>
          <w:tcPr>
            <w:tcW w:w="9412" w:type="dxa"/>
          </w:tcPr>
          <w:p w14:paraId="652D3D7E" w14:textId="77777777" w:rsidR="00A52EBB" w:rsidRPr="00B33D2A" w:rsidRDefault="00A52EBB" w:rsidP="00A52EBB">
            <w:pPr>
              <w:pStyle w:val="Footer"/>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14:paraId="139CF480" w14:textId="77777777" w:rsidR="00C2094B" w:rsidRPr="00B33D2A" w:rsidRDefault="00C2094B" w:rsidP="00C81798">
            <w:pPr>
              <w:pStyle w:val="00bDBInfo"/>
              <w:rPr>
                <w:rFonts w:cs="Arial"/>
                <w:color w:val="auto"/>
                <w:sz w:val="22"/>
                <w:szCs w:val="22"/>
              </w:rPr>
            </w:pPr>
          </w:p>
        </w:tc>
      </w:tr>
    </w:tbl>
    <w:p w14:paraId="053EA5F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71E44E84" w14:textId="77777777" w:rsidTr="00B835D5">
        <w:trPr>
          <w:trHeight w:hRule="exact" w:val="1209"/>
        </w:trPr>
        <w:tc>
          <w:tcPr>
            <w:tcW w:w="9397" w:type="dxa"/>
            <w:vAlign w:val="bottom"/>
          </w:tcPr>
          <w:p w14:paraId="4F71C5A7" w14:textId="77777777"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14:paraId="5AB87819" w14:textId="77777777" w:rsidR="00791EB4" w:rsidRPr="00616B9B" w:rsidRDefault="00791EB4" w:rsidP="00C000A5">
            <w:pPr>
              <w:pStyle w:val="01aDBTitle"/>
              <w:rPr>
                <w:rFonts w:cs="Arial"/>
              </w:rPr>
            </w:pPr>
          </w:p>
        </w:tc>
      </w:tr>
      <w:tr w:rsidR="00060F72" w:rsidRPr="00616B9B" w14:paraId="7CD6950E" w14:textId="77777777" w:rsidTr="00B835D5">
        <w:trPr>
          <w:trHeight w:hRule="exact" w:val="605"/>
        </w:trPr>
        <w:tc>
          <w:tcPr>
            <w:tcW w:w="9397" w:type="dxa"/>
            <w:tcMar>
              <w:top w:w="142" w:type="dxa"/>
            </w:tcMar>
          </w:tcPr>
          <w:p w14:paraId="5EA50C52"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F21302C"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7081BBC" w14:textId="77777777" w:rsidTr="00315E96">
        <w:trPr>
          <w:trHeight w:hRule="exact" w:val="964"/>
        </w:trPr>
        <w:tc>
          <w:tcPr>
            <w:tcW w:w="2325" w:type="dxa"/>
          </w:tcPr>
          <w:p w14:paraId="4741EC03" w14:textId="77777777"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14:paraId="1D1CE3AD"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857184B"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14:paraId="404BFB25" w14:textId="77777777" w:rsidR="001D000A" w:rsidRDefault="001D000A" w:rsidP="00F574D0">
      <w:pPr>
        <w:autoSpaceDE w:val="0"/>
        <w:autoSpaceDN w:val="0"/>
        <w:adjustRightInd w:val="0"/>
        <w:spacing w:before="120" w:after="120" w:line="276" w:lineRule="auto"/>
        <w:jc w:val="both"/>
        <w:rPr>
          <w:rStyle w:val="Strong4"/>
          <w:rFonts w:cs="Arial"/>
          <w:i/>
        </w:rPr>
      </w:pPr>
    </w:p>
    <w:p w14:paraId="3DEE84B2"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2657ABB"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0A221827"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590536D5"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14:paraId="38156FB9"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296BDB6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29CCFE66"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38484BD3"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48919D0B"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14:paraId="15427C1A" w14:textId="77777777" w:rsidR="001D000A" w:rsidRDefault="001D000A" w:rsidP="000D17AA">
      <w:pPr>
        <w:pStyle w:val="04BodyText"/>
        <w:spacing w:before="120" w:after="120"/>
        <w:jc w:val="left"/>
        <w:rPr>
          <w:rFonts w:cs="Arial"/>
          <w:b/>
        </w:rPr>
      </w:pPr>
    </w:p>
    <w:p w14:paraId="329FA167" w14:textId="77777777" w:rsidR="000D17AA" w:rsidRPr="00EF0769" w:rsidRDefault="00606240" w:rsidP="000D17AA">
      <w:pPr>
        <w:pStyle w:val="04BodyText"/>
        <w:spacing w:before="120" w:after="120"/>
        <w:jc w:val="left"/>
        <w:rPr>
          <w:rFonts w:cs="Arial"/>
          <w:b/>
        </w:rPr>
      </w:pPr>
      <w:r>
        <w:rPr>
          <w:rFonts w:cs="Arial"/>
          <w:b/>
        </w:rPr>
        <w:t>Naming protocol</w:t>
      </w:r>
    </w:p>
    <w:p w14:paraId="30FFA97C"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5B15D54F" w14:textId="77777777"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14:paraId="6FA51AAD"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BFD5D07" w14:textId="77777777"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14:paraId="31E6AAE3" w14:textId="77777777"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14:paraId="79369C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F0CC961"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68966C6C"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14:paraId="6DCA516F"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14:paraId="05A3063D"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5A330FD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3F2FE4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4C1291F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F774B6E"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E95C7D4"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731FD61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7646A60"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251A5D6" w14:textId="77777777" w:rsidR="00332304" w:rsidRDefault="00332304">
      <w:r>
        <w:br w:type="page"/>
      </w:r>
    </w:p>
    <w:p w14:paraId="2153EF17" w14:textId="77777777" w:rsidR="00812715" w:rsidRDefault="00812715" w:rsidP="00812715">
      <w:pPr>
        <w:pStyle w:val="Heading1"/>
        <w:numPr>
          <w:ilvl w:val="0"/>
          <w:numId w:val="0"/>
        </w:numPr>
        <w:rPr>
          <w:szCs w:val="24"/>
        </w:rPr>
      </w:pPr>
      <w:r>
        <w:lastRenderedPageBreak/>
        <w:t>General information about respondent</w:t>
      </w:r>
    </w:p>
    <w:tbl>
      <w:tblPr>
        <w:tblW w:w="9524" w:type="dxa"/>
        <w:tblInd w:w="-8" w:type="dxa"/>
        <w:tblCellMar>
          <w:left w:w="0" w:type="dxa"/>
          <w:right w:w="0" w:type="dxa"/>
        </w:tblCellMar>
        <w:tblLook w:val="04A0" w:firstRow="1" w:lastRow="0" w:firstColumn="1" w:lastColumn="0" w:noHBand="0" w:noVBand="1"/>
      </w:tblPr>
      <w:tblGrid>
        <w:gridCol w:w="3929"/>
        <w:gridCol w:w="5595"/>
      </w:tblGrid>
      <w:tr w:rsidR="00812715" w14:paraId="7A955497" w14:textId="77777777"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0811DC" w14:textId="77777777" w:rsidR="00812715" w:rsidRDefault="00812715">
            <w:pPr>
              <w:rPr>
                <w:rFonts w:eastAsiaTheme="minorHAnsi"/>
              </w:rPr>
            </w:pPr>
            <w:r>
              <w:t>Name of the company / organisation</w:t>
            </w:r>
          </w:p>
        </w:tc>
        <w:sdt>
          <w:sdtPr>
            <w:rPr>
              <w:rStyle w:val="PlaceholderText"/>
            </w:rPr>
            <w:id w:val="-1905066999"/>
            <w:showingPlcHdr/>
            <w:text/>
          </w:sdtPr>
          <w:sdtEndPr>
            <w:rPr>
              <w:rStyle w:val="PlaceholderText"/>
            </w:rPr>
          </w:sdtEnd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1E9DB" w14:textId="77777777" w:rsidR="00812715" w:rsidRDefault="00812715">
                <w:pPr>
                  <w:rPr>
                    <w:rStyle w:val="PlaceholderText"/>
                  </w:rPr>
                </w:pPr>
                <w:r>
                  <w:rPr>
                    <w:rStyle w:val="PlaceholderText"/>
                  </w:rPr>
                  <w:t>Click here to enter text.</w:t>
                </w:r>
              </w:p>
            </w:tc>
          </w:sdtContent>
        </w:sdt>
      </w:tr>
      <w:tr w:rsidR="00812715" w14:paraId="26B0C8B1" w14:textId="77777777"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B237C" w14:textId="77777777" w:rsidR="00812715" w:rsidRDefault="00812715">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14:paraId="6AED24FC" w14:textId="77777777" w:rsidR="00812715" w:rsidRDefault="00CD1B08">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12715">
                  <w:t>Choose an item.</w:t>
                </w:r>
              </w:sdtContent>
            </w:sdt>
          </w:p>
        </w:tc>
      </w:tr>
      <w:tr w:rsidR="00812715" w14:paraId="59114D60" w14:textId="77777777"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EC90" w14:textId="77777777" w:rsidR="00812715" w:rsidRDefault="00812715">
            <w:r>
              <w:t>Are you representing an association?</w:t>
            </w:r>
          </w:p>
        </w:tc>
        <w:sdt>
          <w:sdtPr>
            <w:id w:val="-242871467"/>
            <w14:checkbox>
              <w14:checked w14:val="0"/>
              <w14:checkedState w14:val="2612" w14:font="MS Gothic"/>
              <w14:uncheckedState w14:val="2610" w14:font="MS Gothic"/>
            </w14:check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14:paraId="68F34E57" w14:textId="77777777" w:rsidR="00812715" w:rsidRDefault="002B2D3C">
                <w:r>
                  <w:rPr>
                    <w:rFonts w:ascii="MS Gothic" w:eastAsia="MS Gothic" w:hAnsi="MS Gothic" w:hint="eastAsia"/>
                  </w:rPr>
                  <w:t>☐</w:t>
                </w:r>
              </w:p>
            </w:tc>
          </w:sdtContent>
        </w:sdt>
      </w:tr>
      <w:tr w:rsidR="00812715" w14:paraId="26A5C0C4" w14:textId="77777777"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239B0" w14:textId="77777777" w:rsidR="00812715" w:rsidRDefault="00812715">
            <w:r>
              <w:t>Country/Region</w:t>
            </w:r>
          </w:p>
        </w:tc>
        <w:sdt>
          <w:sdt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14:paraId="26FBD84D" w14:textId="77777777" w:rsidR="00812715" w:rsidRDefault="00812715">
                <w:r>
                  <w:rPr>
                    <w:rStyle w:val="PlaceholderText"/>
                  </w:rPr>
                  <w:t>Choose an item.</w:t>
                </w:r>
              </w:p>
            </w:tc>
          </w:sdtContent>
        </w:sdt>
      </w:tr>
    </w:tbl>
    <w:p w14:paraId="3FE0DAEC" w14:textId="77777777" w:rsidR="00812715" w:rsidRPr="00FB079C" w:rsidRDefault="00812715" w:rsidP="00812715">
      <w:pPr>
        <w:rPr>
          <w:rFonts w:cs="Arial"/>
          <w:b/>
          <w:bCs/>
          <w:kern w:val="32"/>
          <w:sz w:val="24"/>
          <w:szCs w:val="32"/>
        </w:rPr>
      </w:pPr>
    </w:p>
    <w:p w14:paraId="303B60A9" w14:textId="77777777" w:rsidR="00812715" w:rsidRDefault="00812715">
      <w:pPr>
        <w:rPr>
          <w:rFonts w:cs="Arial"/>
          <w:b/>
          <w:bCs/>
          <w:kern w:val="32"/>
          <w:sz w:val="24"/>
          <w:szCs w:val="32"/>
        </w:rPr>
      </w:pPr>
    </w:p>
    <w:p w14:paraId="70F7ED76" w14:textId="77777777" w:rsidR="00812715" w:rsidRDefault="00812715">
      <w:pPr>
        <w:rPr>
          <w:rFonts w:cs="Arial"/>
          <w:b/>
          <w:bCs/>
          <w:kern w:val="32"/>
          <w:sz w:val="24"/>
          <w:szCs w:val="32"/>
        </w:rPr>
      </w:pPr>
    </w:p>
    <w:p w14:paraId="725DBF4D" w14:textId="77777777" w:rsidR="00812715" w:rsidRDefault="00812715">
      <w:pPr>
        <w:rPr>
          <w:rFonts w:cs="Arial"/>
          <w:b/>
          <w:bCs/>
          <w:kern w:val="32"/>
          <w:sz w:val="24"/>
          <w:szCs w:val="32"/>
        </w:rPr>
      </w:pPr>
    </w:p>
    <w:p w14:paraId="1180DB7F" w14:textId="77777777" w:rsidR="00812715" w:rsidRDefault="00812715">
      <w:pPr>
        <w:rPr>
          <w:rFonts w:cs="Arial"/>
          <w:b/>
          <w:bCs/>
          <w:kern w:val="32"/>
          <w:sz w:val="24"/>
          <w:szCs w:val="32"/>
        </w:rPr>
      </w:pPr>
    </w:p>
    <w:p w14:paraId="1771479E" w14:textId="77777777" w:rsidR="00812715" w:rsidRDefault="00812715">
      <w:pPr>
        <w:rPr>
          <w:rFonts w:cs="Arial"/>
          <w:b/>
          <w:bCs/>
          <w:kern w:val="32"/>
          <w:sz w:val="24"/>
          <w:szCs w:val="32"/>
        </w:rPr>
      </w:pPr>
    </w:p>
    <w:p w14:paraId="6FD53FE1" w14:textId="77777777" w:rsidR="00812715" w:rsidRDefault="00812715">
      <w:pPr>
        <w:rPr>
          <w:rFonts w:cs="Arial"/>
          <w:b/>
          <w:bCs/>
          <w:kern w:val="32"/>
          <w:sz w:val="24"/>
          <w:szCs w:val="32"/>
        </w:rPr>
      </w:pPr>
    </w:p>
    <w:p w14:paraId="63007F84" w14:textId="77777777" w:rsidR="00812715" w:rsidRDefault="00812715">
      <w:pPr>
        <w:rPr>
          <w:rFonts w:cs="Arial"/>
          <w:b/>
          <w:bCs/>
          <w:kern w:val="32"/>
          <w:sz w:val="24"/>
          <w:szCs w:val="32"/>
        </w:rPr>
      </w:pPr>
      <w:r>
        <w:rPr>
          <w:rFonts w:cs="Arial"/>
          <w:szCs w:val="22"/>
        </w:rPr>
        <w:br w:type="page"/>
      </w:r>
    </w:p>
    <w:p w14:paraId="2528D0A2" w14:textId="77777777" w:rsidR="00D34282" w:rsidRDefault="00D34282" w:rsidP="00D34282">
      <w:pPr>
        <w:pStyle w:val="Heading1"/>
        <w:numPr>
          <w:ilvl w:val="0"/>
          <w:numId w:val="0"/>
        </w:numPr>
        <w:ind w:left="431" w:hanging="431"/>
      </w:pPr>
      <w:r>
        <w:lastRenderedPageBreak/>
        <w:t>Introduction</w:t>
      </w:r>
    </w:p>
    <w:p w14:paraId="29D89CFC" w14:textId="77777777" w:rsidR="00D34282" w:rsidRPr="001D47A5" w:rsidRDefault="00D34282" w:rsidP="00D34282">
      <w:pPr>
        <w:rPr>
          <w:rStyle w:val="IntenseEmphasis"/>
        </w:rPr>
      </w:pPr>
      <w:r w:rsidRPr="001D47A5">
        <w:rPr>
          <w:rStyle w:val="IntenseEmphasis"/>
        </w:rPr>
        <w:t>Please make your introductory comments below, if any:</w:t>
      </w:r>
    </w:p>
    <w:p w14:paraId="760B49FB" w14:textId="77777777" w:rsidR="00D34282" w:rsidRPr="00C25863" w:rsidRDefault="00D34282" w:rsidP="00D34282">
      <w:r w:rsidRPr="00C25863">
        <w:t>&lt;</w:t>
      </w:r>
      <w:r>
        <w:t>ESMA_COMMENT</w:t>
      </w:r>
      <w:r w:rsidR="00D920D1">
        <w:t>_MIFID</w:t>
      </w:r>
      <w:r w:rsidR="00AB4824">
        <w:t>_TO_</w:t>
      </w:r>
      <w:r w:rsidR="00551E98">
        <w:t>0</w:t>
      </w:r>
      <w:r w:rsidRPr="00C25863">
        <w:t>&gt;</w:t>
      </w:r>
    </w:p>
    <w:p w14:paraId="2A222B9B" w14:textId="77777777" w:rsidR="00D34282" w:rsidRDefault="004E249E" w:rsidP="00D34282">
      <w:permStart w:id="1656237217" w:edGrp="everyone"/>
      <w:r w:rsidRPr="00270025">
        <w:t>Citadel LLC</w:t>
      </w:r>
      <w:r>
        <w:rPr>
          <w:rStyle w:val="FootnoteReference"/>
        </w:rPr>
        <w:footnoteReference w:id="2"/>
      </w:r>
      <w:r w:rsidRPr="00270025">
        <w:t xml:space="preserve"> appreciates the opportunity to provide comments to the European Securities and Ma</w:t>
      </w:r>
      <w:r>
        <w:t>rkets Authority (“ESMA</w:t>
      </w:r>
      <w:r w:rsidR="00E1633B">
        <w:t>”) on</w:t>
      </w:r>
      <w:r>
        <w:t xml:space="preserve"> the trading obligatio</w:t>
      </w:r>
      <w:r w:rsidR="00E1633B">
        <w:t xml:space="preserve">n for derivatives under </w:t>
      </w:r>
      <w:proofErr w:type="spellStart"/>
      <w:r w:rsidR="00E1633B">
        <w:t>MiFIR</w:t>
      </w:r>
      <w:proofErr w:type="spellEnd"/>
      <w:r w:rsidR="00E1633B">
        <w:t>.  The trading obligation is a key component of the OTC derivatives reforms agreed to by the G20 in 2009, and we commend ESMA for taking into account the feedback received on the Discussion Paper published in September 2016.</w:t>
      </w:r>
    </w:p>
    <w:p w14:paraId="7BEF91E0" w14:textId="77777777" w:rsidR="00651895" w:rsidRPr="00A44581" w:rsidRDefault="00651895" w:rsidP="00651895">
      <w:pPr>
        <w:rPr>
          <w:b/>
        </w:rPr>
      </w:pPr>
    </w:p>
    <w:p w14:paraId="30BC43E6" w14:textId="77777777" w:rsidR="00651895" w:rsidRDefault="00651895" w:rsidP="00C80FD9">
      <w:pPr>
        <w:pStyle w:val="ListParagraph"/>
        <w:numPr>
          <w:ilvl w:val="0"/>
          <w:numId w:val="42"/>
        </w:numPr>
        <w:ind w:left="360" w:hanging="360"/>
      </w:pPr>
      <w:r>
        <w:rPr>
          <w:b/>
        </w:rPr>
        <w:t>Significant Improvement</w:t>
      </w:r>
      <w:r w:rsidR="002C1852">
        <w:rPr>
          <w:b/>
        </w:rPr>
        <w:t>s</w:t>
      </w:r>
      <w:r>
        <w:rPr>
          <w:b/>
        </w:rPr>
        <w:t xml:space="preserve"> in </w:t>
      </w:r>
      <w:proofErr w:type="spellStart"/>
      <w:r>
        <w:rPr>
          <w:b/>
        </w:rPr>
        <w:t>ESMA’s</w:t>
      </w:r>
      <w:proofErr w:type="spellEnd"/>
      <w:r w:rsidRPr="00651895">
        <w:rPr>
          <w:b/>
        </w:rPr>
        <w:t xml:space="preserve"> Methodology</w:t>
      </w:r>
    </w:p>
    <w:p w14:paraId="41859C68" w14:textId="77777777" w:rsidR="00651895" w:rsidRDefault="00651895" w:rsidP="00D34282"/>
    <w:p w14:paraId="3DCE110E" w14:textId="77777777" w:rsidR="00E1633B" w:rsidRDefault="00E1633B" w:rsidP="00D34282">
      <w:r>
        <w:t xml:space="preserve">ESMA has proposed </w:t>
      </w:r>
      <w:r w:rsidR="001E652F">
        <w:t>s</w:t>
      </w:r>
      <w:r>
        <w:t xml:space="preserve">everal important improvements to the methodology and scope of the trading obligation that increase international harmonization and more accurately reflect </w:t>
      </w:r>
      <w:r w:rsidR="001E652F">
        <w:t>market liquidity in</w:t>
      </w:r>
      <w:r w:rsidR="00ED6CE0">
        <w:t xml:space="preserve"> standardiz</w:t>
      </w:r>
      <w:r w:rsidR="001E652F">
        <w:t>ed interest rate and credit derivatives.  These improvements include:</w:t>
      </w:r>
    </w:p>
    <w:p w14:paraId="257126AC" w14:textId="77777777" w:rsidR="001E652F" w:rsidRDefault="001E652F" w:rsidP="00D34282"/>
    <w:p w14:paraId="00E54D22" w14:textId="77777777" w:rsidR="001E652F" w:rsidRDefault="001E652F" w:rsidP="004A42A4">
      <w:pPr>
        <w:pStyle w:val="ListParagraph"/>
        <w:numPr>
          <w:ilvl w:val="0"/>
          <w:numId w:val="41"/>
        </w:numPr>
        <w:ind w:left="360"/>
      </w:pPr>
      <w:r w:rsidRPr="00651895">
        <w:rPr>
          <w:b/>
        </w:rPr>
        <w:t>Performing a more holistic liquidity assessment</w:t>
      </w:r>
      <w:r>
        <w:t xml:space="preserve"> using the criteria in RTS 4, while refraining from setting rigid minimum thresholds that may not take into account differences between specific classes of derivatives.  Notably, ESMA </w:t>
      </w:r>
      <w:r w:rsidR="00ED6CE0">
        <w:t xml:space="preserve">also recognized the importance of assessing whether streaming prices are offered by liquidity providers to market participants in the instruments being considered for the trading obligation, as this is another </w:t>
      </w:r>
      <w:r w:rsidR="001E702A">
        <w:t xml:space="preserve">key </w:t>
      </w:r>
      <w:r w:rsidR="00ED6CE0">
        <w:t>indicator of available liquidity.</w:t>
      </w:r>
    </w:p>
    <w:p w14:paraId="77CCD11D" w14:textId="77777777" w:rsidR="001E652F" w:rsidRDefault="001E652F" w:rsidP="004A42A4">
      <w:pPr>
        <w:pStyle w:val="ListParagraph"/>
        <w:ind w:left="360"/>
      </w:pPr>
    </w:p>
    <w:p w14:paraId="077F357C" w14:textId="5E7F7F82" w:rsidR="00C47DF6" w:rsidRDefault="00D2321B" w:rsidP="004A42A4">
      <w:pPr>
        <w:pStyle w:val="ListParagraph"/>
        <w:numPr>
          <w:ilvl w:val="0"/>
          <w:numId w:val="41"/>
        </w:numPr>
        <w:ind w:left="360"/>
      </w:pPr>
      <w:r w:rsidRPr="00651895">
        <w:rPr>
          <w:b/>
        </w:rPr>
        <w:t>Expanding the data sources</w:t>
      </w:r>
      <w:r>
        <w:t xml:space="preserve"> used for purposes of assessing liquidity.  In addition to EU trade repository data, ESMA also </w:t>
      </w:r>
      <w:r w:rsidR="00106E85">
        <w:t>sought</w:t>
      </w:r>
      <w:r>
        <w:t xml:space="preserve"> to gather data from certain trading venues.  Going forward, we hope that ESMA will continue to </w:t>
      </w:r>
      <w:r w:rsidR="004511B2">
        <w:t>regard</w:t>
      </w:r>
      <w:r>
        <w:t xml:space="preserve"> </w:t>
      </w:r>
      <w:proofErr w:type="spellStart"/>
      <w:r>
        <w:t>MTFs</w:t>
      </w:r>
      <w:proofErr w:type="spellEnd"/>
      <w:r>
        <w:t xml:space="preserve"> and </w:t>
      </w:r>
      <w:proofErr w:type="spellStart"/>
      <w:r>
        <w:t>OTFs</w:t>
      </w:r>
      <w:proofErr w:type="spellEnd"/>
      <w:r>
        <w:t xml:space="preserve"> trading OTC derivatives as important sources of information and will also consider supplementing its analysis with data from </w:t>
      </w:r>
      <w:proofErr w:type="spellStart"/>
      <w:r>
        <w:t>CCPs</w:t>
      </w:r>
      <w:proofErr w:type="spellEnd"/>
      <w:r>
        <w:t xml:space="preserve">, given that they have a </w:t>
      </w:r>
      <w:r w:rsidR="00C14833">
        <w:t>complete</w:t>
      </w:r>
      <w:r>
        <w:t xml:space="preserve"> view of trading activity in </w:t>
      </w:r>
      <w:r w:rsidR="00615A9A">
        <w:t>cleared OTC derivatives</w:t>
      </w:r>
      <w:r>
        <w:t>.</w:t>
      </w:r>
      <w:r w:rsidR="00CC7303">
        <w:t xml:space="preserve">  </w:t>
      </w:r>
    </w:p>
    <w:p w14:paraId="36337CF0" w14:textId="77777777" w:rsidR="00C47DF6" w:rsidRDefault="00C47DF6" w:rsidP="004A42A4">
      <w:pPr>
        <w:pStyle w:val="ListParagraph"/>
        <w:ind w:left="360"/>
      </w:pPr>
    </w:p>
    <w:p w14:paraId="704CC113" w14:textId="77777777" w:rsidR="001E652F" w:rsidRDefault="00CC7303" w:rsidP="004A42A4">
      <w:pPr>
        <w:pStyle w:val="ListParagraph"/>
        <w:ind w:left="360"/>
      </w:pPr>
      <w:r>
        <w:t>Separately, we urge ESMA to review its methodology for analysing trade repository data, as it appears that</w:t>
      </w:r>
      <w:r w:rsidRPr="00CC7303">
        <w:t xml:space="preserve"> </w:t>
      </w:r>
      <w:r>
        <w:t>ESMA is (</w:t>
      </w:r>
      <w:proofErr w:type="spellStart"/>
      <w:r>
        <w:t>i</w:t>
      </w:r>
      <w:proofErr w:type="spellEnd"/>
      <w:r>
        <w:t xml:space="preserve">) </w:t>
      </w:r>
      <w:r w:rsidR="00C14833">
        <w:t xml:space="preserve">excluding </w:t>
      </w:r>
      <w:r>
        <w:t xml:space="preserve">all derivatives executed on an </w:t>
      </w:r>
      <w:proofErr w:type="spellStart"/>
      <w:r>
        <w:t>MTF</w:t>
      </w:r>
      <w:proofErr w:type="spellEnd"/>
      <w:r>
        <w:t xml:space="preserve"> or </w:t>
      </w:r>
      <w:proofErr w:type="spellStart"/>
      <w:r>
        <w:t>OTF</w:t>
      </w:r>
      <w:proofErr w:type="spellEnd"/>
      <w:r>
        <w:t xml:space="preserve"> by only including records that are marked with “</w:t>
      </w:r>
      <w:proofErr w:type="spellStart"/>
      <w:r>
        <w:t>XXXX</w:t>
      </w:r>
      <w:proofErr w:type="spellEnd"/>
      <w:r>
        <w:t>” or “</w:t>
      </w:r>
      <w:proofErr w:type="spellStart"/>
      <w:r>
        <w:t>XOFF</w:t>
      </w:r>
      <w:proofErr w:type="spellEnd"/>
      <w:r>
        <w:t xml:space="preserve">”, and (ii) </w:t>
      </w:r>
      <w:r w:rsidR="00C14833">
        <w:t xml:space="preserve">eliminating </w:t>
      </w:r>
      <w:r>
        <w:t>too many records for cleared derivatives as market participants will often rely on the transaction reporting by the CCP in the first instance and will not separately report the initial bilateral trade that was submitted to clearing.</w:t>
      </w:r>
    </w:p>
    <w:p w14:paraId="4B97F774" w14:textId="77777777" w:rsidR="00D2321B" w:rsidRDefault="00D2321B" w:rsidP="004A42A4">
      <w:pPr>
        <w:pStyle w:val="ListParagraph"/>
        <w:ind w:left="360"/>
      </w:pPr>
    </w:p>
    <w:p w14:paraId="1FFCF93B" w14:textId="77777777" w:rsidR="00D2321B" w:rsidRDefault="004178EE" w:rsidP="004A42A4">
      <w:pPr>
        <w:pStyle w:val="ListParagraph"/>
        <w:numPr>
          <w:ilvl w:val="0"/>
          <w:numId w:val="41"/>
        </w:numPr>
        <w:ind w:left="360"/>
      </w:pPr>
      <w:r w:rsidRPr="00651895">
        <w:rPr>
          <w:b/>
        </w:rPr>
        <w:t xml:space="preserve">Adding </w:t>
      </w:r>
      <w:r w:rsidR="006E5219" w:rsidRPr="00651895">
        <w:rPr>
          <w:b/>
        </w:rPr>
        <w:t xml:space="preserve">tenors in GBP spot-starting IRS </w:t>
      </w:r>
      <w:r w:rsidR="00615A9A" w:rsidRPr="00651895">
        <w:rPr>
          <w:b/>
        </w:rPr>
        <w:t xml:space="preserve">and USD </w:t>
      </w:r>
      <w:proofErr w:type="spellStart"/>
      <w:r w:rsidR="00615A9A" w:rsidRPr="00651895">
        <w:rPr>
          <w:b/>
        </w:rPr>
        <w:t>IMMs</w:t>
      </w:r>
      <w:proofErr w:type="spellEnd"/>
      <w:r w:rsidR="00615A9A">
        <w:t xml:space="preserve">.  These instruments are </w:t>
      </w:r>
      <w:r w:rsidR="006E5219">
        <w:t>sufficiently liquid for the</w:t>
      </w:r>
      <w:r w:rsidR="00615A9A">
        <w:t xml:space="preserve"> trading obligation based on an analysis of criteria such as </w:t>
      </w:r>
      <w:r w:rsidR="00615A9A" w:rsidRPr="00B11E29">
        <w:t>(</w:t>
      </w:r>
      <w:proofErr w:type="spellStart"/>
      <w:r w:rsidR="00615A9A" w:rsidRPr="00B11E29">
        <w:t>i</w:t>
      </w:r>
      <w:proofErr w:type="spellEnd"/>
      <w:r w:rsidR="00615A9A" w:rsidRPr="00B11E29">
        <w:t xml:space="preserve">) </w:t>
      </w:r>
      <w:r w:rsidR="00615A9A">
        <w:t>the availability of streaming prices from a number of liquidity providers</w:t>
      </w:r>
      <w:r w:rsidR="00615A9A" w:rsidRPr="00B11E29">
        <w:t>,</w:t>
      </w:r>
      <w:r w:rsidR="00615A9A">
        <w:t xml:space="preserve"> (ii) trading volumes, (iii</w:t>
      </w:r>
      <w:r w:rsidR="00615A9A" w:rsidRPr="00B11E29">
        <w:t xml:space="preserve">) the number and types of market participants, and </w:t>
      </w:r>
      <w:r w:rsidR="00615A9A">
        <w:t xml:space="preserve">(iv) whether these instruments are already listed by trading venues today.  In addition, these instruments are already subject to the US trading obligation, and market participants have not appeared to </w:t>
      </w:r>
      <w:r w:rsidR="001E702A">
        <w:t>experience</w:t>
      </w:r>
      <w:r w:rsidR="00615A9A">
        <w:t xml:space="preserve"> any difficulty executing them on trading venues.</w:t>
      </w:r>
    </w:p>
    <w:p w14:paraId="46F208FA" w14:textId="77777777" w:rsidR="00615A9A" w:rsidRDefault="00615A9A" w:rsidP="004A42A4">
      <w:pPr>
        <w:pStyle w:val="ListParagraph"/>
        <w:ind w:left="360"/>
      </w:pPr>
    </w:p>
    <w:p w14:paraId="4E4F2FAB" w14:textId="363B3308" w:rsidR="004511B2" w:rsidRPr="00651895" w:rsidRDefault="0020190A" w:rsidP="004A42A4">
      <w:pPr>
        <w:pStyle w:val="ListParagraph"/>
        <w:numPr>
          <w:ilvl w:val="0"/>
          <w:numId w:val="41"/>
        </w:numPr>
        <w:ind w:left="360"/>
        <w:rPr>
          <w:b/>
        </w:rPr>
      </w:pPr>
      <w:r>
        <w:rPr>
          <w:b/>
        </w:rPr>
        <w:t>Determining not to create</w:t>
      </w:r>
      <w:r w:rsidR="0074456F" w:rsidRPr="00651895">
        <w:rPr>
          <w:b/>
        </w:rPr>
        <w:t xml:space="preserve"> significant loopholes from the trading obligation for (</w:t>
      </w:r>
      <w:proofErr w:type="spellStart"/>
      <w:r w:rsidR="0074456F" w:rsidRPr="00651895">
        <w:rPr>
          <w:b/>
        </w:rPr>
        <w:t>i</w:t>
      </w:r>
      <w:proofErr w:type="spellEnd"/>
      <w:r w:rsidR="0074456F" w:rsidRPr="00651895">
        <w:rPr>
          <w:b/>
        </w:rPr>
        <w:t>) transactions above the post-trade LIS threshold</w:t>
      </w:r>
      <w:r w:rsidR="007E5DB3">
        <w:rPr>
          <w:b/>
        </w:rPr>
        <w:t xml:space="preserve"> and (ii) package transactions</w:t>
      </w:r>
      <w:r w:rsidR="0074456F" w:rsidRPr="00651895">
        <w:rPr>
          <w:b/>
        </w:rPr>
        <w:t>.</w:t>
      </w:r>
      <w:r w:rsidR="004511B2" w:rsidRPr="00651895">
        <w:rPr>
          <w:b/>
        </w:rPr>
        <w:t xml:space="preserve">  </w:t>
      </w:r>
    </w:p>
    <w:p w14:paraId="4EE48C96" w14:textId="77777777" w:rsidR="004511B2" w:rsidRDefault="004511B2" w:rsidP="004511B2">
      <w:pPr>
        <w:pStyle w:val="ListParagraph"/>
      </w:pPr>
    </w:p>
    <w:p w14:paraId="24F2B00E" w14:textId="758A479B" w:rsidR="007E5DB3" w:rsidRDefault="007E5DB3" w:rsidP="007E5DB3">
      <w:pPr>
        <w:pStyle w:val="ListParagraph"/>
        <w:numPr>
          <w:ilvl w:val="1"/>
          <w:numId w:val="41"/>
        </w:numPr>
        <w:ind w:left="720"/>
      </w:pPr>
      <w:r w:rsidRPr="001B4198">
        <w:rPr>
          <w:b/>
        </w:rPr>
        <w:t>Transactions above post-trade LIS</w:t>
      </w:r>
      <w:r>
        <w:t xml:space="preserve">.  Article 32(3) of </w:t>
      </w:r>
      <w:proofErr w:type="spellStart"/>
      <w:r>
        <w:t>MiFIR</w:t>
      </w:r>
      <w:proofErr w:type="spellEnd"/>
      <w:r>
        <w:t xml:space="preserve"> permits ESMA to grant an exemption from the trading obligation for transactions above the post-trade LIS threshold, but does not require ESMA to do so.  ESMA has carefully weighed the costs and benefits of such an exemption and we agree with </w:t>
      </w:r>
      <w:proofErr w:type="spellStart"/>
      <w:r>
        <w:t>ESMA’s</w:t>
      </w:r>
      <w:proofErr w:type="spellEnd"/>
      <w:r>
        <w:t xml:space="preserve"> proposal not to create a special exemption from the trading obligation for these transactions.  </w:t>
      </w:r>
      <w:r w:rsidR="00C75738">
        <w:t>T</w:t>
      </w:r>
      <w:r>
        <w:t xml:space="preserve">he flexibility provided by the </w:t>
      </w:r>
      <w:proofErr w:type="spellStart"/>
      <w:r>
        <w:t>MiFIR</w:t>
      </w:r>
      <w:proofErr w:type="spellEnd"/>
      <w:r>
        <w:t xml:space="preserve"> framework to trading venues allows them to design trading protocols for </w:t>
      </w:r>
      <w:r w:rsidR="00AF3FA2">
        <w:t>executing</w:t>
      </w:r>
      <w:r>
        <w:t xml:space="preserve"> transactions above the post-trade LIS threshold on </w:t>
      </w:r>
      <w:r>
        <w:lastRenderedPageBreak/>
        <w:t xml:space="preserve">venue.  This will address any information leakage concerns for larger trades that are related specifically to the trading obligation and increases harmonization with US </w:t>
      </w:r>
      <w:proofErr w:type="spellStart"/>
      <w:r>
        <w:t>CFTC</w:t>
      </w:r>
      <w:proofErr w:type="spellEnd"/>
      <w:r>
        <w:t xml:space="preserve"> rules, which do not completely exempt large “block” trades from the trading obligation, but relax the RFQ-to-3 and Order Book trading requirements for these transactions.</w:t>
      </w:r>
    </w:p>
    <w:p w14:paraId="0D58BC6A" w14:textId="77777777" w:rsidR="007E5DB3" w:rsidRDefault="007E5DB3" w:rsidP="007E5DB3"/>
    <w:p w14:paraId="2FCB5DE5" w14:textId="77777777" w:rsidR="007E5DB3" w:rsidRDefault="007E5DB3" w:rsidP="007E5DB3">
      <w:pPr>
        <w:pStyle w:val="ListParagraph"/>
      </w:pPr>
      <w:r>
        <w:t xml:space="preserve">We note that under </w:t>
      </w:r>
      <w:proofErr w:type="spellStart"/>
      <w:r>
        <w:t>ESMA’s</w:t>
      </w:r>
      <w:proofErr w:type="spellEnd"/>
      <w:r>
        <w:t xml:space="preserve"> July 2017 transitional transparency calculations, nearly all instruments that are being considered for inclusion in the trading obligation are incorrectly designated as illiquid.</w:t>
      </w:r>
      <w:r>
        <w:rPr>
          <w:rStyle w:val="FootnoteReference"/>
        </w:rPr>
        <w:footnoteReference w:id="3"/>
      </w:r>
      <w:r>
        <w:t xml:space="preserve">  This results in a post-trade LIS threshold of EUR 10 million applying to these “illiquid” fixed-to-float IRS under Table 5.3 in RTS 2.</w:t>
      </w:r>
      <w:r>
        <w:rPr>
          <w:rStyle w:val="FootnoteReference"/>
        </w:rPr>
        <w:footnoteReference w:id="4"/>
      </w:r>
      <w:r>
        <w:t xml:space="preserve">  To the extent an exemption from the trading obligation was provided for transactions above the post-trade LIS threshold, nearly all trading activity would be eligible for the exemption and the trading obligation would be completely undermined.</w:t>
      </w:r>
    </w:p>
    <w:p w14:paraId="18AA6590" w14:textId="77777777" w:rsidR="007E5DB3" w:rsidRPr="007E5DB3" w:rsidRDefault="007E5DB3" w:rsidP="007E5DB3">
      <w:pPr>
        <w:pStyle w:val="ListParagraph"/>
        <w:rPr>
          <w:b/>
        </w:rPr>
      </w:pPr>
    </w:p>
    <w:p w14:paraId="30F22BB0" w14:textId="0C68E950" w:rsidR="004511B2" w:rsidRDefault="004511B2" w:rsidP="007E5DB3">
      <w:pPr>
        <w:pStyle w:val="ListParagraph"/>
        <w:numPr>
          <w:ilvl w:val="1"/>
          <w:numId w:val="41"/>
        </w:numPr>
        <w:ind w:left="720"/>
      </w:pPr>
      <w:r w:rsidRPr="00CD7722">
        <w:rPr>
          <w:b/>
        </w:rPr>
        <w:t>Package transactions</w:t>
      </w:r>
      <w:r>
        <w:t xml:space="preserve">.  </w:t>
      </w:r>
      <w:r w:rsidR="00CD7722">
        <w:t xml:space="preserve">We agree with ESMA that </w:t>
      </w:r>
      <w:proofErr w:type="spellStart"/>
      <w:r w:rsidR="00CD7722">
        <w:t>MiFIR</w:t>
      </w:r>
      <w:proofErr w:type="spellEnd"/>
      <w:r w:rsidR="00CD7722">
        <w:t xml:space="preserve"> does not contemplate establishing exemptions from the trading obligation for package transactions.</w:t>
      </w:r>
      <w:r w:rsidR="002C6870">
        <w:t xml:space="preserve">  While the </w:t>
      </w:r>
      <w:r w:rsidR="00C80FD9">
        <w:t xml:space="preserve">Level 1 </w:t>
      </w:r>
      <w:r w:rsidR="002C6870">
        <w:t xml:space="preserve">“Quick Fix” established a tailored </w:t>
      </w:r>
      <w:r w:rsidR="00E7065A">
        <w:t xml:space="preserve">pre-trade transparency </w:t>
      </w:r>
      <w:r w:rsidR="002C6870">
        <w:t>regime fo</w:t>
      </w:r>
      <w:r w:rsidR="00E7065A">
        <w:t xml:space="preserve">r packages, no such amendments were made to the </w:t>
      </w:r>
      <w:r w:rsidR="00F35BF5">
        <w:t xml:space="preserve">legislative </w:t>
      </w:r>
      <w:r w:rsidR="00E7065A">
        <w:t>framework for implem</w:t>
      </w:r>
      <w:r w:rsidR="00D9237D">
        <w:t xml:space="preserve">enting the trading obligation.  Instead, under Article 28(1) of </w:t>
      </w:r>
      <w:proofErr w:type="spellStart"/>
      <w:r w:rsidR="00D9237D">
        <w:t>MiFIR</w:t>
      </w:r>
      <w:proofErr w:type="spellEnd"/>
      <w:r w:rsidR="00D9237D">
        <w:t>, once a derivative is determined to be subject to the trading obligation, all transactions in such derivative must be concluded on a regulated trading venue.  This is the case even if a market participant chooses to execute other instruments in conjunction with the derivative that is subject to the trading obligation.</w:t>
      </w:r>
      <w:r w:rsidR="00886E68">
        <w:t xml:space="preserve">  </w:t>
      </w:r>
    </w:p>
    <w:p w14:paraId="5582C691" w14:textId="77777777" w:rsidR="00886E68" w:rsidRDefault="00886E68" w:rsidP="004A42A4">
      <w:pPr>
        <w:ind w:left="720"/>
      </w:pPr>
    </w:p>
    <w:p w14:paraId="15089B65" w14:textId="77777777" w:rsidR="00886E68" w:rsidRDefault="00886E68" w:rsidP="004A42A4">
      <w:pPr>
        <w:ind w:left="720"/>
      </w:pPr>
      <w:r>
        <w:t xml:space="preserve">In practice, market participants will then have the choice as to whether to execute other instruments simultaneously on the venue alongside the derivative subject to the trading obligation or to execute such other instruments separately off-venue.  This instrument-level approach is consistent with how the clearing obligation has been implemented under EMIR.  For example, if a market participant chooses to execute a derivative subject to the clearing obligation along with an </w:t>
      </w:r>
      <w:proofErr w:type="spellStart"/>
      <w:r>
        <w:t>uncleared</w:t>
      </w:r>
      <w:proofErr w:type="spellEnd"/>
      <w:r>
        <w:t xml:space="preserve"> derivative, the derivative subject to the clearing obligation must still be cleared even though it is being executed in conjunction with other instruments.  This instrument-level approach is what is contemplated under </w:t>
      </w:r>
      <w:proofErr w:type="spellStart"/>
      <w:r>
        <w:t>MiFIR</w:t>
      </w:r>
      <w:proofErr w:type="spellEnd"/>
      <w:r>
        <w:t xml:space="preserve"> and is quite different than suggesting that the trading obligation applies </w:t>
      </w:r>
      <w:r w:rsidR="00395DC1">
        <w:t>to the package as a whole</w:t>
      </w:r>
      <w:r w:rsidR="004D2821">
        <w:t xml:space="preserve"> (or all of its components)</w:t>
      </w:r>
      <w:r>
        <w:t>.</w:t>
      </w:r>
    </w:p>
    <w:p w14:paraId="063E28B1" w14:textId="77777777" w:rsidR="00F35BF5" w:rsidRDefault="00F35BF5" w:rsidP="004A42A4">
      <w:pPr>
        <w:ind w:left="720"/>
      </w:pPr>
    </w:p>
    <w:p w14:paraId="19ABCE38" w14:textId="36E7FB33" w:rsidR="00F35BF5" w:rsidRDefault="00F35BF5" w:rsidP="004A42A4">
      <w:pPr>
        <w:ind w:left="720"/>
      </w:pPr>
      <w:r w:rsidRPr="00CC78B8">
        <w:t xml:space="preserve">This outcome </w:t>
      </w:r>
      <w:r w:rsidR="00FD4762" w:rsidRPr="00CC78B8">
        <w:t>increases harmonization with the US trading obligation.  Data has shown that while packages represent a significant amount of overall trading activity in interest rate swaps, the vast majority of that activity occurs in (a) curves, (b) butterflies, and (c) spread over Treasuries (for USD IRS).</w:t>
      </w:r>
      <w:r w:rsidR="00FD4762" w:rsidRPr="00CC78B8">
        <w:rPr>
          <w:rStyle w:val="FootnoteReference"/>
        </w:rPr>
        <w:t xml:space="preserve"> </w:t>
      </w:r>
      <w:r w:rsidR="00FD4762" w:rsidRPr="00CC78B8">
        <w:rPr>
          <w:rStyle w:val="FootnoteReference"/>
        </w:rPr>
        <w:footnoteReference w:id="5"/>
      </w:r>
      <w:r w:rsidR="00385213" w:rsidRPr="00CC78B8">
        <w:rPr>
          <w:rStyle w:val="FootnoteReference"/>
        </w:rPr>
        <w:t xml:space="preserve">  </w:t>
      </w:r>
      <w:r w:rsidR="00555678" w:rsidRPr="00CC78B8">
        <w:t xml:space="preserve">Components of all </w:t>
      </w:r>
      <w:r w:rsidR="00385213" w:rsidRPr="00CC78B8">
        <w:t>the</w:t>
      </w:r>
      <w:r w:rsidR="001B4198" w:rsidRPr="00CC78B8">
        <w:t>se package types</w:t>
      </w:r>
      <w:r w:rsidR="00A568CE">
        <w:t xml:space="preserve"> that are independently subject to the US trading obligation</w:t>
      </w:r>
      <w:r w:rsidR="001B4198" w:rsidRPr="00CC78B8">
        <w:t xml:space="preserve"> do not have an</w:t>
      </w:r>
      <w:r w:rsidR="00385213" w:rsidRPr="00CC78B8">
        <w:t xml:space="preserve"> exemption </w:t>
      </w:r>
      <w:r w:rsidR="00A568CE">
        <w:t xml:space="preserve">under </w:t>
      </w:r>
      <w:r w:rsidR="00D3729B" w:rsidRPr="00CC78B8">
        <w:t xml:space="preserve">US </w:t>
      </w:r>
      <w:r w:rsidR="00AF3FA2">
        <w:t>rules or no-</w:t>
      </w:r>
      <w:r w:rsidR="00A568CE">
        <w:t>action relief</w:t>
      </w:r>
      <w:r w:rsidR="009F6158" w:rsidRPr="00CC78B8">
        <w:t xml:space="preserve">.  With respect to the less frequently traded </w:t>
      </w:r>
      <w:r w:rsidR="00D009A7" w:rsidRPr="00CC78B8">
        <w:t>package</w:t>
      </w:r>
      <w:r w:rsidR="009F6158" w:rsidRPr="00CC78B8">
        <w:t xml:space="preserve"> types that continue to benefit from temporary </w:t>
      </w:r>
      <w:proofErr w:type="spellStart"/>
      <w:r w:rsidR="009F6158" w:rsidRPr="00CC78B8">
        <w:t>CFTC</w:t>
      </w:r>
      <w:proofErr w:type="spellEnd"/>
      <w:r w:rsidR="009F6158" w:rsidRPr="00CC78B8">
        <w:t xml:space="preserve"> no-action relief, we believe that the greater flexibility provided to trading venues</w:t>
      </w:r>
      <w:r w:rsidR="00385213" w:rsidRPr="00CC78B8">
        <w:t xml:space="preserve"> under </w:t>
      </w:r>
      <w:proofErr w:type="spellStart"/>
      <w:r w:rsidR="00385213" w:rsidRPr="00CC78B8">
        <w:t>MiFIR</w:t>
      </w:r>
      <w:proofErr w:type="spellEnd"/>
      <w:r w:rsidR="009F6158" w:rsidRPr="00CC78B8">
        <w:t xml:space="preserve"> </w:t>
      </w:r>
      <w:r w:rsidR="00385213" w:rsidRPr="00CC78B8">
        <w:t>regarding</w:t>
      </w:r>
      <w:r w:rsidR="009F6158" w:rsidRPr="00CC78B8">
        <w:t xml:space="preserve"> permitted t</w:t>
      </w:r>
      <w:r w:rsidR="00385213" w:rsidRPr="00CC78B8">
        <w:t xml:space="preserve">rading protocols will facilitate a broader range of packages </w:t>
      </w:r>
      <w:r w:rsidR="00D009A7" w:rsidRPr="00CC78B8">
        <w:t>trading</w:t>
      </w:r>
      <w:r w:rsidR="00385213" w:rsidRPr="00CC78B8">
        <w:t xml:space="preserve"> on </w:t>
      </w:r>
      <w:r w:rsidR="00D009A7" w:rsidRPr="00CC78B8">
        <w:t xml:space="preserve">EU trading venues.  </w:t>
      </w:r>
      <w:r w:rsidR="00AF691F" w:rsidRPr="00CC78B8">
        <w:t xml:space="preserve">In contrast with US </w:t>
      </w:r>
      <w:proofErr w:type="spellStart"/>
      <w:r w:rsidR="00AF691F" w:rsidRPr="00CC78B8">
        <w:t>CFTC</w:t>
      </w:r>
      <w:proofErr w:type="spellEnd"/>
      <w:r w:rsidR="00AF691F" w:rsidRPr="00CC78B8">
        <w:t xml:space="preserve"> rules, EU trading venues can design trading protocols specifically for packages and we expect them to innovate and compete to attract this trading activity.</w:t>
      </w:r>
      <w:r w:rsidR="00BE1B06" w:rsidRPr="00CC78B8">
        <w:t xml:space="preserve">  In doing so, it is important to note that trading venues are able to list packages (and already do) that include components that are technically traded on another venue as long as those components can be reported into the other venue post-execution.  For example, this is how </w:t>
      </w:r>
      <w:r w:rsidR="00CC2EA3" w:rsidRPr="00CC78B8">
        <w:t xml:space="preserve">invoice spread </w:t>
      </w:r>
      <w:r w:rsidR="00BE1B06" w:rsidRPr="00CC78B8">
        <w:t>packages containing a swap (listed by a</w:t>
      </w:r>
      <w:r w:rsidR="00D75C5A" w:rsidRPr="00CC78B8">
        <w:t>n</w:t>
      </w:r>
      <w:r w:rsidR="00BE1B06" w:rsidRPr="00CC78B8">
        <w:t xml:space="preserve"> </w:t>
      </w:r>
      <w:proofErr w:type="spellStart"/>
      <w:r w:rsidR="00BE1B06" w:rsidRPr="00CC78B8">
        <w:t>MTF</w:t>
      </w:r>
      <w:proofErr w:type="spellEnd"/>
      <w:r w:rsidR="00BE1B06" w:rsidRPr="00CC78B8">
        <w:t>) and a future (listed by a</w:t>
      </w:r>
      <w:r w:rsidR="00D75C5A" w:rsidRPr="00CC78B8">
        <w:t>n</w:t>
      </w:r>
      <w:r w:rsidR="00BE1B06" w:rsidRPr="00CC78B8">
        <w:t xml:space="preserve"> RM) are traded on </w:t>
      </w:r>
      <w:proofErr w:type="spellStart"/>
      <w:r w:rsidR="00BE1B06" w:rsidRPr="00CC78B8">
        <w:t>MTFs</w:t>
      </w:r>
      <w:proofErr w:type="spellEnd"/>
      <w:r w:rsidR="00CC2EA3" w:rsidRPr="00CC78B8">
        <w:t xml:space="preserve"> today</w:t>
      </w:r>
      <w:r w:rsidR="00BE1B06" w:rsidRPr="00CC78B8">
        <w:t>.</w:t>
      </w:r>
      <w:r w:rsidR="00C80FD9" w:rsidRPr="00CC78B8">
        <w:rPr>
          <w:rStyle w:val="FootnoteReference"/>
        </w:rPr>
        <w:footnoteReference w:id="6"/>
      </w:r>
    </w:p>
    <w:p w14:paraId="6F12EB7F" w14:textId="77777777" w:rsidR="00AF691F" w:rsidRDefault="00AF691F" w:rsidP="004A42A4">
      <w:pPr>
        <w:ind w:left="720"/>
      </w:pPr>
    </w:p>
    <w:p w14:paraId="43E146F8" w14:textId="59082F36" w:rsidR="00806E73" w:rsidRDefault="006C3329" w:rsidP="004A42A4">
      <w:pPr>
        <w:ind w:left="720"/>
      </w:pPr>
      <w:r>
        <w:t xml:space="preserve">Finally, we note that </w:t>
      </w:r>
      <w:r w:rsidR="001B4198">
        <w:t xml:space="preserve">other factors should ease the transition of certain packages onto trading venues.  First, </w:t>
      </w:r>
      <w:r>
        <w:t>ESMA appears to be taking a relatively cautious approach with respect to the scope of the trading obligation in general</w:t>
      </w:r>
      <w:r w:rsidR="001B4198">
        <w:t xml:space="preserve">, which reduces the number of different package types that are </w:t>
      </w:r>
      <w:r w:rsidR="001B4198">
        <w:lastRenderedPageBreak/>
        <w:t xml:space="preserve">relevant.  </w:t>
      </w:r>
      <w:r>
        <w:t xml:space="preserve">For example, </w:t>
      </w:r>
      <w:r w:rsidR="001B4198">
        <w:t xml:space="preserve">since </w:t>
      </w:r>
      <w:r>
        <w:t xml:space="preserve">ESMA continues to focus only on </w:t>
      </w:r>
      <w:r w:rsidR="00555678">
        <w:t xml:space="preserve">spot starting, </w:t>
      </w:r>
      <w:r>
        <w:t xml:space="preserve">benchmark </w:t>
      </w:r>
      <w:r w:rsidR="00555678">
        <w:t xml:space="preserve">tenor </w:t>
      </w:r>
      <w:r>
        <w:t xml:space="preserve">IRS, </w:t>
      </w:r>
      <w:r w:rsidR="001B4198">
        <w:t xml:space="preserve">invoice spread </w:t>
      </w:r>
      <w:r w:rsidR="00870BF4">
        <w:t xml:space="preserve">packages containing a swap and a future would not </w:t>
      </w:r>
      <w:r w:rsidR="001B4198">
        <w:t>be relevant even though they are extremely liquid, as these</w:t>
      </w:r>
      <w:r w:rsidR="00555678">
        <w:t xml:space="preserve"> packages</w:t>
      </w:r>
      <w:r w:rsidR="001B4198">
        <w:t xml:space="preserve"> typically</w:t>
      </w:r>
      <w:r w:rsidR="00AF3FA2">
        <w:t xml:space="preserve"> only</w:t>
      </w:r>
      <w:r w:rsidR="001B4198">
        <w:t xml:space="preserve"> include a</w:t>
      </w:r>
      <w:r w:rsidR="001B4198" w:rsidRPr="001B4198">
        <w:t xml:space="preserve"> </w:t>
      </w:r>
      <w:r w:rsidR="001B4198">
        <w:t>forward-starting</w:t>
      </w:r>
      <w:r w:rsidR="00555678">
        <w:t>, non-benchmark tenor</w:t>
      </w:r>
      <w:r w:rsidR="001B4198">
        <w:t xml:space="preserve"> swap.  Second, the trading obligation will only initially apply to Category 1 and Category 2 counterparties, which provides an opportunity to gradually phase-in the transition.</w:t>
      </w:r>
    </w:p>
    <w:p w14:paraId="6B1E7455" w14:textId="77777777" w:rsidR="00DB3AED" w:rsidRDefault="00DB3AED" w:rsidP="00DB3AED"/>
    <w:p w14:paraId="0A61CFED" w14:textId="54F15D95" w:rsidR="00467126" w:rsidRDefault="00792B8F" w:rsidP="004A42A4">
      <w:pPr>
        <w:ind w:left="360"/>
      </w:pPr>
      <w:r>
        <w:t xml:space="preserve">It is worth noting that all transactions above post-trade LIS and nearly all packages will </w:t>
      </w:r>
      <w:r w:rsidR="00EB6CA4">
        <w:t xml:space="preserve">also </w:t>
      </w:r>
      <w:r>
        <w:t xml:space="preserve">be eligible for </w:t>
      </w:r>
      <w:r w:rsidR="00264773">
        <w:t>waivers and deferrals from</w:t>
      </w:r>
      <w:r>
        <w:t xml:space="preserve"> transparency requirements</w:t>
      </w:r>
      <w:r w:rsidR="00264773">
        <w:t xml:space="preserve"> based on the </w:t>
      </w:r>
      <w:r w:rsidR="00555678">
        <w:t>transitional</w:t>
      </w:r>
      <w:r w:rsidR="00264773">
        <w:t xml:space="preserve"> transparency </w:t>
      </w:r>
      <w:r w:rsidR="00BB1DCC">
        <w:t>calculations</w:t>
      </w:r>
      <w:r w:rsidR="00264773">
        <w:t xml:space="preserve">.  </w:t>
      </w:r>
      <w:r w:rsidR="00700FE0">
        <w:t xml:space="preserve">However, this should not be used as a justification for exempting these transactions from the trading obligation, which is a separate and distinct rule under the </w:t>
      </w:r>
      <w:proofErr w:type="spellStart"/>
      <w:r w:rsidR="00700FE0">
        <w:t>MiFIR</w:t>
      </w:r>
      <w:proofErr w:type="spellEnd"/>
      <w:r w:rsidR="00700FE0">
        <w:t xml:space="preserve"> framework.  </w:t>
      </w:r>
      <w:r w:rsidR="004A42A4">
        <w:t xml:space="preserve">In fact, </w:t>
      </w:r>
      <w:r w:rsidR="00467126">
        <w:t xml:space="preserve">there are </w:t>
      </w:r>
      <w:r w:rsidR="004A42A4">
        <w:t xml:space="preserve">many </w:t>
      </w:r>
      <w:r w:rsidR="00467126">
        <w:t>benefits to applying the trading obligation to a transaction even if it is not subj</w:t>
      </w:r>
      <w:r w:rsidR="004A42A4">
        <w:t xml:space="preserve">ect to pre-trade transparency, </w:t>
      </w:r>
      <w:r w:rsidR="00467126">
        <w:t>includ</w:t>
      </w:r>
      <w:r w:rsidR="004A42A4">
        <w:t>ing</w:t>
      </w:r>
      <w:r w:rsidR="00467126">
        <w:t>:</w:t>
      </w:r>
    </w:p>
    <w:p w14:paraId="65727210" w14:textId="77777777" w:rsidR="00467126" w:rsidRDefault="00467126" w:rsidP="00467126">
      <w:pPr>
        <w:pStyle w:val="ListParagraph"/>
      </w:pPr>
    </w:p>
    <w:p w14:paraId="728ECE24" w14:textId="77777777" w:rsidR="00467126" w:rsidRDefault="00467126" w:rsidP="004A42A4">
      <w:pPr>
        <w:pStyle w:val="ListParagraph"/>
        <w:numPr>
          <w:ilvl w:val="1"/>
          <w:numId w:val="37"/>
        </w:numPr>
        <w:ind w:left="720"/>
      </w:pPr>
      <w:r>
        <w:t xml:space="preserve">Enhancing market stability and integrity by transitioning trading activity onto well-regulated trading venues with monitoring and surveillance capabilities.  </w:t>
      </w:r>
    </w:p>
    <w:p w14:paraId="6B871E5B" w14:textId="77777777" w:rsidR="00467126" w:rsidRDefault="00467126" w:rsidP="004A42A4">
      <w:pPr>
        <w:pStyle w:val="ListParagraph"/>
      </w:pPr>
    </w:p>
    <w:p w14:paraId="39A47CD3" w14:textId="77777777" w:rsidR="00467126" w:rsidRDefault="00467126" w:rsidP="004A42A4">
      <w:pPr>
        <w:pStyle w:val="ListParagraph"/>
        <w:numPr>
          <w:ilvl w:val="1"/>
          <w:numId w:val="37"/>
        </w:numPr>
        <w:ind w:left="720"/>
      </w:pPr>
      <w:r>
        <w:t>Reducing operational risk through the pre-trade credit check and straight-through-processing requirements in RTS 26 that are applicable to transactions concluded on a trading venue.  This will help to ensure that market participants have available clearing capacity before entering into transactions, thereby mitigating the possibility of a subsequent rejection from clearing, which is a particularly undesirable risk when executing a large trade.</w:t>
      </w:r>
      <w:r>
        <w:rPr>
          <w:rStyle w:val="FootnoteReference"/>
        </w:rPr>
        <w:footnoteReference w:id="7"/>
      </w:r>
    </w:p>
    <w:p w14:paraId="7655768D" w14:textId="77777777" w:rsidR="00467126" w:rsidRDefault="00467126" w:rsidP="004A42A4">
      <w:pPr>
        <w:pStyle w:val="ListParagraph"/>
      </w:pPr>
    </w:p>
    <w:p w14:paraId="47B1FF80" w14:textId="77777777" w:rsidR="00467126" w:rsidRDefault="00467126" w:rsidP="004A42A4">
      <w:pPr>
        <w:pStyle w:val="ListParagraph"/>
        <w:numPr>
          <w:ilvl w:val="1"/>
          <w:numId w:val="37"/>
        </w:numPr>
        <w:ind w:left="720"/>
      </w:pPr>
      <w:r>
        <w:t>Improving market liquidity and competition by transitioning trading activity onto trading venues that are subject to non-discriminatory access requirements, enabling market participants to have access to a greater number of liquidity providers.</w:t>
      </w:r>
      <w:r>
        <w:rPr>
          <w:rStyle w:val="FootnoteReference"/>
        </w:rPr>
        <w:footnoteReference w:id="8"/>
      </w:r>
    </w:p>
    <w:p w14:paraId="12A3AA25" w14:textId="77777777" w:rsidR="00CA5EF6" w:rsidRDefault="00CA5EF6" w:rsidP="00D34282"/>
    <w:p w14:paraId="2BC2FC59" w14:textId="77777777" w:rsidR="00651895" w:rsidRDefault="00651895" w:rsidP="00651895">
      <w:pPr>
        <w:pStyle w:val="ListParagraph"/>
        <w:numPr>
          <w:ilvl w:val="0"/>
          <w:numId w:val="42"/>
        </w:numPr>
        <w:ind w:left="360" w:hanging="360"/>
      </w:pPr>
      <w:r>
        <w:rPr>
          <w:b/>
        </w:rPr>
        <w:t>Issues that Require Further Attention</w:t>
      </w:r>
    </w:p>
    <w:p w14:paraId="7257B0EE" w14:textId="77777777" w:rsidR="00651895" w:rsidRDefault="00651895" w:rsidP="00651895"/>
    <w:p w14:paraId="292B890F" w14:textId="77777777" w:rsidR="00467126" w:rsidRDefault="006C7C65" w:rsidP="00D34282">
      <w:r>
        <w:t>In our view, two issues require further attention from ESMA.</w:t>
      </w:r>
    </w:p>
    <w:p w14:paraId="0635BBD3" w14:textId="77777777" w:rsidR="006C7C65" w:rsidRPr="00A252FF" w:rsidRDefault="006C7C65" w:rsidP="006C7C65">
      <w:pPr>
        <w:rPr>
          <w:b/>
        </w:rPr>
      </w:pPr>
    </w:p>
    <w:p w14:paraId="56734A0B" w14:textId="77777777" w:rsidR="006C7C65" w:rsidRDefault="00A252FF" w:rsidP="006C7C65">
      <w:pPr>
        <w:pStyle w:val="ListParagraph"/>
        <w:numPr>
          <w:ilvl w:val="0"/>
          <w:numId w:val="43"/>
        </w:numPr>
        <w:rPr>
          <w:b/>
        </w:rPr>
      </w:pPr>
      <w:r w:rsidRPr="00A252FF">
        <w:rPr>
          <w:b/>
        </w:rPr>
        <w:t xml:space="preserve">Additional </w:t>
      </w:r>
      <w:r w:rsidR="00C80FD9">
        <w:rPr>
          <w:b/>
        </w:rPr>
        <w:t xml:space="preserve">Benchmark </w:t>
      </w:r>
      <w:r w:rsidRPr="00A252FF">
        <w:rPr>
          <w:b/>
        </w:rPr>
        <w:t>Tenors</w:t>
      </w:r>
      <w:r w:rsidR="00C80FD9">
        <w:rPr>
          <w:b/>
        </w:rPr>
        <w:t xml:space="preserve"> Are Liquid</w:t>
      </w:r>
    </w:p>
    <w:p w14:paraId="1FEC7146" w14:textId="77777777" w:rsidR="00C80FD9" w:rsidRDefault="00C80FD9" w:rsidP="00C80FD9">
      <w:pPr>
        <w:rPr>
          <w:b/>
        </w:rPr>
      </w:pPr>
    </w:p>
    <w:p w14:paraId="4CC245C6" w14:textId="77777777" w:rsidR="00C80FD9" w:rsidRPr="00C80FD9" w:rsidRDefault="00C80FD9" w:rsidP="00C80FD9">
      <w:pPr>
        <w:rPr>
          <w:u w:val="single"/>
        </w:rPr>
      </w:pPr>
      <w:r w:rsidRPr="00C80FD9">
        <w:rPr>
          <w:u w:val="single"/>
        </w:rPr>
        <w:t>EUR IRS</w:t>
      </w:r>
    </w:p>
    <w:p w14:paraId="53FB915F" w14:textId="77777777" w:rsidR="00C80FD9" w:rsidRDefault="00C80FD9" w:rsidP="00C80FD9"/>
    <w:p w14:paraId="7504DE8C" w14:textId="51FB4BA3" w:rsidR="00C80FD9" w:rsidRDefault="00C80FD9" w:rsidP="00C80FD9">
      <w:r>
        <w:t xml:space="preserve">ESMA has proposed including certain USD </w:t>
      </w:r>
      <w:proofErr w:type="spellStart"/>
      <w:r>
        <w:t>IMM</w:t>
      </w:r>
      <w:proofErr w:type="spellEnd"/>
      <w:r>
        <w:t xml:space="preserve"> contracts</w:t>
      </w:r>
      <w:r w:rsidR="00AF3FA2">
        <w:t xml:space="preserve"> (including</w:t>
      </w:r>
      <w:r w:rsidR="00993092">
        <w:t xml:space="preserve"> both par coupon and Market Agreed Coupon “</w:t>
      </w:r>
      <w:r w:rsidR="00993092" w:rsidRPr="00993092">
        <w:rPr>
          <w:b/>
        </w:rPr>
        <w:t>MAC</w:t>
      </w:r>
      <w:r w:rsidR="00993092">
        <w:t>” contracts)</w:t>
      </w:r>
      <w:r>
        <w:t xml:space="preserve">, but has not identified any EUR </w:t>
      </w:r>
      <w:proofErr w:type="spellStart"/>
      <w:r>
        <w:t>IMM</w:t>
      </w:r>
      <w:proofErr w:type="spellEnd"/>
      <w:r>
        <w:t xml:space="preserve"> or MAC contracts as sufficiently liquid for the trading obligation.  We urge ESMA to re-assess this conclusion.  Market data shows that EUR </w:t>
      </w:r>
      <w:proofErr w:type="spellStart"/>
      <w:r>
        <w:t>IMM</w:t>
      </w:r>
      <w:proofErr w:type="spellEnd"/>
      <w:r>
        <w:t xml:space="preserve"> and MAC swaps constitute approximately 30% of the EUR interest rate swap market.</w:t>
      </w:r>
      <w:r>
        <w:rPr>
          <w:rStyle w:val="FootnoteReference"/>
        </w:rPr>
        <w:footnoteReference w:id="9"/>
      </w:r>
      <w:r>
        <w:t xml:space="preserve">  In particular, significant trading activity can be observed in the </w:t>
      </w:r>
      <w:r w:rsidRPr="001E1E3B">
        <w:rPr>
          <w:b/>
        </w:rPr>
        <w:t xml:space="preserve">2Y, </w:t>
      </w:r>
      <w:r w:rsidR="00CD1B08">
        <w:rPr>
          <w:b/>
        </w:rPr>
        <w:t xml:space="preserve">3Y, </w:t>
      </w:r>
      <w:r w:rsidRPr="001E1E3B">
        <w:rPr>
          <w:b/>
        </w:rPr>
        <w:t xml:space="preserve">5Y, and 10Y </w:t>
      </w:r>
      <w:proofErr w:type="spellStart"/>
      <w:r w:rsidRPr="001E1E3B">
        <w:rPr>
          <w:b/>
        </w:rPr>
        <w:t>IMM</w:t>
      </w:r>
      <w:proofErr w:type="spellEnd"/>
      <w:r w:rsidRPr="001E1E3B">
        <w:rPr>
          <w:b/>
        </w:rPr>
        <w:t xml:space="preserve"> </w:t>
      </w:r>
      <w:r w:rsidRPr="001E1E3B">
        <w:t>and</w:t>
      </w:r>
      <w:r w:rsidRPr="001E1E3B">
        <w:rPr>
          <w:b/>
        </w:rPr>
        <w:t xml:space="preserve"> MAC </w:t>
      </w:r>
      <w:r w:rsidRPr="000A50FE">
        <w:t>tenors</w:t>
      </w:r>
      <w:r>
        <w:t xml:space="preserve">.  </w:t>
      </w:r>
    </w:p>
    <w:p w14:paraId="56DA966C" w14:textId="77777777" w:rsidR="00C80FD9" w:rsidRDefault="00C80FD9" w:rsidP="00C80FD9"/>
    <w:p w14:paraId="1AC986ED" w14:textId="77777777" w:rsidR="00C80FD9" w:rsidRPr="00C80FD9" w:rsidRDefault="00C80FD9" w:rsidP="00C80FD9">
      <w:pPr>
        <w:rPr>
          <w:u w:val="single"/>
        </w:rPr>
      </w:pPr>
      <w:r w:rsidRPr="00C80FD9">
        <w:rPr>
          <w:u w:val="single"/>
        </w:rPr>
        <w:t>USD IRS</w:t>
      </w:r>
    </w:p>
    <w:p w14:paraId="4049F5D5" w14:textId="77777777" w:rsidR="00C80FD9" w:rsidRDefault="00C80FD9" w:rsidP="00C80FD9"/>
    <w:p w14:paraId="7068CE02" w14:textId="77777777" w:rsidR="00C80FD9" w:rsidRDefault="00C80FD9" w:rsidP="00C80FD9">
      <w:proofErr w:type="spellStart"/>
      <w:r>
        <w:t>ESMA’s</w:t>
      </w:r>
      <w:proofErr w:type="spellEnd"/>
      <w:r>
        <w:t xml:space="preserve"> liquidity analysis for USD IRS also incorrectly excludes the following instruments:</w:t>
      </w:r>
    </w:p>
    <w:p w14:paraId="7FB41690" w14:textId="77777777" w:rsidR="00C80FD9" w:rsidRDefault="00C80FD9" w:rsidP="00C80FD9"/>
    <w:p w14:paraId="3AD28B9F" w14:textId="77777777" w:rsidR="00C80FD9" w:rsidRDefault="00C80FD9" w:rsidP="00C80FD9">
      <w:pPr>
        <w:pStyle w:val="ListParagraph"/>
        <w:numPr>
          <w:ilvl w:val="0"/>
          <w:numId w:val="40"/>
        </w:numPr>
      </w:pPr>
      <w:r>
        <w:t xml:space="preserve">The </w:t>
      </w:r>
      <w:r w:rsidRPr="00B71C58">
        <w:rPr>
          <w:b/>
        </w:rPr>
        <w:t>6Y, 12Y, 15Y, and 20Y</w:t>
      </w:r>
      <w:r>
        <w:t xml:space="preserve"> tenors in spot-starting swaps are all sufficiently liquid for the trading obligation.</w:t>
      </w:r>
    </w:p>
    <w:p w14:paraId="3A432F99" w14:textId="77777777" w:rsidR="00C80FD9" w:rsidRDefault="00C80FD9" w:rsidP="00C80FD9">
      <w:pPr>
        <w:pStyle w:val="ListParagraph"/>
      </w:pPr>
    </w:p>
    <w:p w14:paraId="3E85DC72" w14:textId="45A56699" w:rsidR="00C80FD9" w:rsidRDefault="00993092" w:rsidP="00C80FD9">
      <w:pPr>
        <w:pStyle w:val="ListParagraph"/>
        <w:numPr>
          <w:ilvl w:val="0"/>
          <w:numId w:val="40"/>
        </w:numPr>
      </w:pPr>
      <w:r>
        <w:t xml:space="preserve">In addition to the 5Y, 6Y, and 30Y USD </w:t>
      </w:r>
      <w:proofErr w:type="spellStart"/>
      <w:r>
        <w:t>IMM</w:t>
      </w:r>
      <w:proofErr w:type="spellEnd"/>
      <w:r>
        <w:t xml:space="preserve"> and MAC contracts identified by ESMA, other tenors of </w:t>
      </w:r>
      <w:proofErr w:type="spellStart"/>
      <w:r w:rsidR="00C80FD9">
        <w:t>IMMs</w:t>
      </w:r>
      <w:proofErr w:type="spellEnd"/>
      <w:r w:rsidR="00C80FD9">
        <w:t xml:space="preserve"> and </w:t>
      </w:r>
      <w:proofErr w:type="spellStart"/>
      <w:r w:rsidR="00C80FD9">
        <w:t>MACs</w:t>
      </w:r>
      <w:proofErr w:type="spellEnd"/>
      <w:r w:rsidR="00C80FD9">
        <w:t xml:space="preserve"> are sufficiently liquid for the trading obligation.  According to an analysis of US </w:t>
      </w:r>
      <w:proofErr w:type="spellStart"/>
      <w:r w:rsidR="00C80FD9">
        <w:lastRenderedPageBreak/>
        <w:t>SDR</w:t>
      </w:r>
      <w:proofErr w:type="spellEnd"/>
      <w:r w:rsidR="00C80FD9">
        <w:t xml:space="preserve"> data, </w:t>
      </w:r>
      <w:proofErr w:type="spellStart"/>
      <w:r w:rsidR="00C80FD9">
        <w:t>IMM</w:t>
      </w:r>
      <w:proofErr w:type="spellEnd"/>
      <w:r w:rsidR="00C80FD9">
        <w:t xml:space="preserve"> and MAC swaps together constitute approximately 15% of the USD interest rate swap market</w:t>
      </w:r>
      <w:r w:rsidR="00C80FD9" w:rsidRPr="00F33D4A">
        <w:t xml:space="preserve"> </w:t>
      </w:r>
      <w:r w:rsidR="00C80FD9">
        <w:t>in terms of trade count.</w:t>
      </w:r>
      <w:r w:rsidR="00C80FD9">
        <w:rPr>
          <w:rStyle w:val="FootnoteReference"/>
        </w:rPr>
        <w:footnoteReference w:id="10"/>
      </w:r>
      <w:r w:rsidR="00C80FD9">
        <w:t xml:space="preserve">  In particular, significant trading activity can be observed in the </w:t>
      </w:r>
      <w:r w:rsidR="00C80FD9" w:rsidRPr="001E1E3B">
        <w:rPr>
          <w:b/>
        </w:rPr>
        <w:t xml:space="preserve">2Y, </w:t>
      </w:r>
      <w:r w:rsidR="00C80FD9">
        <w:rPr>
          <w:b/>
        </w:rPr>
        <w:t>3Y, 7</w:t>
      </w:r>
      <w:r w:rsidR="00C80FD9" w:rsidRPr="001E1E3B">
        <w:rPr>
          <w:b/>
        </w:rPr>
        <w:t xml:space="preserve">Y, and 10Y </w:t>
      </w:r>
      <w:proofErr w:type="spellStart"/>
      <w:r w:rsidR="00C80FD9" w:rsidRPr="001E1E3B">
        <w:rPr>
          <w:b/>
        </w:rPr>
        <w:t>IMM</w:t>
      </w:r>
      <w:proofErr w:type="spellEnd"/>
      <w:r w:rsidR="00C80FD9" w:rsidRPr="001E1E3B">
        <w:rPr>
          <w:b/>
        </w:rPr>
        <w:t xml:space="preserve"> </w:t>
      </w:r>
      <w:r w:rsidR="00C80FD9" w:rsidRPr="001E1E3B">
        <w:t>and</w:t>
      </w:r>
      <w:r w:rsidR="00C80FD9" w:rsidRPr="001E1E3B">
        <w:rPr>
          <w:b/>
        </w:rPr>
        <w:t xml:space="preserve"> </w:t>
      </w:r>
      <w:r w:rsidR="00C80FD9">
        <w:rPr>
          <w:b/>
        </w:rPr>
        <w:t>1Y, 2Y, 3Y, 5Y,</w:t>
      </w:r>
      <w:r w:rsidR="00C80FD9" w:rsidRPr="001E1E3B">
        <w:rPr>
          <w:b/>
        </w:rPr>
        <w:t xml:space="preserve"> 10Y</w:t>
      </w:r>
      <w:r w:rsidR="00C80FD9">
        <w:rPr>
          <w:b/>
        </w:rPr>
        <w:t>, and 30Y</w:t>
      </w:r>
      <w:r w:rsidR="00C80FD9" w:rsidRPr="001E1E3B">
        <w:rPr>
          <w:b/>
        </w:rPr>
        <w:t xml:space="preserve"> MAC </w:t>
      </w:r>
      <w:r w:rsidR="00C80FD9" w:rsidRPr="000A50FE">
        <w:t>tenors</w:t>
      </w:r>
      <w:r w:rsidR="00C80FD9">
        <w:t>.</w:t>
      </w:r>
    </w:p>
    <w:p w14:paraId="3066CF6A" w14:textId="77777777" w:rsidR="00C80FD9" w:rsidRDefault="00C80FD9" w:rsidP="00C80FD9"/>
    <w:p w14:paraId="732FF2B7" w14:textId="77777777" w:rsidR="00C80FD9" w:rsidRDefault="00C80FD9" w:rsidP="00C80FD9">
      <w:r>
        <w:t xml:space="preserve">All of the EUR and USD </w:t>
      </w:r>
      <w:r w:rsidR="000E36CC">
        <w:t xml:space="preserve">interest rate </w:t>
      </w:r>
      <w:r>
        <w:t xml:space="preserve">derivatives listed above are standardized, highly liquid, and already traded on trading venues.  Streaming prices from a number of liquidity providers are available to market participants and trading activity is significant.  In addition, many of these instruments are already subject to the US trading obligation, and market participants have not appeared to experience any difficulty executing them on trading venues.  We urge ESMA to further investigate these instruments, using data from trade repositories, </w:t>
      </w:r>
      <w:proofErr w:type="spellStart"/>
      <w:r>
        <w:t>CCPs</w:t>
      </w:r>
      <w:proofErr w:type="spellEnd"/>
      <w:r>
        <w:t>, and trading venues.</w:t>
      </w:r>
    </w:p>
    <w:p w14:paraId="117F5530" w14:textId="77777777" w:rsidR="00C80FD9" w:rsidRDefault="00C80FD9" w:rsidP="00C80FD9"/>
    <w:p w14:paraId="5CF3CBE8" w14:textId="5543416C" w:rsidR="00C80FD9" w:rsidRDefault="00C80FD9" w:rsidP="00C80FD9">
      <w:r>
        <w:t xml:space="preserve">In addition, given the current structure of the OTC derivatives market, it is important to note that the liquidity profile of an instrument does not drastically change based on geographical boundaries.  While EU-specific data is an important consideration, both US and EU market participants interact with the same core group of liquidity providers, and therefore experience similar pricing and liquidity dynamics.  Going forward, this will only be more obvious, as trading venues in the US and EU are expected to gain equivalence, meaning that EU market participants </w:t>
      </w:r>
      <w:r w:rsidR="00AF3FA2">
        <w:t>will be able to</w:t>
      </w:r>
      <w:r>
        <w:t xml:space="preserve"> access liquidity on US venues for satisfying the trading obligation and </w:t>
      </w:r>
      <w:r w:rsidRPr="00223853">
        <w:rPr>
          <w:i/>
        </w:rPr>
        <w:t>vice versa</w:t>
      </w:r>
      <w:r>
        <w:t>.  As a result, we believe that ESMA should only adopt a more narrow approach than the US trading obligation where it is absolutely clear that there is insufficient liquidity in a particular instrument.  This will reduce regulatory arbitrage and ensure US and EU market participants are on a level playing field when transacting in the OTC derivatives market.</w:t>
      </w:r>
    </w:p>
    <w:p w14:paraId="0FE26956" w14:textId="77777777" w:rsidR="00A252FF" w:rsidRDefault="00A252FF" w:rsidP="00A252FF"/>
    <w:p w14:paraId="7BEFCADA" w14:textId="77777777" w:rsidR="00A252FF" w:rsidRPr="00A252FF" w:rsidRDefault="00A252FF" w:rsidP="00A252FF">
      <w:pPr>
        <w:pStyle w:val="ListParagraph"/>
        <w:numPr>
          <w:ilvl w:val="0"/>
          <w:numId w:val="43"/>
        </w:numPr>
      </w:pPr>
      <w:r w:rsidRPr="00A252FF">
        <w:rPr>
          <w:b/>
        </w:rPr>
        <w:t>Clarifying that Pre-Arranged Trading is Not Permitted For Derivatives Subject to the Trading Obligation</w:t>
      </w:r>
    </w:p>
    <w:p w14:paraId="3945F964" w14:textId="77777777" w:rsidR="00A252FF" w:rsidRDefault="00A252FF" w:rsidP="00A252FF"/>
    <w:p w14:paraId="4C7D5642" w14:textId="7A92D242" w:rsidR="00EF7E7E" w:rsidRDefault="00A252FF" w:rsidP="00EF7E7E">
      <w:r>
        <w:t>W</w:t>
      </w:r>
      <w:r w:rsidR="00EF7E7E">
        <w:t>e urge ESMA to clarify in the Final Report that pre-arranged trading (or negotiated off-venue trading) is not permitted for transactions in derivatives that are su</w:t>
      </w:r>
      <w:r>
        <w:t>bject to the trading obligation</w:t>
      </w:r>
      <w:r w:rsidR="00EF7E7E">
        <w:t xml:space="preserve">.  Pre-arranged trading means two parties enter into, negotiate, or “conditionally agree” a transaction bilaterally, away from an </w:t>
      </w:r>
      <w:proofErr w:type="spellStart"/>
      <w:r w:rsidR="00EF7E7E">
        <w:t>MTF</w:t>
      </w:r>
      <w:proofErr w:type="spellEnd"/>
      <w:r w:rsidR="00EF7E7E">
        <w:t xml:space="preserve"> or </w:t>
      </w:r>
      <w:proofErr w:type="spellStart"/>
      <w:r w:rsidR="00EF7E7E">
        <w:t>OTF</w:t>
      </w:r>
      <w:proofErr w:type="spellEnd"/>
      <w:r w:rsidR="00EF7E7E">
        <w:t xml:space="preserve">, and then report that transaction to the trading venue post-execution.  In our view, this type of bilateral off-venue trading is not permitted under </w:t>
      </w:r>
      <w:proofErr w:type="spellStart"/>
      <w:r w:rsidR="00EF7E7E">
        <w:t>MiFIR</w:t>
      </w:r>
      <w:proofErr w:type="spellEnd"/>
      <w:r w:rsidR="00EF7E7E">
        <w:t xml:space="preserve"> for derivatives subject to the trading obligation</w:t>
      </w:r>
      <w:r>
        <w:t xml:space="preserve"> and would completely undermine its implementation</w:t>
      </w:r>
      <w:r w:rsidR="00EF7E7E">
        <w:t>.</w:t>
      </w:r>
    </w:p>
    <w:p w14:paraId="7F62EF26" w14:textId="77777777" w:rsidR="00EF7E7E" w:rsidRDefault="00EF7E7E" w:rsidP="00EF7E7E"/>
    <w:p w14:paraId="117D8875" w14:textId="77777777" w:rsidR="00EF7E7E" w:rsidRDefault="00EF7E7E" w:rsidP="00EF7E7E">
      <w:r>
        <w:t xml:space="preserve">For comparison purposes, US </w:t>
      </w:r>
      <w:proofErr w:type="spellStart"/>
      <w:r>
        <w:t>CFTC</w:t>
      </w:r>
      <w:proofErr w:type="spellEnd"/>
      <w:r>
        <w:t xml:space="preserve"> rules currently provide that:</w:t>
      </w:r>
    </w:p>
    <w:p w14:paraId="17E8A987" w14:textId="77777777" w:rsidR="00EF7E7E" w:rsidRDefault="00EF7E7E" w:rsidP="00EF7E7E"/>
    <w:p w14:paraId="53BC5C49" w14:textId="77777777" w:rsidR="00EF7E7E" w:rsidRDefault="00EF7E7E" w:rsidP="00467126">
      <w:pPr>
        <w:pStyle w:val="ListParagraph"/>
        <w:numPr>
          <w:ilvl w:val="0"/>
          <w:numId w:val="39"/>
        </w:numPr>
        <w:ind w:left="360"/>
      </w:pPr>
      <w:r w:rsidRPr="00CB5A8E">
        <w:rPr>
          <w:b/>
        </w:rPr>
        <w:t>Pre-arranged trading is prohibited</w:t>
      </w:r>
      <w:r>
        <w:t xml:space="preserve"> for transactions in derivatives subject to the trading obligation, except for large “block” trades.</w:t>
      </w:r>
      <w:r>
        <w:rPr>
          <w:rStyle w:val="FootnoteReference"/>
        </w:rPr>
        <w:footnoteReference w:id="11"/>
      </w:r>
      <w:r>
        <w:t xml:space="preserve">  </w:t>
      </w:r>
    </w:p>
    <w:p w14:paraId="7C2D37DB" w14:textId="77777777" w:rsidR="00EF7E7E" w:rsidRDefault="00EF7E7E" w:rsidP="00467126">
      <w:pPr>
        <w:pStyle w:val="ListParagraph"/>
        <w:ind w:left="360"/>
      </w:pPr>
    </w:p>
    <w:p w14:paraId="6DC4B681" w14:textId="77777777" w:rsidR="00EF7E7E" w:rsidRDefault="00EF7E7E" w:rsidP="00467126">
      <w:pPr>
        <w:pStyle w:val="ListParagraph"/>
        <w:ind w:left="360"/>
      </w:pPr>
      <w:r>
        <w:t>Market participants are still permitted to engage in communications off-venue regarding a potential trade, including size or price.</w:t>
      </w:r>
      <w:r>
        <w:rPr>
          <w:rStyle w:val="FootnoteReference"/>
        </w:rPr>
        <w:footnoteReference w:id="12"/>
      </w:r>
      <w:r>
        <w:t xml:space="preserve">  However, they are not permitted to enter into, negotiate, or “conditionally agree” that trade outside of the trading venue.  In addition, trading venues operating an order book are still permitted to allow “cross trades”, whereby a participant enters</w:t>
      </w:r>
      <w:r w:rsidRPr="00CF7DA5">
        <w:t xml:space="preserve"> two </w:t>
      </w:r>
      <w:r>
        <w:t xml:space="preserve">customer orders </w:t>
      </w:r>
      <w:r w:rsidRPr="00CF7DA5">
        <w:t>against each other</w:t>
      </w:r>
      <w:r>
        <w:t xml:space="preserve"> in the order book in accordance with the trading venue’s rules, which typically provide an opportunity for other market participants to participate in the transaction before it is executed on the trading venue.</w:t>
      </w:r>
    </w:p>
    <w:p w14:paraId="2E9A6D13" w14:textId="77777777" w:rsidR="00EF7E7E" w:rsidRDefault="00EF7E7E" w:rsidP="00467126">
      <w:pPr>
        <w:pStyle w:val="ListParagraph"/>
        <w:ind w:left="360"/>
      </w:pPr>
    </w:p>
    <w:p w14:paraId="75572F44" w14:textId="77777777" w:rsidR="00EF7E7E" w:rsidRDefault="00EF7E7E" w:rsidP="00467126">
      <w:pPr>
        <w:pStyle w:val="ListParagraph"/>
        <w:numPr>
          <w:ilvl w:val="0"/>
          <w:numId w:val="39"/>
        </w:numPr>
        <w:ind w:left="360"/>
      </w:pPr>
      <w:r w:rsidRPr="00370B4A">
        <w:rPr>
          <w:b/>
        </w:rPr>
        <w:t>Large “block” trades are still subject to straight-through-processing requirements</w:t>
      </w:r>
      <w:r>
        <w:t>, including a pre-trade credit check that ensures market participants have available clearing capacity before entering into the “block” transaction.</w:t>
      </w:r>
      <w:r>
        <w:rPr>
          <w:rStyle w:val="FootnoteReference"/>
        </w:rPr>
        <w:footnoteReference w:id="13"/>
      </w:r>
    </w:p>
    <w:p w14:paraId="2CBD3AD7" w14:textId="77777777" w:rsidR="00EF7E7E" w:rsidRDefault="00EF7E7E" w:rsidP="00467126">
      <w:pPr>
        <w:ind w:left="360"/>
      </w:pPr>
    </w:p>
    <w:p w14:paraId="72871CC0" w14:textId="77777777" w:rsidR="00EF7E7E" w:rsidRDefault="00EF7E7E" w:rsidP="00467126">
      <w:pPr>
        <w:ind w:left="360"/>
      </w:pPr>
      <w:r>
        <w:t>In practice, as a result of these straight-through-processing requirements, market participants voluntarily execute large “block” trades on US SEFs, despite pre-arranged trading being permitted, since the trading venue is necessary to facilitate the pre-trade credit check.  When executing “blocks”, market participants commonly engage in communications off-venue regarding the potential trade, and then use a trading protocol that allows for private negotiation on the trading venue, such as RFQ-to-1, to execute the “block” trade on the trading venue.</w:t>
      </w:r>
    </w:p>
    <w:p w14:paraId="4466D900" w14:textId="77777777" w:rsidR="00EF7E7E" w:rsidRDefault="00EF7E7E" w:rsidP="00EF7E7E">
      <w:pPr>
        <w:ind w:left="709"/>
      </w:pPr>
    </w:p>
    <w:p w14:paraId="389FBA87" w14:textId="77777777" w:rsidR="00EF7E7E" w:rsidRDefault="00EF7E7E" w:rsidP="00EF7E7E">
      <w:r>
        <w:t xml:space="preserve">The analysis for derivatives subject to the trading obligation under </w:t>
      </w:r>
      <w:proofErr w:type="spellStart"/>
      <w:r>
        <w:t>MiFIR</w:t>
      </w:r>
      <w:proofErr w:type="spellEnd"/>
      <w:r>
        <w:t xml:space="preserve"> should be almost identical.</w:t>
      </w:r>
    </w:p>
    <w:p w14:paraId="62C3AB9A" w14:textId="77777777" w:rsidR="00EF7E7E" w:rsidRDefault="00EF7E7E" w:rsidP="00EF7E7E"/>
    <w:p w14:paraId="079B15A1" w14:textId="77777777" w:rsidR="00EF7E7E" w:rsidRDefault="00EF7E7E" w:rsidP="00EF7E7E">
      <w:r w:rsidRPr="007927D8">
        <w:rPr>
          <w:b/>
        </w:rPr>
        <w:t>First, pre-arranged trading should be prohibited for transactions in derivatives subject to the trading obligation for the following reasons</w:t>
      </w:r>
      <w:r>
        <w:t>:</w:t>
      </w:r>
    </w:p>
    <w:p w14:paraId="63997D6E" w14:textId="77777777" w:rsidR="00EF7E7E" w:rsidRDefault="00EF7E7E" w:rsidP="00EF7E7E"/>
    <w:p w14:paraId="126DCACB" w14:textId="77777777" w:rsidR="00EF7E7E" w:rsidRDefault="00EF7E7E" w:rsidP="00467126">
      <w:pPr>
        <w:pStyle w:val="ListParagraph"/>
        <w:numPr>
          <w:ilvl w:val="0"/>
          <w:numId w:val="39"/>
        </w:numPr>
        <w:ind w:left="360"/>
      </w:pPr>
      <w:r>
        <w:t xml:space="preserve">This is the clear intent of Article 28(1) of </w:t>
      </w:r>
      <w:proofErr w:type="spellStart"/>
      <w:r>
        <w:t>MiFIR</w:t>
      </w:r>
      <w:proofErr w:type="spellEnd"/>
      <w:r>
        <w:t xml:space="preserve">, which requires derivatives subject to the trading obligation to be concluded on one of the listed trading venues.  While </w:t>
      </w:r>
      <w:proofErr w:type="spellStart"/>
      <w:r>
        <w:t>MiFIR</w:t>
      </w:r>
      <w:proofErr w:type="spellEnd"/>
      <w:r>
        <w:t xml:space="preserve"> provides trading venues with flexibility regarding the trading protocols that they can offer, transactions in derivatives subject to the trading obligation still must be executed </w:t>
      </w:r>
      <w:r w:rsidRPr="000D0370">
        <w:rPr>
          <w:u w:val="single"/>
        </w:rPr>
        <w:t>on a trading venue</w:t>
      </w:r>
      <w:r>
        <w:t xml:space="preserve"> using a trading protocol offered by that venue.  Allowing transactions to be entered into, negotiated, or “conditionally agreed” completely away from an </w:t>
      </w:r>
      <w:proofErr w:type="spellStart"/>
      <w:r>
        <w:t>MTF</w:t>
      </w:r>
      <w:proofErr w:type="spellEnd"/>
      <w:r>
        <w:t xml:space="preserve"> or </w:t>
      </w:r>
      <w:proofErr w:type="spellStart"/>
      <w:r>
        <w:t>OTF</w:t>
      </w:r>
      <w:proofErr w:type="spellEnd"/>
      <w:r>
        <w:t xml:space="preserve"> would undermine the trading obligation altogether, as bilateral off-venue trading could continue to occur in the same manner that it does today.</w:t>
      </w:r>
    </w:p>
    <w:p w14:paraId="19097B74" w14:textId="77777777" w:rsidR="00EF7E7E" w:rsidRDefault="00EF7E7E" w:rsidP="00467126">
      <w:pPr>
        <w:pStyle w:val="ListParagraph"/>
        <w:ind w:left="360"/>
      </w:pPr>
    </w:p>
    <w:p w14:paraId="1BD1E357" w14:textId="77777777" w:rsidR="00EF7E7E" w:rsidRDefault="00EF7E7E" w:rsidP="00467126">
      <w:pPr>
        <w:pStyle w:val="ListParagraph"/>
        <w:numPr>
          <w:ilvl w:val="0"/>
          <w:numId w:val="39"/>
        </w:numPr>
        <w:ind w:left="360"/>
      </w:pPr>
      <w:proofErr w:type="spellStart"/>
      <w:r>
        <w:t>MiFIR</w:t>
      </w:r>
      <w:proofErr w:type="spellEnd"/>
      <w:r>
        <w:t xml:space="preserve"> specifically includes provisions relating to “negotiated transactions” in equities, but includes no such provisions for derivatives subject to the trading obligation.</w:t>
      </w:r>
      <w:r>
        <w:rPr>
          <w:rStyle w:val="FootnoteReference"/>
        </w:rPr>
        <w:footnoteReference w:id="14"/>
      </w:r>
      <w:r>
        <w:t xml:space="preserve">  This is further evidence that pre-arranged, or negotiated, transactions were not intended to be permitted for derivatives that must be traded on trading venues.</w:t>
      </w:r>
    </w:p>
    <w:p w14:paraId="5E0B3E0C" w14:textId="77777777" w:rsidR="00EF7E7E" w:rsidRDefault="00EF7E7E" w:rsidP="00467126">
      <w:pPr>
        <w:pStyle w:val="ListParagraph"/>
        <w:ind w:left="360"/>
      </w:pPr>
    </w:p>
    <w:p w14:paraId="70582A19" w14:textId="77777777" w:rsidR="00EF7E7E" w:rsidRDefault="00EF7E7E" w:rsidP="00467126">
      <w:pPr>
        <w:pStyle w:val="ListParagraph"/>
        <w:numPr>
          <w:ilvl w:val="0"/>
          <w:numId w:val="39"/>
        </w:numPr>
        <w:ind w:left="360"/>
      </w:pPr>
      <w:r>
        <w:t>Prohibiting pre-arranged trading is consistent with prior ESMA statements regarding the implementation of the trading obligation for derivatives.  For example, in this Consultation Paper, ESMA stated “it is expected that the TO will change trading behaviour since all derivatives subject to the TO will have to be executed on a trading venue” and that the trading obligation will impose costs on market participants in terms of removing their “flexibility to negotiate transactions in derivatives according to protocols and execution methods different from those provided by trading venues”.</w:t>
      </w:r>
      <w:r>
        <w:rPr>
          <w:rStyle w:val="FootnoteReference"/>
        </w:rPr>
        <w:footnoteReference w:id="15"/>
      </w:r>
      <w:r>
        <w:t xml:space="preserve">  Both of these statements clearly imply that implementation of the trading obligation means that bilateral off-venue trading will no longer be permitted for those specific instruments.</w:t>
      </w:r>
    </w:p>
    <w:p w14:paraId="0153F5D3" w14:textId="77777777" w:rsidR="00EF7E7E" w:rsidRDefault="00EF7E7E" w:rsidP="00467126">
      <w:pPr>
        <w:pStyle w:val="ListParagraph"/>
        <w:ind w:left="360"/>
      </w:pPr>
    </w:p>
    <w:p w14:paraId="0D0A5322" w14:textId="77777777" w:rsidR="00EF7E7E" w:rsidRDefault="00EF7E7E" w:rsidP="00467126">
      <w:pPr>
        <w:pStyle w:val="ListParagraph"/>
        <w:numPr>
          <w:ilvl w:val="0"/>
          <w:numId w:val="39"/>
        </w:numPr>
        <w:ind w:left="360"/>
      </w:pPr>
      <w:r>
        <w:t xml:space="preserve">Similar to US </w:t>
      </w:r>
      <w:proofErr w:type="spellStart"/>
      <w:r>
        <w:t>CFTC</w:t>
      </w:r>
      <w:proofErr w:type="spellEnd"/>
      <w:r>
        <w:t xml:space="preserve"> rules, market participants will still be able to engage in some communications off-venue regarding a potential trade as long as this is permitted by a trading venue.  However, prohibiting pre-arranged trading ensures that each trading counterparty, or an agent or broker acting on their behalf, actually negotiates and executes the relevant transaction on a trading venue as required by </w:t>
      </w:r>
      <w:proofErr w:type="spellStart"/>
      <w:r>
        <w:t>MiFIR</w:t>
      </w:r>
      <w:proofErr w:type="spellEnd"/>
      <w:r>
        <w:t>.</w:t>
      </w:r>
    </w:p>
    <w:p w14:paraId="6023EAA9" w14:textId="77777777" w:rsidR="00EF7E7E" w:rsidRDefault="00EF7E7E" w:rsidP="00EF7E7E"/>
    <w:p w14:paraId="5CEE3A49" w14:textId="77777777" w:rsidR="00EF7E7E" w:rsidRDefault="00EF7E7E" w:rsidP="00EF7E7E">
      <w:r w:rsidRPr="007927D8">
        <w:rPr>
          <w:b/>
        </w:rPr>
        <w:t>Second, transactions above the post-trade LIS threshold should not be granted an exception from the prohibition on pre-arranged trading for the following reasons</w:t>
      </w:r>
      <w:r>
        <w:t>:</w:t>
      </w:r>
    </w:p>
    <w:p w14:paraId="3A3EDF6E" w14:textId="77777777" w:rsidR="00EF7E7E" w:rsidRDefault="00EF7E7E" w:rsidP="00EF7E7E"/>
    <w:p w14:paraId="190E61CB" w14:textId="3E3F8516" w:rsidR="00EF7E7E" w:rsidRDefault="00EF7E7E" w:rsidP="00467126">
      <w:pPr>
        <w:pStyle w:val="ListParagraph"/>
        <w:numPr>
          <w:ilvl w:val="0"/>
          <w:numId w:val="40"/>
        </w:numPr>
        <w:ind w:left="360"/>
      </w:pPr>
      <w:r>
        <w:t xml:space="preserve">Since these transactions are subject to the trading obligation, they will also be subject to the straight-through-processing requirements in RTS 26, including the pre-trade credit check.  </w:t>
      </w:r>
      <w:r w:rsidR="00993092">
        <w:t xml:space="preserve">Today, </w:t>
      </w:r>
      <w:r>
        <w:t xml:space="preserve">trading venues </w:t>
      </w:r>
      <w:r w:rsidR="00993092">
        <w:t xml:space="preserve">play a central role </w:t>
      </w:r>
      <w:r>
        <w:t>in facil</w:t>
      </w:r>
      <w:r w:rsidR="00993092">
        <w:t xml:space="preserve">itating pre-trade credit checks, and in </w:t>
      </w:r>
      <w:r>
        <w:t>fact, there currently does not appear to be a way for market participants to perform the pre-trade credit check other than by executing the transaction on a trading venue.</w:t>
      </w:r>
      <w:r w:rsidR="00993092" w:rsidRPr="00993092">
        <w:t xml:space="preserve"> </w:t>
      </w:r>
      <w:r w:rsidR="00993092">
        <w:t>Thus, there is no need to allow market participants to execute transactions above the post-trade LIS threshold off-venue.</w:t>
      </w:r>
    </w:p>
    <w:p w14:paraId="57CA72A0" w14:textId="77777777" w:rsidR="00EF7E7E" w:rsidRDefault="00EF7E7E" w:rsidP="00467126">
      <w:pPr>
        <w:pStyle w:val="ListParagraph"/>
        <w:ind w:left="360"/>
      </w:pPr>
    </w:p>
    <w:p w14:paraId="0C9C41B7" w14:textId="2ECF34D3" w:rsidR="00EF7E7E" w:rsidRDefault="00EF7E7E" w:rsidP="00467126">
      <w:pPr>
        <w:pStyle w:val="ListParagraph"/>
        <w:numPr>
          <w:ilvl w:val="0"/>
          <w:numId w:val="40"/>
        </w:numPr>
        <w:ind w:left="360"/>
      </w:pPr>
      <w:r>
        <w:t xml:space="preserve">Under </w:t>
      </w:r>
      <w:proofErr w:type="spellStart"/>
      <w:r>
        <w:t>MiFIR</w:t>
      </w:r>
      <w:proofErr w:type="spellEnd"/>
      <w:r>
        <w:t xml:space="preserve">, trading venues have flexibility regarding the trading protocols that they can offer.  Therefore, transactions above the post-trade LIS threshold can be entered into using trading protocols that </w:t>
      </w:r>
      <w:r>
        <w:lastRenderedPageBreak/>
        <w:t>allow for private negotiation on the trading venue, such as RFQ-to-1.  This should remove</w:t>
      </w:r>
      <w:r w:rsidRPr="00341340">
        <w:t xml:space="preserve"> any concerns about information leakag</w:t>
      </w:r>
      <w:r>
        <w:t>e which motivated the need for a special exemption for</w:t>
      </w:r>
      <w:r w:rsidRPr="00341340">
        <w:t xml:space="preserve"> </w:t>
      </w:r>
      <w:r>
        <w:t>“</w:t>
      </w:r>
      <w:r w:rsidRPr="00341340">
        <w:t>block</w:t>
      </w:r>
      <w:r>
        <w:t>”</w:t>
      </w:r>
      <w:r w:rsidRPr="00341340">
        <w:t xml:space="preserve"> trade</w:t>
      </w:r>
      <w:r>
        <w:t xml:space="preserve">s from the RFQ-to-3 and Order Book trading requirements under US </w:t>
      </w:r>
      <w:proofErr w:type="spellStart"/>
      <w:r>
        <w:t>CFTC</w:t>
      </w:r>
      <w:proofErr w:type="spellEnd"/>
      <w:r>
        <w:t xml:space="preserve"> rules.</w:t>
      </w:r>
    </w:p>
    <w:p w14:paraId="6191B7EF" w14:textId="77777777" w:rsidR="00EF7E7E" w:rsidRDefault="00EF7E7E" w:rsidP="00467126">
      <w:pPr>
        <w:pStyle w:val="ListParagraph"/>
        <w:ind w:left="360"/>
      </w:pPr>
    </w:p>
    <w:p w14:paraId="2E4A3D58" w14:textId="77777777" w:rsidR="008C2DF4" w:rsidRDefault="00EF7E7E" w:rsidP="00A252FF">
      <w:pPr>
        <w:pStyle w:val="ListParagraph"/>
        <w:numPr>
          <w:ilvl w:val="0"/>
          <w:numId w:val="40"/>
        </w:numPr>
        <w:ind w:left="360"/>
      </w:pPr>
      <w:r>
        <w:t>Ensuring that transactions above the post-trade LIS threshold will be traded on trading venues also incentivizes trading venues to develop and support the appropriate trading protocols for this type of trading.  Experience in the US with trading “blocks” on SEFs shows that trading venues will innovate and compete to attract additional trading activity.  In addition, as discussed above, market participants will still be able to engage in some communications off-venue regarding a potential trade as long as this is permitted by a trading venue.</w:t>
      </w:r>
    </w:p>
    <w:permEnd w:id="1656237217"/>
    <w:p w14:paraId="7120138F" w14:textId="77777777" w:rsidR="00D34282" w:rsidRPr="00C25863" w:rsidRDefault="00D34282" w:rsidP="00D34282">
      <w:r w:rsidRPr="00C25863">
        <w:t>&lt;</w:t>
      </w:r>
      <w:r>
        <w:t>ESMA_COMMENT</w:t>
      </w:r>
      <w:r w:rsidR="00D920D1">
        <w:t>_MIFID</w:t>
      </w:r>
      <w:r w:rsidR="00AB4824">
        <w:t>_TO_</w:t>
      </w:r>
      <w:r w:rsidR="00551E98">
        <w:t>0</w:t>
      </w:r>
      <w:r w:rsidRPr="00C25863">
        <w:t>&gt;</w:t>
      </w:r>
    </w:p>
    <w:p w14:paraId="769B56CC" w14:textId="77777777"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explain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14:paraId="405DC812" w14:textId="77777777" w:rsidR="00A8728B" w:rsidRDefault="00A8728B" w:rsidP="00A8728B">
      <w:r>
        <w:t>&lt;ESMA_QUESTION</w:t>
      </w:r>
      <w:r w:rsidR="00D920D1">
        <w:t>_MIFID</w:t>
      </w:r>
      <w:r w:rsidR="00AB4824">
        <w:t>_TO_</w:t>
      </w:r>
      <w:r>
        <w:t>1&gt;</w:t>
      </w:r>
    </w:p>
    <w:p w14:paraId="68D12D08" w14:textId="77777777" w:rsidR="009D02D3" w:rsidRDefault="009D02D3" w:rsidP="00A8728B">
      <w:permStart w:id="835350399" w:edGrp="everyone"/>
      <w:r>
        <w:t xml:space="preserve">We agree with </w:t>
      </w:r>
      <w:proofErr w:type="spellStart"/>
      <w:r>
        <w:t>ESMA’s</w:t>
      </w:r>
      <w:proofErr w:type="spellEnd"/>
      <w:r>
        <w:t xml:space="preserve"> proposal to refrain from setting a fixed minimum threshold of the number of market participants that must tr</w:t>
      </w:r>
      <w:r w:rsidR="001576F4">
        <w:t>ade a derivative in order for such derivative</w:t>
      </w:r>
      <w:r>
        <w:t xml:space="preserve"> to be considered liquid.</w:t>
      </w:r>
    </w:p>
    <w:p w14:paraId="3BB98B96" w14:textId="77777777" w:rsidR="009D02D3" w:rsidRDefault="009D02D3" w:rsidP="00A8728B"/>
    <w:p w14:paraId="582CC0BF" w14:textId="77777777" w:rsidR="00A8728B" w:rsidRDefault="009D02D3" w:rsidP="00A8728B">
      <w:r>
        <w:t xml:space="preserve">This approach is consistent with RTS 4, which contemplates a </w:t>
      </w:r>
      <w:r w:rsidR="001576F4">
        <w:t xml:space="preserve">more holistic </w:t>
      </w:r>
      <w:r>
        <w:t>liquidity as</w:t>
      </w:r>
      <w:r w:rsidR="001576F4">
        <w:t>sessment that takes into account a number of</w:t>
      </w:r>
      <w:r>
        <w:t xml:space="preserve"> </w:t>
      </w:r>
      <w:r w:rsidR="001576F4">
        <w:t xml:space="preserve">factors.  In addition, this approach provides the necessary flexibility to account for differences that may exist between specific classes of derivatives.  </w:t>
      </w:r>
      <w:r w:rsidR="00771125">
        <w:t>For example, one class of derivatives may have a large number of market participants that each trade relatively infrequently, while another class of derivatives may have a smaller number of market participants that</w:t>
      </w:r>
      <w:r w:rsidR="00B42230">
        <w:t xml:space="preserve"> each</w:t>
      </w:r>
      <w:r w:rsidR="00771125">
        <w:t xml:space="preserve"> trade more frequently.  </w:t>
      </w:r>
      <w:r w:rsidR="003D1BC0">
        <w:t>Analysing the number and types of market participants active in a specific class of derivatives side-by-side with the other liquidity criteria, such as overall trading activity, number of liquidity providers, and the availability of streaming prices, will provide ESMA with a more complete picture of the liquidity profile of a class of derivatives.</w:t>
      </w:r>
    </w:p>
    <w:p w14:paraId="47EB55A0" w14:textId="77777777" w:rsidR="003D1BC0" w:rsidRDefault="003D1BC0" w:rsidP="00A8728B"/>
    <w:p w14:paraId="2A40A6BB" w14:textId="77777777" w:rsidR="003D1BC0" w:rsidRDefault="003D1BC0" w:rsidP="00A8728B">
      <w:r>
        <w:t xml:space="preserve">As with the other liquidity criteria included in RTS 4, we encourage ESMA to use as many data sources as possible when determining the number and types of market participants active in a specific class of derivatives.  These data sources include (a) EU trade repository data, (b) </w:t>
      </w:r>
      <w:proofErr w:type="spellStart"/>
      <w:r>
        <w:t>CCPs</w:t>
      </w:r>
      <w:proofErr w:type="spellEnd"/>
      <w:r>
        <w:t>, and (c) trading venues.</w:t>
      </w:r>
    </w:p>
    <w:permEnd w:id="835350399"/>
    <w:p w14:paraId="0D4911FA" w14:textId="77777777" w:rsidR="00A8728B" w:rsidRDefault="00A8728B" w:rsidP="00A8728B">
      <w:r>
        <w:t>&lt;ESMA_QUESTION</w:t>
      </w:r>
      <w:r w:rsidR="00D920D1">
        <w:t>_MIFID</w:t>
      </w:r>
      <w:r w:rsidR="00AB4824">
        <w:t>_TO_</w:t>
      </w:r>
      <w:r>
        <w:t>1&gt;</w:t>
      </w:r>
    </w:p>
    <w:p w14:paraId="47436695" w14:textId="77777777"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14:paraId="7FC335E5" w14:textId="77777777" w:rsidR="00A8728B" w:rsidRDefault="00A8728B" w:rsidP="00A8728B">
      <w:r>
        <w:t>&lt;ESMA_QUESTION</w:t>
      </w:r>
      <w:r w:rsidR="00D920D1">
        <w:t>_MIFID</w:t>
      </w:r>
      <w:r w:rsidR="00AB4824">
        <w:t>_TO_</w:t>
      </w:r>
      <w:r>
        <w:t>2&gt;</w:t>
      </w:r>
    </w:p>
    <w:p w14:paraId="7EF7953D" w14:textId="77777777" w:rsidR="00A8728B" w:rsidRDefault="00AA7572" w:rsidP="00A8728B">
      <w:permStart w:id="1370639300" w:edGrp="everyone"/>
      <w:r>
        <w:t xml:space="preserve">We agree with </w:t>
      </w:r>
      <w:proofErr w:type="spellStart"/>
      <w:r>
        <w:t>ESMA’s</w:t>
      </w:r>
      <w:proofErr w:type="spellEnd"/>
      <w:r>
        <w:t xml:space="preserve"> proposal</w:t>
      </w:r>
      <w:r w:rsidR="00DD45F8">
        <w:t xml:space="preserve"> </w:t>
      </w:r>
      <w:r>
        <w:t xml:space="preserve">not to create a special exemption from the trading obligation for transactions above </w:t>
      </w:r>
      <w:r w:rsidR="003A5C7A">
        <w:t>the post-trade LIS threshold for the following reasons:</w:t>
      </w:r>
    </w:p>
    <w:p w14:paraId="7B253985" w14:textId="77777777" w:rsidR="003A5C7A" w:rsidRDefault="003A5C7A" w:rsidP="00A8728B"/>
    <w:p w14:paraId="5E1CA6F7" w14:textId="1F9BAA11" w:rsidR="003A5C7A" w:rsidRDefault="003A5C7A" w:rsidP="00467126">
      <w:pPr>
        <w:pStyle w:val="ListParagraph"/>
        <w:numPr>
          <w:ilvl w:val="0"/>
          <w:numId w:val="37"/>
        </w:numPr>
        <w:ind w:left="360"/>
      </w:pPr>
      <w:r>
        <w:t xml:space="preserve">Transactions above the post-trade LIS threshold will </w:t>
      </w:r>
      <w:r w:rsidR="00884D0D">
        <w:t xml:space="preserve">already </w:t>
      </w:r>
      <w:r>
        <w:t xml:space="preserve">be eligible for (a) a full waiver from pre-trade transparency and (b) an extended deferral of 4 weeks from post-trade transparency requirements.  </w:t>
      </w:r>
      <w:r w:rsidR="000B3961">
        <w:t>These waivers and deferrals</w:t>
      </w:r>
      <w:r w:rsidR="00807646">
        <w:t xml:space="preserve"> are designed to</w:t>
      </w:r>
      <w:r w:rsidR="000B3961">
        <w:t xml:space="preserve"> </w:t>
      </w:r>
      <w:r w:rsidR="00884D0D">
        <w:t>address</w:t>
      </w:r>
      <w:r w:rsidR="00B42230">
        <w:t xml:space="preserve"> </w:t>
      </w:r>
      <w:r w:rsidR="000B3961">
        <w:t>information leakage concerns for large</w:t>
      </w:r>
      <w:r w:rsidR="00F115A6">
        <w:t>r</w:t>
      </w:r>
      <w:r w:rsidR="000B3961">
        <w:t xml:space="preserve"> trades</w:t>
      </w:r>
      <w:r w:rsidR="00884D0D">
        <w:t xml:space="preserve"> and are relatively generous</w:t>
      </w:r>
      <w:r w:rsidR="00E72D84">
        <w:t xml:space="preserve"> –</w:t>
      </w:r>
      <w:r w:rsidR="00884D0D">
        <w:t xml:space="preserve"> for example, </w:t>
      </w:r>
      <w:r w:rsidR="006951C0">
        <w:t>US</w:t>
      </w:r>
      <w:r w:rsidR="00B42230">
        <w:t xml:space="preserve"> </w:t>
      </w:r>
      <w:proofErr w:type="spellStart"/>
      <w:r w:rsidR="00B42230">
        <w:t>CFTC</w:t>
      </w:r>
      <w:proofErr w:type="spellEnd"/>
      <w:r w:rsidR="00B42230">
        <w:t xml:space="preserve"> rules only provide a 15 minute deferral from post-trade transparency</w:t>
      </w:r>
      <w:r w:rsidR="00BA3A0C">
        <w:t xml:space="preserve"> requirements</w:t>
      </w:r>
      <w:r w:rsidR="00B42230">
        <w:t xml:space="preserve"> for large “block” trades.</w:t>
      </w:r>
      <w:r w:rsidR="00B42230">
        <w:rPr>
          <w:rStyle w:val="FootnoteReference"/>
        </w:rPr>
        <w:footnoteReference w:id="16"/>
      </w:r>
    </w:p>
    <w:p w14:paraId="0C3E311E" w14:textId="77777777" w:rsidR="00B42230" w:rsidRDefault="00B42230" w:rsidP="00467126">
      <w:pPr>
        <w:pStyle w:val="ListParagraph"/>
        <w:ind w:left="360"/>
      </w:pPr>
    </w:p>
    <w:p w14:paraId="48EF0824" w14:textId="1628A054" w:rsidR="00F115A6" w:rsidRDefault="00884D0D" w:rsidP="00467126">
      <w:pPr>
        <w:pStyle w:val="ListParagraph"/>
        <w:numPr>
          <w:ilvl w:val="0"/>
          <w:numId w:val="37"/>
        </w:numPr>
        <w:ind w:left="360"/>
      </w:pPr>
      <w:r>
        <w:t xml:space="preserve">Since </w:t>
      </w:r>
      <w:proofErr w:type="spellStart"/>
      <w:r>
        <w:t>MiFIR</w:t>
      </w:r>
      <w:proofErr w:type="spellEnd"/>
      <w:r>
        <w:t xml:space="preserve"> does not specify the exact trading protocols that must be offered by trading venues, transactions above the post-trade LIS threshold can be entered into using trading protocols that allow for private negotiation</w:t>
      </w:r>
      <w:r w:rsidR="001804C8">
        <w:t xml:space="preserve"> on the trading venue</w:t>
      </w:r>
      <w:r w:rsidR="00F115A6">
        <w:t>, such as RFQ-to-1.  This will address any information leakage concerns for larger trades</w:t>
      </w:r>
      <w:r w:rsidR="00C57F5E">
        <w:t xml:space="preserve"> that are related specifically to the trading obligation</w:t>
      </w:r>
      <w:r w:rsidR="00F115A6">
        <w:t xml:space="preserve">.  This contrasts with </w:t>
      </w:r>
      <w:r w:rsidR="006951C0">
        <w:t>US</w:t>
      </w:r>
      <w:r w:rsidR="00F115A6">
        <w:t xml:space="preserve"> </w:t>
      </w:r>
      <w:proofErr w:type="spellStart"/>
      <w:r w:rsidR="00F115A6">
        <w:t>CFTC</w:t>
      </w:r>
      <w:proofErr w:type="spellEnd"/>
      <w:r w:rsidR="00F115A6">
        <w:t xml:space="preserve"> rules, where derivatives subject to the trading obligation must be transacted using either RFQ-to-3 or an Order Book, </w:t>
      </w:r>
      <w:r w:rsidR="00807646">
        <w:t>which created</w:t>
      </w:r>
      <w:r w:rsidR="00F115A6">
        <w:t xml:space="preserve"> the need for a specific exemption </w:t>
      </w:r>
      <w:r w:rsidR="00D9361B">
        <w:t xml:space="preserve">for large “block” trades </w:t>
      </w:r>
      <w:r w:rsidR="00F115A6">
        <w:t xml:space="preserve">from these </w:t>
      </w:r>
      <w:r w:rsidR="00E72D84">
        <w:t>trading protocols</w:t>
      </w:r>
      <w:r w:rsidR="00F115A6">
        <w:t>.</w:t>
      </w:r>
    </w:p>
    <w:p w14:paraId="1518286B" w14:textId="77777777" w:rsidR="00F115A6" w:rsidRDefault="00F115A6" w:rsidP="00467126">
      <w:pPr>
        <w:pStyle w:val="ListParagraph"/>
        <w:ind w:left="360"/>
      </w:pPr>
    </w:p>
    <w:p w14:paraId="5AD35475" w14:textId="77777777" w:rsidR="00F115A6" w:rsidRDefault="00E41D9D" w:rsidP="00467126">
      <w:pPr>
        <w:pStyle w:val="ListParagraph"/>
        <w:numPr>
          <w:ilvl w:val="0"/>
          <w:numId w:val="37"/>
        </w:numPr>
        <w:ind w:left="360"/>
      </w:pPr>
      <w:r>
        <w:t xml:space="preserve">Under the </w:t>
      </w:r>
      <w:proofErr w:type="spellStart"/>
      <w:r>
        <w:t>MiFIR</w:t>
      </w:r>
      <w:proofErr w:type="spellEnd"/>
      <w:r>
        <w:t xml:space="preserve"> framework,</w:t>
      </w:r>
      <w:r w:rsidR="00D9361B">
        <w:t xml:space="preserve"> pre-tr</w:t>
      </w:r>
      <w:r>
        <w:t xml:space="preserve">ade transparency requirements and the trading obligation for derivatives are separate and distinct rules, </w:t>
      </w:r>
      <w:r w:rsidR="00431EAF">
        <w:t>which recognizes</w:t>
      </w:r>
      <w:r>
        <w:t xml:space="preserve"> that there are benefits to applying the trading obligation to </w:t>
      </w:r>
      <w:r w:rsidR="00431EAF">
        <w:t>a transaction</w:t>
      </w:r>
      <w:r>
        <w:t xml:space="preserve"> even if it is not subject to pre-trade transparency.  These benefits of the trading obligation include:</w:t>
      </w:r>
    </w:p>
    <w:p w14:paraId="785BE032" w14:textId="77777777" w:rsidR="00E41D9D" w:rsidRDefault="00E41D9D" w:rsidP="00E41D9D">
      <w:pPr>
        <w:pStyle w:val="ListParagraph"/>
      </w:pPr>
    </w:p>
    <w:p w14:paraId="77B4DA3E" w14:textId="77777777" w:rsidR="00E41D9D" w:rsidRDefault="00CA442D" w:rsidP="00467126">
      <w:pPr>
        <w:pStyle w:val="ListParagraph"/>
        <w:numPr>
          <w:ilvl w:val="1"/>
          <w:numId w:val="37"/>
        </w:numPr>
        <w:ind w:left="720"/>
      </w:pPr>
      <w:r>
        <w:t xml:space="preserve">Enhancing market stability and integrity by transitioning trading activity onto well-regulated trading venues with monitoring and surveillance capabilities.  </w:t>
      </w:r>
    </w:p>
    <w:p w14:paraId="702574EE" w14:textId="77777777" w:rsidR="00CA442D" w:rsidRDefault="00CA442D" w:rsidP="00467126">
      <w:pPr>
        <w:pStyle w:val="ListParagraph"/>
      </w:pPr>
    </w:p>
    <w:p w14:paraId="6803CAC4" w14:textId="77777777" w:rsidR="00CA442D" w:rsidRDefault="00CA442D" w:rsidP="00467126">
      <w:pPr>
        <w:pStyle w:val="ListParagraph"/>
        <w:numPr>
          <w:ilvl w:val="1"/>
          <w:numId w:val="37"/>
        </w:numPr>
        <w:ind w:left="720"/>
      </w:pPr>
      <w:r>
        <w:lastRenderedPageBreak/>
        <w:t xml:space="preserve">Reducing operational risk </w:t>
      </w:r>
      <w:r w:rsidR="00615088">
        <w:t>through</w:t>
      </w:r>
      <w:r>
        <w:t xml:space="preserve"> the pre-trade </w:t>
      </w:r>
      <w:r w:rsidR="00817F10">
        <w:t xml:space="preserve">credit </w:t>
      </w:r>
      <w:r>
        <w:t>check and straight-through-processing requirements in RTS 26 that are applicable to transactions concluded on a trading venue.</w:t>
      </w:r>
      <w:r w:rsidR="00817F10">
        <w:t xml:space="preserve">  This will help to ensure that market participants have available cleari</w:t>
      </w:r>
      <w:r w:rsidR="00807646">
        <w:t>ng capacity before entering into transactions</w:t>
      </w:r>
      <w:r w:rsidR="00817F10">
        <w:t>, thereby mitigating the possibility of a subsequent rejection from clearing, which is a particularly undesirable risk when executing a large trade.</w:t>
      </w:r>
      <w:r w:rsidR="00817F10">
        <w:rPr>
          <w:rStyle w:val="FootnoteReference"/>
        </w:rPr>
        <w:footnoteReference w:id="17"/>
      </w:r>
    </w:p>
    <w:p w14:paraId="7486A83A" w14:textId="77777777" w:rsidR="00CA442D" w:rsidRDefault="00CA442D" w:rsidP="00467126">
      <w:pPr>
        <w:pStyle w:val="ListParagraph"/>
      </w:pPr>
    </w:p>
    <w:p w14:paraId="6CF0AFE7" w14:textId="77777777" w:rsidR="00CA442D" w:rsidRDefault="002568A4" w:rsidP="00467126">
      <w:pPr>
        <w:pStyle w:val="ListParagraph"/>
        <w:numPr>
          <w:ilvl w:val="1"/>
          <w:numId w:val="37"/>
        </w:numPr>
        <w:ind w:left="720"/>
      </w:pPr>
      <w:r>
        <w:t>Improving</w:t>
      </w:r>
      <w:r w:rsidR="00CA442D">
        <w:t xml:space="preserve"> market liquidity and competition by transitioning trading activity onto trading venues that are subject to non-discriminatory access requirements, enabling market participants to have access to a greater number of liquidity providers.</w:t>
      </w:r>
      <w:r w:rsidR="00CA442D">
        <w:rPr>
          <w:rStyle w:val="FootnoteReference"/>
        </w:rPr>
        <w:footnoteReference w:id="18"/>
      </w:r>
    </w:p>
    <w:p w14:paraId="6899346A" w14:textId="77777777" w:rsidR="00F115A6" w:rsidRDefault="00F115A6" w:rsidP="00F115A6">
      <w:pPr>
        <w:pStyle w:val="ListParagraph"/>
      </w:pPr>
    </w:p>
    <w:p w14:paraId="587CBE51" w14:textId="67508257" w:rsidR="00754262" w:rsidRDefault="00145714" w:rsidP="00467126">
      <w:pPr>
        <w:pStyle w:val="ListParagraph"/>
        <w:ind w:left="360"/>
      </w:pPr>
      <w:r>
        <w:t>Therefore, it is appropriate to apply the trading obligation to transactions above the post-trade LIS threshold, even if these transactions are not subject to pre-trade transparency.  It is worth noting that, w</w:t>
      </w:r>
      <w:r w:rsidR="0090475F">
        <w:t xml:space="preserve">ith pre-trade </w:t>
      </w:r>
      <w:proofErr w:type="spellStart"/>
      <w:r w:rsidR="0090475F">
        <w:t>SSTI</w:t>
      </w:r>
      <w:proofErr w:type="spellEnd"/>
      <w:r w:rsidR="0090475F">
        <w:t xml:space="preserve"> thresholds </w:t>
      </w:r>
      <w:r w:rsidR="00807646">
        <w:t xml:space="preserve">initially </w:t>
      </w:r>
      <w:r w:rsidR="0090475F">
        <w:t xml:space="preserve">set at EUR </w:t>
      </w:r>
      <w:r w:rsidR="0097183F">
        <w:t xml:space="preserve">4 million for nearly all fixed-to-float IRS being considered </w:t>
      </w:r>
      <w:r w:rsidR="000325CC">
        <w:t>for the trading obligation (and only approximately EUR 20 million for the four fixed-to-float benchmark tenors deemed to be “liquid”</w:t>
      </w:r>
      <w:r w:rsidR="00E47995">
        <w:t xml:space="preserve"> for transparency purposes</w:t>
      </w:r>
      <w:r w:rsidR="0097183F">
        <w:t>)</w:t>
      </w:r>
      <w:r w:rsidR="0090475F">
        <w:t>,</w:t>
      </w:r>
      <w:r w:rsidR="00300C1A">
        <w:rPr>
          <w:rStyle w:val="FootnoteReference"/>
        </w:rPr>
        <w:footnoteReference w:id="19"/>
      </w:r>
      <w:r w:rsidR="0090475F">
        <w:t xml:space="preserve"> </w:t>
      </w:r>
      <w:r w:rsidR="005E14FF">
        <w:t>nearly</w:t>
      </w:r>
      <w:r w:rsidR="0097183F">
        <w:t xml:space="preserve"> every</w:t>
      </w:r>
      <w:r w:rsidR="00300C1A">
        <w:t xml:space="preserve"> </w:t>
      </w:r>
      <w:r w:rsidR="0097183F">
        <w:t>transaction</w:t>
      </w:r>
      <w:r w:rsidR="00300C1A">
        <w:t xml:space="preserve"> in </w:t>
      </w:r>
      <w:r w:rsidR="0097183F">
        <w:t>an interest rate derivative</w:t>
      </w:r>
      <w:r>
        <w:t xml:space="preserve"> </w:t>
      </w:r>
      <w:r w:rsidR="00300C1A">
        <w:t>subject to the trading obligation will be eligible for a waiver from pre-trade transparency requirements</w:t>
      </w:r>
      <w:r>
        <w:t xml:space="preserve"> (not just transactions above post-trade LIS)</w:t>
      </w:r>
      <w:r w:rsidR="00300C1A">
        <w:t>.</w:t>
      </w:r>
      <w:r w:rsidR="00807646">
        <w:t xml:space="preserve">  In order to achieve the </w:t>
      </w:r>
      <w:r w:rsidR="002568A4">
        <w:t>specific</w:t>
      </w:r>
      <w:r w:rsidR="00807646">
        <w:t xml:space="preserve"> objectives of the trading</w:t>
      </w:r>
      <w:r w:rsidR="002568A4">
        <w:t xml:space="preserve"> obligation, it is important to keep it separate and distinct from the pre-trade transparency regime, as contemplated by </w:t>
      </w:r>
      <w:proofErr w:type="spellStart"/>
      <w:r w:rsidR="002568A4">
        <w:t>MiFIR</w:t>
      </w:r>
      <w:proofErr w:type="spellEnd"/>
      <w:r w:rsidR="002568A4">
        <w:t>.  Otherwise, given the breadth of available waivers from pre-trade transparency, the trading obligation will be undermined in practice.</w:t>
      </w:r>
    </w:p>
    <w:p w14:paraId="449E1446" w14:textId="77777777" w:rsidR="00B42230" w:rsidRDefault="00B42230" w:rsidP="00754262"/>
    <w:p w14:paraId="7F7C9C04" w14:textId="340F61AA" w:rsidR="00EB6CA4" w:rsidRDefault="0097183F" w:rsidP="00817F10">
      <w:r>
        <w:t>Finally, w</w:t>
      </w:r>
      <w:r w:rsidR="00EB6CA4">
        <w:t xml:space="preserve">e note that under </w:t>
      </w:r>
      <w:proofErr w:type="spellStart"/>
      <w:r w:rsidR="00EB6CA4">
        <w:t>ESMA’s</w:t>
      </w:r>
      <w:proofErr w:type="spellEnd"/>
      <w:r w:rsidR="00EB6CA4">
        <w:t xml:space="preserve"> July 201</w:t>
      </w:r>
      <w:r w:rsidR="00D540A8">
        <w:t>7</w:t>
      </w:r>
      <w:r w:rsidR="00EB6CA4">
        <w:t xml:space="preserve"> transitional transparency calculations, a post-trade LIS threshold of EUR 10 million </w:t>
      </w:r>
      <w:r>
        <w:t xml:space="preserve">will </w:t>
      </w:r>
      <w:r w:rsidR="00EB6CA4">
        <w:t xml:space="preserve">apply to </w:t>
      </w:r>
      <w:r>
        <w:t>almost all fixed-to-float IRS being considered for the trading obligation pursuant to Table 5.3 in</w:t>
      </w:r>
      <w:r w:rsidR="00EB6CA4">
        <w:t xml:space="preserve"> RTS 2.</w:t>
      </w:r>
      <w:r w:rsidR="00EB6CA4">
        <w:rPr>
          <w:rStyle w:val="FootnoteReference"/>
        </w:rPr>
        <w:footnoteReference w:id="20"/>
      </w:r>
      <w:r w:rsidR="00EB6CA4">
        <w:t xml:space="preserve">  To the extent an exemption from the trading obligation was provided for transactions above the post-trade LIS threshold, nearly all trading activity would be eligible for the exemption and t</w:t>
      </w:r>
      <w:r>
        <w:t>he trading obligation would be</w:t>
      </w:r>
      <w:r w:rsidR="00EB6CA4">
        <w:t xml:space="preserve"> undermined</w:t>
      </w:r>
      <w:r>
        <w:t>.</w:t>
      </w:r>
    </w:p>
    <w:p w14:paraId="6A7A3671" w14:textId="77777777" w:rsidR="00EB6CA4" w:rsidRDefault="00EB6CA4" w:rsidP="00817F10"/>
    <w:p w14:paraId="6D8789F4" w14:textId="77777777" w:rsidR="00817F10" w:rsidRDefault="009B7724" w:rsidP="00817F10">
      <w:r>
        <w:t xml:space="preserve">For the reasons above, we believe ESMA was correct not to create a special exemption from the trading obligation for transactions above the post-trade LIS threshold.  </w:t>
      </w:r>
      <w:r w:rsidR="00817F10">
        <w:t xml:space="preserve">Article 32(3) of </w:t>
      </w:r>
      <w:proofErr w:type="spellStart"/>
      <w:r w:rsidR="00817F10">
        <w:t>MiFIR</w:t>
      </w:r>
      <w:proofErr w:type="spellEnd"/>
      <w:r w:rsidR="00817F10">
        <w:t xml:space="preserve"> permits ESMA to grant </w:t>
      </w:r>
      <w:r>
        <w:t xml:space="preserve">such </w:t>
      </w:r>
      <w:r w:rsidR="00817F10">
        <w:t>an exemption, but does not require ESMA to do so</w:t>
      </w:r>
      <w:r>
        <w:t>.  As detailed in the Consultation Paper, ESMA has carefully considered the costs and benefits of this issue</w:t>
      </w:r>
      <w:r w:rsidR="002568A4">
        <w:t>.</w:t>
      </w:r>
      <w:r>
        <w:rPr>
          <w:rStyle w:val="FootnoteReference"/>
        </w:rPr>
        <w:footnoteReference w:id="21"/>
      </w:r>
      <w:r w:rsidR="002568A4">
        <w:t xml:space="preserve">  Furthermore, </w:t>
      </w:r>
      <w:r>
        <w:t xml:space="preserve">the current proposal </w:t>
      </w:r>
      <w:r w:rsidR="002568A4">
        <w:t xml:space="preserve">increases harmonization with </w:t>
      </w:r>
      <w:r w:rsidR="006951C0">
        <w:t>US</w:t>
      </w:r>
      <w:r>
        <w:t xml:space="preserve"> </w:t>
      </w:r>
      <w:proofErr w:type="spellStart"/>
      <w:r>
        <w:t>CFTC</w:t>
      </w:r>
      <w:proofErr w:type="spellEnd"/>
      <w:r>
        <w:t xml:space="preserve"> </w:t>
      </w:r>
      <w:r w:rsidR="007B0AB5">
        <w:t>rules</w:t>
      </w:r>
      <w:r>
        <w:t xml:space="preserve">, which </w:t>
      </w:r>
      <w:r w:rsidR="007B0AB5">
        <w:t>do</w:t>
      </w:r>
      <w:r>
        <w:t xml:space="preserve"> not completely exempt large “block” trades from the trading obligation, but </w:t>
      </w:r>
      <w:r w:rsidR="00145714">
        <w:t>relax the RFQ-to-3 and Order Book trading requirements for these transactions</w:t>
      </w:r>
      <w:r>
        <w:t>.</w:t>
      </w:r>
    </w:p>
    <w:p w14:paraId="03C44DFB" w14:textId="77777777" w:rsidR="00817F10" w:rsidRDefault="00817F10" w:rsidP="00A8728B"/>
    <w:p w14:paraId="1CF03EDF" w14:textId="77777777" w:rsidR="00D6438A" w:rsidRPr="00C57F5E" w:rsidRDefault="000839A6" w:rsidP="00A8728B">
      <w:pPr>
        <w:rPr>
          <w:b/>
          <w:u w:val="single"/>
        </w:rPr>
      </w:pPr>
      <w:r>
        <w:rPr>
          <w:b/>
          <w:u w:val="single"/>
        </w:rPr>
        <w:t>Clarifying that</w:t>
      </w:r>
      <w:r w:rsidR="004D6C9C">
        <w:rPr>
          <w:b/>
          <w:u w:val="single"/>
        </w:rPr>
        <w:t xml:space="preserve"> </w:t>
      </w:r>
      <w:r w:rsidR="00C57F5E" w:rsidRPr="00C57F5E">
        <w:rPr>
          <w:b/>
          <w:u w:val="single"/>
        </w:rPr>
        <w:t>Pre-Arranged Trading</w:t>
      </w:r>
      <w:r w:rsidR="004D6C9C">
        <w:rPr>
          <w:b/>
          <w:u w:val="single"/>
        </w:rPr>
        <w:t xml:space="preserve"> is </w:t>
      </w:r>
      <w:r>
        <w:rPr>
          <w:b/>
          <w:u w:val="single"/>
        </w:rPr>
        <w:t xml:space="preserve">Not </w:t>
      </w:r>
      <w:r w:rsidR="004D6C9C">
        <w:rPr>
          <w:b/>
          <w:u w:val="single"/>
        </w:rPr>
        <w:t>Permitted</w:t>
      </w:r>
      <w:r w:rsidR="005073A5">
        <w:rPr>
          <w:b/>
          <w:u w:val="single"/>
        </w:rPr>
        <w:t xml:space="preserve"> For Derivatives Subject to the Trading Obligation</w:t>
      </w:r>
    </w:p>
    <w:p w14:paraId="47A8BCB0" w14:textId="77777777" w:rsidR="00C57F5E" w:rsidRDefault="00C57F5E" w:rsidP="00A8728B"/>
    <w:p w14:paraId="2F5B9750" w14:textId="50CFA56A" w:rsidR="00693D27" w:rsidRDefault="004D4537" w:rsidP="00A8728B">
      <w:r>
        <w:t xml:space="preserve">A related issue that we urge ESMA to clarify in the Final Report is </w:t>
      </w:r>
      <w:r w:rsidR="00602CC0">
        <w:t xml:space="preserve">that </w:t>
      </w:r>
      <w:r>
        <w:t xml:space="preserve">pre-arranged trading </w:t>
      </w:r>
      <w:r w:rsidR="001804C8">
        <w:t xml:space="preserve">(or negotiated off-venue trading) </w:t>
      </w:r>
      <w:r>
        <w:t xml:space="preserve">is </w:t>
      </w:r>
      <w:r w:rsidR="00602CC0">
        <w:t xml:space="preserve">not </w:t>
      </w:r>
      <w:r>
        <w:t>permit</w:t>
      </w:r>
      <w:r w:rsidR="00602CC0">
        <w:t>ted for t</w:t>
      </w:r>
      <w:r>
        <w:t xml:space="preserve">ransactions in derivatives that are subject to the trading obligation, including transactions above the post-trade LIS threshold.  Pre-arranged trading </w:t>
      </w:r>
      <w:r w:rsidR="000839A6">
        <w:t xml:space="preserve">means two parties </w:t>
      </w:r>
      <w:r w:rsidR="001804C8">
        <w:t>enter into, negotiate,</w:t>
      </w:r>
      <w:r w:rsidR="000839A6">
        <w:t xml:space="preserve"> </w:t>
      </w:r>
      <w:r w:rsidR="00071565">
        <w:t xml:space="preserve">or “conditionally agree” </w:t>
      </w:r>
      <w:r w:rsidR="00D540A8">
        <w:t xml:space="preserve">to </w:t>
      </w:r>
      <w:r w:rsidR="000839A6">
        <w:t xml:space="preserve">a transaction bilaterally, away from an </w:t>
      </w:r>
      <w:proofErr w:type="spellStart"/>
      <w:r w:rsidR="000839A6">
        <w:t>MTF</w:t>
      </w:r>
      <w:proofErr w:type="spellEnd"/>
      <w:r w:rsidR="000839A6">
        <w:t xml:space="preserve"> or </w:t>
      </w:r>
      <w:proofErr w:type="spellStart"/>
      <w:r w:rsidR="000839A6">
        <w:t>OTF</w:t>
      </w:r>
      <w:proofErr w:type="spellEnd"/>
      <w:r w:rsidR="000839A6">
        <w:t xml:space="preserve">, and then report that transaction </w:t>
      </w:r>
      <w:r w:rsidR="00F310E7">
        <w:t>to</w:t>
      </w:r>
      <w:r w:rsidR="00615088">
        <w:t xml:space="preserve"> the trading venue post-execution</w:t>
      </w:r>
      <w:r w:rsidR="000839A6">
        <w:t>.</w:t>
      </w:r>
      <w:r w:rsidR="00693D27">
        <w:t xml:space="preserve">  In our view, this type of bilateral off-venue trading is not permitted under </w:t>
      </w:r>
      <w:proofErr w:type="spellStart"/>
      <w:r w:rsidR="00693D27">
        <w:t>MiFIR</w:t>
      </w:r>
      <w:proofErr w:type="spellEnd"/>
      <w:r w:rsidR="00693D27">
        <w:t xml:space="preserve"> for derivatives subject to the trading obligation</w:t>
      </w:r>
      <w:r w:rsidR="00A252FF">
        <w:t xml:space="preserve"> and would completely undermine its implementation</w:t>
      </w:r>
      <w:r w:rsidR="00693D27">
        <w:t>.</w:t>
      </w:r>
    </w:p>
    <w:p w14:paraId="67C896B3" w14:textId="77777777" w:rsidR="00693D27" w:rsidRDefault="00693D27" w:rsidP="00A8728B"/>
    <w:p w14:paraId="154A4B8A" w14:textId="77777777" w:rsidR="002E55FF" w:rsidRDefault="002E55FF" w:rsidP="00A8728B">
      <w:r>
        <w:t xml:space="preserve">For comparison purposes, </w:t>
      </w:r>
      <w:r w:rsidR="006951C0">
        <w:t>US</w:t>
      </w:r>
      <w:r>
        <w:t xml:space="preserve"> </w:t>
      </w:r>
      <w:proofErr w:type="spellStart"/>
      <w:r>
        <w:t>CFTC</w:t>
      </w:r>
      <w:proofErr w:type="spellEnd"/>
      <w:r>
        <w:t xml:space="preserve"> rules currently provide that:</w:t>
      </w:r>
    </w:p>
    <w:p w14:paraId="5E409FEF" w14:textId="77777777" w:rsidR="002E55FF" w:rsidRDefault="002E55FF" w:rsidP="00A8728B"/>
    <w:p w14:paraId="70447381" w14:textId="77777777" w:rsidR="001E65BE" w:rsidRDefault="002E55FF" w:rsidP="00467126">
      <w:pPr>
        <w:pStyle w:val="ListParagraph"/>
        <w:numPr>
          <w:ilvl w:val="0"/>
          <w:numId w:val="39"/>
        </w:numPr>
        <w:ind w:left="360"/>
      </w:pPr>
      <w:r w:rsidRPr="00CB5A8E">
        <w:rPr>
          <w:b/>
        </w:rPr>
        <w:lastRenderedPageBreak/>
        <w:t>Pre-arranged trading is prohibited</w:t>
      </w:r>
      <w:r>
        <w:t xml:space="preserve"> for transactions in derivatives subject to the trading obligation, except for large “block” trades.</w:t>
      </w:r>
      <w:r>
        <w:rPr>
          <w:rStyle w:val="FootnoteReference"/>
        </w:rPr>
        <w:footnoteReference w:id="22"/>
      </w:r>
      <w:r w:rsidR="00CF7DA5">
        <w:t xml:space="preserve">  </w:t>
      </w:r>
    </w:p>
    <w:p w14:paraId="0D101A58" w14:textId="77777777" w:rsidR="001E65BE" w:rsidRDefault="001E65BE" w:rsidP="00467126">
      <w:pPr>
        <w:pStyle w:val="ListParagraph"/>
        <w:ind w:left="360"/>
      </w:pPr>
    </w:p>
    <w:p w14:paraId="3DCF6CD3" w14:textId="77777777" w:rsidR="002E55FF" w:rsidRDefault="00C6604D" w:rsidP="00467126">
      <w:pPr>
        <w:pStyle w:val="ListParagraph"/>
        <w:ind w:left="360"/>
      </w:pPr>
      <w:r>
        <w:t>Ma</w:t>
      </w:r>
      <w:r w:rsidR="00FD68AD">
        <w:t xml:space="preserve">rket participants are still permitted to engage in communications </w:t>
      </w:r>
      <w:r w:rsidR="00370B4A">
        <w:t xml:space="preserve">off-venue </w:t>
      </w:r>
      <w:r w:rsidR="00FD68AD">
        <w:t>regarding a potential trad</w:t>
      </w:r>
      <w:r w:rsidR="007B2F29">
        <w:t>e, including si</w:t>
      </w:r>
      <w:r w:rsidR="00FD68AD">
        <w:t>ze or price.</w:t>
      </w:r>
      <w:r w:rsidR="00FD68AD">
        <w:rPr>
          <w:rStyle w:val="FootnoteReference"/>
        </w:rPr>
        <w:footnoteReference w:id="23"/>
      </w:r>
      <w:r w:rsidR="00FD68AD">
        <w:t xml:space="preserve">  </w:t>
      </w:r>
      <w:r w:rsidR="007B2F29">
        <w:t xml:space="preserve">However, they are not permitted to </w:t>
      </w:r>
      <w:r w:rsidR="001804C8">
        <w:t xml:space="preserve">enter into, negotiate, </w:t>
      </w:r>
      <w:r w:rsidR="00071565">
        <w:t xml:space="preserve">or “conditionally agree” </w:t>
      </w:r>
      <w:r w:rsidR="007B2F29">
        <w:t xml:space="preserve">that trade </w:t>
      </w:r>
      <w:r w:rsidR="00370B4A">
        <w:t>outside of</w:t>
      </w:r>
      <w:r w:rsidR="007B2F29">
        <w:t xml:space="preserve"> the trading venue.  </w:t>
      </w:r>
      <w:r w:rsidR="00FD68AD">
        <w:t xml:space="preserve">In addition, trading </w:t>
      </w:r>
      <w:r w:rsidR="00CF7DA5">
        <w:t xml:space="preserve">venues </w:t>
      </w:r>
      <w:r w:rsidR="00CB5A8E">
        <w:t>operating</w:t>
      </w:r>
      <w:r w:rsidR="00CF7DA5">
        <w:t xml:space="preserve"> an order book </w:t>
      </w:r>
      <w:r w:rsidR="00FD68AD">
        <w:t>are still permitted to allow</w:t>
      </w:r>
      <w:r w:rsidR="00CF7DA5">
        <w:t xml:space="preserve"> “cross trades”, whereby a participant </w:t>
      </w:r>
      <w:r w:rsidR="007B2F29">
        <w:t>enters</w:t>
      </w:r>
      <w:r w:rsidR="00CF7DA5" w:rsidRPr="00CF7DA5">
        <w:t xml:space="preserve"> two </w:t>
      </w:r>
      <w:r w:rsidR="00CF7DA5">
        <w:t xml:space="preserve">customer orders </w:t>
      </w:r>
      <w:r w:rsidR="00CF7DA5" w:rsidRPr="00CF7DA5">
        <w:t>against each other</w:t>
      </w:r>
      <w:r w:rsidR="00FD68AD">
        <w:t xml:space="preserve"> i</w:t>
      </w:r>
      <w:r w:rsidR="000F6B46">
        <w:t>n the order book</w:t>
      </w:r>
      <w:r w:rsidR="007B2F29">
        <w:t xml:space="preserve"> in accordance with the trading venue’s rules, which typically provide an opportunity for other market participants to participate in the transaction before it is executed on the trading venue.</w:t>
      </w:r>
    </w:p>
    <w:p w14:paraId="598E9FBC" w14:textId="77777777" w:rsidR="002E55FF" w:rsidRDefault="002E55FF" w:rsidP="00467126">
      <w:pPr>
        <w:pStyle w:val="ListParagraph"/>
        <w:ind w:left="360"/>
      </w:pPr>
    </w:p>
    <w:p w14:paraId="4F92DB45" w14:textId="77777777" w:rsidR="002E55FF" w:rsidRDefault="00504FDA" w:rsidP="00467126">
      <w:pPr>
        <w:pStyle w:val="ListParagraph"/>
        <w:numPr>
          <w:ilvl w:val="0"/>
          <w:numId w:val="39"/>
        </w:numPr>
        <w:ind w:left="360"/>
      </w:pPr>
      <w:r w:rsidRPr="00370B4A">
        <w:rPr>
          <w:b/>
        </w:rPr>
        <w:t>Large “block” trades are still subject to straight-through-processing requirements</w:t>
      </w:r>
      <w:r>
        <w:t xml:space="preserve">, including </w:t>
      </w:r>
      <w:r w:rsidR="00370B4A">
        <w:t xml:space="preserve">a pre-trade credit check that ensures market participants have available clearing capacity before entering into </w:t>
      </w:r>
      <w:r w:rsidR="000D0370">
        <w:t>the</w:t>
      </w:r>
      <w:r w:rsidR="00370B4A">
        <w:t xml:space="preserve"> “block” transaction.</w:t>
      </w:r>
      <w:r w:rsidR="00813944">
        <w:rPr>
          <w:rStyle w:val="FootnoteReference"/>
        </w:rPr>
        <w:footnoteReference w:id="24"/>
      </w:r>
    </w:p>
    <w:p w14:paraId="4FF2B617" w14:textId="77777777" w:rsidR="00370B4A" w:rsidRDefault="00370B4A" w:rsidP="00467126">
      <w:pPr>
        <w:ind w:left="360"/>
      </w:pPr>
    </w:p>
    <w:p w14:paraId="2D4069E5" w14:textId="77777777" w:rsidR="00370B4A" w:rsidRDefault="00615088" w:rsidP="00467126">
      <w:pPr>
        <w:ind w:left="360"/>
      </w:pPr>
      <w:r>
        <w:t>In practice, a</w:t>
      </w:r>
      <w:r w:rsidR="00813944">
        <w:t xml:space="preserve">s a result of these straight-through-processing requirements, market participants voluntarily execute large “block” trades on </w:t>
      </w:r>
      <w:r w:rsidR="006951C0">
        <w:t>US</w:t>
      </w:r>
      <w:r w:rsidR="00813944">
        <w:t xml:space="preserve"> SEFs, despite pre-arranged trading being permitted</w:t>
      </w:r>
      <w:r w:rsidR="009814B3">
        <w:t>, since the trading venue is necessary to facilitate the pre-trade credit check</w:t>
      </w:r>
      <w:r w:rsidR="005030F5">
        <w:t xml:space="preserve">.  </w:t>
      </w:r>
      <w:r w:rsidR="00F310E7">
        <w:t>When executing “blocks”</w:t>
      </w:r>
      <w:r w:rsidR="005030F5">
        <w:t>, market participants commonly engage in communications off-venue regarding the potential trade, and then use a trading protocol that allows for private negotiation</w:t>
      </w:r>
      <w:r w:rsidR="001804C8">
        <w:t xml:space="preserve"> on the trading venue</w:t>
      </w:r>
      <w:r w:rsidR="005030F5">
        <w:t>, such as RFQ-to-1, to execute the “block” trade on the trading venue.</w:t>
      </w:r>
    </w:p>
    <w:p w14:paraId="1B2B525B" w14:textId="77777777" w:rsidR="005030F5" w:rsidRDefault="005030F5" w:rsidP="00370B4A">
      <w:pPr>
        <w:ind w:left="709"/>
      </w:pPr>
    </w:p>
    <w:p w14:paraId="68033091" w14:textId="77777777" w:rsidR="00DC645D" w:rsidRDefault="00615088" w:rsidP="005030F5">
      <w:r>
        <w:t xml:space="preserve">The analysis for derivatives subject to the trading obligation under </w:t>
      </w:r>
      <w:proofErr w:type="spellStart"/>
      <w:r>
        <w:t>MiFIR</w:t>
      </w:r>
      <w:proofErr w:type="spellEnd"/>
      <w:r>
        <w:t xml:space="preserve"> should be almost identical.</w:t>
      </w:r>
    </w:p>
    <w:p w14:paraId="5D6B1DC4" w14:textId="77777777" w:rsidR="00615088" w:rsidRDefault="00615088" w:rsidP="005030F5"/>
    <w:p w14:paraId="7161C20A" w14:textId="77777777" w:rsidR="00615088" w:rsidRDefault="00615088" w:rsidP="005030F5">
      <w:r w:rsidRPr="007927D8">
        <w:rPr>
          <w:b/>
        </w:rPr>
        <w:t>First, pre-arranged trading should be prohibited for transactions in derivatives subject to the trading obligation for the following reasons</w:t>
      </w:r>
      <w:r>
        <w:t>:</w:t>
      </w:r>
    </w:p>
    <w:p w14:paraId="4E5DF1AB" w14:textId="77777777" w:rsidR="00615088" w:rsidRDefault="00615088" w:rsidP="005030F5"/>
    <w:p w14:paraId="050D06AA" w14:textId="77777777" w:rsidR="00615088" w:rsidRDefault="00615088" w:rsidP="00467126">
      <w:pPr>
        <w:pStyle w:val="ListParagraph"/>
        <w:numPr>
          <w:ilvl w:val="0"/>
          <w:numId w:val="39"/>
        </w:numPr>
        <w:ind w:left="360"/>
      </w:pPr>
      <w:r>
        <w:t xml:space="preserve">This is the clear intent of Article 28(1) of </w:t>
      </w:r>
      <w:proofErr w:type="spellStart"/>
      <w:r>
        <w:t>MiFIR</w:t>
      </w:r>
      <w:proofErr w:type="spellEnd"/>
      <w:r>
        <w:t xml:space="preserve">, which requires derivatives subject to the trading obligation to be concluded on one of the listed trading venues.  </w:t>
      </w:r>
      <w:r w:rsidR="000D0370">
        <w:t xml:space="preserve">While </w:t>
      </w:r>
      <w:proofErr w:type="spellStart"/>
      <w:r w:rsidR="000D0370">
        <w:t>MiFIR</w:t>
      </w:r>
      <w:proofErr w:type="spellEnd"/>
      <w:r w:rsidR="000D0370">
        <w:t xml:space="preserve"> provides trading venues with flexibility regarding the trading protocols </w:t>
      </w:r>
      <w:r w:rsidR="002476B6">
        <w:t>that they can</w:t>
      </w:r>
      <w:r w:rsidR="000D0370">
        <w:t xml:space="preserve"> offer, transactions in derivatives subject to the trading obligation</w:t>
      </w:r>
      <w:r w:rsidR="002476B6">
        <w:t xml:space="preserve"> still</w:t>
      </w:r>
      <w:r w:rsidR="000D0370">
        <w:t xml:space="preserve"> must be executed </w:t>
      </w:r>
      <w:r w:rsidR="000D0370" w:rsidRPr="000D0370">
        <w:rPr>
          <w:u w:val="single"/>
        </w:rPr>
        <w:t>on a trading venue</w:t>
      </w:r>
      <w:r w:rsidR="000D0370">
        <w:t xml:space="preserve"> using a trading protocol offered by that venue.  </w:t>
      </w:r>
      <w:r w:rsidR="002476B6">
        <w:t xml:space="preserve">Allowing transactions to be </w:t>
      </w:r>
      <w:r w:rsidR="001804C8">
        <w:t xml:space="preserve">entered into, negotiated, </w:t>
      </w:r>
      <w:r w:rsidR="00071565">
        <w:t xml:space="preserve">or “conditionally agreed” </w:t>
      </w:r>
      <w:r w:rsidR="002476B6">
        <w:t xml:space="preserve">completely away from an </w:t>
      </w:r>
      <w:proofErr w:type="spellStart"/>
      <w:r w:rsidR="002476B6">
        <w:t>MTF</w:t>
      </w:r>
      <w:proofErr w:type="spellEnd"/>
      <w:r w:rsidR="002476B6">
        <w:t xml:space="preserve"> or </w:t>
      </w:r>
      <w:proofErr w:type="spellStart"/>
      <w:r w:rsidR="002476B6">
        <w:t>OTF</w:t>
      </w:r>
      <w:proofErr w:type="spellEnd"/>
      <w:r w:rsidR="002476B6">
        <w:t xml:space="preserve"> would undermine the trading obligation altogether, as bilateral off-venue trading could</w:t>
      </w:r>
      <w:r w:rsidR="000D0370">
        <w:t xml:space="preserve"> continue to occur in the same manner that it does today</w:t>
      </w:r>
      <w:r w:rsidR="002476B6">
        <w:t>.</w:t>
      </w:r>
    </w:p>
    <w:p w14:paraId="5FC55D8E" w14:textId="77777777" w:rsidR="001D0001" w:rsidRDefault="001D0001" w:rsidP="00467126">
      <w:pPr>
        <w:pStyle w:val="ListParagraph"/>
        <w:ind w:left="360"/>
      </w:pPr>
    </w:p>
    <w:p w14:paraId="31A2FA76" w14:textId="77777777" w:rsidR="001D0001" w:rsidRDefault="001D0001" w:rsidP="00467126">
      <w:pPr>
        <w:pStyle w:val="ListParagraph"/>
        <w:numPr>
          <w:ilvl w:val="0"/>
          <w:numId w:val="39"/>
        </w:numPr>
        <w:ind w:left="360"/>
      </w:pPr>
      <w:proofErr w:type="spellStart"/>
      <w:r>
        <w:t>MiFIR</w:t>
      </w:r>
      <w:proofErr w:type="spellEnd"/>
      <w:r>
        <w:t xml:space="preserve"> specifically includes provisions relating to “negotiated transactions” in equities, but includes no such provisions for derivatives subject to the trading obligation.</w:t>
      </w:r>
      <w:r>
        <w:rPr>
          <w:rStyle w:val="FootnoteReference"/>
        </w:rPr>
        <w:footnoteReference w:id="25"/>
      </w:r>
      <w:r>
        <w:t xml:space="preserve">  This is further evidence that </w:t>
      </w:r>
      <w:r w:rsidR="00D9321E">
        <w:t>pre-arranged, or negotiated, transactions were not intended to be permitted for derivatives that must be traded on trading venues.</w:t>
      </w:r>
    </w:p>
    <w:p w14:paraId="546F4D98" w14:textId="77777777" w:rsidR="001D0001" w:rsidRDefault="001D0001" w:rsidP="00467126">
      <w:pPr>
        <w:pStyle w:val="ListParagraph"/>
        <w:ind w:left="360"/>
      </w:pPr>
    </w:p>
    <w:p w14:paraId="4D009A0F" w14:textId="77777777" w:rsidR="002476B6" w:rsidRDefault="00FF12A2" w:rsidP="00467126">
      <w:pPr>
        <w:pStyle w:val="ListParagraph"/>
        <w:numPr>
          <w:ilvl w:val="0"/>
          <w:numId w:val="39"/>
        </w:numPr>
        <w:ind w:left="360"/>
      </w:pPr>
      <w:r>
        <w:t>Prohibiting pre-arranged trading is</w:t>
      </w:r>
      <w:r w:rsidR="002476B6">
        <w:t xml:space="preserve"> consistent with prior ESMA statements regarding the implementation of the trading obligation for derivatives.  For example, in this Consultation Paper, ESMA stated “it is expected that the TO will change trading behaviour since all derivatives subject to the TO will have to be executed on a trading venue” and that the trading obligation will impose costs on market participants in terms of removing their “flexibility to negotiate transactions in derivatives according to protocols and execution methods different from those provided by trading venues”.</w:t>
      </w:r>
      <w:r w:rsidR="002476B6">
        <w:rPr>
          <w:rStyle w:val="FootnoteReference"/>
        </w:rPr>
        <w:footnoteReference w:id="26"/>
      </w:r>
      <w:r w:rsidR="002476B6">
        <w:t xml:space="preserve">  </w:t>
      </w:r>
      <w:r w:rsidR="00087D2E">
        <w:t xml:space="preserve">Both of these statements clearly </w:t>
      </w:r>
      <w:r w:rsidR="00071565">
        <w:t>imply</w:t>
      </w:r>
      <w:r w:rsidR="00087D2E">
        <w:t xml:space="preserve"> that implementation of the trading obligation means that bilateral off-venue trading will no longer be permitted for those specific instruments.</w:t>
      </w:r>
    </w:p>
    <w:p w14:paraId="2B23031F" w14:textId="77777777" w:rsidR="00DA5D17" w:rsidRDefault="00DA5D17" w:rsidP="00467126">
      <w:pPr>
        <w:pStyle w:val="ListParagraph"/>
        <w:ind w:left="360"/>
      </w:pPr>
    </w:p>
    <w:p w14:paraId="793B95A6" w14:textId="77777777" w:rsidR="00DA5D17" w:rsidRDefault="00DA5D17" w:rsidP="00467126">
      <w:pPr>
        <w:pStyle w:val="ListParagraph"/>
        <w:numPr>
          <w:ilvl w:val="0"/>
          <w:numId w:val="39"/>
        </w:numPr>
        <w:ind w:left="360"/>
      </w:pPr>
      <w:r>
        <w:t xml:space="preserve">Similar to </w:t>
      </w:r>
      <w:r w:rsidR="006951C0">
        <w:t>US</w:t>
      </w:r>
      <w:r>
        <w:t xml:space="preserve"> </w:t>
      </w:r>
      <w:proofErr w:type="spellStart"/>
      <w:r>
        <w:t>CFTC</w:t>
      </w:r>
      <w:proofErr w:type="spellEnd"/>
      <w:r>
        <w:t xml:space="preserve"> rules, market participants will still be able to engage in </w:t>
      </w:r>
      <w:r w:rsidR="00071565">
        <w:t xml:space="preserve">some </w:t>
      </w:r>
      <w:r>
        <w:t xml:space="preserve">communications off-venue regarding a potential trade as long as this is permitted by a trading venue.  </w:t>
      </w:r>
      <w:r w:rsidR="00341340">
        <w:t>However, p</w:t>
      </w:r>
      <w:r>
        <w:t>rohi</w:t>
      </w:r>
      <w:r w:rsidR="00341340">
        <w:t>biting pre-arranged trading</w:t>
      </w:r>
      <w:r>
        <w:t xml:space="preserve"> ensures that each trading counterparty, or an agent or broker </w:t>
      </w:r>
      <w:r w:rsidR="00341340">
        <w:t xml:space="preserve">acting </w:t>
      </w:r>
      <w:r>
        <w:t xml:space="preserve">on their behalf, actually </w:t>
      </w:r>
      <w:r w:rsidR="00071565">
        <w:t xml:space="preserve">negotiates and </w:t>
      </w:r>
      <w:r>
        <w:t>execute</w:t>
      </w:r>
      <w:r w:rsidR="00221534">
        <w:t>s</w:t>
      </w:r>
      <w:r>
        <w:t xml:space="preserve"> the relevant transaction on a trading venue</w:t>
      </w:r>
      <w:r w:rsidR="00341340">
        <w:t xml:space="preserve"> as required by </w:t>
      </w:r>
      <w:proofErr w:type="spellStart"/>
      <w:r w:rsidR="00341340">
        <w:t>MiFIR</w:t>
      </w:r>
      <w:proofErr w:type="spellEnd"/>
      <w:r>
        <w:t>.</w:t>
      </w:r>
    </w:p>
    <w:p w14:paraId="7DE8F5E4" w14:textId="77777777" w:rsidR="00DC645D" w:rsidRDefault="00DC645D" w:rsidP="005030F5"/>
    <w:p w14:paraId="6D2E1DF1" w14:textId="77777777" w:rsidR="00221534" w:rsidRDefault="001D7FF0" w:rsidP="001D7FF0">
      <w:r w:rsidRPr="007927D8">
        <w:rPr>
          <w:b/>
        </w:rPr>
        <w:t>Second, transactions above the post-trade LIS threshold should not be granted an exception from the prohibition on pre-arranged trading for the following reasons</w:t>
      </w:r>
      <w:r>
        <w:t>:</w:t>
      </w:r>
    </w:p>
    <w:p w14:paraId="1D3F98F8" w14:textId="77777777" w:rsidR="001D7FF0" w:rsidRDefault="001D7FF0" w:rsidP="001D7FF0"/>
    <w:p w14:paraId="2BDC23A8" w14:textId="79B04F84" w:rsidR="001D7FF0" w:rsidRDefault="007E5DB3" w:rsidP="00467126">
      <w:pPr>
        <w:pStyle w:val="ListParagraph"/>
        <w:numPr>
          <w:ilvl w:val="0"/>
          <w:numId w:val="40"/>
        </w:numPr>
        <w:ind w:left="360"/>
      </w:pPr>
      <w:r>
        <w:t>Since these transactions are subject to the trading obligation, they will also be subject to the straight-through-processing requirements in RTS 26, including the pre-trade credit check.  Today, trading venues play a central role in facilitating pre-trade credit checks, and in fact, there currently does not appear to be a way for market participants to perform the pre-trade credit check other than by executing the transaction on a trading venue.</w:t>
      </w:r>
      <w:r w:rsidRPr="00993092">
        <w:t xml:space="preserve"> </w:t>
      </w:r>
      <w:r>
        <w:t>Thus, there is no need to allow market participants to execute transactions above the post-trade LIS threshold off-venue</w:t>
      </w:r>
      <w:r w:rsidR="00341340">
        <w:t>.</w:t>
      </w:r>
    </w:p>
    <w:p w14:paraId="3750BB66" w14:textId="77777777" w:rsidR="00341340" w:rsidRDefault="00341340" w:rsidP="00467126">
      <w:pPr>
        <w:pStyle w:val="ListParagraph"/>
        <w:ind w:left="360"/>
      </w:pPr>
    </w:p>
    <w:p w14:paraId="2F3209F4" w14:textId="43365175" w:rsidR="00341340" w:rsidRDefault="00341340" w:rsidP="00467126">
      <w:pPr>
        <w:pStyle w:val="ListParagraph"/>
        <w:numPr>
          <w:ilvl w:val="0"/>
          <w:numId w:val="40"/>
        </w:numPr>
        <w:ind w:left="360"/>
      </w:pPr>
      <w:r>
        <w:t xml:space="preserve">Under </w:t>
      </w:r>
      <w:proofErr w:type="spellStart"/>
      <w:r>
        <w:t>MiFIR</w:t>
      </w:r>
      <w:proofErr w:type="spellEnd"/>
      <w:r>
        <w:t>, trading venues have flexibility regarding the trading protocols that they can offer.  Therefore, transactions above the post-trade LIS threshold can be entered into using trading protocols that allow for private negotiation</w:t>
      </w:r>
      <w:r w:rsidR="001804C8">
        <w:t xml:space="preserve"> on the trading venue</w:t>
      </w:r>
      <w:r>
        <w:t>, such as RFQ-to-1.  This should remove</w:t>
      </w:r>
      <w:r w:rsidRPr="00341340">
        <w:t xml:space="preserve"> any concerns about information leakag</w:t>
      </w:r>
      <w:r>
        <w:t>e which motivated the need for a special exemption for</w:t>
      </w:r>
      <w:r w:rsidRPr="00341340">
        <w:t xml:space="preserve"> </w:t>
      </w:r>
      <w:r>
        <w:t>“</w:t>
      </w:r>
      <w:r w:rsidRPr="00341340">
        <w:t>block</w:t>
      </w:r>
      <w:r>
        <w:t>”</w:t>
      </w:r>
      <w:r w:rsidRPr="00341340">
        <w:t xml:space="preserve"> trade</w:t>
      </w:r>
      <w:r>
        <w:t xml:space="preserve">s from the </w:t>
      </w:r>
      <w:r w:rsidR="00BF3996">
        <w:t xml:space="preserve">RFQ-to-3 and Order Book trading </w:t>
      </w:r>
      <w:r w:rsidR="00B92818">
        <w:t>protocols</w:t>
      </w:r>
      <w:r w:rsidR="00BF3996">
        <w:t xml:space="preserve"> </w:t>
      </w:r>
      <w:r>
        <w:t xml:space="preserve">under </w:t>
      </w:r>
      <w:r w:rsidR="006951C0">
        <w:t>US</w:t>
      </w:r>
      <w:r>
        <w:t xml:space="preserve"> </w:t>
      </w:r>
      <w:proofErr w:type="spellStart"/>
      <w:r>
        <w:t>CFTC</w:t>
      </w:r>
      <w:proofErr w:type="spellEnd"/>
      <w:r>
        <w:t xml:space="preserve"> rules</w:t>
      </w:r>
      <w:r w:rsidR="00BF3996">
        <w:t>.</w:t>
      </w:r>
    </w:p>
    <w:p w14:paraId="2DB49D93" w14:textId="77777777" w:rsidR="00BF3996" w:rsidRDefault="00BF3996" w:rsidP="00467126">
      <w:pPr>
        <w:pStyle w:val="ListParagraph"/>
        <w:ind w:left="360"/>
      </w:pPr>
    </w:p>
    <w:p w14:paraId="050DD245" w14:textId="77777777" w:rsidR="00BF3996" w:rsidRDefault="00BD341C" w:rsidP="00467126">
      <w:pPr>
        <w:pStyle w:val="ListParagraph"/>
        <w:ind w:left="360"/>
      </w:pPr>
      <w:r>
        <w:t xml:space="preserve">Ensuring that transactions above the post-trade LIS threshold will be traded on trading venues also incentivizes trading venues to develop and support the appropriate trading protocols for this </w:t>
      </w:r>
      <w:r w:rsidR="00A12ABC">
        <w:t xml:space="preserve">type of </w:t>
      </w:r>
      <w:r>
        <w:t xml:space="preserve">trading.  </w:t>
      </w:r>
      <w:r w:rsidR="00146982">
        <w:t xml:space="preserve">Experience in the </w:t>
      </w:r>
      <w:r w:rsidR="006951C0">
        <w:t>US</w:t>
      </w:r>
      <w:r w:rsidR="00146982">
        <w:t xml:space="preserve"> with trading “blocks” on SEFs shows that trading venues will innovate and compete to attract additional trading activity.</w:t>
      </w:r>
      <w:r w:rsidR="007927D8">
        <w:t xml:space="preserve">  In addition, as discussed above, market participants will still be able to engage in </w:t>
      </w:r>
      <w:r w:rsidR="00071565">
        <w:t xml:space="preserve">some </w:t>
      </w:r>
      <w:r w:rsidR="007927D8">
        <w:t>communications off-venue regarding a potential trade as long as this is permitted by a trading venue.</w:t>
      </w:r>
    </w:p>
    <w:p w14:paraId="7E484793" w14:textId="77777777" w:rsidR="00BF3996" w:rsidRDefault="00BF3996" w:rsidP="00467126">
      <w:pPr>
        <w:pStyle w:val="ListParagraph"/>
        <w:ind w:left="360"/>
      </w:pPr>
    </w:p>
    <w:p w14:paraId="35EEE08B" w14:textId="0DFD9726" w:rsidR="00DD45F8" w:rsidRDefault="00E47995" w:rsidP="0097183F">
      <w:pPr>
        <w:pStyle w:val="ListParagraph"/>
        <w:numPr>
          <w:ilvl w:val="0"/>
          <w:numId w:val="40"/>
        </w:numPr>
        <w:ind w:left="360"/>
      </w:pPr>
      <w:r>
        <w:t xml:space="preserve">Pursuant to </w:t>
      </w:r>
      <w:proofErr w:type="spellStart"/>
      <w:r>
        <w:t>ESMA’s</w:t>
      </w:r>
      <w:proofErr w:type="spellEnd"/>
      <w:r>
        <w:t xml:space="preserve"> July 2017</w:t>
      </w:r>
      <w:r w:rsidR="0097183F">
        <w:t xml:space="preserve"> transitional transparency calculations, a post-trade LIS threshold of EUR 10 million will apply to almost all fixed-to-float IRS being considered for the trading obligation.</w:t>
      </w:r>
      <w:r w:rsidR="0097183F">
        <w:rPr>
          <w:rStyle w:val="FootnoteReference"/>
        </w:rPr>
        <w:footnoteReference w:id="27"/>
      </w:r>
      <w:r w:rsidR="0097183F">
        <w:t xml:space="preserve">  To the extent an exception was provided for transactions above the post-trade LIS threshold, nearly all trading activity would be eligible for this exception.</w:t>
      </w:r>
    </w:p>
    <w:permEnd w:id="1370639300"/>
    <w:p w14:paraId="2828FE01" w14:textId="77777777" w:rsidR="00A8728B" w:rsidRDefault="00A8728B" w:rsidP="00A8728B">
      <w:r>
        <w:t>&lt;ESMA_QUESTION</w:t>
      </w:r>
      <w:r w:rsidR="00D920D1">
        <w:t>_MIFID</w:t>
      </w:r>
      <w:r w:rsidR="00AB4824">
        <w:t>_TO_</w:t>
      </w:r>
      <w:r>
        <w:t>2&gt;</w:t>
      </w:r>
    </w:p>
    <w:p w14:paraId="47A5271B" w14:textId="77777777" w:rsidR="00A8728B" w:rsidRPr="00B62727" w:rsidRDefault="00432D4E" w:rsidP="00F016BE">
      <w:pPr>
        <w:pStyle w:val="CPQuestions"/>
      </w:pPr>
      <w:r w:rsidRPr="00914936">
        <w:t>Do you agree with this proposal? If not, please explain why and provide an alternative proposal for ESMA to populate and maintain the register</w:t>
      </w:r>
      <w:r>
        <w:t>.</w:t>
      </w:r>
    </w:p>
    <w:p w14:paraId="25DA203C" w14:textId="77777777" w:rsidR="00A8728B" w:rsidRDefault="00A8728B" w:rsidP="00A8728B">
      <w:r>
        <w:t>&lt;ESMA_QUESTION</w:t>
      </w:r>
      <w:r w:rsidR="00D920D1">
        <w:t>_MIFID</w:t>
      </w:r>
      <w:r w:rsidR="00AB4824">
        <w:t>_TO_</w:t>
      </w:r>
      <w:r>
        <w:t>3&gt;</w:t>
      </w:r>
    </w:p>
    <w:p w14:paraId="3C136714" w14:textId="77777777" w:rsidR="00A8728B" w:rsidRDefault="0084196C" w:rsidP="00A8728B">
      <w:permStart w:id="206392835" w:edGrp="everyone"/>
      <w:r>
        <w:t>We agree that it is useful for ESMA to publish and maintain a public register for the trading obligation for derivatives that lists the derivatives subject to the trading obligation and the dates on which the obligation takes effect.  The list of derivatives subject to the trading obligation should match the tables provided in the final RTS.</w:t>
      </w:r>
    </w:p>
    <w:p w14:paraId="4F663678" w14:textId="77777777" w:rsidR="0084196C" w:rsidRDefault="0084196C" w:rsidP="00A8728B"/>
    <w:p w14:paraId="1F446905" w14:textId="77777777" w:rsidR="00D428D7" w:rsidRDefault="0084196C" w:rsidP="00A8728B">
      <w:r>
        <w:t xml:space="preserve">We note that it may be more challenging for ESMA to maintain, for each derivative subject to the trading obligation, a list of venues on which that specific derivative is admitted to trading.  This type of list may become out-of-date quite quickly given changes to the various trading venue offerings, particularly when it is only being updated on a best efforts basis.  Market participants would likely find more useful a single list of trading venues that have admitted to trading derivatives subject to the trading obligation, along with </w:t>
      </w:r>
      <w:r w:rsidR="008150ED">
        <w:t xml:space="preserve">a link to </w:t>
      </w:r>
      <w:r>
        <w:t>their rulebooks.  This wi</w:t>
      </w:r>
      <w:r w:rsidR="008150ED">
        <w:t>ll ensure market participants are aware of the available trading venues, and can follow-up directly with these venues regarding the current scope of their offering.</w:t>
      </w:r>
    </w:p>
    <w:permEnd w:id="206392835"/>
    <w:p w14:paraId="1E7DACFA" w14:textId="77777777" w:rsidR="00A8728B" w:rsidRDefault="00A8728B" w:rsidP="00A8728B">
      <w:r>
        <w:t>&lt;ESMA_QUESTION</w:t>
      </w:r>
      <w:r w:rsidR="00D920D1">
        <w:t>_MIFID</w:t>
      </w:r>
      <w:r w:rsidR="00AB4824">
        <w:t>_TO_</w:t>
      </w:r>
      <w:r>
        <w:t>3&gt;</w:t>
      </w:r>
    </w:p>
    <w:p w14:paraId="5661A339" w14:textId="77777777" w:rsidR="00A8728B" w:rsidRPr="00B62727" w:rsidRDefault="00432D4E" w:rsidP="00F016BE">
      <w:pPr>
        <w:pStyle w:val="CPQuestions"/>
      </w:pPr>
      <w:r w:rsidRPr="001B04E4">
        <w:lastRenderedPageBreak/>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14:paraId="7ABFA895" w14:textId="77777777" w:rsidR="00A8728B" w:rsidRDefault="00A8728B" w:rsidP="00A8728B">
      <w:r>
        <w:t>&lt;ESMA_QUESTION</w:t>
      </w:r>
      <w:r w:rsidR="00D920D1">
        <w:t>_MIFID</w:t>
      </w:r>
      <w:r w:rsidR="00AB4824">
        <w:t>_TO_</w:t>
      </w:r>
      <w:r>
        <w:t>4&gt;</w:t>
      </w:r>
    </w:p>
    <w:p w14:paraId="25B34508" w14:textId="77777777" w:rsidR="00A8728B" w:rsidRDefault="005F33F2" w:rsidP="00A8728B">
      <w:permStart w:id="1703482521" w:edGrp="everyone"/>
      <w:r>
        <w:t xml:space="preserve">In our view, ESMA has done a good job of identifying the relevant specifications to define which derivatives are subject to the trading obligation.  </w:t>
      </w:r>
      <w:r w:rsidR="0013790A">
        <w:t xml:space="preserve">Including specifications such as holiday calendar and business day convention are unnecessary since they are not material to the economics of the transaction and, as a result, can be easily modified for purposes of evading the regulatory requirement.  </w:t>
      </w:r>
      <w:r w:rsidR="001A0732">
        <w:t xml:space="preserve">To </w:t>
      </w:r>
      <w:r w:rsidR="0056704E">
        <w:t xml:space="preserve">the </w:t>
      </w:r>
      <w:r w:rsidR="001A0732">
        <w:t>extent these types of commercially immaterial specifications are included, we urge ESMA to include all of the possible combinations in order to prevent evasion.</w:t>
      </w:r>
    </w:p>
    <w:p w14:paraId="696C02C5" w14:textId="77777777" w:rsidR="001A0732" w:rsidRDefault="001A0732" w:rsidP="00A8728B"/>
    <w:p w14:paraId="6FB3289D" w14:textId="77777777" w:rsidR="000004A3" w:rsidRDefault="000633B2" w:rsidP="00A8728B">
      <w:r w:rsidRPr="00062612">
        <w:t xml:space="preserve">We also agree </w:t>
      </w:r>
      <w:r w:rsidR="007F20E4" w:rsidRPr="00062612">
        <w:t xml:space="preserve">with </w:t>
      </w:r>
      <w:proofErr w:type="spellStart"/>
      <w:r w:rsidR="007F20E4" w:rsidRPr="00062612">
        <w:t>ESMA’s</w:t>
      </w:r>
      <w:proofErr w:type="spellEnd"/>
      <w:r w:rsidR="007F20E4" w:rsidRPr="00062612">
        <w:t xml:space="preserve"> approach of including benchmark tenors +/- 5 days.  </w:t>
      </w:r>
      <w:r w:rsidR="001730B3">
        <w:t>In addition to p</w:t>
      </w:r>
      <w:r w:rsidR="0056704E">
        <w:t>revent</w:t>
      </w:r>
      <w:r w:rsidR="001730B3">
        <w:t>ing</w:t>
      </w:r>
      <w:r w:rsidR="0056704E">
        <w:t xml:space="preserve"> evasion </w:t>
      </w:r>
      <w:r w:rsidR="001730B3">
        <w:t>of the trading obligation, this approach</w:t>
      </w:r>
      <w:r w:rsidR="0056704E">
        <w:t xml:space="preserve"> helps </w:t>
      </w:r>
      <w:r w:rsidR="001730B3">
        <w:t xml:space="preserve">ensure </w:t>
      </w:r>
      <w:r w:rsidR="0056704E">
        <w:t xml:space="preserve">ESMA </w:t>
      </w:r>
      <w:r w:rsidR="001730B3">
        <w:t xml:space="preserve">is including all of the relevant trading activity in an instrument when </w:t>
      </w:r>
      <w:r w:rsidR="0056704E">
        <w:t>perform</w:t>
      </w:r>
      <w:r w:rsidR="001730B3">
        <w:t>ing its</w:t>
      </w:r>
      <w:r w:rsidR="0056704E">
        <w:t xml:space="preserve"> liquidity assessment</w:t>
      </w:r>
      <w:r w:rsidR="001730B3">
        <w:t>, despite</w:t>
      </w:r>
      <w:r w:rsidR="0056704E">
        <w:t xml:space="preserve"> the </w:t>
      </w:r>
      <w:r w:rsidR="001730B3">
        <w:t>recognized data quality issues in c</w:t>
      </w:r>
      <w:r w:rsidR="0056704E">
        <w:t>urrent EU trade repository data.</w:t>
      </w:r>
    </w:p>
    <w:permEnd w:id="1703482521"/>
    <w:p w14:paraId="472A0233" w14:textId="77777777" w:rsidR="00A8728B" w:rsidRDefault="00A8728B" w:rsidP="00A8728B">
      <w:r>
        <w:t>&lt;ESMA_QUESTION</w:t>
      </w:r>
      <w:r w:rsidR="00D920D1">
        <w:t>_MIFID</w:t>
      </w:r>
      <w:r w:rsidR="00AB4824">
        <w:t>_TO_</w:t>
      </w:r>
      <w:r>
        <w:t>4&gt;</w:t>
      </w:r>
    </w:p>
    <w:p w14:paraId="31A33F69" w14:textId="77777777"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14:paraId="5EC473A9" w14:textId="77777777" w:rsidR="00A8728B" w:rsidRDefault="00A8728B" w:rsidP="00A8728B">
      <w:r>
        <w:t>&lt;ESMA_QUESTION</w:t>
      </w:r>
      <w:r w:rsidR="00D920D1">
        <w:t>_MIFID</w:t>
      </w:r>
      <w:r w:rsidR="00AB4824">
        <w:t>_TO_</w:t>
      </w:r>
      <w:r>
        <w:t>5&gt;</w:t>
      </w:r>
    </w:p>
    <w:p w14:paraId="31961667" w14:textId="70E1C3F1" w:rsidR="00A8728B" w:rsidRDefault="00285611" w:rsidP="00A8728B">
      <w:permStart w:id="342101633" w:edGrp="everyone"/>
      <w:r>
        <w:t>Yes, we agree that all of these derivatives are highly liquid and are appropriate to be subject to the trading obligation</w:t>
      </w:r>
      <w:r w:rsidR="000A50FE">
        <w:t>, including the 15Y, 20Y, and 30Y</w:t>
      </w:r>
      <w:r w:rsidR="00AC315F">
        <w:t xml:space="preserve"> tenors</w:t>
      </w:r>
      <w:r>
        <w:t xml:space="preserve">.  This is based on our experience as </w:t>
      </w:r>
      <w:r w:rsidR="00AA2F9D">
        <w:t>a</w:t>
      </w:r>
      <w:r>
        <w:t xml:space="preserve"> participant in the derivatives market, and an assessment of relevant liquidity criteria, such as </w:t>
      </w:r>
      <w:r w:rsidRPr="00B11E29">
        <w:t>(</w:t>
      </w:r>
      <w:proofErr w:type="spellStart"/>
      <w:r w:rsidRPr="00B11E29">
        <w:t>i</w:t>
      </w:r>
      <w:proofErr w:type="spellEnd"/>
      <w:r w:rsidRPr="00B11E29">
        <w:t xml:space="preserve">) </w:t>
      </w:r>
      <w:r>
        <w:t>the availability of streaming prices</w:t>
      </w:r>
      <w:r w:rsidR="00AA2F9D">
        <w:t xml:space="preserve"> from a number of liquidity providers</w:t>
      </w:r>
      <w:r w:rsidRPr="00B11E29">
        <w:t>,</w:t>
      </w:r>
      <w:r>
        <w:t xml:space="preserve"> (ii) trading volumes, (iii</w:t>
      </w:r>
      <w:r w:rsidRPr="00B11E29">
        <w:t xml:space="preserve">) the number and types of market participants, and </w:t>
      </w:r>
      <w:r w:rsidR="00A84A03">
        <w:t>(iv) whether these instruments are already listed by trading venues today.</w:t>
      </w:r>
    </w:p>
    <w:p w14:paraId="65E6387E" w14:textId="77777777" w:rsidR="00AA2F9D" w:rsidRDefault="00AA2F9D" w:rsidP="00A8728B"/>
    <w:p w14:paraId="4C123A20" w14:textId="77777777" w:rsidR="00AA2F9D" w:rsidRDefault="00615A9A" w:rsidP="00A8728B">
      <w:r>
        <w:t xml:space="preserve">In addition, all of these instruments are already subject to the US trading obligation, and market participants </w:t>
      </w:r>
      <w:r w:rsidR="001E702A">
        <w:t>have not appeared to experience</w:t>
      </w:r>
      <w:r>
        <w:t xml:space="preserve"> any difficulty executing them on trading venues</w:t>
      </w:r>
      <w:r w:rsidR="00AA2F9D">
        <w:t>.</w:t>
      </w:r>
    </w:p>
    <w:permEnd w:id="342101633"/>
    <w:p w14:paraId="724CBD3B" w14:textId="77777777" w:rsidR="00A8728B" w:rsidRDefault="00A8728B" w:rsidP="00A8728B">
      <w:r>
        <w:t>&lt;ESMA_QUESTION</w:t>
      </w:r>
      <w:r w:rsidR="00D920D1">
        <w:t>_MIFID</w:t>
      </w:r>
      <w:r w:rsidR="00AB4824">
        <w:t>_TO_</w:t>
      </w:r>
      <w:r>
        <w:t>5&gt;</w:t>
      </w:r>
    </w:p>
    <w:p w14:paraId="050477F3" w14:textId="77777777"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specifically would you consider to be sufficiently liquid</w:t>
      </w:r>
      <w:r w:rsidR="00070630">
        <w:t>?</w:t>
      </w:r>
    </w:p>
    <w:p w14:paraId="177A4DF7" w14:textId="77777777" w:rsidR="00A8728B" w:rsidRDefault="00A8728B" w:rsidP="00A8728B">
      <w:r>
        <w:t>&lt;ESMA_QUESTION</w:t>
      </w:r>
      <w:r w:rsidR="00D920D1">
        <w:t>_MIFID</w:t>
      </w:r>
      <w:r w:rsidR="00AB4824">
        <w:t>_TO_</w:t>
      </w:r>
      <w:r>
        <w:t>6&gt;</w:t>
      </w:r>
    </w:p>
    <w:p w14:paraId="4A0DC868" w14:textId="77777777" w:rsidR="00A84A03" w:rsidRDefault="000A3088" w:rsidP="000A3088">
      <w:permStart w:id="904070388" w:edGrp="everyone"/>
      <w:r>
        <w:t>ESMA has identified the most commonly traded combinations of fixed leg payment frequency and floating leg reset frequency for EUR IRS.</w:t>
      </w:r>
    </w:p>
    <w:p w14:paraId="0DCE2928" w14:textId="77777777" w:rsidR="00A84A03" w:rsidRDefault="00A84A03" w:rsidP="00A8728B"/>
    <w:p w14:paraId="390DA22C" w14:textId="4A234EAE" w:rsidR="00CB5646" w:rsidRDefault="000A3088" w:rsidP="00A8728B">
      <w:r>
        <w:t>However</w:t>
      </w:r>
      <w:r w:rsidR="009F56C5">
        <w:t xml:space="preserve">, we note that </w:t>
      </w:r>
      <w:r w:rsidR="00CB5646">
        <w:t xml:space="preserve">ESMA has only proposed to include the </w:t>
      </w:r>
      <w:r w:rsidR="007E2295">
        <w:rPr>
          <w:b/>
        </w:rPr>
        <w:t>8Y, 9Y, and 12</w:t>
      </w:r>
      <w:r w:rsidR="00CB5646" w:rsidRPr="00CB5646">
        <w:rPr>
          <w:b/>
        </w:rPr>
        <w:t>Y</w:t>
      </w:r>
      <w:r w:rsidR="00CB5646">
        <w:t xml:space="preserve"> tenors for</w:t>
      </w:r>
      <w:r w:rsidR="00B92818">
        <w:t xml:space="preserve"> EUR swaps referencing 6M </w:t>
      </w:r>
      <w:proofErr w:type="spellStart"/>
      <w:r w:rsidR="00CB5646">
        <w:t>Euribor</w:t>
      </w:r>
      <w:proofErr w:type="spellEnd"/>
      <w:r w:rsidR="00B92818">
        <w:t xml:space="preserve">, and has not proposed to include these tenors for EUR swaps referencing 3M </w:t>
      </w:r>
      <w:proofErr w:type="spellStart"/>
      <w:r w:rsidR="00B92818">
        <w:t>Euribor</w:t>
      </w:r>
      <w:proofErr w:type="spellEnd"/>
      <w:r w:rsidR="00CB5646">
        <w:t>.  Th</w:t>
      </w:r>
      <w:r w:rsidR="00B92818">
        <w:t>e</w:t>
      </w:r>
      <w:r w:rsidR="00CB5646">
        <w:t xml:space="preserve">se tenors are sufficiently liquid </w:t>
      </w:r>
      <w:r w:rsidR="00B92818">
        <w:t xml:space="preserve">for swaps referencing both floating rates </w:t>
      </w:r>
      <w:r w:rsidR="00CB5646">
        <w:t xml:space="preserve">across all of the combinations identified by ESMA, based on an assessment of relevant liquidity criteria, such as </w:t>
      </w:r>
      <w:r w:rsidR="00CB5646" w:rsidRPr="00B11E29">
        <w:t>(</w:t>
      </w:r>
      <w:proofErr w:type="spellStart"/>
      <w:r w:rsidR="00CB5646" w:rsidRPr="00B11E29">
        <w:t>i</w:t>
      </w:r>
      <w:proofErr w:type="spellEnd"/>
      <w:r w:rsidR="00CB5646" w:rsidRPr="00B11E29">
        <w:t xml:space="preserve">) </w:t>
      </w:r>
      <w:r w:rsidR="00CB5646">
        <w:t>the availability of streaming prices from a number of liquidity providers</w:t>
      </w:r>
      <w:r w:rsidR="00CB5646" w:rsidRPr="00B11E29">
        <w:t>,</w:t>
      </w:r>
      <w:r w:rsidR="00CB5646">
        <w:t xml:space="preserve"> (ii) trading volumes, (iii</w:t>
      </w:r>
      <w:r w:rsidR="00CB5646" w:rsidRPr="00B11E29">
        <w:t xml:space="preserve">) the number and types of market participants, and </w:t>
      </w:r>
      <w:r w:rsidR="00CB5646">
        <w:t>(iv) whether these instruments are already listed by trading venues today.  In addition, applying the trading obligation to these tenors for only one reference rate (and not the other) will introduce unnecessary complexity for market participants.</w:t>
      </w:r>
    </w:p>
    <w:p w14:paraId="5B134621" w14:textId="77777777" w:rsidR="00CB5646" w:rsidRDefault="00CB5646" w:rsidP="00A8728B"/>
    <w:p w14:paraId="0D763928" w14:textId="71D14099" w:rsidR="00A84A03" w:rsidRDefault="006E74A0" w:rsidP="00A8728B">
      <w:r>
        <w:t xml:space="preserve">In addition, </w:t>
      </w:r>
      <w:r w:rsidR="009F56C5">
        <w:t xml:space="preserve">ESMA </w:t>
      </w:r>
      <w:r w:rsidR="000A3088">
        <w:t xml:space="preserve">has not identified any EUR </w:t>
      </w:r>
      <w:proofErr w:type="spellStart"/>
      <w:r w:rsidR="000A3088">
        <w:t>IMM</w:t>
      </w:r>
      <w:proofErr w:type="spellEnd"/>
      <w:r w:rsidR="000A3088">
        <w:t xml:space="preserve"> or MAC contracts as sufficiently liquid for the trading obligation</w:t>
      </w:r>
      <w:r w:rsidR="009F56C5">
        <w:t xml:space="preserve">.  We urge ESMA to re-assess this conclusion.  Market data shows that EUR </w:t>
      </w:r>
      <w:proofErr w:type="spellStart"/>
      <w:r w:rsidR="009F56C5">
        <w:t>IMM</w:t>
      </w:r>
      <w:proofErr w:type="spellEnd"/>
      <w:r w:rsidR="009F56C5">
        <w:t xml:space="preserve"> and MAC </w:t>
      </w:r>
      <w:r w:rsidR="009F56C5">
        <w:lastRenderedPageBreak/>
        <w:t>swaps constitute approximately 30% of the EUR interest rate swap market.</w:t>
      </w:r>
      <w:r w:rsidR="009F56C5">
        <w:rPr>
          <w:rStyle w:val="FootnoteReference"/>
        </w:rPr>
        <w:footnoteReference w:id="28"/>
      </w:r>
      <w:r w:rsidR="009F56C5">
        <w:t xml:space="preserve">  </w:t>
      </w:r>
      <w:r w:rsidR="00F62ECC">
        <w:t xml:space="preserve">In particular, significant trading activity can be observed in the </w:t>
      </w:r>
      <w:r w:rsidR="00CD1B08" w:rsidRPr="001E1E3B">
        <w:rPr>
          <w:b/>
        </w:rPr>
        <w:t xml:space="preserve">2Y, </w:t>
      </w:r>
      <w:r w:rsidR="00CD1B08">
        <w:rPr>
          <w:b/>
        </w:rPr>
        <w:t xml:space="preserve">3Y, </w:t>
      </w:r>
      <w:r w:rsidR="00CD1B08" w:rsidRPr="001E1E3B">
        <w:rPr>
          <w:b/>
        </w:rPr>
        <w:t xml:space="preserve">5Y, and 10Y </w:t>
      </w:r>
      <w:proofErr w:type="spellStart"/>
      <w:r w:rsidR="00CD1B08" w:rsidRPr="001E1E3B">
        <w:rPr>
          <w:b/>
        </w:rPr>
        <w:t>IMM</w:t>
      </w:r>
      <w:proofErr w:type="spellEnd"/>
      <w:r w:rsidR="00CD1B08" w:rsidRPr="001E1E3B">
        <w:rPr>
          <w:b/>
        </w:rPr>
        <w:t xml:space="preserve"> </w:t>
      </w:r>
      <w:r w:rsidR="00CD1B08" w:rsidRPr="001E1E3B">
        <w:t>and</w:t>
      </w:r>
      <w:r w:rsidR="00CD1B08" w:rsidRPr="001E1E3B">
        <w:rPr>
          <w:b/>
        </w:rPr>
        <w:t xml:space="preserve"> MAC</w:t>
      </w:r>
      <w:r w:rsidR="00F62ECC" w:rsidRPr="001E1E3B">
        <w:rPr>
          <w:b/>
        </w:rPr>
        <w:t xml:space="preserve"> </w:t>
      </w:r>
      <w:r w:rsidR="00F62ECC" w:rsidRPr="000A50FE">
        <w:t>tenors</w:t>
      </w:r>
      <w:r w:rsidR="00F62ECC">
        <w:t xml:space="preserve">.  </w:t>
      </w:r>
      <w:r w:rsidR="009707EE">
        <w:t xml:space="preserve">Data from trade repositories, </w:t>
      </w:r>
      <w:proofErr w:type="spellStart"/>
      <w:r w:rsidR="009707EE">
        <w:t>CCPs</w:t>
      </w:r>
      <w:proofErr w:type="spellEnd"/>
      <w:r w:rsidR="009707EE">
        <w:t>, and trading venues should be able to assist in this analysis.</w:t>
      </w:r>
    </w:p>
    <w:permEnd w:id="904070388"/>
    <w:p w14:paraId="0B7B6CDB" w14:textId="77777777" w:rsidR="00A8728B" w:rsidRDefault="00A8728B" w:rsidP="00A8728B">
      <w:r>
        <w:t>&lt;ESMA_QUESTION</w:t>
      </w:r>
      <w:r w:rsidR="00D920D1">
        <w:t>_MIFID</w:t>
      </w:r>
      <w:r w:rsidR="00AB4824">
        <w:t>_TO_</w:t>
      </w:r>
      <w:r>
        <w:t>6&gt;</w:t>
      </w:r>
    </w:p>
    <w:p w14:paraId="190BBF50" w14:textId="77777777" w:rsidR="00F32462" w:rsidRDefault="00F32462">
      <w:pPr>
        <w:rPr>
          <w:rFonts w:cs="Arial"/>
          <w:b/>
          <w:sz w:val="22"/>
          <w:szCs w:val="22"/>
          <w:lang w:eastAsia="en-US"/>
        </w:rPr>
      </w:pPr>
    </w:p>
    <w:p w14:paraId="72B72AEA" w14:textId="77777777" w:rsidR="00070630"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14:paraId="77F63E74" w14:textId="77777777" w:rsidR="00070630" w:rsidRDefault="00070630" w:rsidP="00070630">
      <w:r>
        <w:t>&lt;ESMA_QUESTION_MIFID</w:t>
      </w:r>
      <w:r w:rsidR="00AB4824">
        <w:t>_TO_</w:t>
      </w:r>
      <w:r>
        <w:t>7&gt;</w:t>
      </w:r>
    </w:p>
    <w:p w14:paraId="3CC6D443" w14:textId="77777777" w:rsidR="000A50FE" w:rsidRDefault="000A50FE" w:rsidP="000A50FE">
      <w:permStart w:id="481891366" w:edGrp="everyone"/>
      <w:r>
        <w:t xml:space="preserve">Yes, we agree that all of these derivatives are highly liquid and are appropriate to be subject to the trading obligation, including both </w:t>
      </w:r>
      <w:r w:rsidR="00D6144D">
        <w:t xml:space="preserve">spot-starting and </w:t>
      </w:r>
      <w:proofErr w:type="spellStart"/>
      <w:r w:rsidR="00D6144D">
        <w:t>IMM</w:t>
      </w:r>
      <w:proofErr w:type="spellEnd"/>
      <w:r w:rsidR="00D6144D">
        <w:t xml:space="preserve"> swaps</w:t>
      </w:r>
      <w:r>
        <w:t xml:space="preserve">.  This is based on our experience as a participant in the derivatives market, and an assessment of relevant liquidity criteria, such as </w:t>
      </w:r>
      <w:r w:rsidRPr="00B11E29">
        <w:t>(</w:t>
      </w:r>
      <w:proofErr w:type="spellStart"/>
      <w:r w:rsidRPr="00B11E29">
        <w:t>i</w:t>
      </w:r>
      <w:proofErr w:type="spellEnd"/>
      <w:r w:rsidRPr="00B11E29">
        <w:t xml:space="preserve">) </w:t>
      </w:r>
      <w:r>
        <w:t>the availability of streaming prices from a number of liquidity providers</w:t>
      </w:r>
      <w:r w:rsidRPr="00B11E29">
        <w:t>,</w:t>
      </w:r>
      <w:r>
        <w:t xml:space="preserve"> (ii) trading volumes, (iii</w:t>
      </w:r>
      <w:r w:rsidRPr="00B11E29">
        <w:t xml:space="preserve">) the number and types of market participants, and </w:t>
      </w:r>
      <w:r>
        <w:t>(iv) whether these instruments are already listed by trading venues today.</w:t>
      </w:r>
    </w:p>
    <w:p w14:paraId="32C9EC60" w14:textId="77777777" w:rsidR="000A50FE" w:rsidRDefault="000A50FE" w:rsidP="000A50FE"/>
    <w:p w14:paraId="077DF725" w14:textId="77777777" w:rsidR="00070630" w:rsidRDefault="000A50FE" w:rsidP="00070630">
      <w:r>
        <w:t xml:space="preserve">In addition, all of these instruments are already subject to the US trading obligation, and </w:t>
      </w:r>
      <w:r w:rsidR="006951C0">
        <w:t xml:space="preserve">market participants </w:t>
      </w:r>
      <w:r w:rsidR="001E702A">
        <w:t>have not appeared to experience</w:t>
      </w:r>
      <w:r w:rsidR="006951C0">
        <w:t xml:space="preserve"> any difficulty executing them on trading venues</w:t>
      </w:r>
      <w:r>
        <w:t>.</w:t>
      </w:r>
    </w:p>
    <w:p w14:paraId="067EF8DF" w14:textId="77777777" w:rsidR="008D4718" w:rsidRDefault="008D4718" w:rsidP="00070630"/>
    <w:p w14:paraId="501E3FDA" w14:textId="0B635A55" w:rsidR="008D4718" w:rsidRDefault="008D4718" w:rsidP="00070630">
      <w:r>
        <w:t xml:space="preserve">We note that ESMA should clarify </w:t>
      </w:r>
      <w:r w:rsidR="00993092">
        <w:t xml:space="preserve">that </w:t>
      </w:r>
      <w:r>
        <w:t>the “</w:t>
      </w:r>
      <w:proofErr w:type="spellStart"/>
      <w:r>
        <w:t>IMM</w:t>
      </w:r>
      <w:proofErr w:type="spellEnd"/>
      <w:r>
        <w:t>” category</w:t>
      </w:r>
      <w:r w:rsidR="00993092">
        <w:t xml:space="preserve"> covers both par coupon and MAC swaps</w:t>
      </w:r>
      <w:r w:rsidR="007E5DB3">
        <w:t>, both of which are highly liquid</w:t>
      </w:r>
      <w:r>
        <w:t>.</w:t>
      </w:r>
    </w:p>
    <w:permEnd w:id="481891366"/>
    <w:p w14:paraId="33847AEB" w14:textId="77777777" w:rsidR="00070630" w:rsidRDefault="00070630" w:rsidP="00070630">
      <w:r>
        <w:t>&lt;ESMA_QUESTION_MIFID</w:t>
      </w:r>
      <w:r w:rsidR="00AB4824">
        <w:t>_TO_</w:t>
      </w:r>
      <w:r>
        <w:t>7&gt;</w:t>
      </w:r>
    </w:p>
    <w:p w14:paraId="7C6C5259" w14:textId="77777777" w:rsidR="00070630" w:rsidRDefault="00070630">
      <w:pPr>
        <w:rPr>
          <w:rFonts w:cs="Arial"/>
          <w:b/>
          <w:sz w:val="22"/>
          <w:szCs w:val="22"/>
          <w:lang w:eastAsia="en-US"/>
        </w:rPr>
      </w:pPr>
    </w:p>
    <w:p w14:paraId="62A01D63" w14:textId="77777777" w:rsidR="00EF314C"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specifically would you consider to be sufficiently liquid</w:t>
      </w:r>
      <w:r w:rsidR="00EF314C" w:rsidRPr="00070630">
        <w:t>?</w:t>
      </w:r>
    </w:p>
    <w:p w14:paraId="33943EF3" w14:textId="77777777" w:rsidR="00EF314C" w:rsidRDefault="00EF314C" w:rsidP="00EF314C">
      <w:r>
        <w:t>&lt;ESMA_QUESTION_MIFID_TO_</w:t>
      </w:r>
      <w:r w:rsidR="00273633">
        <w:t>8</w:t>
      </w:r>
      <w:r>
        <w:t>&gt;</w:t>
      </w:r>
    </w:p>
    <w:p w14:paraId="593FBDE7" w14:textId="5371E448" w:rsidR="00D87E0D" w:rsidRDefault="000A3088" w:rsidP="000A3088">
      <w:permStart w:id="1336421203" w:edGrp="everyone"/>
      <w:r>
        <w:t>ESMA has identified the most commonly traded combinations of fixed leg payment frequency and floating leg reset frequency for USD IRS</w:t>
      </w:r>
      <w:r w:rsidR="00785428">
        <w:t>, although we note that there is trading activity in</w:t>
      </w:r>
      <w:r w:rsidR="00B92818">
        <w:t xml:space="preserve"> 6M </w:t>
      </w:r>
      <w:r w:rsidR="00785428">
        <w:t xml:space="preserve">Libor as well.  We note that </w:t>
      </w:r>
      <w:r w:rsidR="00B92818">
        <w:t xml:space="preserve">6M </w:t>
      </w:r>
      <w:r w:rsidR="00785428">
        <w:t>Libor is already subject to the US trading obligation.</w:t>
      </w:r>
    </w:p>
    <w:p w14:paraId="7D6527A6" w14:textId="77777777" w:rsidR="00EF314C" w:rsidRDefault="00EF314C" w:rsidP="00EF314C"/>
    <w:p w14:paraId="2CAEF840" w14:textId="5D2C1971" w:rsidR="00E27435" w:rsidRDefault="00E8590A" w:rsidP="00EF314C">
      <w:r>
        <w:t>I</w:t>
      </w:r>
      <w:r w:rsidR="00CF616E">
        <w:t xml:space="preserve">n our view </w:t>
      </w:r>
      <w:proofErr w:type="spellStart"/>
      <w:r w:rsidR="00B71C58">
        <w:t>ESMA’s</w:t>
      </w:r>
      <w:proofErr w:type="spellEnd"/>
      <w:r w:rsidR="00B71C58">
        <w:t xml:space="preserve"> liquidity analysis for USD IRS </w:t>
      </w:r>
      <w:r>
        <w:t xml:space="preserve">also </w:t>
      </w:r>
      <w:r w:rsidR="00B71C58">
        <w:t>incorrectly excludes the following instruments:</w:t>
      </w:r>
    </w:p>
    <w:p w14:paraId="4F768D49" w14:textId="77777777" w:rsidR="00B71C58" w:rsidRDefault="00B71C58" w:rsidP="00EF314C"/>
    <w:p w14:paraId="121701CA" w14:textId="77777777" w:rsidR="00B71C58" w:rsidRDefault="00B71C58" w:rsidP="00B71C58">
      <w:pPr>
        <w:pStyle w:val="ListParagraph"/>
        <w:numPr>
          <w:ilvl w:val="0"/>
          <w:numId w:val="40"/>
        </w:numPr>
      </w:pPr>
      <w:r>
        <w:t xml:space="preserve">The </w:t>
      </w:r>
      <w:r w:rsidRPr="00B71C58">
        <w:rPr>
          <w:b/>
        </w:rPr>
        <w:t>6Y, 12Y, 15Y, and 20Y</w:t>
      </w:r>
      <w:r>
        <w:t xml:space="preserve"> </w:t>
      </w:r>
      <w:r w:rsidR="00D6144D">
        <w:t xml:space="preserve">tenors in spot-starting swaps </w:t>
      </w:r>
      <w:r>
        <w:t>are all sufficiently liquid for the trading obliga</w:t>
      </w:r>
      <w:r w:rsidR="00D6144D">
        <w:t>tion.</w:t>
      </w:r>
    </w:p>
    <w:p w14:paraId="17AC54D0" w14:textId="77777777" w:rsidR="00D6144D" w:rsidRDefault="00D6144D" w:rsidP="00D6144D">
      <w:pPr>
        <w:pStyle w:val="ListParagraph"/>
      </w:pPr>
    </w:p>
    <w:p w14:paraId="493E6C67" w14:textId="77777777" w:rsidR="00D6144D" w:rsidRDefault="00D6144D" w:rsidP="00B71C58">
      <w:pPr>
        <w:pStyle w:val="ListParagraph"/>
        <w:numPr>
          <w:ilvl w:val="0"/>
          <w:numId w:val="40"/>
        </w:numPr>
      </w:pPr>
      <w:r>
        <w:t xml:space="preserve">Additional </w:t>
      </w:r>
      <w:proofErr w:type="spellStart"/>
      <w:r>
        <w:t>IMMs</w:t>
      </w:r>
      <w:proofErr w:type="spellEnd"/>
      <w:r>
        <w:t xml:space="preserve"> and </w:t>
      </w:r>
      <w:proofErr w:type="spellStart"/>
      <w:r>
        <w:t>MACs</w:t>
      </w:r>
      <w:proofErr w:type="spellEnd"/>
      <w:r>
        <w:t xml:space="preserve"> are sufficiently liquid for the trading obligation.  According to an analysis of </w:t>
      </w:r>
      <w:r w:rsidR="006951C0">
        <w:t>US</w:t>
      </w:r>
      <w:r>
        <w:t xml:space="preserve"> </w:t>
      </w:r>
      <w:proofErr w:type="spellStart"/>
      <w:r>
        <w:t>SDR</w:t>
      </w:r>
      <w:proofErr w:type="spellEnd"/>
      <w:r>
        <w:t xml:space="preserve"> data, </w:t>
      </w:r>
      <w:proofErr w:type="spellStart"/>
      <w:r>
        <w:t>IMM</w:t>
      </w:r>
      <w:proofErr w:type="spellEnd"/>
      <w:r>
        <w:t xml:space="preserve"> and MAC swaps together constitute approximately 15% of the USD interest rate swap market</w:t>
      </w:r>
      <w:r w:rsidRPr="00F33D4A">
        <w:t xml:space="preserve"> </w:t>
      </w:r>
      <w:r>
        <w:t xml:space="preserve">in terms </w:t>
      </w:r>
      <w:bookmarkStart w:id="3" w:name="_GoBack"/>
      <w:bookmarkEnd w:id="3"/>
      <w:r>
        <w:t>of trade count.</w:t>
      </w:r>
      <w:r>
        <w:rPr>
          <w:rStyle w:val="FootnoteReference"/>
        </w:rPr>
        <w:footnoteReference w:id="29"/>
      </w:r>
      <w:r>
        <w:t xml:space="preserve">  In particular, significant trading activity can be observed in the </w:t>
      </w:r>
      <w:r w:rsidRPr="001E1E3B">
        <w:rPr>
          <w:b/>
        </w:rPr>
        <w:t xml:space="preserve">2Y, </w:t>
      </w:r>
      <w:r>
        <w:rPr>
          <w:b/>
        </w:rPr>
        <w:t>3Y, 7</w:t>
      </w:r>
      <w:r w:rsidRPr="001E1E3B">
        <w:rPr>
          <w:b/>
        </w:rPr>
        <w:t xml:space="preserve">Y, and 10Y </w:t>
      </w:r>
      <w:proofErr w:type="spellStart"/>
      <w:r w:rsidRPr="001E1E3B">
        <w:rPr>
          <w:b/>
        </w:rPr>
        <w:t>IMM</w:t>
      </w:r>
      <w:proofErr w:type="spellEnd"/>
      <w:r w:rsidRPr="001E1E3B">
        <w:rPr>
          <w:b/>
        </w:rPr>
        <w:t xml:space="preserve"> </w:t>
      </w:r>
      <w:r w:rsidRPr="001E1E3B">
        <w:t>and</w:t>
      </w:r>
      <w:r w:rsidRPr="001E1E3B">
        <w:rPr>
          <w:b/>
        </w:rPr>
        <w:t xml:space="preserve"> </w:t>
      </w:r>
      <w:r>
        <w:rPr>
          <w:b/>
        </w:rPr>
        <w:t>1Y, 2Y, 3Y, 5Y,</w:t>
      </w:r>
      <w:r w:rsidRPr="001E1E3B">
        <w:rPr>
          <w:b/>
        </w:rPr>
        <w:t xml:space="preserve"> 10Y</w:t>
      </w:r>
      <w:r>
        <w:rPr>
          <w:b/>
        </w:rPr>
        <w:t>, and 30Y</w:t>
      </w:r>
      <w:r w:rsidRPr="001E1E3B">
        <w:rPr>
          <w:b/>
        </w:rPr>
        <w:t xml:space="preserve"> MAC </w:t>
      </w:r>
      <w:r w:rsidRPr="000A50FE">
        <w:t>tenors</w:t>
      </w:r>
      <w:r>
        <w:t>.</w:t>
      </w:r>
    </w:p>
    <w:p w14:paraId="7AD19823" w14:textId="77777777" w:rsidR="00E27435" w:rsidRDefault="00E27435" w:rsidP="00EF314C"/>
    <w:p w14:paraId="55C6660F" w14:textId="77777777" w:rsidR="00D6144D" w:rsidRDefault="006964EA" w:rsidP="00EF314C">
      <w:r>
        <w:t xml:space="preserve">All of the derivatives listed above are standardized, highly liquid, and already traded on trading venues.  Streaming prices from a number of liquidity providers are available and </w:t>
      </w:r>
      <w:r w:rsidR="00E13F56">
        <w:t xml:space="preserve">trading activity is significant.  </w:t>
      </w:r>
      <w:r w:rsidR="001D0D0C">
        <w:t xml:space="preserve">In addition, all of these instruments are already subject to the US trading obligation, and </w:t>
      </w:r>
      <w:r w:rsidR="001144B5">
        <w:t xml:space="preserve">market participants </w:t>
      </w:r>
      <w:r w:rsidR="001E702A">
        <w:t>have not appeared to experience</w:t>
      </w:r>
      <w:r w:rsidR="001144B5">
        <w:t xml:space="preserve"> any difficulty executing them</w:t>
      </w:r>
      <w:r w:rsidR="001D0D0C">
        <w:t xml:space="preserve"> on trading venues.  </w:t>
      </w:r>
      <w:r w:rsidR="00F24B11">
        <w:t xml:space="preserve">We urge ESMA to further investigate these instruments, using data from </w:t>
      </w:r>
      <w:r w:rsidR="00D6144D">
        <w:t>trade repositories</w:t>
      </w:r>
      <w:r w:rsidR="00F24B11">
        <w:t xml:space="preserve">, </w:t>
      </w:r>
      <w:proofErr w:type="spellStart"/>
      <w:r w:rsidR="00F24B11">
        <w:t>CCPs</w:t>
      </w:r>
      <w:proofErr w:type="spellEnd"/>
      <w:r w:rsidR="00F24B11">
        <w:t>, and trading venues.</w:t>
      </w:r>
    </w:p>
    <w:p w14:paraId="3746244B" w14:textId="77777777" w:rsidR="00F24B11" w:rsidRDefault="00F24B11" w:rsidP="00EF314C"/>
    <w:p w14:paraId="18EB18BB" w14:textId="7402FAE2" w:rsidR="00D87E0D" w:rsidRDefault="008627D0" w:rsidP="00EF314C">
      <w:r>
        <w:lastRenderedPageBreak/>
        <w:t xml:space="preserve">In addition, given the current structure of the OTC derivatives market, it is important to note that the liquidity profile of an instrument does not drastically change based on geographical boundaries.  While EU-specific data is an important consideration, both US and EU market participants interact with the same core group of liquidity providers, and therefore experience similar pricing and liquidity dynamics.  Going forward, this will only be more obvious, as trading venues in the US and EU are expected to gain equivalence, meaning that EU market participants </w:t>
      </w:r>
      <w:r w:rsidR="00E8590A">
        <w:t>will be able to</w:t>
      </w:r>
      <w:r>
        <w:t xml:space="preserve"> access liquidity on US venues for satisfying the trading obligation and </w:t>
      </w:r>
      <w:r w:rsidRPr="00223853">
        <w:rPr>
          <w:i/>
        </w:rPr>
        <w:t>vice versa</w:t>
      </w:r>
      <w:r>
        <w:t>.  As a result, we believe that ESMA should only adopt a more narrow approach than the US trading obligation where it is absolutely clear that there is insufficient liquidity in a particular instrument.  This will reduce regulatory arbitrage and ensure US and EU market participants are on a level playing field when transacting in the OTC derivatives market</w:t>
      </w:r>
      <w:r w:rsidR="001D0D0C">
        <w:t>.</w:t>
      </w:r>
    </w:p>
    <w:permEnd w:id="1336421203"/>
    <w:p w14:paraId="0E207C5A" w14:textId="77777777" w:rsidR="00EF314C" w:rsidRDefault="00EF314C" w:rsidP="00EF314C">
      <w:r>
        <w:t>&lt;ESMA_QUESTION_MIFID_TO_</w:t>
      </w:r>
      <w:r w:rsidR="00273633">
        <w:t>8</w:t>
      </w:r>
      <w:r>
        <w:t>&gt;</w:t>
      </w:r>
    </w:p>
    <w:p w14:paraId="0F4F47F0" w14:textId="77777777" w:rsidR="00EF314C" w:rsidRDefault="00EF314C" w:rsidP="00EF314C">
      <w:pPr>
        <w:rPr>
          <w:rFonts w:cs="Arial"/>
          <w:b/>
          <w:sz w:val="22"/>
          <w:szCs w:val="22"/>
          <w:lang w:eastAsia="en-US"/>
        </w:rPr>
      </w:pPr>
    </w:p>
    <w:p w14:paraId="6F878159" w14:textId="77777777"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14:paraId="3C7A3841" w14:textId="77777777" w:rsidR="00EF314C" w:rsidRDefault="00EF314C" w:rsidP="00EF314C">
      <w:r>
        <w:t>&lt;ESMA_QUESTION_MIFID_TO_</w:t>
      </w:r>
      <w:r w:rsidR="00273633">
        <w:t>9</w:t>
      </w:r>
      <w:r>
        <w:t>&gt;</w:t>
      </w:r>
    </w:p>
    <w:p w14:paraId="37CCF872" w14:textId="1C94391E" w:rsidR="00142B96" w:rsidRDefault="00142B96" w:rsidP="00142B96">
      <w:permStart w:id="53680869" w:edGrp="everyone"/>
      <w:r>
        <w:t xml:space="preserve">Yes, we agree that all of these derivatives are highly liquid and are appropriate to be subject to the trading obligation, including the additional tenors of spot-starting swaps and the </w:t>
      </w:r>
      <w:r w:rsidR="00AC315F">
        <w:t xml:space="preserve">3M </w:t>
      </w:r>
      <w:r>
        <w:t>Libor</w:t>
      </w:r>
      <w:r w:rsidR="00AC315F">
        <w:t xml:space="preserve"> </w:t>
      </w:r>
      <w:r>
        <w:t xml:space="preserve">reference rate.  </w:t>
      </w:r>
      <w:r w:rsidR="00657F6C">
        <w:t xml:space="preserve">It is important to note that new issuances in the bond markets price against </w:t>
      </w:r>
      <w:r w:rsidR="00AC315F">
        <w:t xml:space="preserve">3M </w:t>
      </w:r>
      <w:r w:rsidR="00657F6C">
        <w:t>Libor, which drives demand and liquidity in this rate.  All of the instruments identified by ESMA satisfy the</w:t>
      </w:r>
      <w:r>
        <w:t xml:space="preserve"> relevant liquidity criteria, such as </w:t>
      </w:r>
      <w:r w:rsidRPr="00B11E29">
        <w:t>(</w:t>
      </w:r>
      <w:proofErr w:type="spellStart"/>
      <w:r w:rsidRPr="00B11E29">
        <w:t>i</w:t>
      </w:r>
      <w:proofErr w:type="spellEnd"/>
      <w:r w:rsidRPr="00B11E29">
        <w:t xml:space="preserve">) </w:t>
      </w:r>
      <w:r>
        <w:t>the availability of streaming prices from a number of liquidity providers</w:t>
      </w:r>
      <w:r w:rsidRPr="00B11E29">
        <w:t>,</w:t>
      </w:r>
      <w:r>
        <w:t xml:space="preserve"> (ii) trading volumes, (iii</w:t>
      </w:r>
      <w:r w:rsidRPr="00B11E29">
        <w:t xml:space="preserve">) the number and types of market participants, and </w:t>
      </w:r>
      <w:r>
        <w:t>(iv) whether these instruments are already listed by trading venues today.</w:t>
      </w:r>
    </w:p>
    <w:p w14:paraId="4D63F74B" w14:textId="77777777" w:rsidR="00142B96" w:rsidRDefault="00142B96" w:rsidP="00142B96"/>
    <w:p w14:paraId="0F12D5D6" w14:textId="77777777" w:rsidR="00C31ED9" w:rsidRPr="00657F6C" w:rsidRDefault="00142B96" w:rsidP="00EF314C">
      <w:r>
        <w:t xml:space="preserve">In addition, all of these instruments are already subject to the US trading obligation, and market participants </w:t>
      </w:r>
      <w:r w:rsidR="001E702A">
        <w:t>have not appeared to experience</w:t>
      </w:r>
      <w:r>
        <w:t xml:space="preserve"> any difficulty executing them on trading venues.</w:t>
      </w:r>
    </w:p>
    <w:permEnd w:id="53680869"/>
    <w:p w14:paraId="60A22132" w14:textId="77777777" w:rsidR="00EF314C" w:rsidRDefault="00EF314C" w:rsidP="00EF314C">
      <w:r>
        <w:t>&lt;ESMA_QUESTION_MIFID_TO_</w:t>
      </w:r>
      <w:r w:rsidR="00273633">
        <w:t>9</w:t>
      </w:r>
      <w:r>
        <w:t>&gt;</w:t>
      </w:r>
    </w:p>
    <w:p w14:paraId="46E06CAE" w14:textId="77777777" w:rsidR="00EF314C" w:rsidRDefault="00EF314C" w:rsidP="00EF314C">
      <w:pPr>
        <w:rPr>
          <w:rFonts w:cs="Arial"/>
          <w:b/>
          <w:sz w:val="22"/>
          <w:szCs w:val="22"/>
          <w:lang w:eastAsia="en-US"/>
        </w:rPr>
      </w:pPr>
    </w:p>
    <w:p w14:paraId="2AB6302B" w14:textId="77777777"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frequency specifically would you consider to be sufficiently liquid?</w:t>
      </w:r>
    </w:p>
    <w:p w14:paraId="2A62BD1C" w14:textId="77777777" w:rsidR="00EF314C" w:rsidRDefault="00EF314C" w:rsidP="00EF314C">
      <w:r>
        <w:t>&lt;ESMA_QUESTION_MIFID_TO_</w:t>
      </w:r>
      <w:r w:rsidR="00273633">
        <w:t>10</w:t>
      </w:r>
      <w:r>
        <w:t>&gt;</w:t>
      </w:r>
    </w:p>
    <w:p w14:paraId="28FDACB2" w14:textId="446EB5C7" w:rsidR="00142B96" w:rsidRDefault="000A3088" w:rsidP="00EF314C">
      <w:permStart w:id="1952341511" w:edGrp="everyone"/>
      <w:r>
        <w:t xml:space="preserve">GBP </w:t>
      </w:r>
      <w:r w:rsidR="00AC315F">
        <w:t xml:space="preserve">3M </w:t>
      </w:r>
      <w:r>
        <w:t xml:space="preserve">Libor swaps </w:t>
      </w:r>
      <w:r w:rsidR="00020173">
        <w:t>also</w:t>
      </w:r>
      <w:r>
        <w:t xml:space="preserve"> trade with </w:t>
      </w:r>
      <w:r w:rsidRPr="000A3088">
        <w:rPr>
          <w:b/>
        </w:rPr>
        <w:t>semi-annual</w:t>
      </w:r>
      <w:r>
        <w:t xml:space="preserve"> fixed leg payment frequency, in addition to quarterly.  </w:t>
      </w:r>
      <w:r w:rsidR="00657F6C">
        <w:t>We note that both payment frequencies are already subject to the US trading obligation.</w:t>
      </w:r>
    </w:p>
    <w:permEnd w:id="1952341511"/>
    <w:p w14:paraId="26D6F41E" w14:textId="77777777" w:rsidR="00EF314C" w:rsidRDefault="00EF314C" w:rsidP="00EF314C">
      <w:r>
        <w:t>&lt;ESMA_QUESTION_MIFID_TO_</w:t>
      </w:r>
      <w:r w:rsidR="00273633">
        <w:t>10</w:t>
      </w:r>
      <w:r>
        <w:t>&gt;</w:t>
      </w:r>
    </w:p>
    <w:p w14:paraId="1F5FF95E" w14:textId="77777777" w:rsidR="00EF314C" w:rsidRDefault="00EF314C" w:rsidP="00EF314C">
      <w:pPr>
        <w:rPr>
          <w:rFonts w:cs="Arial"/>
          <w:b/>
          <w:sz w:val="22"/>
          <w:szCs w:val="22"/>
          <w:lang w:eastAsia="en-US"/>
        </w:rPr>
      </w:pPr>
    </w:p>
    <w:p w14:paraId="3FEE5627" w14:textId="77777777" w:rsidR="00EF314C" w:rsidRPr="000E6B5B" w:rsidRDefault="00432D4E" w:rsidP="00F016BE">
      <w:pPr>
        <w:pStyle w:val="CPQuestions"/>
      </w:pPr>
      <w:r w:rsidRPr="00F43BDA">
        <w:t>Do you agree with this proposal? If not, please explain why and provide an alternative proposal</w:t>
      </w:r>
      <w:r>
        <w:t>.</w:t>
      </w:r>
    </w:p>
    <w:p w14:paraId="356BE931" w14:textId="77777777" w:rsidR="00EF314C" w:rsidRDefault="00EF314C" w:rsidP="00EF314C">
      <w:r>
        <w:t>&lt;ESMA_QUESTION_MIFID_TO_</w:t>
      </w:r>
      <w:r w:rsidR="00273633">
        <w:t>11</w:t>
      </w:r>
      <w:r>
        <w:t>&gt;</w:t>
      </w:r>
    </w:p>
    <w:p w14:paraId="07DDBA2C" w14:textId="77777777" w:rsidR="00731674" w:rsidRDefault="00625786" w:rsidP="00EF314C">
      <w:permStart w:id="673848806" w:edGrp="everyone"/>
      <w:r>
        <w:t>Yes, we believe it is reasonable for ESMA to adopt a more cautious approach, at least initially, with respect to interest rate derivatives denominated in other currencies, such as JPY.</w:t>
      </w:r>
    </w:p>
    <w:permEnd w:id="673848806"/>
    <w:p w14:paraId="603BD464" w14:textId="77777777" w:rsidR="00EF314C" w:rsidRDefault="00EF314C" w:rsidP="00EF314C">
      <w:r>
        <w:t>&lt;ESMA_QUESTION_MIFID_TO_</w:t>
      </w:r>
      <w:r w:rsidR="00273633">
        <w:t>11</w:t>
      </w:r>
      <w:r>
        <w:t>&gt;</w:t>
      </w:r>
    </w:p>
    <w:p w14:paraId="724FF92F" w14:textId="77777777" w:rsidR="00EF314C" w:rsidRDefault="00EF314C" w:rsidP="00EF314C">
      <w:pPr>
        <w:rPr>
          <w:rFonts w:cs="Arial"/>
          <w:b/>
          <w:sz w:val="22"/>
          <w:szCs w:val="22"/>
          <w:lang w:eastAsia="en-US"/>
        </w:rPr>
      </w:pPr>
    </w:p>
    <w:p w14:paraId="01177FC2" w14:textId="77777777" w:rsidR="00EF314C" w:rsidRPr="000E6B5B" w:rsidRDefault="00432D4E" w:rsidP="00F016BE">
      <w:pPr>
        <w:pStyle w:val="CPQuestions"/>
      </w:pPr>
      <w:r w:rsidRPr="001B04E4">
        <w:t>Do you agree with this proposal? If not, please explain why and provide an alternative proposal</w:t>
      </w:r>
    </w:p>
    <w:p w14:paraId="7D8CD65E" w14:textId="77777777" w:rsidR="00EF314C" w:rsidRDefault="00EF314C" w:rsidP="00EF314C">
      <w:r>
        <w:lastRenderedPageBreak/>
        <w:t>&lt;ESMA_QUESTION_MIFID_TO_</w:t>
      </w:r>
      <w:r w:rsidR="00273633">
        <w:t>12</w:t>
      </w:r>
      <w:r>
        <w:t>&gt;</w:t>
      </w:r>
    </w:p>
    <w:p w14:paraId="1F08CA64" w14:textId="77777777" w:rsidR="00A6108A" w:rsidRDefault="00A6108A" w:rsidP="00A6108A">
      <w:permStart w:id="1627618961" w:edGrp="everyone"/>
      <w:r>
        <w:t xml:space="preserve">Yes, we agree with </w:t>
      </w:r>
      <w:proofErr w:type="spellStart"/>
      <w:r>
        <w:t>ESMA’s</w:t>
      </w:r>
      <w:proofErr w:type="spellEnd"/>
      <w:r>
        <w:t xml:space="preserve"> proposal to include the most recent off-the-run series for purposes of the trading obligation.  A significant amount of trading in both the on-the-run series and the most recent off-the-run series occurs in the days following the creation of the new index as market participants “roll” their position by offsetting a transaction in the older series and entering into a new transaction in the current series.  However, for the entire length of time that a series is the most recent off-the-run, and not just for the first 30 working days, there is sufficient liquidity for it to be subject to the trading obligation.  This is based on our experience as a participant in the derivatives market, and an assessment of relevant liquidity criteria, such as </w:t>
      </w:r>
      <w:r w:rsidRPr="00B11E29">
        <w:t>(</w:t>
      </w:r>
      <w:proofErr w:type="spellStart"/>
      <w:r w:rsidRPr="00B11E29">
        <w:t>i</w:t>
      </w:r>
      <w:proofErr w:type="spellEnd"/>
      <w:r w:rsidRPr="00B11E29">
        <w:t xml:space="preserve">) </w:t>
      </w:r>
      <w:r>
        <w:t>the availability of streaming prices from a number of liquidity providers</w:t>
      </w:r>
      <w:r w:rsidRPr="00B11E29">
        <w:t>,</w:t>
      </w:r>
      <w:r>
        <w:t xml:space="preserve"> (ii) trading volumes, (iii</w:t>
      </w:r>
      <w:r w:rsidRPr="00B11E29">
        <w:t xml:space="preserve">) the number and types of market participants, and </w:t>
      </w:r>
      <w:r>
        <w:t>(iv) whether these instruments are already listed by trading venues today.</w:t>
      </w:r>
    </w:p>
    <w:p w14:paraId="2F490F1C" w14:textId="77777777" w:rsidR="00A6108A" w:rsidRDefault="00A6108A" w:rsidP="00A6108A"/>
    <w:p w14:paraId="20D5622A" w14:textId="77777777" w:rsidR="00EF314C" w:rsidRDefault="00A6108A" w:rsidP="00A6108A">
      <w:r>
        <w:t xml:space="preserve">In addition, the most recent off-the-run series is already subject to the US trading obligation, and market participants </w:t>
      </w:r>
      <w:r w:rsidR="001E702A">
        <w:t>have not appeared to experience</w:t>
      </w:r>
      <w:r>
        <w:t xml:space="preserve"> any difficulty executing these instruments on trading venues.</w:t>
      </w:r>
    </w:p>
    <w:permEnd w:id="1627618961"/>
    <w:p w14:paraId="3523B98E" w14:textId="77777777" w:rsidR="00EF314C" w:rsidRDefault="00EF314C" w:rsidP="00EF314C">
      <w:r>
        <w:t>&lt;ESMA_QUESTION_MIFID_TO_</w:t>
      </w:r>
      <w:r w:rsidR="00273633">
        <w:t>12</w:t>
      </w:r>
      <w:r>
        <w:t>&gt;</w:t>
      </w:r>
    </w:p>
    <w:p w14:paraId="36923D53" w14:textId="77777777" w:rsidR="00EF314C" w:rsidRDefault="00EF314C" w:rsidP="00EF314C">
      <w:pPr>
        <w:rPr>
          <w:rFonts w:cs="Arial"/>
          <w:b/>
          <w:sz w:val="22"/>
          <w:szCs w:val="22"/>
          <w:lang w:eastAsia="en-US"/>
        </w:rPr>
      </w:pPr>
    </w:p>
    <w:p w14:paraId="23477099" w14:textId="77777777" w:rsidR="00EF314C" w:rsidRPr="000E6B5B" w:rsidRDefault="00432D4E" w:rsidP="00F016BE">
      <w:pPr>
        <w:pStyle w:val="CPQuestions"/>
      </w:pPr>
      <w:r>
        <w:t>Do you agree to the proposed timeline? If not, please explain why and present your proposal.</w:t>
      </w:r>
    </w:p>
    <w:p w14:paraId="06B75016" w14:textId="77777777" w:rsidR="00EF314C" w:rsidRDefault="00EF314C" w:rsidP="00EF314C">
      <w:r>
        <w:t>&lt;ESMA_QUESTION_MIFID_TO_</w:t>
      </w:r>
      <w:r w:rsidR="00273633">
        <w:t>13</w:t>
      </w:r>
      <w:r>
        <w:t>&gt;</w:t>
      </w:r>
    </w:p>
    <w:p w14:paraId="41881FCD" w14:textId="77777777" w:rsidR="00FF6C0B" w:rsidRDefault="00FF6C0B" w:rsidP="00EF314C">
      <w:permStart w:id="1959921089" w:edGrp="everyone"/>
      <w:r>
        <w:t xml:space="preserve">Yes, we agree with the proposed application dates.  It is important that the trading obligation apply to categories of counterparties already subject to mandatory clearing as soon as possible following the implementation </w:t>
      </w:r>
      <w:r w:rsidR="005F33F2">
        <w:t xml:space="preserve">of </w:t>
      </w:r>
      <w:r>
        <w:t>MiFID II in order to start to transition trading activity in the most standardized and liquid derivatives onto open, competitive, and well-regulated</w:t>
      </w:r>
      <w:r w:rsidR="005F33F2">
        <w:t xml:space="preserve"> trading venues.  As the largest financial counterparties, Category 1 and Category 2 counterparties are relatively limited in number and are well-placed to be ready to comply with the trading obligation in the beginning of 2018.</w:t>
      </w:r>
    </w:p>
    <w:permEnd w:id="1959921089"/>
    <w:p w14:paraId="1E38E413" w14:textId="77777777" w:rsidR="00EF314C" w:rsidRDefault="00EF314C" w:rsidP="00EF314C">
      <w:r>
        <w:t>&lt;ESMA_QUESTION_MIFID_TO_</w:t>
      </w:r>
      <w:r w:rsidR="00273633">
        <w:t>13</w:t>
      </w:r>
      <w:r>
        <w:t>&gt;</w:t>
      </w:r>
    </w:p>
    <w:p w14:paraId="07927643" w14:textId="77777777" w:rsidR="00EF314C" w:rsidRDefault="00EF314C" w:rsidP="00EF314C">
      <w:pPr>
        <w:rPr>
          <w:rFonts w:cs="Arial"/>
          <w:b/>
          <w:sz w:val="22"/>
          <w:szCs w:val="22"/>
          <w:lang w:eastAsia="en-US"/>
        </w:rPr>
      </w:pPr>
    </w:p>
    <w:p w14:paraId="18CF9526" w14:textId="77777777" w:rsidR="00432D4E" w:rsidRDefault="00432D4E" w:rsidP="00EF314C">
      <w:pPr>
        <w:rPr>
          <w:rFonts w:cs="Arial"/>
          <w:b/>
          <w:sz w:val="22"/>
          <w:szCs w:val="22"/>
          <w:lang w:eastAsia="en-US"/>
        </w:rPr>
      </w:pPr>
    </w:p>
    <w:p w14:paraId="6E999E1B" w14:textId="77777777" w:rsidR="00432D4E" w:rsidRDefault="00432D4E" w:rsidP="00EF314C">
      <w:pPr>
        <w:rPr>
          <w:rFonts w:cs="Arial"/>
          <w:b/>
          <w:sz w:val="22"/>
          <w:szCs w:val="22"/>
          <w:lang w:eastAsia="en-US"/>
        </w:rPr>
      </w:pPr>
      <w:r>
        <w:rPr>
          <w:rFonts w:cs="Arial"/>
          <w:b/>
          <w:sz w:val="22"/>
          <w:szCs w:val="22"/>
          <w:lang w:eastAsia="en-US"/>
        </w:rPr>
        <w:t>CBA QUESTIONS</w:t>
      </w:r>
    </w:p>
    <w:p w14:paraId="165360B5" w14:textId="77777777"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relevant boxes</w:t>
      </w:r>
    </w:p>
    <w:p w14:paraId="17B1ACA4" w14:textId="77777777" w:rsidR="00EF314C" w:rsidRDefault="00EF314C" w:rsidP="00EF314C">
      <w:r>
        <w:t>&lt;ESMA_QUESTION_MIFID_TO_</w:t>
      </w:r>
      <w:r w:rsidR="00273633">
        <w:t>14</w:t>
      </w:r>
      <w:r>
        <w:t>&gt;</w:t>
      </w:r>
    </w:p>
    <w:tbl>
      <w:tblPr>
        <w:tblStyle w:val="TableGrid"/>
        <w:tblW w:w="0" w:type="auto"/>
        <w:tblLook w:val="04A0" w:firstRow="1" w:lastRow="0" w:firstColumn="1" w:lastColumn="0" w:noHBand="0" w:noVBand="1"/>
      </w:tblPr>
      <w:tblGrid>
        <w:gridCol w:w="2254"/>
        <w:gridCol w:w="2254"/>
        <w:gridCol w:w="2254"/>
        <w:gridCol w:w="2254"/>
      </w:tblGrid>
      <w:tr w:rsidR="00282225" w14:paraId="367136EF" w14:textId="77777777" w:rsidTr="00DD45F8">
        <w:tc>
          <w:tcPr>
            <w:tcW w:w="2254" w:type="dxa"/>
          </w:tcPr>
          <w:p w14:paraId="1638BB7D" w14:textId="77777777" w:rsidR="00282225" w:rsidRDefault="00282225" w:rsidP="00DD45F8">
            <w:pPr>
              <w:rPr>
                <w:b/>
              </w:rPr>
            </w:pPr>
            <w:r>
              <w:rPr>
                <w:b/>
              </w:rPr>
              <w:t xml:space="preserve">Category </w:t>
            </w:r>
          </w:p>
        </w:tc>
        <w:tc>
          <w:tcPr>
            <w:tcW w:w="2254" w:type="dxa"/>
          </w:tcPr>
          <w:p w14:paraId="197D6ED3" w14:textId="77777777" w:rsidR="00282225" w:rsidRDefault="00282225" w:rsidP="00DD45F8">
            <w:pPr>
              <w:rPr>
                <w:b/>
              </w:rPr>
            </w:pPr>
            <w:r>
              <w:rPr>
                <w:b/>
              </w:rPr>
              <w:t xml:space="preserve">Number of employees </w:t>
            </w:r>
          </w:p>
        </w:tc>
        <w:tc>
          <w:tcPr>
            <w:tcW w:w="2254" w:type="dxa"/>
          </w:tcPr>
          <w:p w14:paraId="7C1141E8" w14:textId="77777777" w:rsidR="00282225" w:rsidRDefault="00282225" w:rsidP="00DD45F8">
            <w:pPr>
              <w:rPr>
                <w:b/>
              </w:rPr>
            </w:pPr>
            <w:r>
              <w:rPr>
                <w:b/>
              </w:rPr>
              <w:t xml:space="preserve">Total Notional traded 2016 (in thousands euros) </w:t>
            </w:r>
          </w:p>
        </w:tc>
        <w:tc>
          <w:tcPr>
            <w:tcW w:w="2254" w:type="dxa"/>
          </w:tcPr>
          <w:p w14:paraId="3D1A5665" w14:textId="77777777" w:rsidR="00282225" w:rsidRDefault="00282225" w:rsidP="00DD45F8">
            <w:pPr>
              <w:rPr>
                <w:b/>
              </w:rPr>
            </w:pPr>
            <w:r>
              <w:rPr>
                <w:b/>
              </w:rPr>
              <w:t>Total number of trades 2016</w:t>
            </w:r>
          </w:p>
        </w:tc>
      </w:tr>
      <w:tr w:rsidR="00282225" w14:paraId="3B598641" w14:textId="77777777" w:rsidTr="00DD45F8">
        <w:tc>
          <w:tcPr>
            <w:tcW w:w="2254" w:type="dxa"/>
            <w:vMerge w:val="restart"/>
          </w:tcPr>
          <w:p w14:paraId="30554B49" w14:textId="77777777" w:rsidR="00282225" w:rsidRDefault="00282225" w:rsidP="00DD45F8">
            <w:pPr>
              <w:rPr>
                <w:b/>
              </w:rPr>
            </w:pPr>
            <w:r>
              <w:rPr>
                <w:b/>
              </w:rPr>
              <w:t>EMIR Category 1</w:t>
            </w:r>
          </w:p>
        </w:tc>
        <w:tc>
          <w:tcPr>
            <w:tcW w:w="2254" w:type="dxa"/>
          </w:tcPr>
          <w:p w14:paraId="53360EE7" w14:textId="77777777" w:rsidR="00282225" w:rsidRPr="00C87535" w:rsidRDefault="00282225" w:rsidP="00DD45F8">
            <w:pPr>
              <w:rPr>
                <w:b/>
              </w:rPr>
            </w:pPr>
            <w:r w:rsidRPr="00C87535">
              <w:rPr>
                <w:b/>
              </w:rPr>
              <w:t>[1-50]</w:t>
            </w:r>
          </w:p>
        </w:tc>
        <w:tc>
          <w:tcPr>
            <w:tcW w:w="2254" w:type="dxa"/>
          </w:tcPr>
          <w:p w14:paraId="5BE69686" w14:textId="77777777" w:rsidR="00282225" w:rsidRDefault="00282225" w:rsidP="00282225">
            <w:permStart w:id="305552954" w:edGrp="everyone"/>
            <w:r>
              <w:t>TYPE YOUR TEXT HERE</w:t>
            </w:r>
          </w:p>
          <w:permEnd w:id="305552954"/>
          <w:p w14:paraId="38296E05" w14:textId="77777777" w:rsidR="00282225" w:rsidRPr="00C87535" w:rsidRDefault="00282225" w:rsidP="00DD45F8">
            <w:pPr>
              <w:rPr>
                <w:b/>
              </w:rPr>
            </w:pPr>
          </w:p>
        </w:tc>
        <w:tc>
          <w:tcPr>
            <w:tcW w:w="2254" w:type="dxa"/>
          </w:tcPr>
          <w:p w14:paraId="286E7967" w14:textId="77777777" w:rsidR="00282225" w:rsidRDefault="00282225" w:rsidP="00282225">
            <w:permStart w:id="1545756326" w:edGrp="everyone"/>
            <w:r>
              <w:t>TYPE YOUR TEXT HERE</w:t>
            </w:r>
          </w:p>
          <w:permEnd w:id="1545756326"/>
          <w:p w14:paraId="3134381D" w14:textId="77777777" w:rsidR="00282225" w:rsidRPr="00C87535" w:rsidRDefault="00282225" w:rsidP="00DD45F8">
            <w:pPr>
              <w:rPr>
                <w:b/>
              </w:rPr>
            </w:pPr>
          </w:p>
        </w:tc>
      </w:tr>
      <w:tr w:rsidR="00282225" w14:paraId="5A2BFF73" w14:textId="77777777" w:rsidTr="00DD45F8">
        <w:tc>
          <w:tcPr>
            <w:tcW w:w="2254" w:type="dxa"/>
            <w:vMerge/>
          </w:tcPr>
          <w:p w14:paraId="74803DA8" w14:textId="77777777" w:rsidR="00282225" w:rsidRDefault="00282225" w:rsidP="00DD45F8">
            <w:pPr>
              <w:rPr>
                <w:b/>
              </w:rPr>
            </w:pPr>
          </w:p>
        </w:tc>
        <w:tc>
          <w:tcPr>
            <w:tcW w:w="2254" w:type="dxa"/>
          </w:tcPr>
          <w:p w14:paraId="76CA5242" w14:textId="77777777" w:rsidR="00282225" w:rsidRPr="00C87535" w:rsidRDefault="00282225" w:rsidP="00DD45F8">
            <w:pPr>
              <w:rPr>
                <w:b/>
              </w:rPr>
            </w:pPr>
            <w:r w:rsidRPr="00C87535">
              <w:rPr>
                <w:b/>
              </w:rPr>
              <w:t>[51-250]</w:t>
            </w:r>
          </w:p>
        </w:tc>
        <w:tc>
          <w:tcPr>
            <w:tcW w:w="2254" w:type="dxa"/>
          </w:tcPr>
          <w:p w14:paraId="4AC2B479" w14:textId="77777777" w:rsidR="00282225" w:rsidRDefault="00282225" w:rsidP="00282225">
            <w:permStart w:id="1100898068" w:edGrp="everyone"/>
            <w:r>
              <w:t>TYPE YOUR TEXT HERE</w:t>
            </w:r>
          </w:p>
          <w:permEnd w:id="1100898068"/>
          <w:p w14:paraId="2A926199" w14:textId="77777777" w:rsidR="00282225" w:rsidRPr="00C87535" w:rsidRDefault="00282225" w:rsidP="00DD45F8">
            <w:pPr>
              <w:rPr>
                <w:b/>
              </w:rPr>
            </w:pPr>
          </w:p>
        </w:tc>
        <w:tc>
          <w:tcPr>
            <w:tcW w:w="2254" w:type="dxa"/>
          </w:tcPr>
          <w:p w14:paraId="4CB6E3AD" w14:textId="77777777" w:rsidR="00282225" w:rsidRDefault="00282225" w:rsidP="00282225">
            <w:permStart w:id="123542359" w:edGrp="everyone"/>
            <w:r>
              <w:t>TYPE YOUR TEXT HERE</w:t>
            </w:r>
          </w:p>
          <w:permEnd w:id="123542359"/>
          <w:p w14:paraId="1F494D6D" w14:textId="77777777" w:rsidR="00282225" w:rsidRPr="00C87535" w:rsidRDefault="00282225" w:rsidP="00DD45F8">
            <w:pPr>
              <w:rPr>
                <w:b/>
              </w:rPr>
            </w:pPr>
          </w:p>
        </w:tc>
      </w:tr>
      <w:tr w:rsidR="00282225" w14:paraId="28D7E1EF" w14:textId="77777777" w:rsidTr="00DD45F8">
        <w:tc>
          <w:tcPr>
            <w:tcW w:w="2254" w:type="dxa"/>
            <w:vMerge/>
          </w:tcPr>
          <w:p w14:paraId="64F3C919" w14:textId="77777777" w:rsidR="00282225" w:rsidRDefault="00282225" w:rsidP="00DD45F8">
            <w:pPr>
              <w:rPr>
                <w:b/>
              </w:rPr>
            </w:pPr>
          </w:p>
        </w:tc>
        <w:tc>
          <w:tcPr>
            <w:tcW w:w="2254" w:type="dxa"/>
          </w:tcPr>
          <w:p w14:paraId="7776BA9E" w14:textId="77777777" w:rsidR="00282225" w:rsidRPr="00C87535" w:rsidRDefault="00282225" w:rsidP="00DD45F8">
            <w:pPr>
              <w:rPr>
                <w:b/>
              </w:rPr>
            </w:pPr>
            <w:r w:rsidRPr="00C87535">
              <w:rPr>
                <w:b/>
              </w:rPr>
              <w:t>[251-1000]</w:t>
            </w:r>
          </w:p>
        </w:tc>
        <w:tc>
          <w:tcPr>
            <w:tcW w:w="2254" w:type="dxa"/>
          </w:tcPr>
          <w:p w14:paraId="20E226E0" w14:textId="77777777" w:rsidR="00282225" w:rsidRDefault="00282225" w:rsidP="00282225">
            <w:permStart w:id="1265183174" w:edGrp="everyone"/>
            <w:r>
              <w:t>TYPE YOUR TEXT HERE</w:t>
            </w:r>
          </w:p>
          <w:permEnd w:id="1265183174"/>
          <w:p w14:paraId="1EFA335F" w14:textId="77777777" w:rsidR="00282225" w:rsidRPr="00C87535" w:rsidRDefault="00282225" w:rsidP="00DD45F8">
            <w:pPr>
              <w:rPr>
                <w:b/>
              </w:rPr>
            </w:pPr>
          </w:p>
        </w:tc>
        <w:tc>
          <w:tcPr>
            <w:tcW w:w="2254" w:type="dxa"/>
          </w:tcPr>
          <w:p w14:paraId="7F918EBC" w14:textId="77777777" w:rsidR="00282225" w:rsidRDefault="00282225" w:rsidP="00282225">
            <w:permStart w:id="130105381" w:edGrp="everyone"/>
            <w:r>
              <w:t>TYPE YOUR TEXT HERE</w:t>
            </w:r>
          </w:p>
          <w:permEnd w:id="130105381"/>
          <w:p w14:paraId="0E1DD097" w14:textId="77777777" w:rsidR="00282225" w:rsidRPr="00C87535" w:rsidRDefault="00282225" w:rsidP="00DD45F8">
            <w:pPr>
              <w:rPr>
                <w:b/>
              </w:rPr>
            </w:pPr>
          </w:p>
        </w:tc>
      </w:tr>
      <w:tr w:rsidR="00282225" w14:paraId="3F475D35" w14:textId="77777777" w:rsidTr="00DD45F8">
        <w:tc>
          <w:tcPr>
            <w:tcW w:w="2254" w:type="dxa"/>
            <w:vMerge/>
          </w:tcPr>
          <w:p w14:paraId="7D0366B0" w14:textId="77777777" w:rsidR="00282225" w:rsidRDefault="00282225" w:rsidP="00282225">
            <w:pPr>
              <w:rPr>
                <w:b/>
              </w:rPr>
            </w:pPr>
          </w:p>
        </w:tc>
        <w:tc>
          <w:tcPr>
            <w:tcW w:w="2254" w:type="dxa"/>
          </w:tcPr>
          <w:p w14:paraId="0687581D" w14:textId="77777777" w:rsidR="00282225" w:rsidRPr="00C87535" w:rsidRDefault="00282225" w:rsidP="00282225">
            <w:pPr>
              <w:rPr>
                <w:b/>
              </w:rPr>
            </w:pPr>
            <w:r w:rsidRPr="00C87535">
              <w:rPr>
                <w:b/>
              </w:rPr>
              <w:t>&gt;1000</w:t>
            </w:r>
          </w:p>
        </w:tc>
        <w:tc>
          <w:tcPr>
            <w:tcW w:w="2254" w:type="dxa"/>
          </w:tcPr>
          <w:p w14:paraId="114C12DA" w14:textId="77777777" w:rsidR="00282225" w:rsidRDefault="00282225" w:rsidP="00282225">
            <w:permStart w:id="1477193726" w:edGrp="everyone"/>
            <w:r>
              <w:t>TYPE YOUR TEXT HERE</w:t>
            </w:r>
          </w:p>
          <w:permEnd w:id="1477193726"/>
          <w:p w14:paraId="2E7BDF28" w14:textId="77777777" w:rsidR="00282225" w:rsidRDefault="00282225" w:rsidP="00282225"/>
        </w:tc>
        <w:tc>
          <w:tcPr>
            <w:tcW w:w="2254" w:type="dxa"/>
          </w:tcPr>
          <w:p w14:paraId="612CD094" w14:textId="77777777" w:rsidR="00282225" w:rsidRDefault="00282225" w:rsidP="00282225">
            <w:permStart w:id="1821515249" w:edGrp="everyone"/>
            <w:r>
              <w:t>TYPE YOUR TEXT HERE</w:t>
            </w:r>
          </w:p>
          <w:permEnd w:id="1821515249"/>
          <w:p w14:paraId="0F4AAFCF" w14:textId="77777777" w:rsidR="00282225" w:rsidRDefault="00282225" w:rsidP="00282225"/>
        </w:tc>
      </w:tr>
      <w:tr w:rsidR="00282225" w14:paraId="32F7D59B" w14:textId="77777777" w:rsidTr="00DD45F8">
        <w:tc>
          <w:tcPr>
            <w:tcW w:w="2254" w:type="dxa"/>
            <w:vMerge w:val="restart"/>
          </w:tcPr>
          <w:p w14:paraId="2FCF9F42" w14:textId="77777777" w:rsidR="00282225" w:rsidRDefault="00282225" w:rsidP="00282225">
            <w:pPr>
              <w:rPr>
                <w:b/>
              </w:rPr>
            </w:pPr>
            <w:r>
              <w:rPr>
                <w:b/>
              </w:rPr>
              <w:lastRenderedPageBreak/>
              <w:t>EMIR Category 2</w:t>
            </w:r>
          </w:p>
        </w:tc>
        <w:tc>
          <w:tcPr>
            <w:tcW w:w="2254" w:type="dxa"/>
          </w:tcPr>
          <w:p w14:paraId="4B1D7B1F" w14:textId="77777777" w:rsidR="00282225" w:rsidRPr="00C87535" w:rsidRDefault="00282225" w:rsidP="00282225">
            <w:pPr>
              <w:rPr>
                <w:b/>
              </w:rPr>
            </w:pPr>
            <w:r w:rsidRPr="00C87535">
              <w:rPr>
                <w:b/>
              </w:rPr>
              <w:t>[1-50]</w:t>
            </w:r>
          </w:p>
        </w:tc>
        <w:tc>
          <w:tcPr>
            <w:tcW w:w="2254" w:type="dxa"/>
          </w:tcPr>
          <w:p w14:paraId="45092D6D" w14:textId="77777777" w:rsidR="00282225" w:rsidRDefault="00282225" w:rsidP="00282225">
            <w:permStart w:id="377517150" w:edGrp="everyone"/>
            <w:r>
              <w:t>TYPE YOUR TEXT HERE</w:t>
            </w:r>
          </w:p>
          <w:permEnd w:id="377517150"/>
          <w:p w14:paraId="0C208E49" w14:textId="77777777" w:rsidR="00282225" w:rsidRDefault="00282225" w:rsidP="00282225"/>
        </w:tc>
        <w:tc>
          <w:tcPr>
            <w:tcW w:w="2254" w:type="dxa"/>
          </w:tcPr>
          <w:p w14:paraId="57FF3845" w14:textId="77777777" w:rsidR="00282225" w:rsidRDefault="00282225" w:rsidP="00282225">
            <w:permStart w:id="924733399" w:edGrp="everyone"/>
            <w:r>
              <w:t>TYPE YOUR TEXT HERE</w:t>
            </w:r>
          </w:p>
          <w:permEnd w:id="924733399"/>
          <w:p w14:paraId="751EA048" w14:textId="77777777" w:rsidR="00282225" w:rsidRDefault="00282225" w:rsidP="00282225"/>
        </w:tc>
      </w:tr>
      <w:tr w:rsidR="00282225" w14:paraId="31CF0F82" w14:textId="77777777" w:rsidTr="00DD45F8">
        <w:tc>
          <w:tcPr>
            <w:tcW w:w="2254" w:type="dxa"/>
            <w:vMerge/>
          </w:tcPr>
          <w:p w14:paraId="68CA6111" w14:textId="77777777" w:rsidR="00282225" w:rsidRDefault="00282225" w:rsidP="00282225">
            <w:pPr>
              <w:rPr>
                <w:b/>
              </w:rPr>
            </w:pPr>
          </w:p>
        </w:tc>
        <w:tc>
          <w:tcPr>
            <w:tcW w:w="2254" w:type="dxa"/>
          </w:tcPr>
          <w:p w14:paraId="36FAA723" w14:textId="77777777" w:rsidR="00282225" w:rsidRPr="00C87535" w:rsidRDefault="00282225" w:rsidP="00282225">
            <w:pPr>
              <w:rPr>
                <w:b/>
              </w:rPr>
            </w:pPr>
            <w:r w:rsidRPr="00C87535">
              <w:rPr>
                <w:b/>
              </w:rPr>
              <w:t>[51-250]</w:t>
            </w:r>
          </w:p>
        </w:tc>
        <w:tc>
          <w:tcPr>
            <w:tcW w:w="2254" w:type="dxa"/>
          </w:tcPr>
          <w:p w14:paraId="48EABB03" w14:textId="77777777" w:rsidR="00282225" w:rsidRDefault="00282225" w:rsidP="00282225">
            <w:permStart w:id="706164089" w:edGrp="everyone"/>
            <w:r>
              <w:t>TYPE YOUR TEXT HERE</w:t>
            </w:r>
          </w:p>
          <w:permEnd w:id="706164089"/>
          <w:p w14:paraId="70153F00" w14:textId="77777777" w:rsidR="00282225" w:rsidRDefault="00282225" w:rsidP="00282225"/>
        </w:tc>
        <w:tc>
          <w:tcPr>
            <w:tcW w:w="2254" w:type="dxa"/>
          </w:tcPr>
          <w:p w14:paraId="7A1EC5D4" w14:textId="77777777" w:rsidR="00282225" w:rsidRDefault="00282225" w:rsidP="00282225">
            <w:permStart w:id="521694179" w:edGrp="everyone"/>
            <w:r>
              <w:t>TYPE YOUR TEXT HERE</w:t>
            </w:r>
          </w:p>
          <w:permEnd w:id="521694179"/>
          <w:p w14:paraId="09984656" w14:textId="77777777" w:rsidR="00282225" w:rsidRDefault="00282225" w:rsidP="00282225"/>
        </w:tc>
      </w:tr>
      <w:tr w:rsidR="00282225" w14:paraId="691EDC00" w14:textId="77777777" w:rsidTr="00DD45F8">
        <w:tc>
          <w:tcPr>
            <w:tcW w:w="2254" w:type="dxa"/>
            <w:vMerge/>
          </w:tcPr>
          <w:p w14:paraId="6F92C5E4" w14:textId="77777777" w:rsidR="00282225" w:rsidRDefault="00282225" w:rsidP="00282225">
            <w:pPr>
              <w:rPr>
                <w:b/>
              </w:rPr>
            </w:pPr>
          </w:p>
        </w:tc>
        <w:tc>
          <w:tcPr>
            <w:tcW w:w="2254" w:type="dxa"/>
          </w:tcPr>
          <w:p w14:paraId="6CBEA998" w14:textId="77777777" w:rsidR="00282225" w:rsidRPr="00C87535" w:rsidRDefault="00282225" w:rsidP="00282225">
            <w:pPr>
              <w:rPr>
                <w:b/>
              </w:rPr>
            </w:pPr>
            <w:r w:rsidRPr="00C87535">
              <w:rPr>
                <w:b/>
              </w:rPr>
              <w:t>[251-1000]</w:t>
            </w:r>
          </w:p>
        </w:tc>
        <w:tc>
          <w:tcPr>
            <w:tcW w:w="2254" w:type="dxa"/>
          </w:tcPr>
          <w:p w14:paraId="697D3077" w14:textId="77777777" w:rsidR="00282225" w:rsidRDefault="00282225" w:rsidP="00282225">
            <w:permStart w:id="613156531" w:edGrp="everyone"/>
            <w:r>
              <w:t>TYPE YOUR TEXT HERE</w:t>
            </w:r>
          </w:p>
          <w:permEnd w:id="613156531"/>
          <w:p w14:paraId="02B93600" w14:textId="77777777" w:rsidR="00282225" w:rsidRDefault="00282225" w:rsidP="00282225"/>
        </w:tc>
        <w:tc>
          <w:tcPr>
            <w:tcW w:w="2254" w:type="dxa"/>
          </w:tcPr>
          <w:p w14:paraId="16595FA4" w14:textId="77777777" w:rsidR="00282225" w:rsidRDefault="00282225" w:rsidP="00282225">
            <w:permStart w:id="515850701" w:edGrp="everyone"/>
            <w:r>
              <w:t>TYPE YOUR TEXT HERE</w:t>
            </w:r>
          </w:p>
          <w:permEnd w:id="515850701"/>
          <w:p w14:paraId="7DB6CE8C" w14:textId="77777777" w:rsidR="00282225" w:rsidRDefault="00282225" w:rsidP="00282225"/>
        </w:tc>
      </w:tr>
      <w:tr w:rsidR="00282225" w14:paraId="5E00A2A5" w14:textId="77777777" w:rsidTr="00DD45F8">
        <w:tc>
          <w:tcPr>
            <w:tcW w:w="2254" w:type="dxa"/>
            <w:vMerge/>
          </w:tcPr>
          <w:p w14:paraId="5FEAD1AD" w14:textId="77777777" w:rsidR="00282225" w:rsidRDefault="00282225" w:rsidP="00282225">
            <w:pPr>
              <w:rPr>
                <w:b/>
              </w:rPr>
            </w:pPr>
          </w:p>
        </w:tc>
        <w:tc>
          <w:tcPr>
            <w:tcW w:w="2254" w:type="dxa"/>
          </w:tcPr>
          <w:p w14:paraId="4E7AC658" w14:textId="77777777" w:rsidR="00282225" w:rsidRPr="00C87535" w:rsidRDefault="00282225" w:rsidP="00282225">
            <w:pPr>
              <w:rPr>
                <w:b/>
              </w:rPr>
            </w:pPr>
            <w:r w:rsidRPr="00C87535">
              <w:rPr>
                <w:b/>
              </w:rPr>
              <w:t>&gt;1000</w:t>
            </w:r>
          </w:p>
        </w:tc>
        <w:tc>
          <w:tcPr>
            <w:tcW w:w="2254" w:type="dxa"/>
          </w:tcPr>
          <w:p w14:paraId="5717F868" w14:textId="77777777" w:rsidR="00282225" w:rsidRDefault="00282225" w:rsidP="00282225">
            <w:permStart w:id="773802616" w:edGrp="everyone"/>
            <w:r>
              <w:t>TYPE YOUR TEXT HERE</w:t>
            </w:r>
          </w:p>
          <w:permEnd w:id="773802616"/>
          <w:p w14:paraId="4DA190D6" w14:textId="77777777" w:rsidR="00282225" w:rsidRDefault="00282225" w:rsidP="00282225"/>
        </w:tc>
        <w:tc>
          <w:tcPr>
            <w:tcW w:w="2254" w:type="dxa"/>
          </w:tcPr>
          <w:p w14:paraId="4A3E4087" w14:textId="77777777" w:rsidR="00282225" w:rsidRDefault="00282225" w:rsidP="00282225">
            <w:permStart w:id="119610512" w:edGrp="everyone"/>
            <w:r>
              <w:t>TYPE YOUR TEXT HERE</w:t>
            </w:r>
          </w:p>
          <w:permEnd w:id="119610512"/>
          <w:p w14:paraId="513E4C44" w14:textId="77777777" w:rsidR="00282225" w:rsidRDefault="00282225" w:rsidP="00282225"/>
        </w:tc>
      </w:tr>
      <w:tr w:rsidR="00282225" w14:paraId="0CB39BCF" w14:textId="77777777" w:rsidTr="00DD45F8">
        <w:tc>
          <w:tcPr>
            <w:tcW w:w="2254" w:type="dxa"/>
            <w:vMerge w:val="restart"/>
          </w:tcPr>
          <w:p w14:paraId="596C7AE4" w14:textId="77777777" w:rsidR="00282225" w:rsidRDefault="00282225" w:rsidP="00282225">
            <w:pPr>
              <w:rPr>
                <w:b/>
              </w:rPr>
            </w:pPr>
            <w:r>
              <w:rPr>
                <w:b/>
              </w:rPr>
              <w:t>EMIR Category 3</w:t>
            </w:r>
          </w:p>
        </w:tc>
        <w:tc>
          <w:tcPr>
            <w:tcW w:w="2254" w:type="dxa"/>
          </w:tcPr>
          <w:p w14:paraId="31B36CB2" w14:textId="77777777" w:rsidR="00282225" w:rsidRPr="00C87535" w:rsidRDefault="00282225" w:rsidP="00282225">
            <w:pPr>
              <w:rPr>
                <w:b/>
              </w:rPr>
            </w:pPr>
            <w:r w:rsidRPr="00C87535">
              <w:rPr>
                <w:b/>
              </w:rPr>
              <w:t>[1-50]</w:t>
            </w:r>
          </w:p>
        </w:tc>
        <w:tc>
          <w:tcPr>
            <w:tcW w:w="2254" w:type="dxa"/>
          </w:tcPr>
          <w:p w14:paraId="4B5DC9C5" w14:textId="77777777" w:rsidR="00282225" w:rsidRDefault="00282225" w:rsidP="00282225">
            <w:permStart w:id="1539128419" w:edGrp="everyone"/>
            <w:r>
              <w:t>TYPE YOUR TEXT HERE</w:t>
            </w:r>
          </w:p>
          <w:permEnd w:id="1539128419"/>
          <w:p w14:paraId="681273FD" w14:textId="77777777" w:rsidR="00282225" w:rsidRDefault="00282225" w:rsidP="00282225"/>
        </w:tc>
        <w:tc>
          <w:tcPr>
            <w:tcW w:w="2254" w:type="dxa"/>
          </w:tcPr>
          <w:p w14:paraId="26F8A08E" w14:textId="77777777" w:rsidR="00282225" w:rsidRDefault="00282225" w:rsidP="00282225">
            <w:permStart w:id="908664087" w:edGrp="everyone"/>
            <w:r>
              <w:t>TYPE YOUR TEXT HERE</w:t>
            </w:r>
          </w:p>
          <w:permEnd w:id="908664087"/>
          <w:p w14:paraId="2B3433CA" w14:textId="77777777" w:rsidR="00282225" w:rsidRDefault="00282225" w:rsidP="00282225"/>
        </w:tc>
      </w:tr>
      <w:tr w:rsidR="00282225" w14:paraId="50F582C5" w14:textId="77777777" w:rsidTr="00DD45F8">
        <w:tc>
          <w:tcPr>
            <w:tcW w:w="2254" w:type="dxa"/>
            <w:vMerge/>
          </w:tcPr>
          <w:p w14:paraId="616D1C5A" w14:textId="77777777" w:rsidR="00282225" w:rsidRDefault="00282225" w:rsidP="00282225">
            <w:pPr>
              <w:rPr>
                <w:b/>
              </w:rPr>
            </w:pPr>
          </w:p>
        </w:tc>
        <w:tc>
          <w:tcPr>
            <w:tcW w:w="2254" w:type="dxa"/>
          </w:tcPr>
          <w:p w14:paraId="31E5A5D4" w14:textId="77777777" w:rsidR="00282225" w:rsidRPr="00C87535" w:rsidRDefault="00282225" w:rsidP="00282225">
            <w:pPr>
              <w:rPr>
                <w:b/>
              </w:rPr>
            </w:pPr>
            <w:r w:rsidRPr="00C87535">
              <w:rPr>
                <w:b/>
              </w:rPr>
              <w:t>[51-250]</w:t>
            </w:r>
          </w:p>
        </w:tc>
        <w:tc>
          <w:tcPr>
            <w:tcW w:w="2254" w:type="dxa"/>
          </w:tcPr>
          <w:p w14:paraId="52177687" w14:textId="77777777" w:rsidR="00282225" w:rsidRDefault="00282225" w:rsidP="00282225">
            <w:permStart w:id="985270887" w:edGrp="everyone"/>
            <w:r>
              <w:t>TYPE YOUR TEXT HERE</w:t>
            </w:r>
          </w:p>
          <w:permEnd w:id="985270887"/>
          <w:p w14:paraId="692B01F1" w14:textId="77777777" w:rsidR="00282225" w:rsidRDefault="00282225" w:rsidP="00282225"/>
        </w:tc>
        <w:tc>
          <w:tcPr>
            <w:tcW w:w="2254" w:type="dxa"/>
          </w:tcPr>
          <w:p w14:paraId="31F65FC8" w14:textId="77777777" w:rsidR="00282225" w:rsidRDefault="00282225" w:rsidP="00282225">
            <w:permStart w:id="810495963" w:edGrp="everyone"/>
            <w:r>
              <w:t>TYPE YOUR TEXT HERE</w:t>
            </w:r>
          </w:p>
          <w:permEnd w:id="810495963"/>
          <w:p w14:paraId="53C53E57" w14:textId="77777777" w:rsidR="00282225" w:rsidRDefault="00282225" w:rsidP="00282225"/>
        </w:tc>
      </w:tr>
      <w:tr w:rsidR="00282225" w14:paraId="55EF2922" w14:textId="77777777" w:rsidTr="00DD45F8">
        <w:tc>
          <w:tcPr>
            <w:tcW w:w="2254" w:type="dxa"/>
            <w:vMerge/>
          </w:tcPr>
          <w:p w14:paraId="75A6A05F" w14:textId="77777777" w:rsidR="00282225" w:rsidRDefault="00282225" w:rsidP="00282225">
            <w:pPr>
              <w:rPr>
                <w:b/>
              </w:rPr>
            </w:pPr>
          </w:p>
        </w:tc>
        <w:tc>
          <w:tcPr>
            <w:tcW w:w="2254" w:type="dxa"/>
          </w:tcPr>
          <w:p w14:paraId="1463506E" w14:textId="77777777" w:rsidR="00282225" w:rsidRPr="00C87535" w:rsidRDefault="00282225" w:rsidP="00282225">
            <w:pPr>
              <w:rPr>
                <w:b/>
              </w:rPr>
            </w:pPr>
            <w:r w:rsidRPr="00C87535">
              <w:rPr>
                <w:b/>
              </w:rPr>
              <w:t>[251-1000]</w:t>
            </w:r>
          </w:p>
        </w:tc>
        <w:tc>
          <w:tcPr>
            <w:tcW w:w="2254" w:type="dxa"/>
          </w:tcPr>
          <w:p w14:paraId="41113F70" w14:textId="77777777" w:rsidR="00282225" w:rsidRDefault="00282225" w:rsidP="00282225">
            <w:permStart w:id="1078595469" w:edGrp="everyone"/>
            <w:r>
              <w:t>TYPE YOUR TEXT HERE</w:t>
            </w:r>
          </w:p>
          <w:permEnd w:id="1078595469"/>
          <w:p w14:paraId="4DBB7D5C" w14:textId="77777777" w:rsidR="00282225" w:rsidRDefault="00282225" w:rsidP="00282225"/>
        </w:tc>
        <w:tc>
          <w:tcPr>
            <w:tcW w:w="2254" w:type="dxa"/>
          </w:tcPr>
          <w:p w14:paraId="2CC50BD0" w14:textId="77777777" w:rsidR="00282225" w:rsidRDefault="00282225" w:rsidP="00282225">
            <w:permStart w:id="522848029" w:edGrp="everyone"/>
            <w:r>
              <w:t>TYPE YOUR TEXT HERE</w:t>
            </w:r>
          </w:p>
          <w:permEnd w:id="522848029"/>
          <w:p w14:paraId="1E62F8CA" w14:textId="77777777" w:rsidR="00282225" w:rsidRDefault="00282225" w:rsidP="00282225"/>
        </w:tc>
      </w:tr>
      <w:tr w:rsidR="00282225" w14:paraId="56974E9D" w14:textId="77777777" w:rsidTr="00DD45F8">
        <w:tc>
          <w:tcPr>
            <w:tcW w:w="2254" w:type="dxa"/>
            <w:vMerge/>
          </w:tcPr>
          <w:p w14:paraId="5309EFB1" w14:textId="77777777" w:rsidR="00282225" w:rsidRDefault="00282225" w:rsidP="00282225">
            <w:pPr>
              <w:rPr>
                <w:b/>
              </w:rPr>
            </w:pPr>
          </w:p>
        </w:tc>
        <w:tc>
          <w:tcPr>
            <w:tcW w:w="2254" w:type="dxa"/>
          </w:tcPr>
          <w:p w14:paraId="3F3D3A2F" w14:textId="77777777" w:rsidR="00282225" w:rsidRPr="00C87535" w:rsidRDefault="00282225" w:rsidP="00282225">
            <w:pPr>
              <w:rPr>
                <w:b/>
              </w:rPr>
            </w:pPr>
          </w:p>
        </w:tc>
        <w:tc>
          <w:tcPr>
            <w:tcW w:w="2254" w:type="dxa"/>
          </w:tcPr>
          <w:p w14:paraId="2AEDF198" w14:textId="77777777" w:rsidR="00282225" w:rsidRDefault="00282225" w:rsidP="00282225">
            <w:permStart w:id="2142912108" w:edGrp="everyone"/>
            <w:r>
              <w:t>TYPE YOUR TEXT HERE</w:t>
            </w:r>
          </w:p>
          <w:permEnd w:id="2142912108"/>
          <w:p w14:paraId="055A29DE" w14:textId="77777777" w:rsidR="00282225" w:rsidRDefault="00282225" w:rsidP="00282225"/>
        </w:tc>
        <w:tc>
          <w:tcPr>
            <w:tcW w:w="2254" w:type="dxa"/>
          </w:tcPr>
          <w:p w14:paraId="6F04CE5C" w14:textId="77777777" w:rsidR="00282225" w:rsidRDefault="00282225" w:rsidP="00282225">
            <w:permStart w:id="1528654163" w:edGrp="everyone"/>
            <w:r>
              <w:t>TYPE YOUR TEXT HERE</w:t>
            </w:r>
          </w:p>
          <w:permEnd w:id="1528654163"/>
          <w:p w14:paraId="266D9FC7" w14:textId="77777777" w:rsidR="00282225" w:rsidRDefault="00282225" w:rsidP="00282225"/>
        </w:tc>
      </w:tr>
      <w:tr w:rsidR="00282225" w14:paraId="605B0A75" w14:textId="77777777" w:rsidTr="00DD45F8">
        <w:tc>
          <w:tcPr>
            <w:tcW w:w="2254" w:type="dxa"/>
            <w:vMerge w:val="restart"/>
          </w:tcPr>
          <w:p w14:paraId="05AFB528" w14:textId="77777777" w:rsidR="00282225" w:rsidRDefault="00282225" w:rsidP="00282225">
            <w:pPr>
              <w:rPr>
                <w:b/>
              </w:rPr>
            </w:pPr>
            <w:r>
              <w:rPr>
                <w:b/>
              </w:rPr>
              <w:t>EMIR Category 4</w:t>
            </w:r>
          </w:p>
        </w:tc>
        <w:tc>
          <w:tcPr>
            <w:tcW w:w="2254" w:type="dxa"/>
          </w:tcPr>
          <w:p w14:paraId="40C56406" w14:textId="77777777" w:rsidR="00282225" w:rsidRPr="00C87535" w:rsidRDefault="00282225" w:rsidP="00282225">
            <w:pPr>
              <w:rPr>
                <w:b/>
              </w:rPr>
            </w:pPr>
            <w:r w:rsidRPr="00C87535">
              <w:rPr>
                <w:b/>
              </w:rPr>
              <w:t>[1-50]</w:t>
            </w:r>
          </w:p>
        </w:tc>
        <w:tc>
          <w:tcPr>
            <w:tcW w:w="2254" w:type="dxa"/>
          </w:tcPr>
          <w:p w14:paraId="6F9AFF43" w14:textId="77777777" w:rsidR="00282225" w:rsidRDefault="00282225" w:rsidP="00282225">
            <w:permStart w:id="1288580720" w:edGrp="everyone"/>
            <w:r>
              <w:t>TYPE YOUR TEXT HERE</w:t>
            </w:r>
          </w:p>
          <w:permEnd w:id="1288580720"/>
          <w:p w14:paraId="283F9950" w14:textId="77777777" w:rsidR="00282225" w:rsidRDefault="00282225" w:rsidP="00282225"/>
        </w:tc>
        <w:tc>
          <w:tcPr>
            <w:tcW w:w="2254" w:type="dxa"/>
          </w:tcPr>
          <w:p w14:paraId="2AE9622A" w14:textId="77777777" w:rsidR="00282225" w:rsidRDefault="00282225" w:rsidP="00282225">
            <w:permStart w:id="714813303" w:edGrp="everyone"/>
            <w:r>
              <w:t>TYPE YOUR TEXT HERE</w:t>
            </w:r>
          </w:p>
          <w:permEnd w:id="714813303"/>
          <w:p w14:paraId="56679F67" w14:textId="77777777" w:rsidR="00282225" w:rsidRDefault="00282225" w:rsidP="00282225"/>
        </w:tc>
      </w:tr>
      <w:tr w:rsidR="00282225" w14:paraId="03B856AB" w14:textId="77777777" w:rsidTr="00DD45F8">
        <w:tc>
          <w:tcPr>
            <w:tcW w:w="2254" w:type="dxa"/>
            <w:vMerge/>
          </w:tcPr>
          <w:p w14:paraId="1FAD14C1" w14:textId="77777777" w:rsidR="00282225" w:rsidRDefault="00282225" w:rsidP="00282225">
            <w:pPr>
              <w:rPr>
                <w:b/>
              </w:rPr>
            </w:pPr>
          </w:p>
        </w:tc>
        <w:tc>
          <w:tcPr>
            <w:tcW w:w="2254" w:type="dxa"/>
          </w:tcPr>
          <w:p w14:paraId="4E01F951" w14:textId="77777777" w:rsidR="00282225" w:rsidRPr="00C87535" w:rsidRDefault="00282225" w:rsidP="00282225">
            <w:pPr>
              <w:rPr>
                <w:b/>
              </w:rPr>
            </w:pPr>
            <w:r w:rsidRPr="00C87535">
              <w:rPr>
                <w:b/>
              </w:rPr>
              <w:t>[51-250]</w:t>
            </w:r>
          </w:p>
        </w:tc>
        <w:tc>
          <w:tcPr>
            <w:tcW w:w="2254" w:type="dxa"/>
          </w:tcPr>
          <w:p w14:paraId="3CC68406" w14:textId="77777777" w:rsidR="00282225" w:rsidRDefault="00282225" w:rsidP="00282225">
            <w:permStart w:id="1797669764" w:edGrp="everyone"/>
            <w:r>
              <w:t>TYPE YOUR TEXT HERE</w:t>
            </w:r>
          </w:p>
          <w:permEnd w:id="1797669764"/>
          <w:p w14:paraId="26C3ADBA" w14:textId="77777777" w:rsidR="00282225" w:rsidRDefault="00282225" w:rsidP="00282225"/>
        </w:tc>
        <w:tc>
          <w:tcPr>
            <w:tcW w:w="2254" w:type="dxa"/>
          </w:tcPr>
          <w:p w14:paraId="3BEC805A" w14:textId="77777777" w:rsidR="00282225" w:rsidRDefault="00282225" w:rsidP="00282225">
            <w:permStart w:id="1565944374" w:edGrp="everyone"/>
            <w:r>
              <w:t>TYPE YOUR TEXT HERE</w:t>
            </w:r>
          </w:p>
          <w:permEnd w:id="1565944374"/>
          <w:p w14:paraId="7B04D6FB" w14:textId="77777777" w:rsidR="00282225" w:rsidRDefault="00282225" w:rsidP="00282225"/>
        </w:tc>
      </w:tr>
      <w:tr w:rsidR="00282225" w14:paraId="1FE7AB60" w14:textId="77777777" w:rsidTr="00DD45F8">
        <w:tc>
          <w:tcPr>
            <w:tcW w:w="2254" w:type="dxa"/>
            <w:vMerge/>
          </w:tcPr>
          <w:p w14:paraId="51E19EC9" w14:textId="77777777" w:rsidR="00282225" w:rsidRDefault="00282225" w:rsidP="00282225">
            <w:pPr>
              <w:rPr>
                <w:b/>
              </w:rPr>
            </w:pPr>
          </w:p>
        </w:tc>
        <w:tc>
          <w:tcPr>
            <w:tcW w:w="2254" w:type="dxa"/>
          </w:tcPr>
          <w:p w14:paraId="5795557E" w14:textId="77777777" w:rsidR="00282225" w:rsidRPr="00C87535" w:rsidRDefault="00282225" w:rsidP="00282225">
            <w:pPr>
              <w:rPr>
                <w:b/>
              </w:rPr>
            </w:pPr>
            <w:r w:rsidRPr="00C87535">
              <w:rPr>
                <w:b/>
              </w:rPr>
              <w:t>[251-1000]</w:t>
            </w:r>
          </w:p>
        </w:tc>
        <w:tc>
          <w:tcPr>
            <w:tcW w:w="2254" w:type="dxa"/>
          </w:tcPr>
          <w:p w14:paraId="16FD9FC3" w14:textId="77777777" w:rsidR="00282225" w:rsidRDefault="00282225" w:rsidP="00282225">
            <w:permStart w:id="475953894" w:edGrp="everyone"/>
            <w:r>
              <w:t>TYPE YOUR TEXT HERE</w:t>
            </w:r>
          </w:p>
          <w:permEnd w:id="475953894"/>
          <w:p w14:paraId="1AE6BF47" w14:textId="77777777" w:rsidR="00282225" w:rsidRDefault="00282225" w:rsidP="00282225"/>
        </w:tc>
        <w:tc>
          <w:tcPr>
            <w:tcW w:w="2254" w:type="dxa"/>
          </w:tcPr>
          <w:p w14:paraId="2144CC8E" w14:textId="77777777" w:rsidR="00282225" w:rsidRDefault="00282225" w:rsidP="00282225">
            <w:permStart w:id="142477205" w:edGrp="everyone"/>
            <w:r>
              <w:t>TYPE YOUR TEXT HERE</w:t>
            </w:r>
          </w:p>
          <w:permEnd w:id="142477205"/>
          <w:p w14:paraId="67681B2E" w14:textId="77777777" w:rsidR="00282225" w:rsidRDefault="00282225" w:rsidP="00282225"/>
        </w:tc>
      </w:tr>
      <w:tr w:rsidR="00282225" w14:paraId="7A7C245D" w14:textId="77777777" w:rsidTr="00DD45F8">
        <w:tc>
          <w:tcPr>
            <w:tcW w:w="2254" w:type="dxa"/>
            <w:vMerge/>
          </w:tcPr>
          <w:p w14:paraId="15A6386D" w14:textId="77777777" w:rsidR="00282225" w:rsidRDefault="00282225" w:rsidP="00282225">
            <w:pPr>
              <w:rPr>
                <w:b/>
              </w:rPr>
            </w:pPr>
          </w:p>
        </w:tc>
        <w:tc>
          <w:tcPr>
            <w:tcW w:w="2254" w:type="dxa"/>
          </w:tcPr>
          <w:p w14:paraId="24CF6A11" w14:textId="77777777" w:rsidR="00282225" w:rsidRPr="00C87535" w:rsidRDefault="00282225" w:rsidP="00282225">
            <w:pPr>
              <w:rPr>
                <w:b/>
              </w:rPr>
            </w:pPr>
            <w:r w:rsidRPr="00C87535">
              <w:rPr>
                <w:b/>
              </w:rPr>
              <w:t>&gt;1000</w:t>
            </w:r>
          </w:p>
        </w:tc>
        <w:tc>
          <w:tcPr>
            <w:tcW w:w="2254" w:type="dxa"/>
          </w:tcPr>
          <w:p w14:paraId="4424D80E" w14:textId="77777777" w:rsidR="00282225" w:rsidRDefault="00282225" w:rsidP="00282225">
            <w:permStart w:id="549682818" w:edGrp="everyone"/>
            <w:r>
              <w:t>TYPE YOUR TEXT HERE</w:t>
            </w:r>
          </w:p>
          <w:permEnd w:id="549682818"/>
          <w:p w14:paraId="54816EAC" w14:textId="77777777" w:rsidR="00282225" w:rsidRDefault="00282225" w:rsidP="00282225"/>
        </w:tc>
        <w:tc>
          <w:tcPr>
            <w:tcW w:w="2254" w:type="dxa"/>
          </w:tcPr>
          <w:p w14:paraId="047F914F" w14:textId="77777777" w:rsidR="00282225" w:rsidRDefault="00282225" w:rsidP="00282225">
            <w:permStart w:id="1577716578" w:edGrp="everyone"/>
            <w:r>
              <w:t>TYPE YOUR TEXT HERE</w:t>
            </w:r>
          </w:p>
          <w:permEnd w:id="1577716578"/>
          <w:p w14:paraId="2CF6287E" w14:textId="77777777" w:rsidR="00282225" w:rsidRDefault="00282225" w:rsidP="00282225"/>
        </w:tc>
      </w:tr>
      <w:tr w:rsidR="00282225" w14:paraId="365CC242" w14:textId="77777777" w:rsidTr="00DD45F8">
        <w:tc>
          <w:tcPr>
            <w:tcW w:w="2254" w:type="dxa"/>
            <w:vMerge w:val="restart"/>
          </w:tcPr>
          <w:p w14:paraId="078C05A4" w14:textId="77777777" w:rsidR="00282225" w:rsidRDefault="00282225" w:rsidP="00282225">
            <w:pPr>
              <w:rPr>
                <w:b/>
              </w:rPr>
            </w:pPr>
            <w:r>
              <w:rPr>
                <w:b/>
              </w:rPr>
              <w:t>Trading Venue</w:t>
            </w:r>
          </w:p>
        </w:tc>
        <w:tc>
          <w:tcPr>
            <w:tcW w:w="2254" w:type="dxa"/>
          </w:tcPr>
          <w:p w14:paraId="21C10FD0" w14:textId="77777777" w:rsidR="00282225" w:rsidRPr="00C87535" w:rsidRDefault="00282225" w:rsidP="00282225">
            <w:pPr>
              <w:rPr>
                <w:b/>
              </w:rPr>
            </w:pPr>
            <w:r w:rsidRPr="00C87535">
              <w:rPr>
                <w:b/>
              </w:rPr>
              <w:t>[1-50]</w:t>
            </w:r>
          </w:p>
        </w:tc>
        <w:tc>
          <w:tcPr>
            <w:tcW w:w="2254" w:type="dxa"/>
          </w:tcPr>
          <w:p w14:paraId="068870FD" w14:textId="77777777" w:rsidR="00282225" w:rsidRDefault="00282225" w:rsidP="00282225">
            <w:permStart w:id="1589738626" w:edGrp="everyone"/>
            <w:r>
              <w:t>TYPE YOUR TEXT HERE</w:t>
            </w:r>
          </w:p>
          <w:permEnd w:id="1589738626"/>
          <w:p w14:paraId="3B6345E5" w14:textId="77777777" w:rsidR="00282225" w:rsidRDefault="00282225" w:rsidP="00282225"/>
        </w:tc>
        <w:tc>
          <w:tcPr>
            <w:tcW w:w="2254" w:type="dxa"/>
          </w:tcPr>
          <w:p w14:paraId="6A7D2D91" w14:textId="77777777" w:rsidR="00282225" w:rsidRDefault="00282225" w:rsidP="00282225">
            <w:permStart w:id="685986925" w:edGrp="everyone"/>
            <w:r>
              <w:t>TYPE YOUR TEXT HERE</w:t>
            </w:r>
          </w:p>
          <w:permEnd w:id="685986925"/>
          <w:p w14:paraId="5F4A0989" w14:textId="77777777" w:rsidR="00282225" w:rsidRDefault="00282225" w:rsidP="00282225"/>
        </w:tc>
      </w:tr>
      <w:tr w:rsidR="00282225" w14:paraId="628C3CFA" w14:textId="77777777" w:rsidTr="00DD45F8">
        <w:tc>
          <w:tcPr>
            <w:tcW w:w="2254" w:type="dxa"/>
            <w:vMerge/>
          </w:tcPr>
          <w:p w14:paraId="1F9530A0" w14:textId="77777777" w:rsidR="00282225" w:rsidRDefault="00282225" w:rsidP="00282225">
            <w:pPr>
              <w:rPr>
                <w:b/>
              </w:rPr>
            </w:pPr>
          </w:p>
        </w:tc>
        <w:tc>
          <w:tcPr>
            <w:tcW w:w="2254" w:type="dxa"/>
          </w:tcPr>
          <w:p w14:paraId="39772B03" w14:textId="77777777" w:rsidR="00282225" w:rsidRPr="00C87535" w:rsidRDefault="00282225" w:rsidP="00282225">
            <w:pPr>
              <w:rPr>
                <w:b/>
              </w:rPr>
            </w:pPr>
            <w:r w:rsidRPr="00C87535">
              <w:rPr>
                <w:b/>
              </w:rPr>
              <w:t>[51-250]</w:t>
            </w:r>
          </w:p>
        </w:tc>
        <w:tc>
          <w:tcPr>
            <w:tcW w:w="2254" w:type="dxa"/>
          </w:tcPr>
          <w:p w14:paraId="2BB9F778" w14:textId="77777777" w:rsidR="00282225" w:rsidRDefault="00282225" w:rsidP="00282225">
            <w:permStart w:id="1281574291" w:edGrp="everyone"/>
            <w:r>
              <w:t>TYPE YOUR TEXT HERE</w:t>
            </w:r>
          </w:p>
          <w:permEnd w:id="1281574291"/>
          <w:p w14:paraId="18578738" w14:textId="77777777" w:rsidR="00282225" w:rsidRDefault="00282225" w:rsidP="00282225"/>
        </w:tc>
        <w:tc>
          <w:tcPr>
            <w:tcW w:w="2254" w:type="dxa"/>
          </w:tcPr>
          <w:p w14:paraId="70EB33E7" w14:textId="77777777" w:rsidR="00282225" w:rsidRDefault="00282225" w:rsidP="00282225">
            <w:permStart w:id="1005337424" w:edGrp="everyone"/>
            <w:r>
              <w:t>TYPE YOUR TEXT HERE</w:t>
            </w:r>
          </w:p>
          <w:permEnd w:id="1005337424"/>
          <w:p w14:paraId="0A33067A" w14:textId="77777777" w:rsidR="00282225" w:rsidRDefault="00282225" w:rsidP="00282225"/>
        </w:tc>
      </w:tr>
      <w:tr w:rsidR="00282225" w14:paraId="52027B74" w14:textId="77777777" w:rsidTr="00DD45F8">
        <w:tc>
          <w:tcPr>
            <w:tcW w:w="2254" w:type="dxa"/>
            <w:vMerge/>
          </w:tcPr>
          <w:p w14:paraId="390C27AD" w14:textId="77777777" w:rsidR="00282225" w:rsidRDefault="00282225" w:rsidP="00282225">
            <w:pPr>
              <w:rPr>
                <w:b/>
              </w:rPr>
            </w:pPr>
          </w:p>
        </w:tc>
        <w:tc>
          <w:tcPr>
            <w:tcW w:w="2254" w:type="dxa"/>
          </w:tcPr>
          <w:p w14:paraId="225ADE0F" w14:textId="77777777" w:rsidR="00282225" w:rsidRPr="00C87535" w:rsidRDefault="00282225" w:rsidP="00282225">
            <w:pPr>
              <w:rPr>
                <w:b/>
              </w:rPr>
            </w:pPr>
            <w:r w:rsidRPr="00C87535">
              <w:rPr>
                <w:b/>
              </w:rPr>
              <w:t>[251-1000]</w:t>
            </w:r>
          </w:p>
        </w:tc>
        <w:tc>
          <w:tcPr>
            <w:tcW w:w="2254" w:type="dxa"/>
          </w:tcPr>
          <w:p w14:paraId="1305A07F" w14:textId="77777777" w:rsidR="00282225" w:rsidRDefault="00282225" w:rsidP="00282225">
            <w:permStart w:id="1229456432" w:edGrp="everyone"/>
            <w:r>
              <w:t>TYPE YOUR TEXT HERE</w:t>
            </w:r>
          </w:p>
          <w:permEnd w:id="1229456432"/>
          <w:p w14:paraId="59EAE0B5" w14:textId="77777777" w:rsidR="00282225" w:rsidRDefault="00282225" w:rsidP="00282225"/>
        </w:tc>
        <w:tc>
          <w:tcPr>
            <w:tcW w:w="2254" w:type="dxa"/>
          </w:tcPr>
          <w:p w14:paraId="22BB5EEA" w14:textId="77777777" w:rsidR="00282225" w:rsidRDefault="00282225" w:rsidP="00282225">
            <w:permStart w:id="1197152859" w:edGrp="everyone"/>
            <w:r>
              <w:t>TYPE YOUR TEXT HERE</w:t>
            </w:r>
          </w:p>
          <w:permEnd w:id="1197152859"/>
          <w:p w14:paraId="093504B6" w14:textId="77777777" w:rsidR="00282225" w:rsidRDefault="00282225" w:rsidP="00282225"/>
        </w:tc>
      </w:tr>
      <w:tr w:rsidR="00282225" w14:paraId="399559ED" w14:textId="77777777" w:rsidTr="00DD45F8">
        <w:tc>
          <w:tcPr>
            <w:tcW w:w="2254" w:type="dxa"/>
            <w:vMerge/>
          </w:tcPr>
          <w:p w14:paraId="4446F9F7" w14:textId="77777777" w:rsidR="00282225" w:rsidRDefault="00282225" w:rsidP="00282225">
            <w:pPr>
              <w:rPr>
                <w:b/>
              </w:rPr>
            </w:pPr>
          </w:p>
        </w:tc>
        <w:tc>
          <w:tcPr>
            <w:tcW w:w="2254" w:type="dxa"/>
          </w:tcPr>
          <w:p w14:paraId="71F056FD" w14:textId="77777777" w:rsidR="00282225" w:rsidRPr="00C87535" w:rsidRDefault="00282225" w:rsidP="00282225">
            <w:pPr>
              <w:rPr>
                <w:b/>
              </w:rPr>
            </w:pPr>
            <w:r w:rsidRPr="00C87535">
              <w:rPr>
                <w:b/>
              </w:rPr>
              <w:t>&gt;1000</w:t>
            </w:r>
          </w:p>
        </w:tc>
        <w:tc>
          <w:tcPr>
            <w:tcW w:w="2254" w:type="dxa"/>
          </w:tcPr>
          <w:p w14:paraId="2C461515" w14:textId="77777777" w:rsidR="00282225" w:rsidRDefault="00282225" w:rsidP="00282225">
            <w:permStart w:id="1746616493" w:edGrp="everyone"/>
            <w:r>
              <w:t>TYPE YOUR TEXT HERE</w:t>
            </w:r>
          </w:p>
          <w:permEnd w:id="1746616493"/>
          <w:p w14:paraId="17A39322" w14:textId="77777777" w:rsidR="00282225" w:rsidRDefault="00282225" w:rsidP="00282225"/>
        </w:tc>
        <w:tc>
          <w:tcPr>
            <w:tcW w:w="2254" w:type="dxa"/>
          </w:tcPr>
          <w:p w14:paraId="79504448" w14:textId="77777777" w:rsidR="00282225" w:rsidRDefault="00282225" w:rsidP="00282225">
            <w:permStart w:id="209066552" w:edGrp="everyone"/>
            <w:r>
              <w:t>TYPE YOUR TEXT HERE</w:t>
            </w:r>
          </w:p>
          <w:permEnd w:id="209066552"/>
          <w:p w14:paraId="1758828F" w14:textId="77777777" w:rsidR="00282225" w:rsidRDefault="00282225" w:rsidP="00282225"/>
        </w:tc>
      </w:tr>
    </w:tbl>
    <w:p w14:paraId="31A7B8DB" w14:textId="77777777" w:rsidR="00EF314C" w:rsidRDefault="00EF314C" w:rsidP="00EF314C">
      <w:r>
        <w:t>&lt;ESMA_QUESTION_MIFID_TO_</w:t>
      </w:r>
      <w:r w:rsidR="00273633">
        <w:t>14</w:t>
      </w:r>
      <w:r>
        <w:t>&gt;</w:t>
      </w:r>
    </w:p>
    <w:p w14:paraId="0A6B88A5" w14:textId="77777777" w:rsidR="00EF314C" w:rsidRDefault="00EF314C" w:rsidP="00EF314C">
      <w:pPr>
        <w:rPr>
          <w:rFonts w:cs="Arial"/>
          <w:b/>
          <w:sz w:val="22"/>
          <w:szCs w:val="22"/>
          <w:lang w:eastAsia="en-US"/>
        </w:rPr>
      </w:pPr>
    </w:p>
    <w:p w14:paraId="5A65E8AC" w14:textId="77777777" w:rsidR="00EF314C" w:rsidRPr="000E6B5B" w:rsidRDefault="00282225" w:rsidP="00F016BE">
      <w:pPr>
        <w:pStyle w:val="CPQuestions"/>
      </w:pPr>
      <w:r w:rsidRPr="00C66A2A">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14:paraId="129BFA4F" w14:textId="77777777" w:rsidR="00EF314C" w:rsidRDefault="00EF314C" w:rsidP="00EF314C">
      <w:r>
        <w:lastRenderedPageBreak/>
        <w:t>&lt;ESMA_QUESTION_MIFID_TO_</w:t>
      </w:r>
      <w:r w:rsidR="00273633">
        <w:t>15</w:t>
      </w:r>
      <w:r>
        <w:t>&gt;</w:t>
      </w:r>
    </w:p>
    <w:tbl>
      <w:tblPr>
        <w:tblStyle w:val="TableGrid"/>
        <w:tblW w:w="0" w:type="auto"/>
        <w:tblLook w:val="04A0" w:firstRow="1" w:lastRow="0" w:firstColumn="1" w:lastColumn="0" w:noHBand="0" w:noVBand="1"/>
      </w:tblPr>
      <w:tblGrid>
        <w:gridCol w:w="6658"/>
        <w:gridCol w:w="2358"/>
      </w:tblGrid>
      <w:tr w:rsidR="00282225" w14:paraId="3EC04805" w14:textId="77777777" w:rsidTr="00DD45F8">
        <w:tc>
          <w:tcPr>
            <w:tcW w:w="6658" w:type="dxa"/>
            <w:shd w:val="clear" w:color="auto" w:fill="auto"/>
          </w:tcPr>
          <w:p w14:paraId="04DE6ACA" w14:textId="77777777" w:rsidR="00282225" w:rsidRPr="008E5940" w:rsidRDefault="00282225" w:rsidP="00DD45F8">
            <w:pPr>
              <w:rPr>
                <w:b/>
              </w:rPr>
            </w:pPr>
            <w:r w:rsidRPr="008E5940">
              <w:rPr>
                <w:b/>
              </w:rPr>
              <w:t xml:space="preserve">% of trading captured by the </w:t>
            </w:r>
            <w:r>
              <w:rPr>
                <w:b/>
              </w:rPr>
              <w:t>TO</w:t>
            </w:r>
            <w:r w:rsidRPr="008E5940">
              <w:rPr>
                <w:b/>
              </w:rPr>
              <w:t xml:space="preserve"> </w:t>
            </w:r>
          </w:p>
          <w:p w14:paraId="63B382CD" w14:textId="77777777" w:rsidR="00282225" w:rsidRDefault="00282225" w:rsidP="00DD45F8"/>
        </w:tc>
        <w:tc>
          <w:tcPr>
            <w:tcW w:w="2358" w:type="dxa"/>
            <w:shd w:val="clear" w:color="auto" w:fill="auto"/>
          </w:tcPr>
          <w:p w14:paraId="78ADCDE2" w14:textId="77777777" w:rsidR="00282225" w:rsidRPr="008E5940" w:rsidRDefault="00282225" w:rsidP="00DD45F8">
            <w:pPr>
              <w:rPr>
                <w:b/>
              </w:rPr>
            </w:pPr>
            <w:r w:rsidRPr="008E5940">
              <w:rPr>
                <w:b/>
              </w:rPr>
              <w:t>Year 2016</w:t>
            </w:r>
          </w:p>
        </w:tc>
      </w:tr>
      <w:tr w:rsidR="00282225" w14:paraId="0C3E6A75" w14:textId="77777777" w:rsidTr="00DD45F8">
        <w:tc>
          <w:tcPr>
            <w:tcW w:w="6658" w:type="dxa"/>
            <w:shd w:val="clear" w:color="auto" w:fill="auto"/>
          </w:tcPr>
          <w:p w14:paraId="7197B776" w14:textId="77777777" w:rsidR="00282225" w:rsidRDefault="00282225" w:rsidP="00DD45F8">
            <w:r>
              <w:t>% of total notional amount traded in derivatives captured by the TO</w:t>
            </w:r>
          </w:p>
          <w:p w14:paraId="64662D4A" w14:textId="77777777" w:rsidR="00282225" w:rsidRDefault="00282225" w:rsidP="00DD45F8"/>
        </w:tc>
        <w:tc>
          <w:tcPr>
            <w:tcW w:w="2358" w:type="dxa"/>
            <w:shd w:val="clear" w:color="auto" w:fill="auto"/>
          </w:tcPr>
          <w:p w14:paraId="3EE460CD" w14:textId="77777777" w:rsidR="00282225" w:rsidRDefault="00282225" w:rsidP="00282225">
            <w:permStart w:id="1388988008" w:edGrp="everyone"/>
            <w:r>
              <w:t>TYPE YOUR TEXT HERE</w:t>
            </w:r>
          </w:p>
          <w:permEnd w:id="1388988008"/>
          <w:p w14:paraId="5A62680C" w14:textId="77777777" w:rsidR="00282225" w:rsidRDefault="00282225" w:rsidP="00DD45F8"/>
        </w:tc>
      </w:tr>
      <w:tr w:rsidR="00282225" w14:paraId="41C65CF9" w14:textId="77777777" w:rsidTr="00DD45F8">
        <w:tc>
          <w:tcPr>
            <w:tcW w:w="6658" w:type="dxa"/>
            <w:shd w:val="clear" w:color="auto" w:fill="auto"/>
          </w:tcPr>
          <w:p w14:paraId="5186B2AA" w14:textId="77777777" w:rsidR="00282225" w:rsidRDefault="00282225" w:rsidP="00DD45F8">
            <w:r>
              <w:t>% of total number of transaction in derivatives captured by the TO</w:t>
            </w:r>
          </w:p>
          <w:p w14:paraId="37810B62" w14:textId="77777777" w:rsidR="00282225" w:rsidRDefault="00282225" w:rsidP="00DD45F8"/>
        </w:tc>
        <w:tc>
          <w:tcPr>
            <w:tcW w:w="2358" w:type="dxa"/>
            <w:shd w:val="clear" w:color="auto" w:fill="auto"/>
          </w:tcPr>
          <w:p w14:paraId="6C9E9075" w14:textId="77777777" w:rsidR="00282225" w:rsidRDefault="00282225" w:rsidP="00282225">
            <w:permStart w:id="380259790" w:edGrp="everyone"/>
            <w:r>
              <w:t>TYPE YOUR TEXT HERE</w:t>
            </w:r>
          </w:p>
          <w:permEnd w:id="380259790"/>
          <w:p w14:paraId="1A18BAE3" w14:textId="77777777" w:rsidR="00282225" w:rsidRDefault="00282225" w:rsidP="00DD45F8"/>
        </w:tc>
      </w:tr>
      <w:tr w:rsidR="00282225" w14:paraId="16C6313F" w14:textId="77777777" w:rsidTr="00DD45F8">
        <w:tc>
          <w:tcPr>
            <w:tcW w:w="6658" w:type="dxa"/>
          </w:tcPr>
          <w:p w14:paraId="71E9935F" w14:textId="77777777" w:rsidR="00282225" w:rsidRDefault="00282225" w:rsidP="00DD45F8">
            <w:r>
              <w:t>% of total notional amount traded in interest rate derivatives captured by the TO</w:t>
            </w:r>
          </w:p>
          <w:p w14:paraId="28C79854" w14:textId="77777777" w:rsidR="00282225" w:rsidRDefault="00282225" w:rsidP="00DD45F8"/>
        </w:tc>
        <w:tc>
          <w:tcPr>
            <w:tcW w:w="2358" w:type="dxa"/>
          </w:tcPr>
          <w:p w14:paraId="0C2B88E3" w14:textId="77777777" w:rsidR="00282225" w:rsidRDefault="00282225" w:rsidP="00282225">
            <w:permStart w:id="389098091" w:edGrp="everyone"/>
            <w:r>
              <w:t>TYPE YOUR TEXT HERE</w:t>
            </w:r>
          </w:p>
          <w:permEnd w:id="389098091"/>
          <w:p w14:paraId="7D2F330B" w14:textId="77777777" w:rsidR="00282225" w:rsidRDefault="00282225" w:rsidP="00DD45F8"/>
        </w:tc>
      </w:tr>
      <w:tr w:rsidR="00282225" w14:paraId="73E24C89" w14:textId="77777777" w:rsidTr="00DD45F8">
        <w:tc>
          <w:tcPr>
            <w:tcW w:w="6658" w:type="dxa"/>
          </w:tcPr>
          <w:p w14:paraId="4C5C084A" w14:textId="77777777" w:rsidR="00282225" w:rsidRDefault="00282225" w:rsidP="00DD45F8">
            <w:r>
              <w:t>% of total number of transactions in interest rate derivatives captured by the TO</w:t>
            </w:r>
          </w:p>
          <w:p w14:paraId="01B6E6E3" w14:textId="77777777" w:rsidR="00282225" w:rsidRDefault="00282225" w:rsidP="00DD45F8"/>
        </w:tc>
        <w:tc>
          <w:tcPr>
            <w:tcW w:w="2358" w:type="dxa"/>
          </w:tcPr>
          <w:p w14:paraId="60C44A6F" w14:textId="77777777" w:rsidR="00282225" w:rsidRDefault="00282225" w:rsidP="00282225">
            <w:permStart w:id="882272734" w:edGrp="everyone"/>
            <w:r>
              <w:t>TYPE YOUR TEXT HERE</w:t>
            </w:r>
          </w:p>
          <w:permEnd w:id="882272734"/>
          <w:p w14:paraId="65687877" w14:textId="77777777" w:rsidR="00282225" w:rsidRDefault="00282225" w:rsidP="00DD45F8"/>
        </w:tc>
      </w:tr>
      <w:tr w:rsidR="00282225" w14:paraId="5ABA5D0A" w14:textId="77777777" w:rsidTr="00DD45F8">
        <w:tc>
          <w:tcPr>
            <w:tcW w:w="6658" w:type="dxa"/>
          </w:tcPr>
          <w:p w14:paraId="4B9F25C5" w14:textId="77777777" w:rsidR="00282225" w:rsidRDefault="00282225" w:rsidP="00DD45F8">
            <w:r>
              <w:t>% of total notional amount traded in credit default swaps captured by the TO</w:t>
            </w:r>
          </w:p>
          <w:p w14:paraId="3378D61A" w14:textId="77777777" w:rsidR="00282225" w:rsidRDefault="00282225" w:rsidP="00DD45F8"/>
        </w:tc>
        <w:tc>
          <w:tcPr>
            <w:tcW w:w="2358" w:type="dxa"/>
          </w:tcPr>
          <w:p w14:paraId="3DBA6DA0" w14:textId="77777777" w:rsidR="00282225" w:rsidRDefault="00282225" w:rsidP="00282225">
            <w:permStart w:id="1066013011" w:edGrp="everyone"/>
            <w:r>
              <w:t>TYPE YOUR TEXT HERE</w:t>
            </w:r>
          </w:p>
          <w:permEnd w:id="1066013011"/>
          <w:p w14:paraId="340C6639" w14:textId="77777777" w:rsidR="00282225" w:rsidRDefault="00282225" w:rsidP="00DD45F8"/>
        </w:tc>
      </w:tr>
      <w:tr w:rsidR="00282225" w14:paraId="0499CE78" w14:textId="77777777" w:rsidTr="00DD45F8">
        <w:tc>
          <w:tcPr>
            <w:tcW w:w="6658" w:type="dxa"/>
          </w:tcPr>
          <w:p w14:paraId="3A903BA6" w14:textId="77777777" w:rsidR="00282225" w:rsidRDefault="00282225" w:rsidP="00DD45F8">
            <w:r>
              <w:t>% of total number of transactions in credit default swaps captured by the TO</w:t>
            </w:r>
          </w:p>
          <w:p w14:paraId="4A4D222D" w14:textId="77777777" w:rsidR="00282225" w:rsidRDefault="00282225" w:rsidP="00DD45F8"/>
        </w:tc>
        <w:tc>
          <w:tcPr>
            <w:tcW w:w="2358" w:type="dxa"/>
          </w:tcPr>
          <w:p w14:paraId="0C24EE25" w14:textId="77777777" w:rsidR="00282225" w:rsidRDefault="00282225" w:rsidP="00282225">
            <w:permStart w:id="911825199" w:edGrp="everyone"/>
            <w:r>
              <w:t>TYPE YOUR TEXT HERE</w:t>
            </w:r>
          </w:p>
          <w:permEnd w:id="911825199"/>
          <w:p w14:paraId="7FD0B417" w14:textId="77777777" w:rsidR="00282225" w:rsidRDefault="00282225" w:rsidP="00DD45F8"/>
        </w:tc>
      </w:tr>
    </w:tbl>
    <w:p w14:paraId="1B928BAA" w14:textId="77777777" w:rsidR="00EF314C" w:rsidRDefault="00EF314C" w:rsidP="00EF314C">
      <w:r>
        <w:t>&lt;ESMA_QUESTION_MIFID_TO_</w:t>
      </w:r>
      <w:r w:rsidR="00273633">
        <w:t>15</w:t>
      </w:r>
      <w:r>
        <w:t>&gt;</w:t>
      </w:r>
    </w:p>
    <w:p w14:paraId="6004C9D4" w14:textId="77777777" w:rsidR="00EF314C" w:rsidRDefault="00EF314C" w:rsidP="00EF314C">
      <w:pPr>
        <w:rPr>
          <w:rFonts w:cs="Arial"/>
          <w:b/>
          <w:sz w:val="22"/>
          <w:szCs w:val="22"/>
          <w:lang w:eastAsia="en-US"/>
        </w:rPr>
      </w:pPr>
    </w:p>
    <w:p w14:paraId="32BFB863" w14:textId="77777777" w:rsidR="00282225" w:rsidRDefault="00282225" w:rsidP="00EF314C">
      <w:pPr>
        <w:rPr>
          <w:rFonts w:cs="Arial"/>
          <w:b/>
          <w:sz w:val="22"/>
          <w:szCs w:val="22"/>
          <w:lang w:eastAsia="en-US"/>
        </w:rPr>
      </w:pPr>
    </w:p>
    <w:p w14:paraId="001176CD" w14:textId="77777777" w:rsidR="00282225" w:rsidRPr="007D3742" w:rsidRDefault="00282225" w:rsidP="00282225">
      <w:r w:rsidRPr="007D3742">
        <w:t xml:space="preserve">CBA Questions </w:t>
      </w:r>
      <w:r>
        <w:t>16</w:t>
      </w:r>
      <w:r w:rsidRPr="007D3742">
        <w:t xml:space="preserve"> and </w:t>
      </w:r>
      <w:r>
        <w:t>17</w:t>
      </w:r>
      <w:r w:rsidRPr="007D3742">
        <w:t xml:space="preserve"> are to be answered by investment firms and significant non-financial counterparties</w:t>
      </w:r>
    </w:p>
    <w:p w14:paraId="390738DE" w14:textId="77777777" w:rsidR="00282225" w:rsidRDefault="00282225" w:rsidP="00EF314C">
      <w:pPr>
        <w:rPr>
          <w:rFonts w:cs="Arial"/>
          <w:b/>
          <w:sz w:val="22"/>
          <w:szCs w:val="22"/>
          <w:lang w:eastAsia="en-US"/>
        </w:rPr>
      </w:pPr>
    </w:p>
    <w:p w14:paraId="651D5E6F" w14:textId="77777777"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Trading Facility (MTF), a US Swap Execution Facility (SEF) or another third-country trading venue</w:t>
      </w:r>
      <w:r w:rsidR="00EF314C" w:rsidRPr="00070630">
        <w:t>?</w:t>
      </w:r>
    </w:p>
    <w:p w14:paraId="32BCC23C" w14:textId="77777777" w:rsidR="00EF314C" w:rsidRDefault="00EF314C" w:rsidP="00EF314C">
      <w:r>
        <w:t>&lt;ESMA_QUESTION_MIFID_TO_</w:t>
      </w:r>
      <w:r w:rsidR="00273633">
        <w:t>16</w:t>
      </w:r>
      <w:r>
        <w:t>&gt;</w:t>
      </w:r>
    </w:p>
    <w:tbl>
      <w:tblPr>
        <w:tblStyle w:val="TableGrid"/>
        <w:tblW w:w="0" w:type="auto"/>
        <w:tblLook w:val="04A0" w:firstRow="1" w:lastRow="0" w:firstColumn="1" w:lastColumn="0" w:noHBand="0" w:noVBand="1"/>
      </w:tblPr>
      <w:tblGrid>
        <w:gridCol w:w="4094"/>
        <w:gridCol w:w="1288"/>
        <w:gridCol w:w="1276"/>
        <w:gridCol w:w="1134"/>
        <w:gridCol w:w="1224"/>
      </w:tblGrid>
      <w:tr w:rsidR="00282225" w14:paraId="62844074" w14:textId="77777777" w:rsidTr="00DD45F8">
        <w:tc>
          <w:tcPr>
            <w:tcW w:w="4094" w:type="dxa"/>
          </w:tcPr>
          <w:p w14:paraId="0E743F95" w14:textId="77777777" w:rsidR="00282225" w:rsidRPr="008E5940" w:rsidRDefault="00282225" w:rsidP="00DD45F8">
            <w:pPr>
              <w:rPr>
                <w:b/>
              </w:rPr>
            </w:pPr>
            <w:r w:rsidRPr="008E5940">
              <w:rPr>
                <w:b/>
              </w:rPr>
              <w:t xml:space="preserve">Trading activity expected to be captured by the </w:t>
            </w:r>
            <w:r>
              <w:rPr>
                <w:b/>
              </w:rPr>
              <w:t>TO</w:t>
            </w:r>
            <w:r w:rsidRPr="008E5940">
              <w:rPr>
                <w:b/>
              </w:rPr>
              <w:t xml:space="preserve"> </w:t>
            </w:r>
          </w:p>
        </w:tc>
        <w:tc>
          <w:tcPr>
            <w:tcW w:w="1288" w:type="dxa"/>
          </w:tcPr>
          <w:p w14:paraId="1CB7EB0F" w14:textId="77777777" w:rsidR="00282225" w:rsidRPr="008E5940" w:rsidRDefault="00282225" w:rsidP="00DD45F8">
            <w:pPr>
              <w:rPr>
                <w:b/>
              </w:rPr>
            </w:pPr>
            <w:r w:rsidRPr="008E5940">
              <w:rPr>
                <w:b/>
              </w:rPr>
              <w:t xml:space="preserve">Traded on a regulated market  </w:t>
            </w:r>
          </w:p>
        </w:tc>
        <w:tc>
          <w:tcPr>
            <w:tcW w:w="1276" w:type="dxa"/>
          </w:tcPr>
          <w:p w14:paraId="56C14D34" w14:textId="77777777" w:rsidR="00282225" w:rsidRPr="008E5940" w:rsidRDefault="00282225" w:rsidP="00DD45F8">
            <w:pPr>
              <w:rPr>
                <w:b/>
              </w:rPr>
            </w:pPr>
            <w:r w:rsidRPr="008E5940">
              <w:rPr>
                <w:b/>
              </w:rPr>
              <w:t xml:space="preserve">Traded on an EU MTF </w:t>
            </w:r>
          </w:p>
        </w:tc>
        <w:tc>
          <w:tcPr>
            <w:tcW w:w="1134" w:type="dxa"/>
          </w:tcPr>
          <w:p w14:paraId="50BBAAEB" w14:textId="77777777" w:rsidR="00282225" w:rsidRPr="008E5940" w:rsidRDefault="00282225" w:rsidP="00DD45F8">
            <w:pPr>
              <w:rPr>
                <w:b/>
              </w:rPr>
            </w:pPr>
            <w:r w:rsidRPr="008E5940">
              <w:rPr>
                <w:b/>
              </w:rPr>
              <w:t>Traded on a US SEF</w:t>
            </w:r>
          </w:p>
        </w:tc>
        <w:tc>
          <w:tcPr>
            <w:tcW w:w="1224" w:type="dxa"/>
          </w:tcPr>
          <w:p w14:paraId="4A98C9D8" w14:textId="77777777" w:rsidR="00282225" w:rsidRPr="008E5940" w:rsidRDefault="00282225" w:rsidP="00DD45F8">
            <w:pPr>
              <w:rPr>
                <w:b/>
              </w:rPr>
            </w:pPr>
            <w:r w:rsidRPr="008E5940">
              <w:rPr>
                <w:b/>
              </w:rPr>
              <w:t>Traded on another 3</w:t>
            </w:r>
            <w:r w:rsidRPr="008E5940">
              <w:rPr>
                <w:b/>
                <w:vertAlign w:val="superscript"/>
              </w:rPr>
              <w:t>rd</w:t>
            </w:r>
            <w:r w:rsidRPr="008E5940">
              <w:rPr>
                <w:b/>
              </w:rPr>
              <w:t xml:space="preserve"> country venue</w:t>
            </w:r>
          </w:p>
        </w:tc>
      </w:tr>
      <w:tr w:rsidR="00282225" w14:paraId="20977419" w14:textId="77777777" w:rsidTr="00DD45F8">
        <w:tc>
          <w:tcPr>
            <w:tcW w:w="4094" w:type="dxa"/>
          </w:tcPr>
          <w:p w14:paraId="06A98BF1" w14:textId="77777777" w:rsidR="00282225" w:rsidRPr="007D3742" w:rsidRDefault="00282225" w:rsidP="00DD45F8">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14:paraId="316A624F" w14:textId="77777777" w:rsidR="00282225" w:rsidRDefault="00282225" w:rsidP="00DD45F8">
            <w:r>
              <w:t xml:space="preserve"> </w:t>
            </w:r>
          </w:p>
        </w:tc>
        <w:tc>
          <w:tcPr>
            <w:tcW w:w="1288" w:type="dxa"/>
          </w:tcPr>
          <w:p w14:paraId="594A4EA8" w14:textId="77777777" w:rsidR="00282225" w:rsidRDefault="00282225" w:rsidP="00282225">
            <w:permStart w:id="1251423503" w:edGrp="everyone"/>
            <w:r>
              <w:t>TYPE YOUR TEXT HERE</w:t>
            </w:r>
          </w:p>
          <w:permEnd w:id="1251423503"/>
          <w:p w14:paraId="12B87AB2" w14:textId="77777777" w:rsidR="00282225" w:rsidRDefault="00282225" w:rsidP="00DD45F8"/>
        </w:tc>
        <w:tc>
          <w:tcPr>
            <w:tcW w:w="1276" w:type="dxa"/>
          </w:tcPr>
          <w:p w14:paraId="4A47B536" w14:textId="77777777" w:rsidR="00282225" w:rsidRDefault="00282225" w:rsidP="00282225">
            <w:permStart w:id="1144018991" w:edGrp="everyone"/>
            <w:r>
              <w:t>TYPE YOUR TEXT HERE</w:t>
            </w:r>
          </w:p>
          <w:permEnd w:id="1144018991"/>
          <w:p w14:paraId="3BFFBB73" w14:textId="77777777" w:rsidR="00282225" w:rsidRDefault="00282225" w:rsidP="00DD45F8"/>
        </w:tc>
        <w:tc>
          <w:tcPr>
            <w:tcW w:w="1134" w:type="dxa"/>
          </w:tcPr>
          <w:p w14:paraId="5CC6F4A8" w14:textId="77777777" w:rsidR="00282225" w:rsidRDefault="00282225" w:rsidP="00282225">
            <w:permStart w:id="705896003" w:edGrp="everyone"/>
            <w:r>
              <w:t>TYPE YOUR TEXT HERE</w:t>
            </w:r>
          </w:p>
          <w:permEnd w:id="705896003"/>
          <w:p w14:paraId="57A4AE9E" w14:textId="77777777" w:rsidR="00282225" w:rsidRDefault="00282225" w:rsidP="00DD45F8"/>
        </w:tc>
        <w:tc>
          <w:tcPr>
            <w:tcW w:w="1224" w:type="dxa"/>
          </w:tcPr>
          <w:p w14:paraId="63CBB837" w14:textId="77777777" w:rsidR="00282225" w:rsidRDefault="00282225" w:rsidP="00282225">
            <w:permStart w:id="1610499855" w:edGrp="everyone"/>
            <w:r>
              <w:t>TYPE YOUR TEXT HERE</w:t>
            </w:r>
          </w:p>
          <w:permEnd w:id="1610499855"/>
          <w:p w14:paraId="19670780" w14:textId="77777777" w:rsidR="00282225" w:rsidRDefault="00282225" w:rsidP="00DD45F8"/>
        </w:tc>
      </w:tr>
      <w:tr w:rsidR="00282225" w14:paraId="53B16EA0" w14:textId="77777777" w:rsidTr="00DD45F8">
        <w:tc>
          <w:tcPr>
            <w:tcW w:w="4094" w:type="dxa"/>
          </w:tcPr>
          <w:p w14:paraId="6D4D9834" w14:textId="77777777" w:rsidR="00282225" w:rsidRPr="007D3742" w:rsidRDefault="00282225" w:rsidP="00DD45F8">
            <w:pPr>
              <w:rPr>
                <w:b/>
              </w:rPr>
            </w:pPr>
            <w:r w:rsidRPr="007D3742">
              <w:rPr>
                <w:b/>
              </w:rPr>
              <w:t xml:space="preserve">% of total number of transactions captured by the </w:t>
            </w:r>
            <w:r>
              <w:rPr>
                <w:b/>
              </w:rPr>
              <w:t>TO</w:t>
            </w:r>
            <w:r w:rsidRPr="007D3742">
              <w:rPr>
                <w:b/>
              </w:rPr>
              <w:t xml:space="preserve"> already traded on an EU trading venue, a US SEF or another third-country venue</w:t>
            </w:r>
          </w:p>
          <w:p w14:paraId="54D4FAC6" w14:textId="77777777" w:rsidR="00282225" w:rsidRDefault="00282225" w:rsidP="00DD45F8"/>
        </w:tc>
        <w:tc>
          <w:tcPr>
            <w:tcW w:w="1288" w:type="dxa"/>
          </w:tcPr>
          <w:p w14:paraId="09A56FC0" w14:textId="77777777" w:rsidR="00282225" w:rsidRDefault="00282225" w:rsidP="00282225">
            <w:permStart w:id="43737604" w:edGrp="everyone"/>
            <w:r>
              <w:t>TYPE YOUR TEXT HERE</w:t>
            </w:r>
          </w:p>
          <w:permEnd w:id="43737604"/>
          <w:p w14:paraId="2ABCC8DB" w14:textId="77777777" w:rsidR="00282225" w:rsidRDefault="00282225" w:rsidP="00DD45F8"/>
        </w:tc>
        <w:tc>
          <w:tcPr>
            <w:tcW w:w="1276" w:type="dxa"/>
          </w:tcPr>
          <w:p w14:paraId="27724490" w14:textId="77777777" w:rsidR="00282225" w:rsidRDefault="00282225" w:rsidP="00282225">
            <w:permStart w:id="1980571539" w:edGrp="everyone"/>
            <w:r>
              <w:t>TYPE YOUR TEXT HERE</w:t>
            </w:r>
          </w:p>
          <w:permEnd w:id="1980571539"/>
          <w:p w14:paraId="65BD1B55" w14:textId="77777777" w:rsidR="00282225" w:rsidRDefault="00282225" w:rsidP="00DD45F8"/>
        </w:tc>
        <w:tc>
          <w:tcPr>
            <w:tcW w:w="1134" w:type="dxa"/>
          </w:tcPr>
          <w:p w14:paraId="22CE6F9C" w14:textId="77777777" w:rsidR="00282225" w:rsidRDefault="00282225" w:rsidP="00282225">
            <w:permStart w:id="576855062" w:edGrp="everyone"/>
            <w:r>
              <w:t>TYPE YOUR TEXT HERE</w:t>
            </w:r>
          </w:p>
          <w:permEnd w:id="576855062"/>
          <w:p w14:paraId="649C8471" w14:textId="77777777" w:rsidR="00282225" w:rsidRDefault="00282225" w:rsidP="00DD45F8"/>
        </w:tc>
        <w:tc>
          <w:tcPr>
            <w:tcW w:w="1224" w:type="dxa"/>
          </w:tcPr>
          <w:p w14:paraId="6391DBE9" w14:textId="77777777" w:rsidR="00282225" w:rsidRDefault="00282225" w:rsidP="00282225">
            <w:permStart w:id="1499222580" w:edGrp="everyone"/>
            <w:r>
              <w:t>TYPE YOUR TEXT HERE</w:t>
            </w:r>
          </w:p>
          <w:permEnd w:id="1499222580"/>
          <w:p w14:paraId="6DAE52F5" w14:textId="77777777" w:rsidR="00282225" w:rsidRDefault="00282225" w:rsidP="00DD45F8"/>
        </w:tc>
      </w:tr>
    </w:tbl>
    <w:p w14:paraId="58EDC013" w14:textId="77777777" w:rsidR="00EF314C" w:rsidRDefault="00EF314C" w:rsidP="00EF314C">
      <w:r>
        <w:t>&lt;ESMA_QUESTION_MIFID_TO_</w:t>
      </w:r>
      <w:r w:rsidR="00273633">
        <w:t>16</w:t>
      </w:r>
      <w:r>
        <w:t>&gt;</w:t>
      </w:r>
    </w:p>
    <w:p w14:paraId="33EE6B79" w14:textId="77777777" w:rsidR="00EF314C" w:rsidRDefault="00EF314C" w:rsidP="00EF314C">
      <w:pPr>
        <w:rPr>
          <w:rFonts w:cs="Arial"/>
          <w:b/>
          <w:sz w:val="22"/>
          <w:szCs w:val="22"/>
          <w:lang w:eastAsia="en-US"/>
        </w:rPr>
      </w:pPr>
    </w:p>
    <w:p w14:paraId="5C9DE13D" w14:textId="77777777"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14:paraId="2FD6CAA9" w14:textId="77777777" w:rsidR="00EF314C" w:rsidRDefault="00EF314C" w:rsidP="00EF314C">
      <w:r>
        <w:lastRenderedPageBreak/>
        <w:t>&lt;ESMA_QUESTION_MIFID_TO_</w:t>
      </w:r>
      <w:r w:rsidR="00273633">
        <w:t>1</w:t>
      </w:r>
      <w:r>
        <w:t>7&gt;</w:t>
      </w:r>
    </w:p>
    <w:tbl>
      <w:tblPr>
        <w:tblStyle w:val="TableGrid"/>
        <w:tblW w:w="0" w:type="auto"/>
        <w:tblLook w:val="04A0" w:firstRow="1" w:lastRow="0" w:firstColumn="1" w:lastColumn="0" w:noHBand="0" w:noVBand="1"/>
      </w:tblPr>
      <w:tblGrid>
        <w:gridCol w:w="4815"/>
        <w:gridCol w:w="992"/>
        <w:gridCol w:w="955"/>
        <w:gridCol w:w="2254"/>
      </w:tblGrid>
      <w:tr w:rsidR="00282225" w14:paraId="60F2956B" w14:textId="77777777" w:rsidTr="00DD45F8">
        <w:tc>
          <w:tcPr>
            <w:tcW w:w="4815" w:type="dxa"/>
          </w:tcPr>
          <w:p w14:paraId="5E2985A4" w14:textId="77777777" w:rsidR="00282225" w:rsidRDefault="00282225" w:rsidP="00DD45F8">
            <w:r>
              <w:t xml:space="preserve">Arrangements contemplated to comply with the TO </w:t>
            </w:r>
          </w:p>
          <w:p w14:paraId="79F8D305" w14:textId="77777777" w:rsidR="00282225" w:rsidRDefault="00282225" w:rsidP="00DD45F8"/>
        </w:tc>
        <w:tc>
          <w:tcPr>
            <w:tcW w:w="992" w:type="dxa"/>
          </w:tcPr>
          <w:p w14:paraId="59C45CFA" w14:textId="77777777" w:rsidR="00282225" w:rsidRDefault="00282225" w:rsidP="00DD45F8">
            <w:r>
              <w:t xml:space="preserve">Yes </w:t>
            </w:r>
          </w:p>
        </w:tc>
        <w:tc>
          <w:tcPr>
            <w:tcW w:w="955" w:type="dxa"/>
          </w:tcPr>
          <w:p w14:paraId="5D2FCDE4" w14:textId="77777777" w:rsidR="00282225" w:rsidRDefault="00282225" w:rsidP="00DD45F8">
            <w:r>
              <w:t>No</w:t>
            </w:r>
          </w:p>
        </w:tc>
        <w:tc>
          <w:tcPr>
            <w:tcW w:w="2254" w:type="dxa"/>
          </w:tcPr>
          <w:p w14:paraId="0DFA9353" w14:textId="77777777" w:rsidR="00282225" w:rsidRDefault="00282225" w:rsidP="00DD45F8">
            <w:r>
              <w:t>Comments</w:t>
            </w:r>
          </w:p>
        </w:tc>
      </w:tr>
      <w:tr w:rsidR="00282225" w14:paraId="70C60E90" w14:textId="77777777" w:rsidTr="00DD45F8">
        <w:tc>
          <w:tcPr>
            <w:tcW w:w="4815" w:type="dxa"/>
          </w:tcPr>
          <w:p w14:paraId="555B0189" w14:textId="77777777" w:rsidR="00282225" w:rsidRDefault="00282225" w:rsidP="00DD45F8">
            <w:r>
              <w:t xml:space="preserve">1. Current membership/Direct Electronic Access (DEA) arrangements are sufficient to comply with the TO  </w:t>
            </w:r>
          </w:p>
        </w:tc>
        <w:tc>
          <w:tcPr>
            <w:tcW w:w="992" w:type="dxa"/>
          </w:tcPr>
          <w:p w14:paraId="1F56D28B" w14:textId="77777777" w:rsidR="00282225" w:rsidRDefault="00282225" w:rsidP="00282225">
            <w:permStart w:id="1401971066" w:edGrp="everyone"/>
            <w:r>
              <w:t>TYPE YOUR TEXT HERE</w:t>
            </w:r>
          </w:p>
          <w:permEnd w:id="1401971066"/>
          <w:p w14:paraId="60D7D5F1" w14:textId="77777777" w:rsidR="00282225" w:rsidRDefault="00282225" w:rsidP="00DD45F8"/>
        </w:tc>
        <w:tc>
          <w:tcPr>
            <w:tcW w:w="955" w:type="dxa"/>
          </w:tcPr>
          <w:p w14:paraId="53376846" w14:textId="77777777" w:rsidR="00282225" w:rsidRDefault="00282225" w:rsidP="00282225">
            <w:permStart w:id="1027344115" w:edGrp="everyone"/>
            <w:r>
              <w:t>TYPE YOUR TEXT HERE</w:t>
            </w:r>
          </w:p>
          <w:permEnd w:id="1027344115"/>
          <w:p w14:paraId="0FA82A96" w14:textId="77777777" w:rsidR="00282225" w:rsidRDefault="00282225" w:rsidP="00DD45F8"/>
        </w:tc>
        <w:tc>
          <w:tcPr>
            <w:tcW w:w="2254" w:type="dxa"/>
          </w:tcPr>
          <w:p w14:paraId="41767836" w14:textId="77777777" w:rsidR="00282225" w:rsidRDefault="00282225" w:rsidP="00282225">
            <w:permStart w:id="1441751788" w:edGrp="everyone"/>
            <w:r>
              <w:t>TYPE YOUR TEXT HERE</w:t>
            </w:r>
          </w:p>
          <w:permEnd w:id="1441751788"/>
          <w:p w14:paraId="78EE8089" w14:textId="77777777" w:rsidR="00282225" w:rsidRDefault="00282225" w:rsidP="00DD45F8"/>
        </w:tc>
      </w:tr>
      <w:tr w:rsidR="00282225" w14:paraId="4C5AFE2C" w14:textId="77777777" w:rsidTr="00DD45F8">
        <w:tc>
          <w:tcPr>
            <w:tcW w:w="4815" w:type="dxa"/>
          </w:tcPr>
          <w:p w14:paraId="7929A1D2" w14:textId="77777777" w:rsidR="00282225" w:rsidRDefault="00282225" w:rsidP="00DD45F8">
            <w:r>
              <w:t>2. I intend to become a member/ participant/client of one (or multiple) EU trading venues for the first time</w:t>
            </w:r>
          </w:p>
          <w:p w14:paraId="4D31EAB4" w14:textId="77777777" w:rsidR="00282225" w:rsidRDefault="00282225" w:rsidP="00DD45F8"/>
        </w:tc>
        <w:tc>
          <w:tcPr>
            <w:tcW w:w="992" w:type="dxa"/>
          </w:tcPr>
          <w:p w14:paraId="0F05C725" w14:textId="77777777" w:rsidR="00282225" w:rsidRDefault="00282225" w:rsidP="00282225">
            <w:permStart w:id="55275997" w:edGrp="everyone"/>
            <w:r>
              <w:t>TYPE YOUR TEXT HERE</w:t>
            </w:r>
          </w:p>
          <w:permEnd w:id="55275997"/>
          <w:p w14:paraId="6BB5A26B" w14:textId="77777777" w:rsidR="00282225" w:rsidRDefault="00282225" w:rsidP="00DD45F8"/>
        </w:tc>
        <w:tc>
          <w:tcPr>
            <w:tcW w:w="955" w:type="dxa"/>
          </w:tcPr>
          <w:p w14:paraId="3224C3C1" w14:textId="77777777" w:rsidR="00282225" w:rsidRDefault="00282225" w:rsidP="00282225">
            <w:permStart w:id="1567753274" w:edGrp="everyone"/>
            <w:r>
              <w:t>TYPE YOUR TEXT HERE</w:t>
            </w:r>
          </w:p>
          <w:permEnd w:id="1567753274"/>
          <w:p w14:paraId="477697B5" w14:textId="77777777" w:rsidR="00282225" w:rsidRDefault="00282225" w:rsidP="00DD45F8"/>
        </w:tc>
        <w:tc>
          <w:tcPr>
            <w:tcW w:w="2254" w:type="dxa"/>
          </w:tcPr>
          <w:p w14:paraId="2BA6D75E" w14:textId="77777777" w:rsidR="00282225" w:rsidRDefault="00282225" w:rsidP="00282225">
            <w:permStart w:id="1353328123" w:edGrp="everyone"/>
            <w:r>
              <w:t>TYPE YOUR TEXT HERE</w:t>
            </w:r>
          </w:p>
          <w:permEnd w:id="1353328123"/>
          <w:p w14:paraId="3AA0F81B" w14:textId="77777777" w:rsidR="00282225" w:rsidRDefault="00282225" w:rsidP="00DD45F8"/>
        </w:tc>
      </w:tr>
      <w:tr w:rsidR="00282225" w14:paraId="593198F7" w14:textId="77777777" w:rsidTr="00DD45F8">
        <w:tc>
          <w:tcPr>
            <w:tcW w:w="4815" w:type="dxa"/>
          </w:tcPr>
          <w:p w14:paraId="59D5BA12" w14:textId="77777777" w:rsidR="00282225" w:rsidRDefault="00282225" w:rsidP="00DD45F8">
            <w:r>
              <w:t xml:space="preserve">3. I intend to become a member/participant/client of additional EU trading venues </w:t>
            </w:r>
          </w:p>
          <w:p w14:paraId="77502771" w14:textId="77777777" w:rsidR="00282225" w:rsidRDefault="00282225" w:rsidP="00DD45F8"/>
        </w:tc>
        <w:tc>
          <w:tcPr>
            <w:tcW w:w="992" w:type="dxa"/>
          </w:tcPr>
          <w:p w14:paraId="59061143" w14:textId="77777777" w:rsidR="00282225" w:rsidRDefault="00282225" w:rsidP="00282225">
            <w:permStart w:id="1253986654" w:edGrp="everyone"/>
            <w:r>
              <w:t>TYPE YOUR TEXT HERE</w:t>
            </w:r>
          </w:p>
          <w:permEnd w:id="1253986654"/>
          <w:p w14:paraId="58D110E1" w14:textId="77777777" w:rsidR="00282225" w:rsidRDefault="00282225" w:rsidP="00DD45F8"/>
        </w:tc>
        <w:tc>
          <w:tcPr>
            <w:tcW w:w="955" w:type="dxa"/>
          </w:tcPr>
          <w:p w14:paraId="678163E6" w14:textId="77777777" w:rsidR="00282225" w:rsidRDefault="00282225" w:rsidP="00282225">
            <w:permStart w:id="1783574970" w:edGrp="everyone"/>
            <w:r>
              <w:t>TYPE YOUR TEXT HERE</w:t>
            </w:r>
          </w:p>
          <w:permEnd w:id="1783574970"/>
          <w:p w14:paraId="69E2586D" w14:textId="77777777" w:rsidR="00282225" w:rsidRDefault="00282225" w:rsidP="00DD45F8"/>
        </w:tc>
        <w:tc>
          <w:tcPr>
            <w:tcW w:w="2254" w:type="dxa"/>
          </w:tcPr>
          <w:p w14:paraId="2B6740B0" w14:textId="77777777" w:rsidR="00282225" w:rsidRDefault="00282225" w:rsidP="00282225">
            <w:permStart w:id="15347044" w:edGrp="everyone"/>
            <w:r>
              <w:t>TYPE YOUR TEXT HERE</w:t>
            </w:r>
          </w:p>
          <w:permEnd w:id="15347044"/>
          <w:p w14:paraId="332979C7" w14:textId="77777777" w:rsidR="00282225" w:rsidRDefault="00282225" w:rsidP="00DD45F8"/>
        </w:tc>
      </w:tr>
      <w:tr w:rsidR="00282225" w14:paraId="156505C6" w14:textId="77777777" w:rsidTr="00DD45F8">
        <w:tc>
          <w:tcPr>
            <w:tcW w:w="4815" w:type="dxa"/>
          </w:tcPr>
          <w:p w14:paraId="5EC6151E" w14:textId="77777777" w:rsidR="00282225" w:rsidRDefault="00282225" w:rsidP="00DD45F8">
            <w:r>
              <w:t xml:space="preserve">4. I intend to seek access to EU trading venues through Direct Electronic Access (DEA) </w:t>
            </w:r>
          </w:p>
          <w:p w14:paraId="7025147C" w14:textId="77777777" w:rsidR="00282225" w:rsidRDefault="00282225" w:rsidP="00DD45F8"/>
        </w:tc>
        <w:tc>
          <w:tcPr>
            <w:tcW w:w="992" w:type="dxa"/>
          </w:tcPr>
          <w:p w14:paraId="598FCB29" w14:textId="77777777" w:rsidR="00282225" w:rsidRDefault="00282225" w:rsidP="00282225">
            <w:permStart w:id="701780164" w:edGrp="everyone"/>
            <w:r>
              <w:t>TYPE YOUR TEXT HERE</w:t>
            </w:r>
          </w:p>
          <w:permEnd w:id="701780164"/>
          <w:p w14:paraId="7C71D64F" w14:textId="77777777" w:rsidR="00282225" w:rsidRDefault="00282225" w:rsidP="00DD45F8"/>
        </w:tc>
        <w:tc>
          <w:tcPr>
            <w:tcW w:w="955" w:type="dxa"/>
          </w:tcPr>
          <w:p w14:paraId="36377C8D" w14:textId="77777777" w:rsidR="00282225" w:rsidRDefault="00282225" w:rsidP="00282225">
            <w:permStart w:id="136469910" w:edGrp="everyone"/>
            <w:r>
              <w:t>TYPE YOUR TEXT HERE</w:t>
            </w:r>
          </w:p>
          <w:permEnd w:id="136469910"/>
          <w:p w14:paraId="09B1FDC6" w14:textId="77777777" w:rsidR="00282225" w:rsidRDefault="00282225" w:rsidP="00DD45F8"/>
        </w:tc>
        <w:tc>
          <w:tcPr>
            <w:tcW w:w="2254" w:type="dxa"/>
          </w:tcPr>
          <w:p w14:paraId="0C615286" w14:textId="77777777" w:rsidR="00282225" w:rsidRDefault="00282225" w:rsidP="00282225">
            <w:permStart w:id="1457733287" w:edGrp="everyone"/>
            <w:r>
              <w:t>TYPE YOUR TEXT HERE</w:t>
            </w:r>
          </w:p>
          <w:permEnd w:id="1457733287"/>
          <w:p w14:paraId="0CA79DFF" w14:textId="77777777" w:rsidR="00282225" w:rsidRDefault="00282225" w:rsidP="00DD45F8"/>
        </w:tc>
      </w:tr>
      <w:tr w:rsidR="00282225" w14:paraId="2E8B2437" w14:textId="77777777" w:rsidTr="00DD45F8">
        <w:tc>
          <w:tcPr>
            <w:tcW w:w="4815" w:type="dxa"/>
          </w:tcPr>
          <w:p w14:paraId="5F9B3101" w14:textId="77777777" w:rsidR="00282225" w:rsidRDefault="00282225" w:rsidP="00DD45F8">
            <w:r>
              <w:t>5. I intend to combine membership (2.or 3) with DEA (4.)</w:t>
            </w:r>
          </w:p>
          <w:p w14:paraId="5FB3D66B" w14:textId="77777777" w:rsidR="00282225" w:rsidRDefault="00282225" w:rsidP="00DD45F8"/>
        </w:tc>
        <w:tc>
          <w:tcPr>
            <w:tcW w:w="992" w:type="dxa"/>
          </w:tcPr>
          <w:p w14:paraId="1135A5A9" w14:textId="77777777" w:rsidR="00282225" w:rsidRDefault="00282225" w:rsidP="00282225">
            <w:permStart w:id="427362317" w:edGrp="everyone"/>
            <w:r>
              <w:t>TYPE YOUR TEXT HERE</w:t>
            </w:r>
          </w:p>
          <w:permEnd w:id="427362317"/>
          <w:p w14:paraId="5220EF41" w14:textId="77777777" w:rsidR="00282225" w:rsidRDefault="00282225" w:rsidP="00DD45F8"/>
        </w:tc>
        <w:tc>
          <w:tcPr>
            <w:tcW w:w="955" w:type="dxa"/>
          </w:tcPr>
          <w:p w14:paraId="5487668E" w14:textId="77777777" w:rsidR="00282225" w:rsidRDefault="00282225" w:rsidP="00282225">
            <w:permStart w:id="452878619" w:edGrp="everyone"/>
            <w:r>
              <w:t>TYPE YOUR TEXT HERE</w:t>
            </w:r>
          </w:p>
          <w:permEnd w:id="452878619"/>
          <w:p w14:paraId="69763C89" w14:textId="77777777" w:rsidR="00282225" w:rsidRDefault="00282225" w:rsidP="00DD45F8"/>
        </w:tc>
        <w:tc>
          <w:tcPr>
            <w:tcW w:w="2254" w:type="dxa"/>
          </w:tcPr>
          <w:p w14:paraId="77FD43A2" w14:textId="77777777" w:rsidR="00282225" w:rsidRDefault="00282225" w:rsidP="00282225">
            <w:permStart w:id="144520872" w:edGrp="everyone"/>
            <w:r>
              <w:t>TYPE YOUR TEXT HERE</w:t>
            </w:r>
          </w:p>
          <w:permEnd w:id="144520872"/>
          <w:p w14:paraId="4A18A552" w14:textId="77777777" w:rsidR="00282225" w:rsidRDefault="00282225" w:rsidP="00DD45F8"/>
        </w:tc>
      </w:tr>
      <w:tr w:rsidR="00282225" w14:paraId="5A20C294" w14:textId="77777777" w:rsidTr="00DD45F8">
        <w:tc>
          <w:tcPr>
            <w:tcW w:w="4815" w:type="dxa"/>
          </w:tcPr>
          <w:p w14:paraId="2AF91B43" w14:textId="77777777" w:rsidR="00282225" w:rsidRDefault="00282225" w:rsidP="00DD45F8">
            <w:r>
              <w:t xml:space="preserve">6. I am considering other arrangements; </w:t>
            </w:r>
          </w:p>
          <w:p w14:paraId="3197A58B" w14:textId="77777777" w:rsidR="00282225" w:rsidRDefault="00282225" w:rsidP="00DD45F8">
            <w:r>
              <w:t xml:space="preserve">Please explain those arrangements in the Comments section </w:t>
            </w:r>
          </w:p>
        </w:tc>
        <w:tc>
          <w:tcPr>
            <w:tcW w:w="992" w:type="dxa"/>
          </w:tcPr>
          <w:p w14:paraId="21B694EC" w14:textId="77777777" w:rsidR="00282225" w:rsidRDefault="00282225" w:rsidP="00282225">
            <w:permStart w:id="24777445" w:edGrp="everyone"/>
            <w:r>
              <w:t>TYPE YOUR TEXT HERE</w:t>
            </w:r>
          </w:p>
          <w:permEnd w:id="24777445"/>
          <w:p w14:paraId="747BE9E3" w14:textId="77777777" w:rsidR="00282225" w:rsidRDefault="00282225" w:rsidP="00DD45F8"/>
        </w:tc>
        <w:tc>
          <w:tcPr>
            <w:tcW w:w="955" w:type="dxa"/>
          </w:tcPr>
          <w:p w14:paraId="50C8A698" w14:textId="77777777" w:rsidR="00282225" w:rsidRDefault="00282225" w:rsidP="00282225">
            <w:permStart w:id="1872848451" w:edGrp="everyone"/>
            <w:r>
              <w:t>TYPE YOUR TEXT HERE</w:t>
            </w:r>
          </w:p>
          <w:permEnd w:id="1872848451"/>
          <w:p w14:paraId="3CABFC3F" w14:textId="77777777" w:rsidR="00282225" w:rsidRDefault="00282225" w:rsidP="00DD45F8"/>
        </w:tc>
        <w:tc>
          <w:tcPr>
            <w:tcW w:w="2254" w:type="dxa"/>
          </w:tcPr>
          <w:p w14:paraId="2CF8CD5C" w14:textId="77777777" w:rsidR="00282225" w:rsidRDefault="00282225" w:rsidP="00282225">
            <w:permStart w:id="1687111680" w:edGrp="everyone"/>
            <w:r>
              <w:t>TYPE YOUR TEXT HERE</w:t>
            </w:r>
          </w:p>
          <w:permEnd w:id="1687111680"/>
          <w:p w14:paraId="5FEB1F68" w14:textId="77777777" w:rsidR="00282225" w:rsidRDefault="00282225" w:rsidP="00DD45F8"/>
        </w:tc>
      </w:tr>
    </w:tbl>
    <w:p w14:paraId="35D593E3" w14:textId="77777777" w:rsidR="00EF314C" w:rsidRDefault="00EF314C" w:rsidP="00EF314C">
      <w:r>
        <w:t>&lt;ESMA_QUESTION_MIFID_TO_</w:t>
      </w:r>
      <w:r w:rsidR="00273633">
        <w:t>1</w:t>
      </w:r>
      <w:r>
        <w:t>7&gt;</w:t>
      </w:r>
    </w:p>
    <w:p w14:paraId="5D97496C" w14:textId="77777777" w:rsidR="00EF314C" w:rsidRDefault="00EF314C" w:rsidP="00EF314C">
      <w:pPr>
        <w:rPr>
          <w:rFonts w:cs="Arial"/>
          <w:b/>
          <w:sz w:val="22"/>
          <w:szCs w:val="22"/>
          <w:lang w:eastAsia="en-US"/>
        </w:rPr>
      </w:pPr>
    </w:p>
    <w:p w14:paraId="0FE8ABE6" w14:textId="77777777" w:rsidR="00282225" w:rsidRPr="00A110F6" w:rsidRDefault="00282225" w:rsidP="00282225">
      <w:pPr>
        <w:rPr>
          <w:b/>
        </w:rPr>
      </w:pPr>
      <w:r w:rsidRPr="00A110F6">
        <w:rPr>
          <w:b/>
        </w:rPr>
        <w:t>CBA Question 18 is to be answered by trading venues</w:t>
      </w:r>
    </w:p>
    <w:p w14:paraId="6C174D1A" w14:textId="77777777"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14:paraId="54F5C146" w14:textId="77777777" w:rsidR="00EF314C" w:rsidRDefault="00EF314C" w:rsidP="00EF314C">
      <w:r>
        <w:t>&lt;ESMA_QUESTION_MIFID_TO_</w:t>
      </w:r>
      <w:r w:rsidR="00273633">
        <w:t>18</w:t>
      </w:r>
      <w:r>
        <w:t>&gt;</w:t>
      </w:r>
    </w:p>
    <w:tbl>
      <w:tblPr>
        <w:tblStyle w:val="TableGrid"/>
        <w:tblW w:w="0" w:type="auto"/>
        <w:tblLook w:val="04A0" w:firstRow="1" w:lastRow="0" w:firstColumn="1" w:lastColumn="0" w:noHBand="0" w:noVBand="1"/>
      </w:tblPr>
      <w:tblGrid>
        <w:gridCol w:w="4673"/>
        <w:gridCol w:w="4343"/>
      </w:tblGrid>
      <w:tr w:rsidR="00282225" w14:paraId="4129DF66" w14:textId="77777777" w:rsidTr="00DD45F8">
        <w:tc>
          <w:tcPr>
            <w:tcW w:w="4673" w:type="dxa"/>
          </w:tcPr>
          <w:p w14:paraId="73048ABF" w14:textId="77777777" w:rsidR="00282225" w:rsidRPr="00C87535" w:rsidRDefault="00282225" w:rsidP="00DD45F8">
            <w:pPr>
              <w:rPr>
                <w:b/>
              </w:rPr>
            </w:pPr>
            <w:r w:rsidRPr="00C87535">
              <w:rPr>
                <w:b/>
              </w:rPr>
              <w:t xml:space="preserve">Derivatives potentially subject to the </w:t>
            </w:r>
            <w:r>
              <w:rPr>
                <w:b/>
              </w:rPr>
              <w:t>TO</w:t>
            </w:r>
            <w:r w:rsidRPr="00C87535">
              <w:rPr>
                <w:b/>
              </w:rPr>
              <w:t xml:space="preserve"> currently available for trading on your venue</w:t>
            </w:r>
          </w:p>
        </w:tc>
        <w:tc>
          <w:tcPr>
            <w:tcW w:w="4343" w:type="dxa"/>
          </w:tcPr>
          <w:p w14:paraId="104BA5F2" w14:textId="77777777" w:rsidR="00282225" w:rsidRPr="00C87535" w:rsidRDefault="00282225" w:rsidP="00DD45F8">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14:paraId="664B5D87" w14:textId="77777777" w:rsidTr="00DD45F8">
        <w:tc>
          <w:tcPr>
            <w:tcW w:w="4673" w:type="dxa"/>
          </w:tcPr>
          <w:p w14:paraId="7E6C2584" w14:textId="77777777" w:rsidR="00282225" w:rsidRDefault="00282225" w:rsidP="00282225">
            <w:permStart w:id="874055367" w:edGrp="everyone"/>
            <w:r>
              <w:t>TYPE YOUR TEXT HERE</w:t>
            </w:r>
          </w:p>
          <w:permEnd w:id="874055367"/>
          <w:p w14:paraId="15E83483" w14:textId="77777777" w:rsidR="00282225" w:rsidRDefault="00282225" w:rsidP="00DD45F8"/>
          <w:p w14:paraId="08334D4D" w14:textId="77777777" w:rsidR="00282225" w:rsidRDefault="00282225" w:rsidP="00DD45F8"/>
          <w:p w14:paraId="33292FEE" w14:textId="77777777" w:rsidR="00282225" w:rsidRDefault="00282225" w:rsidP="00DD45F8"/>
          <w:p w14:paraId="4E2096B3" w14:textId="77777777" w:rsidR="00282225" w:rsidRDefault="00282225" w:rsidP="00DD45F8"/>
          <w:p w14:paraId="534237AE" w14:textId="77777777" w:rsidR="00282225" w:rsidRDefault="00282225" w:rsidP="00DD45F8"/>
          <w:p w14:paraId="2E5EE235" w14:textId="77777777" w:rsidR="00282225" w:rsidRDefault="00282225" w:rsidP="00DD45F8"/>
          <w:p w14:paraId="0918D67C" w14:textId="77777777" w:rsidR="00282225" w:rsidRDefault="00282225" w:rsidP="00DD45F8"/>
        </w:tc>
        <w:tc>
          <w:tcPr>
            <w:tcW w:w="4343" w:type="dxa"/>
          </w:tcPr>
          <w:p w14:paraId="18E9149D" w14:textId="77777777" w:rsidR="00282225" w:rsidRDefault="00282225" w:rsidP="00282225">
            <w:permStart w:id="720136316" w:edGrp="everyone"/>
            <w:r>
              <w:t>TYPE YOUR TEXT HERE</w:t>
            </w:r>
          </w:p>
          <w:permEnd w:id="720136316"/>
          <w:p w14:paraId="40C87C0A" w14:textId="77777777" w:rsidR="00282225" w:rsidRDefault="00282225" w:rsidP="00DD45F8"/>
        </w:tc>
      </w:tr>
    </w:tbl>
    <w:p w14:paraId="744FF256" w14:textId="77777777" w:rsidR="00EF314C" w:rsidRDefault="00EF314C" w:rsidP="00EF314C">
      <w:r>
        <w:t>&lt;ESMA_QUESTION_MIFID_TO_</w:t>
      </w:r>
      <w:r w:rsidR="00273633">
        <w:t>18</w:t>
      </w:r>
      <w:r>
        <w:t>&gt;</w:t>
      </w:r>
    </w:p>
    <w:p w14:paraId="3A10B578" w14:textId="77777777" w:rsidR="00EF314C" w:rsidRDefault="00EF314C" w:rsidP="00EF314C">
      <w:pPr>
        <w:rPr>
          <w:rFonts w:cs="Arial"/>
          <w:b/>
          <w:sz w:val="22"/>
          <w:szCs w:val="22"/>
          <w:lang w:eastAsia="en-US"/>
        </w:rPr>
      </w:pPr>
    </w:p>
    <w:p w14:paraId="2E0E898C" w14:textId="77777777" w:rsidR="00282225" w:rsidRPr="00A110F6" w:rsidRDefault="00282225" w:rsidP="00282225">
      <w:pPr>
        <w:rPr>
          <w:b/>
        </w:rPr>
      </w:pPr>
      <w:r w:rsidRPr="00A110F6">
        <w:rPr>
          <w:b/>
        </w:rPr>
        <w:lastRenderedPageBreak/>
        <w:t xml:space="preserve">CBA Questions 19 to 22 are to be answered by all respondents </w:t>
      </w:r>
    </w:p>
    <w:p w14:paraId="7EBF883D" w14:textId="77777777" w:rsidR="00282225" w:rsidRDefault="00282225" w:rsidP="00EF314C">
      <w:pPr>
        <w:rPr>
          <w:rFonts w:cs="Arial"/>
          <w:b/>
          <w:sz w:val="22"/>
          <w:szCs w:val="22"/>
          <w:lang w:eastAsia="en-US"/>
        </w:rPr>
      </w:pPr>
    </w:p>
    <w:p w14:paraId="14DA77D6" w14:textId="77777777"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14:paraId="1C3400F8" w14:textId="77777777" w:rsidR="00EF314C" w:rsidRDefault="00EF314C" w:rsidP="00EF314C">
      <w:r>
        <w:t>&lt;ESMA_QUESTION_MIFID_TO_</w:t>
      </w:r>
      <w:r w:rsidR="00273633">
        <w:t>19</w:t>
      </w:r>
      <w:r>
        <w:t>&gt;</w:t>
      </w:r>
    </w:p>
    <w:tbl>
      <w:tblPr>
        <w:tblStyle w:val="TableGrid"/>
        <w:tblW w:w="0" w:type="auto"/>
        <w:tblLook w:val="04A0" w:firstRow="1" w:lastRow="0" w:firstColumn="1" w:lastColumn="0" w:noHBand="0" w:noVBand="1"/>
      </w:tblPr>
      <w:tblGrid>
        <w:gridCol w:w="3005"/>
        <w:gridCol w:w="3005"/>
        <w:gridCol w:w="3006"/>
      </w:tblGrid>
      <w:tr w:rsidR="00282225" w14:paraId="38276E42" w14:textId="77777777" w:rsidTr="00DD45F8">
        <w:tc>
          <w:tcPr>
            <w:tcW w:w="3005" w:type="dxa"/>
          </w:tcPr>
          <w:p w14:paraId="1215F4BA" w14:textId="77777777" w:rsidR="00282225" w:rsidRDefault="00282225" w:rsidP="00DD45F8">
            <w:r>
              <w:t xml:space="preserve">TO Impact </w:t>
            </w:r>
          </w:p>
        </w:tc>
        <w:tc>
          <w:tcPr>
            <w:tcW w:w="3005" w:type="dxa"/>
          </w:tcPr>
          <w:p w14:paraId="6F5A33BF" w14:textId="77777777" w:rsidR="00282225" w:rsidRDefault="00282225" w:rsidP="00DD45F8">
            <w:r>
              <w:t xml:space="preserve">Positive Impact </w:t>
            </w:r>
          </w:p>
        </w:tc>
        <w:tc>
          <w:tcPr>
            <w:tcW w:w="3006" w:type="dxa"/>
          </w:tcPr>
          <w:p w14:paraId="72801EB8" w14:textId="77777777" w:rsidR="00282225" w:rsidRDefault="00282225" w:rsidP="00DD45F8">
            <w:r>
              <w:t xml:space="preserve">Negative impact </w:t>
            </w:r>
          </w:p>
        </w:tc>
      </w:tr>
      <w:tr w:rsidR="00282225" w14:paraId="57CB4AC4" w14:textId="77777777" w:rsidTr="00DD45F8">
        <w:tc>
          <w:tcPr>
            <w:tcW w:w="3005" w:type="dxa"/>
          </w:tcPr>
          <w:p w14:paraId="5BBDA5BA" w14:textId="77777777" w:rsidR="00282225" w:rsidRDefault="00282225" w:rsidP="00DD45F8">
            <w:r>
              <w:t xml:space="preserve">Impact on your business model/ organisation/ client relationship </w:t>
            </w:r>
          </w:p>
          <w:p w14:paraId="158BC2EA" w14:textId="77777777" w:rsidR="00282225" w:rsidRDefault="00282225" w:rsidP="00DD45F8"/>
        </w:tc>
        <w:tc>
          <w:tcPr>
            <w:tcW w:w="3005" w:type="dxa"/>
          </w:tcPr>
          <w:p w14:paraId="2DC14587" w14:textId="77777777" w:rsidR="00282225" w:rsidRDefault="00282225" w:rsidP="00282225">
            <w:permStart w:id="2146000795" w:edGrp="everyone"/>
            <w:r>
              <w:t>TYPE YOUR TEXT HERE</w:t>
            </w:r>
          </w:p>
          <w:permEnd w:id="2146000795"/>
          <w:p w14:paraId="6A95208F" w14:textId="77777777" w:rsidR="00282225" w:rsidRDefault="00282225" w:rsidP="00DD45F8"/>
        </w:tc>
        <w:tc>
          <w:tcPr>
            <w:tcW w:w="3006" w:type="dxa"/>
          </w:tcPr>
          <w:p w14:paraId="760F09F4" w14:textId="77777777" w:rsidR="00282225" w:rsidRDefault="00282225" w:rsidP="00282225">
            <w:permStart w:id="1139562429" w:edGrp="everyone"/>
            <w:r>
              <w:t>TYPE YOUR TEXT HERE</w:t>
            </w:r>
          </w:p>
          <w:permEnd w:id="1139562429"/>
          <w:p w14:paraId="39FDC715" w14:textId="77777777" w:rsidR="00282225" w:rsidRDefault="00282225" w:rsidP="00DD45F8"/>
        </w:tc>
      </w:tr>
      <w:tr w:rsidR="00282225" w14:paraId="58204EB4" w14:textId="77777777" w:rsidTr="00DD45F8">
        <w:tc>
          <w:tcPr>
            <w:tcW w:w="3005" w:type="dxa"/>
          </w:tcPr>
          <w:p w14:paraId="2D002EC0" w14:textId="77777777" w:rsidR="00282225" w:rsidRDefault="00282225" w:rsidP="00DD45F8">
            <w:r>
              <w:t>Impact on your revenues</w:t>
            </w:r>
          </w:p>
          <w:p w14:paraId="7B0E44A7" w14:textId="77777777" w:rsidR="00282225" w:rsidRDefault="00282225" w:rsidP="00DD45F8"/>
        </w:tc>
        <w:tc>
          <w:tcPr>
            <w:tcW w:w="3005" w:type="dxa"/>
          </w:tcPr>
          <w:p w14:paraId="6D6CB0C1" w14:textId="77777777" w:rsidR="00282225" w:rsidRDefault="00282225" w:rsidP="00282225">
            <w:permStart w:id="1329232989" w:edGrp="everyone"/>
            <w:r>
              <w:t>TYPE YOUR TEXT HERE</w:t>
            </w:r>
          </w:p>
          <w:permEnd w:id="1329232989"/>
          <w:p w14:paraId="7DC5C024" w14:textId="77777777" w:rsidR="00282225" w:rsidRDefault="00282225" w:rsidP="00DD45F8"/>
        </w:tc>
        <w:tc>
          <w:tcPr>
            <w:tcW w:w="3006" w:type="dxa"/>
          </w:tcPr>
          <w:p w14:paraId="266911CD" w14:textId="77777777" w:rsidR="00282225" w:rsidRDefault="00282225" w:rsidP="00282225">
            <w:permStart w:id="1042229999" w:edGrp="everyone"/>
            <w:r>
              <w:t>TYPE YOUR TEXT HERE</w:t>
            </w:r>
          </w:p>
          <w:permEnd w:id="1042229999"/>
          <w:p w14:paraId="27DCAE88" w14:textId="77777777" w:rsidR="00282225" w:rsidRDefault="00282225" w:rsidP="00DD45F8"/>
        </w:tc>
      </w:tr>
      <w:tr w:rsidR="00282225" w14:paraId="22D18306" w14:textId="77777777" w:rsidTr="00DD45F8">
        <w:tc>
          <w:tcPr>
            <w:tcW w:w="3005" w:type="dxa"/>
          </w:tcPr>
          <w:p w14:paraId="6A782B2D" w14:textId="77777777" w:rsidR="00282225" w:rsidRDefault="00282225" w:rsidP="00DD45F8">
            <w:r>
              <w:t>Impact on market structure (e.g. principal vs. agency trading etc).</w:t>
            </w:r>
          </w:p>
          <w:p w14:paraId="1F1D4ABF" w14:textId="77777777" w:rsidR="00282225" w:rsidRDefault="00282225" w:rsidP="00DD45F8"/>
        </w:tc>
        <w:tc>
          <w:tcPr>
            <w:tcW w:w="3005" w:type="dxa"/>
          </w:tcPr>
          <w:p w14:paraId="41C93C5B" w14:textId="77777777" w:rsidR="00282225" w:rsidRDefault="00282225" w:rsidP="00282225">
            <w:permStart w:id="50947999" w:edGrp="everyone"/>
            <w:r>
              <w:t>TYPE YOUR TEXT HERE</w:t>
            </w:r>
          </w:p>
          <w:permEnd w:id="50947999"/>
          <w:p w14:paraId="601D4706" w14:textId="77777777" w:rsidR="00282225" w:rsidRDefault="00282225" w:rsidP="00DD45F8"/>
        </w:tc>
        <w:tc>
          <w:tcPr>
            <w:tcW w:w="3006" w:type="dxa"/>
          </w:tcPr>
          <w:p w14:paraId="5E3A9475" w14:textId="77777777" w:rsidR="00282225" w:rsidRDefault="00282225" w:rsidP="00282225">
            <w:permStart w:id="1398679045" w:edGrp="everyone"/>
            <w:r>
              <w:t>TYPE YOUR TEXT HERE</w:t>
            </w:r>
          </w:p>
          <w:permEnd w:id="1398679045"/>
          <w:p w14:paraId="085E4032" w14:textId="77777777" w:rsidR="00282225" w:rsidRDefault="00282225" w:rsidP="00DD45F8"/>
        </w:tc>
      </w:tr>
      <w:tr w:rsidR="00282225" w14:paraId="03A164F8" w14:textId="77777777" w:rsidTr="00DD45F8">
        <w:tc>
          <w:tcPr>
            <w:tcW w:w="3005" w:type="dxa"/>
          </w:tcPr>
          <w:p w14:paraId="5A9C543F" w14:textId="77777777" w:rsidR="00282225" w:rsidRDefault="00282225" w:rsidP="00DD45F8">
            <w:r>
              <w:t>Impact on market liquidity and execution costs.</w:t>
            </w:r>
          </w:p>
        </w:tc>
        <w:tc>
          <w:tcPr>
            <w:tcW w:w="3005" w:type="dxa"/>
          </w:tcPr>
          <w:p w14:paraId="3A58D146" w14:textId="77777777" w:rsidR="00282225" w:rsidRDefault="00282225" w:rsidP="00282225">
            <w:permStart w:id="1678996950" w:edGrp="everyone"/>
            <w:r>
              <w:t>TYPE YOUR TEXT HERE</w:t>
            </w:r>
          </w:p>
          <w:permEnd w:id="1678996950"/>
          <w:p w14:paraId="7C6142D7" w14:textId="77777777" w:rsidR="00282225" w:rsidRDefault="00282225" w:rsidP="00DD45F8"/>
        </w:tc>
        <w:tc>
          <w:tcPr>
            <w:tcW w:w="3006" w:type="dxa"/>
          </w:tcPr>
          <w:p w14:paraId="3A4E3F32" w14:textId="77777777" w:rsidR="00282225" w:rsidRDefault="00282225" w:rsidP="00282225">
            <w:permStart w:id="1161168890" w:edGrp="everyone"/>
            <w:r>
              <w:t>TYPE YOUR TEXT HERE</w:t>
            </w:r>
          </w:p>
          <w:permEnd w:id="1161168890"/>
          <w:p w14:paraId="66DB3C33" w14:textId="77777777" w:rsidR="00282225" w:rsidRDefault="00282225" w:rsidP="00DD45F8"/>
        </w:tc>
      </w:tr>
      <w:tr w:rsidR="00282225" w14:paraId="4D555E85" w14:textId="77777777" w:rsidTr="00DD45F8">
        <w:tc>
          <w:tcPr>
            <w:tcW w:w="3005" w:type="dxa"/>
          </w:tcPr>
          <w:p w14:paraId="61AB3BE8" w14:textId="77777777" w:rsidR="00282225" w:rsidRDefault="00282225" w:rsidP="00DD45F8">
            <w:r>
              <w:t xml:space="preserve">Other impacts. Please elaborate  </w:t>
            </w:r>
          </w:p>
        </w:tc>
        <w:tc>
          <w:tcPr>
            <w:tcW w:w="3005" w:type="dxa"/>
          </w:tcPr>
          <w:p w14:paraId="01262DDE" w14:textId="77777777" w:rsidR="00282225" w:rsidRDefault="00282225" w:rsidP="00282225">
            <w:permStart w:id="426535279" w:edGrp="everyone"/>
            <w:r>
              <w:t>TYPE YOUR TEXT HERE</w:t>
            </w:r>
          </w:p>
          <w:permEnd w:id="426535279"/>
          <w:p w14:paraId="30BA576B" w14:textId="77777777" w:rsidR="00282225" w:rsidRDefault="00282225" w:rsidP="00DD45F8"/>
        </w:tc>
        <w:tc>
          <w:tcPr>
            <w:tcW w:w="3006" w:type="dxa"/>
          </w:tcPr>
          <w:p w14:paraId="77B87F6E" w14:textId="77777777" w:rsidR="00282225" w:rsidRDefault="00282225" w:rsidP="00282225">
            <w:permStart w:id="1407084409" w:edGrp="everyone"/>
            <w:r>
              <w:t>TYPE YOUR TEXT HERE</w:t>
            </w:r>
          </w:p>
          <w:permEnd w:id="1407084409"/>
          <w:p w14:paraId="7BFDA950" w14:textId="77777777" w:rsidR="00282225" w:rsidRDefault="00282225" w:rsidP="00DD45F8"/>
        </w:tc>
      </w:tr>
    </w:tbl>
    <w:p w14:paraId="5F17E2EA" w14:textId="77777777" w:rsidR="00EF314C" w:rsidRDefault="00EF314C" w:rsidP="00EF314C">
      <w:r>
        <w:t>&lt;ESMA_QUESTION_MIFID_TO_</w:t>
      </w:r>
      <w:r w:rsidR="00273633">
        <w:t>19</w:t>
      </w:r>
      <w:r>
        <w:t>&gt;</w:t>
      </w:r>
    </w:p>
    <w:p w14:paraId="3269199A" w14:textId="77777777" w:rsidR="00EF314C" w:rsidRDefault="00EF314C" w:rsidP="00EF314C">
      <w:pPr>
        <w:rPr>
          <w:rFonts w:cs="Arial"/>
          <w:b/>
          <w:sz w:val="22"/>
          <w:szCs w:val="22"/>
          <w:lang w:eastAsia="en-US"/>
        </w:rPr>
      </w:pPr>
    </w:p>
    <w:p w14:paraId="050806AF" w14:textId="77777777"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14:paraId="1FF523F8" w14:textId="77777777" w:rsidR="00EF314C" w:rsidRDefault="00EF314C" w:rsidP="00EF314C">
      <w:r>
        <w:t>&lt;ESMA_QUESTION_MIFID_TO_</w:t>
      </w:r>
      <w:r w:rsidR="00273633">
        <w:t>20</w:t>
      </w:r>
      <w:r>
        <w:t>&gt;</w:t>
      </w:r>
    </w:p>
    <w:p w14:paraId="1A71A402" w14:textId="77777777" w:rsidR="00EF314C" w:rsidRDefault="00EF314C" w:rsidP="00EF314C">
      <w:permStart w:id="917905838" w:edGrp="everyone"/>
      <w:r>
        <w:t>TYPE YOUR TEXT HERE</w:t>
      </w:r>
    </w:p>
    <w:permEnd w:id="917905838"/>
    <w:p w14:paraId="14AD9C13" w14:textId="77777777" w:rsidR="00EF314C" w:rsidRDefault="00EF314C" w:rsidP="00EF314C">
      <w:r>
        <w:t>&lt;ESMA_QUESTION_MIFID_TO_</w:t>
      </w:r>
      <w:r w:rsidR="00273633">
        <w:t>20</w:t>
      </w:r>
      <w:r>
        <w:t>&gt;</w:t>
      </w:r>
    </w:p>
    <w:p w14:paraId="634932FB" w14:textId="77777777" w:rsidR="00EF314C" w:rsidRDefault="00EF314C" w:rsidP="00EF314C">
      <w:pPr>
        <w:rPr>
          <w:rFonts w:cs="Arial"/>
          <w:b/>
          <w:sz w:val="22"/>
          <w:szCs w:val="22"/>
          <w:lang w:eastAsia="en-US"/>
        </w:rPr>
      </w:pPr>
    </w:p>
    <w:p w14:paraId="0A35BC3A" w14:textId="77777777" w:rsidR="00EF314C" w:rsidRPr="000E6B5B" w:rsidRDefault="00282225" w:rsidP="00FF5939">
      <w:pPr>
        <w:pStyle w:val="CPQuestions"/>
      </w:pPr>
      <w:r w:rsidRPr="000034F7">
        <w:t xml:space="preserve">Please provide an indication, even a rough one, of </w:t>
      </w:r>
      <w:r>
        <w:t>compliance costs (in thousands of euros).</w:t>
      </w:r>
    </w:p>
    <w:p w14:paraId="4A82A5E8" w14:textId="77777777" w:rsidR="00EF314C" w:rsidRDefault="00EF314C" w:rsidP="00EF314C">
      <w:r>
        <w:t>&lt;ESMA_QUESTION_MIFID_TO_</w:t>
      </w:r>
      <w:r w:rsidR="00273633">
        <w:t>21</w:t>
      </w:r>
      <w:r>
        <w:t>&gt;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282225" w14:paraId="5A71F1CF" w14:textId="77777777" w:rsidTr="00DD45F8">
        <w:tc>
          <w:tcPr>
            <w:tcW w:w="1338" w:type="dxa"/>
          </w:tcPr>
          <w:p w14:paraId="11238EE6" w14:textId="77777777" w:rsidR="00282225" w:rsidRDefault="00282225" w:rsidP="00DD45F8">
            <w:r>
              <w:t xml:space="preserve">Draft RTS on the TO </w:t>
            </w:r>
          </w:p>
        </w:tc>
        <w:tc>
          <w:tcPr>
            <w:tcW w:w="1209" w:type="dxa"/>
          </w:tcPr>
          <w:p w14:paraId="1C2DCA53" w14:textId="77777777" w:rsidR="00282225" w:rsidRDefault="00282225" w:rsidP="00DD45F8">
            <w:r>
              <w:t xml:space="preserve">a. IT costs </w:t>
            </w:r>
          </w:p>
        </w:tc>
        <w:tc>
          <w:tcPr>
            <w:tcW w:w="1230" w:type="dxa"/>
          </w:tcPr>
          <w:p w14:paraId="23B7918B" w14:textId="77777777" w:rsidR="00282225" w:rsidRDefault="00282225" w:rsidP="00DD45F8">
            <w:r>
              <w:t>b. Training costs</w:t>
            </w:r>
          </w:p>
        </w:tc>
        <w:tc>
          <w:tcPr>
            <w:tcW w:w="1189" w:type="dxa"/>
          </w:tcPr>
          <w:p w14:paraId="54574E99" w14:textId="77777777" w:rsidR="00282225" w:rsidRDefault="00282225" w:rsidP="00DD45F8">
            <w:r>
              <w:t>c. Staff costs</w:t>
            </w:r>
          </w:p>
        </w:tc>
        <w:tc>
          <w:tcPr>
            <w:tcW w:w="1263" w:type="dxa"/>
          </w:tcPr>
          <w:p w14:paraId="346F19E7" w14:textId="77777777" w:rsidR="00282225" w:rsidRDefault="00282225" w:rsidP="00DD45F8">
            <w:r>
              <w:t>d. Other costs (please identify)</w:t>
            </w:r>
          </w:p>
        </w:tc>
        <w:tc>
          <w:tcPr>
            <w:tcW w:w="1950" w:type="dxa"/>
          </w:tcPr>
          <w:p w14:paraId="25416FFD" w14:textId="77777777" w:rsidR="00282225" w:rsidRDefault="00282225" w:rsidP="00DD45F8">
            <w:r>
              <w:t xml:space="preserve">Total costs ( if a., b, c or  d. are not available separately </w:t>
            </w:r>
          </w:p>
        </w:tc>
      </w:tr>
      <w:tr w:rsidR="00282225" w14:paraId="6F4C3106" w14:textId="77777777" w:rsidTr="00DD45F8">
        <w:tc>
          <w:tcPr>
            <w:tcW w:w="1338" w:type="dxa"/>
          </w:tcPr>
          <w:p w14:paraId="6056752E" w14:textId="77777777" w:rsidR="00282225" w:rsidRDefault="00282225" w:rsidP="00DD45F8">
            <w:r>
              <w:t xml:space="preserve">One-off costs </w:t>
            </w:r>
          </w:p>
          <w:p w14:paraId="6FDA3D86" w14:textId="77777777" w:rsidR="00282225" w:rsidRDefault="00282225" w:rsidP="00DD45F8"/>
        </w:tc>
        <w:tc>
          <w:tcPr>
            <w:tcW w:w="1209" w:type="dxa"/>
          </w:tcPr>
          <w:p w14:paraId="22773963" w14:textId="77777777" w:rsidR="00282225" w:rsidRDefault="00282225" w:rsidP="00282225">
            <w:permStart w:id="639118132" w:edGrp="everyone"/>
            <w:r>
              <w:t>TYPE YOUR TEXT HERE</w:t>
            </w:r>
          </w:p>
          <w:permEnd w:id="639118132"/>
          <w:p w14:paraId="52E1609B" w14:textId="77777777" w:rsidR="00282225" w:rsidRDefault="00282225" w:rsidP="00DD45F8"/>
        </w:tc>
        <w:tc>
          <w:tcPr>
            <w:tcW w:w="1230" w:type="dxa"/>
          </w:tcPr>
          <w:p w14:paraId="2B440BC0" w14:textId="77777777" w:rsidR="00282225" w:rsidRDefault="00282225" w:rsidP="00282225">
            <w:permStart w:id="1036071116" w:edGrp="everyone"/>
            <w:r>
              <w:t>TYPE YOUR TEXT HERE</w:t>
            </w:r>
          </w:p>
          <w:permEnd w:id="1036071116"/>
          <w:p w14:paraId="6C839EBD" w14:textId="77777777" w:rsidR="00282225" w:rsidRDefault="00282225" w:rsidP="00DD45F8"/>
        </w:tc>
        <w:tc>
          <w:tcPr>
            <w:tcW w:w="1189" w:type="dxa"/>
          </w:tcPr>
          <w:p w14:paraId="106D9846" w14:textId="77777777" w:rsidR="00282225" w:rsidRDefault="00282225" w:rsidP="00282225">
            <w:permStart w:id="1224561217" w:edGrp="everyone"/>
            <w:r>
              <w:t>TYPE YOUR TEXT HERE</w:t>
            </w:r>
          </w:p>
          <w:permEnd w:id="1224561217"/>
          <w:p w14:paraId="57776036" w14:textId="77777777" w:rsidR="00282225" w:rsidRDefault="00282225" w:rsidP="00DD45F8"/>
        </w:tc>
        <w:tc>
          <w:tcPr>
            <w:tcW w:w="1263" w:type="dxa"/>
          </w:tcPr>
          <w:p w14:paraId="19B2ECF5" w14:textId="77777777" w:rsidR="00282225" w:rsidRDefault="00282225" w:rsidP="00282225">
            <w:permStart w:id="982929054" w:edGrp="everyone"/>
            <w:r>
              <w:t>TYPE YOUR TEXT HERE</w:t>
            </w:r>
          </w:p>
          <w:permEnd w:id="982929054"/>
          <w:p w14:paraId="003937B8" w14:textId="77777777" w:rsidR="00282225" w:rsidRDefault="00282225" w:rsidP="00DD45F8"/>
        </w:tc>
        <w:tc>
          <w:tcPr>
            <w:tcW w:w="1950" w:type="dxa"/>
          </w:tcPr>
          <w:p w14:paraId="2E1B309D" w14:textId="77777777" w:rsidR="00282225" w:rsidRDefault="00282225" w:rsidP="00282225">
            <w:permStart w:id="2119123274" w:edGrp="everyone"/>
            <w:r>
              <w:t>TYPE YOUR TEXT HERE</w:t>
            </w:r>
          </w:p>
          <w:permEnd w:id="2119123274"/>
          <w:p w14:paraId="6424B54D" w14:textId="77777777" w:rsidR="00282225" w:rsidRDefault="00282225" w:rsidP="00DD45F8"/>
        </w:tc>
      </w:tr>
      <w:tr w:rsidR="00282225" w14:paraId="5ADD472B" w14:textId="77777777" w:rsidTr="00DD45F8">
        <w:tc>
          <w:tcPr>
            <w:tcW w:w="1338" w:type="dxa"/>
          </w:tcPr>
          <w:p w14:paraId="59019C27" w14:textId="77777777" w:rsidR="00282225" w:rsidRDefault="00282225" w:rsidP="00DD45F8">
            <w:r>
              <w:t>Recurring costs (on an annual basis}</w:t>
            </w:r>
          </w:p>
        </w:tc>
        <w:tc>
          <w:tcPr>
            <w:tcW w:w="1209" w:type="dxa"/>
          </w:tcPr>
          <w:p w14:paraId="2DD07071" w14:textId="77777777" w:rsidR="00282225" w:rsidRDefault="00282225" w:rsidP="00282225">
            <w:permStart w:id="2030991567" w:edGrp="everyone"/>
            <w:r>
              <w:t>TYPE YOUR TEXT HERE</w:t>
            </w:r>
          </w:p>
          <w:permEnd w:id="2030991567"/>
          <w:p w14:paraId="30766496" w14:textId="77777777" w:rsidR="00282225" w:rsidRDefault="00282225" w:rsidP="00DD45F8"/>
        </w:tc>
        <w:tc>
          <w:tcPr>
            <w:tcW w:w="1230" w:type="dxa"/>
          </w:tcPr>
          <w:p w14:paraId="48FD978C" w14:textId="77777777" w:rsidR="00282225" w:rsidRDefault="00282225" w:rsidP="00282225">
            <w:permStart w:id="412768489" w:edGrp="everyone"/>
            <w:r>
              <w:t>TYPE YOUR TEXT HERE</w:t>
            </w:r>
          </w:p>
          <w:permEnd w:id="412768489"/>
          <w:p w14:paraId="43ABB385" w14:textId="77777777" w:rsidR="00282225" w:rsidRDefault="00282225" w:rsidP="00DD45F8"/>
        </w:tc>
        <w:tc>
          <w:tcPr>
            <w:tcW w:w="1189" w:type="dxa"/>
          </w:tcPr>
          <w:p w14:paraId="2D12D11B" w14:textId="77777777" w:rsidR="00282225" w:rsidRDefault="00282225" w:rsidP="00282225">
            <w:permStart w:id="395868518" w:edGrp="everyone"/>
            <w:r>
              <w:t>TYPE YOUR TEXT HERE</w:t>
            </w:r>
          </w:p>
          <w:permEnd w:id="395868518"/>
          <w:p w14:paraId="45ECBFD7" w14:textId="77777777" w:rsidR="00282225" w:rsidRDefault="00282225" w:rsidP="00DD45F8"/>
        </w:tc>
        <w:tc>
          <w:tcPr>
            <w:tcW w:w="1263" w:type="dxa"/>
          </w:tcPr>
          <w:p w14:paraId="26887C70" w14:textId="77777777" w:rsidR="00282225" w:rsidRDefault="00282225" w:rsidP="00282225">
            <w:permStart w:id="867392132" w:edGrp="everyone"/>
            <w:r>
              <w:t>TYPE YOUR TEXT HERE</w:t>
            </w:r>
          </w:p>
          <w:permEnd w:id="867392132"/>
          <w:p w14:paraId="5D1AACA7" w14:textId="77777777" w:rsidR="00282225" w:rsidRDefault="00282225" w:rsidP="00DD45F8"/>
        </w:tc>
        <w:tc>
          <w:tcPr>
            <w:tcW w:w="1950" w:type="dxa"/>
          </w:tcPr>
          <w:p w14:paraId="635E65F2" w14:textId="77777777" w:rsidR="00282225" w:rsidRDefault="00282225" w:rsidP="00282225">
            <w:permStart w:id="282068615" w:edGrp="everyone"/>
            <w:r>
              <w:t>TYPE YOUR TEXT HERE</w:t>
            </w:r>
          </w:p>
          <w:permEnd w:id="282068615"/>
          <w:p w14:paraId="3779E89B" w14:textId="77777777" w:rsidR="00282225" w:rsidRDefault="00282225" w:rsidP="00DD45F8"/>
        </w:tc>
      </w:tr>
    </w:tbl>
    <w:p w14:paraId="760013AF" w14:textId="77777777" w:rsidR="00EF314C" w:rsidRDefault="00EF314C" w:rsidP="00EF314C">
      <w:r>
        <w:t>&lt;ESMA_QUESTION_MIFID_TO_</w:t>
      </w:r>
      <w:r w:rsidR="00273633">
        <w:t>21</w:t>
      </w:r>
      <w:r>
        <w:t>&gt;</w:t>
      </w:r>
    </w:p>
    <w:p w14:paraId="7C002352" w14:textId="77777777" w:rsidR="00EF314C" w:rsidRDefault="00EF314C" w:rsidP="00EF314C">
      <w:pPr>
        <w:rPr>
          <w:rFonts w:cs="Arial"/>
          <w:b/>
          <w:sz w:val="22"/>
          <w:szCs w:val="22"/>
          <w:lang w:eastAsia="en-US"/>
        </w:rPr>
      </w:pPr>
    </w:p>
    <w:p w14:paraId="2C57FFA5" w14:textId="77777777" w:rsidR="00EF314C" w:rsidRPr="000E6B5B" w:rsidRDefault="00282225" w:rsidP="00FF5939">
      <w:pPr>
        <w:pStyle w:val="CPQuestions"/>
      </w:pPr>
      <w:r w:rsidRPr="00F97D42">
        <w:lastRenderedPageBreak/>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14:paraId="46F72459" w14:textId="77777777" w:rsidR="00EF314C" w:rsidRDefault="00EF314C" w:rsidP="00EF314C">
      <w:r>
        <w:t>&lt;ESMA_QUESTION_MIFID_TO_</w:t>
      </w:r>
      <w:r w:rsidR="00273633">
        <w:t>22</w:t>
      </w:r>
      <w:r>
        <w:t>&gt;</w:t>
      </w:r>
    </w:p>
    <w:tbl>
      <w:tblPr>
        <w:tblStyle w:val="TableGrid"/>
        <w:tblW w:w="8188" w:type="dxa"/>
        <w:tblLook w:val="04A0" w:firstRow="1" w:lastRow="0" w:firstColumn="1" w:lastColumn="0" w:noHBand="0" w:noVBand="1"/>
      </w:tblPr>
      <w:tblGrid>
        <w:gridCol w:w="8188"/>
      </w:tblGrid>
      <w:tr w:rsidR="00282225" w14:paraId="25A38B35" w14:textId="77777777" w:rsidTr="00282225">
        <w:tc>
          <w:tcPr>
            <w:tcW w:w="8188" w:type="dxa"/>
          </w:tcPr>
          <w:p w14:paraId="123A4825" w14:textId="77777777" w:rsidR="00282225" w:rsidRDefault="00282225" w:rsidP="00282225">
            <w:r>
              <w:t>Please enter here “Low”, “Medium” or “High”</w:t>
            </w:r>
          </w:p>
          <w:p w14:paraId="60EE76CD" w14:textId="77777777" w:rsidR="00282225" w:rsidRDefault="00282225" w:rsidP="00282225">
            <w:permStart w:id="831531658" w:edGrp="everyone"/>
            <w:r>
              <w:t>TYPE YOUR TEXT HERE</w:t>
            </w:r>
          </w:p>
          <w:permEnd w:id="831531658"/>
          <w:p w14:paraId="37507BA0" w14:textId="77777777" w:rsidR="00282225" w:rsidRDefault="00282225" w:rsidP="00DD45F8"/>
        </w:tc>
      </w:tr>
    </w:tbl>
    <w:p w14:paraId="0E20412E" w14:textId="77777777" w:rsidR="00EF314C" w:rsidRDefault="00EF314C" w:rsidP="00EF314C">
      <w:r>
        <w:t>&lt;ESMA_QUESTION_MIFID_TO_</w:t>
      </w:r>
      <w:r w:rsidR="00273633">
        <w:t>22</w:t>
      </w:r>
      <w:r>
        <w:t>&gt;</w:t>
      </w:r>
    </w:p>
    <w:p w14:paraId="06713BC9" w14:textId="77777777" w:rsidR="00EF314C" w:rsidRDefault="00EF314C" w:rsidP="00EF314C">
      <w:pPr>
        <w:rPr>
          <w:rFonts w:cs="Arial"/>
          <w:b/>
          <w:sz w:val="22"/>
          <w:szCs w:val="22"/>
          <w:lang w:eastAsia="en-US"/>
        </w:rPr>
      </w:pPr>
    </w:p>
    <w:sectPr w:rsidR="00EF314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7E29" w14:textId="77777777" w:rsidR="00C75738" w:rsidRDefault="00C75738">
      <w:r>
        <w:separator/>
      </w:r>
    </w:p>
    <w:p w14:paraId="593DEA59" w14:textId="77777777" w:rsidR="00C75738" w:rsidRDefault="00C75738"/>
  </w:endnote>
  <w:endnote w:type="continuationSeparator" w:id="0">
    <w:p w14:paraId="33ED5578" w14:textId="77777777" w:rsidR="00C75738" w:rsidRDefault="00C75738">
      <w:r>
        <w:continuationSeparator/>
      </w:r>
    </w:p>
    <w:p w14:paraId="32F4A2F4" w14:textId="77777777" w:rsidR="00C75738" w:rsidRDefault="00C75738"/>
  </w:endnote>
  <w:endnote w:type="continuationNotice" w:id="1">
    <w:p w14:paraId="4AF53174" w14:textId="77777777" w:rsidR="00C75738" w:rsidRDefault="00C75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75738" w:rsidRPr="00616B9B" w14:paraId="5B8307B4" w14:textId="77777777" w:rsidTr="00315E96">
      <w:trPr>
        <w:trHeight w:val="284"/>
      </w:trPr>
      <w:tc>
        <w:tcPr>
          <w:tcW w:w="8460" w:type="dxa"/>
        </w:tcPr>
        <w:p w14:paraId="37D73121" w14:textId="77777777" w:rsidR="00C75738" w:rsidRPr="00315E96" w:rsidRDefault="00C75738" w:rsidP="00315E96">
          <w:pPr>
            <w:pStyle w:val="00Footer"/>
            <w:rPr>
              <w:lang w:val="fr-FR"/>
            </w:rPr>
          </w:pPr>
        </w:p>
      </w:tc>
      <w:tc>
        <w:tcPr>
          <w:tcW w:w="952" w:type="dxa"/>
        </w:tcPr>
        <w:p w14:paraId="55849CDF" w14:textId="3E8722A5" w:rsidR="00C75738" w:rsidRPr="00616B9B" w:rsidRDefault="00C7573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D1B08">
            <w:rPr>
              <w:rFonts w:cs="Arial"/>
              <w:noProof/>
              <w:sz w:val="22"/>
              <w:szCs w:val="22"/>
            </w:rPr>
            <w:t>19</w:t>
          </w:r>
          <w:r w:rsidRPr="00616B9B">
            <w:rPr>
              <w:rFonts w:cs="Arial"/>
              <w:noProof/>
              <w:sz w:val="22"/>
              <w:szCs w:val="22"/>
            </w:rPr>
            <w:fldChar w:fldCharType="end"/>
          </w:r>
        </w:p>
      </w:tc>
    </w:tr>
  </w:tbl>
  <w:p w14:paraId="4CCB656C" w14:textId="77777777" w:rsidR="00C75738" w:rsidRDefault="00C7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C6A9" w14:textId="77777777" w:rsidR="00C75738" w:rsidRDefault="00C7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2FE0" w14:textId="77777777" w:rsidR="00C75738" w:rsidRDefault="00C75738">
      <w:r>
        <w:separator/>
      </w:r>
    </w:p>
    <w:p w14:paraId="28A8A734" w14:textId="77777777" w:rsidR="00C75738" w:rsidRDefault="00C75738"/>
  </w:footnote>
  <w:footnote w:type="continuationSeparator" w:id="0">
    <w:p w14:paraId="05D142FF" w14:textId="77777777" w:rsidR="00C75738" w:rsidRDefault="00C75738">
      <w:r>
        <w:continuationSeparator/>
      </w:r>
    </w:p>
    <w:p w14:paraId="4803DD5E" w14:textId="77777777" w:rsidR="00C75738" w:rsidRDefault="00C75738"/>
  </w:footnote>
  <w:footnote w:type="continuationNotice" w:id="1">
    <w:p w14:paraId="3E2DD67C" w14:textId="77777777" w:rsidR="00C75738" w:rsidRDefault="00C75738"/>
  </w:footnote>
  <w:footnote w:id="2">
    <w:p w14:paraId="285B81D2" w14:textId="77777777" w:rsidR="00C75738" w:rsidRPr="00270025" w:rsidRDefault="00C75738" w:rsidP="004E249E">
      <w:pPr>
        <w:pStyle w:val="FootnoteText"/>
        <w:rPr>
          <w:lang w:val="en-US"/>
        </w:rPr>
      </w:pPr>
      <w:r>
        <w:rPr>
          <w:rStyle w:val="FootnoteReference"/>
        </w:rPr>
        <w:footnoteRef/>
      </w:r>
      <w:r>
        <w:t xml:space="preserve"> </w:t>
      </w:r>
      <w:r w:rsidRPr="00270025">
        <w:t xml:space="preserve">Citadel is a global financial firm built around world-class talent, sound risk management, and innovative market-leading technology.  For more than a quarter of a century, Citadel’s hedge funds and capital markets platforms have delivered meaningful and measurable results to top-tier investors and clients around the world. Citadel operates in all major asset classes and financial markets, with offices in the world’s leading financial </w:t>
      </w:r>
      <w:proofErr w:type="spellStart"/>
      <w:r w:rsidRPr="00270025">
        <w:t>centers</w:t>
      </w:r>
      <w:proofErr w:type="spellEnd"/>
      <w:r w:rsidRPr="00270025">
        <w:t>, including Chicago, New York, San Francisco, Boston, London, Hong Kong, and Shanghai</w:t>
      </w:r>
      <w:r>
        <w:t>.</w:t>
      </w:r>
    </w:p>
  </w:footnote>
  <w:footnote w:id="3">
    <w:p w14:paraId="769A1627" w14:textId="77777777" w:rsidR="00C75738" w:rsidRPr="005577CE" w:rsidRDefault="00C75738" w:rsidP="007E5DB3">
      <w:pPr>
        <w:pStyle w:val="FootnoteText"/>
        <w:rPr>
          <w:lang w:val="en-US"/>
        </w:rPr>
      </w:pPr>
      <w:r>
        <w:rPr>
          <w:rStyle w:val="FootnoteReference"/>
        </w:rPr>
        <w:footnoteRef/>
      </w:r>
      <w:r>
        <w:t xml:space="preserve"> </w:t>
      </w:r>
      <w:r w:rsidRPr="008D3825">
        <w:rPr>
          <w:i/>
        </w:rPr>
        <w:t>See</w:t>
      </w:r>
      <w:r>
        <w:t xml:space="preserve"> </w:t>
      </w:r>
      <w:hyperlink r:id="rId1" w:history="1">
        <w:r w:rsidRPr="00146F19">
          <w:rPr>
            <w:rStyle w:val="Hyperlink"/>
          </w:rPr>
          <w:t>https://www.esma.europa.eu/policy-activities/mifid-ii-and-mifir/mifid-ii-transitional-transparency-calculation</w:t>
        </w:r>
      </w:hyperlink>
      <w:r>
        <w:rPr>
          <w:rStyle w:val="Hyperlink"/>
        </w:rPr>
        <w:t>.</w:t>
      </w:r>
    </w:p>
  </w:footnote>
  <w:footnote w:id="4">
    <w:p w14:paraId="1050CA03" w14:textId="77777777" w:rsidR="00C75738" w:rsidRPr="005577CE" w:rsidRDefault="00C75738" w:rsidP="007E5DB3">
      <w:pPr>
        <w:pStyle w:val="FootnoteText"/>
        <w:rPr>
          <w:lang w:val="en-US"/>
        </w:rPr>
      </w:pPr>
      <w:r>
        <w:rPr>
          <w:rStyle w:val="FootnoteReference"/>
        </w:rPr>
        <w:footnoteRef/>
      </w:r>
      <w:r>
        <w:t xml:space="preserve"> </w:t>
      </w:r>
      <w:r w:rsidRPr="004E5E87">
        <w:rPr>
          <w:i/>
          <w:lang w:val="en-US"/>
        </w:rPr>
        <w:t>See</w:t>
      </w:r>
      <w:r>
        <w:rPr>
          <w:lang w:val="en-US"/>
        </w:rPr>
        <w:t xml:space="preserve"> </w:t>
      </w:r>
      <w:hyperlink r:id="rId2" w:history="1">
        <w:r w:rsidRPr="00876FD3">
          <w:rPr>
            <w:rStyle w:val="Hyperlink"/>
            <w:lang w:val="en-US"/>
          </w:rPr>
          <w:t>http://eur-lex.europa.eu/legal-content/EN/TXT/PDF/?uri=CELEX:32017R0583&amp;from=EN</w:t>
        </w:r>
      </w:hyperlink>
      <w:r>
        <w:rPr>
          <w:lang w:val="en-US"/>
        </w:rPr>
        <w:t>.</w:t>
      </w:r>
    </w:p>
  </w:footnote>
  <w:footnote w:id="5">
    <w:p w14:paraId="5990278F" w14:textId="77777777" w:rsidR="00C75738" w:rsidRPr="003C6957" w:rsidRDefault="00C75738" w:rsidP="00FD4762">
      <w:pPr>
        <w:pStyle w:val="FootnoteText"/>
        <w:rPr>
          <w:lang w:val="en-US"/>
        </w:rPr>
      </w:pPr>
      <w:r>
        <w:rPr>
          <w:rStyle w:val="FootnoteReference"/>
        </w:rPr>
        <w:footnoteRef/>
      </w:r>
      <w:r>
        <w:t xml:space="preserve"> </w:t>
      </w:r>
      <w:r w:rsidRPr="003C6957">
        <w:rPr>
          <w:i/>
        </w:rPr>
        <w:t>See</w:t>
      </w:r>
      <w:r>
        <w:t xml:space="preserve"> </w:t>
      </w:r>
      <w:r>
        <w:rPr>
          <w:lang w:val="en-US"/>
        </w:rPr>
        <w:t>“</w:t>
      </w:r>
      <w:proofErr w:type="spellStart"/>
      <w:r>
        <w:rPr>
          <w:color w:val="313131"/>
        </w:rPr>
        <w:t>Spreadovers</w:t>
      </w:r>
      <w:proofErr w:type="spellEnd"/>
      <w:r>
        <w:rPr>
          <w:color w:val="313131"/>
        </w:rPr>
        <w:t xml:space="preserve">: US Treasury Spreads in the Swaps Data,” </w:t>
      </w:r>
      <w:proofErr w:type="spellStart"/>
      <w:r>
        <w:rPr>
          <w:color w:val="313131"/>
        </w:rPr>
        <w:t>Clarus</w:t>
      </w:r>
      <w:proofErr w:type="spellEnd"/>
      <w:r>
        <w:rPr>
          <w:color w:val="313131"/>
        </w:rPr>
        <w:t xml:space="preserve"> Financial Technology (March 23, 2105), available at: </w:t>
      </w:r>
      <w:hyperlink r:id="rId3" w:history="1">
        <w:r w:rsidRPr="005C0D76">
          <w:rPr>
            <w:rStyle w:val="Hyperlink"/>
          </w:rPr>
          <w:t>https://www.clarusft.com/spreadovers-us-treasury-spreads-in-the-swaps-data/</w:t>
        </w:r>
      </w:hyperlink>
      <w:r>
        <w:rPr>
          <w:color w:val="313131"/>
        </w:rPr>
        <w:t>.</w:t>
      </w:r>
    </w:p>
  </w:footnote>
  <w:footnote w:id="6">
    <w:p w14:paraId="0A4A83BA" w14:textId="77777777" w:rsidR="00C75738" w:rsidRPr="00C80FD9" w:rsidRDefault="00C75738">
      <w:pPr>
        <w:pStyle w:val="FootnoteText"/>
        <w:rPr>
          <w:lang w:val="en-US"/>
        </w:rPr>
      </w:pPr>
      <w:r>
        <w:rPr>
          <w:rStyle w:val="FootnoteReference"/>
        </w:rPr>
        <w:footnoteRef/>
      </w:r>
      <w:r>
        <w:t xml:space="preserve"> </w:t>
      </w:r>
      <w:r w:rsidRPr="00951474">
        <w:rPr>
          <w:i/>
          <w:lang w:val="en-US"/>
        </w:rPr>
        <w:t>See, e.g.,</w:t>
      </w:r>
      <w:r>
        <w:rPr>
          <w:lang w:val="en-US"/>
        </w:rPr>
        <w:t xml:space="preserve"> “</w:t>
      </w:r>
      <w:proofErr w:type="spellStart"/>
      <w:r>
        <w:rPr>
          <w:lang w:val="en-US"/>
        </w:rPr>
        <w:t>Trad</w:t>
      </w:r>
      <w:proofErr w:type="spellEnd"/>
      <w:r>
        <w:rPr>
          <w:lang w:val="en-US"/>
        </w:rPr>
        <w:t xml:space="preserve">-X strengthens interest rate swaps market presence with </w:t>
      </w:r>
      <w:proofErr w:type="spellStart"/>
      <w:r>
        <w:rPr>
          <w:lang w:val="en-US"/>
        </w:rPr>
        <w:t>Eurex</w:t>
      </w:r>
      <w:proofErr w:type="spellEnd"/>
      <w:r>
        <w:rPr>
          <w:lang w:val="en-US"/>
        </w:rPr>
        <w:t xml:space="preserve"> Clearing partnership” (Feb. 22, 2016), available at: </w:t>
      </w:r>
      <w:hyperlink r:id="rId4" w:history="1">
        <w:r w:rsidRPr="005C0D76">
          <w:rPr>
            <w:rStyle w:val="Hyperlink"/>
            <w:lang w:val="en-US"/>
          </w:rPr>
          <w:t>http://voxia.ch/en/trad-x-strengthens-interest-rate-swaps-market-presence-with-eurex-clearing-partnership/</w:t>
        </w:r>
      </w:hyperlink>
      <w:r>
        <w:rPr>
          <w:lang w:val="en-US"/>
        </w:rPr>
        <w:t xml:space="preserve"> (highlighting the trading of invoice spreads).</w:t>
      </w:r>
    </w:p>
  </w:footnote>
  <w:footnote w:id="7">
    <w:p w14:paraId="312C175F" w14:textId="77777777" w:rsidR="00C75738" w:rsidRPr="00817F10" w:rsidRDefault="00C75738" w:rsidP="00467126">
      <w:pPr>
        <w:pStyle w:val="FootnoteText"/>
        <w:rPr>
          <w:lang w:val="en-US"/>
        </w:rPr>
      </w:pPr>
      <w:r>
        <w:rPr>
          <w:rStyle w:val="FootnoteReference"/>
        </w:rPr>
        <w:footnoteRef/>
      </w:r>
      <w:r>
        <w:t xml:space="preserve"> </w:t>
      </w:r>
      <w:r>
        <w:rPr>
          <w:lang w:val="en-US"/>
        </w:rPr>
        <w:t xml:space="preserve">Note that “block” trades are still subject to </w:t>
      </w:r>
      <w:r>
        <w:t xml:space="preserve">pre-trade credit checks under U.S. </w:t>
      </w:r>
      <w:proofErr w:type="spellStart"/>
      <w:r>
        <w:t>CFTC</w:t>
      </w:r>
      <w:proofErr w:type="spellEnd"/>
      <w:r>
        <w:t xml:space="preserve"> rules.  </w:t>
      </w:r>
      <w:r w:rsidRPr="00A71C12">
        <w:rPr>
          <w:i/>
          <w:lang w:val="en-US"/>
        </w:rPr>
        <w:t>See</w:t>
      </w:r>
      <w:r>
        <w:rPr>
          <w:lang w:val="en-US"/>
        </w:rPr>
        <w:t xml:space="preserve"> </w:t>
      </w:r>
      <w:proofErr w:type="spellStart"/>
      <w:r>
        <w:rPr>
          <w:lang w:val="en-US"/>
        </w:rPr>
        <w:t>CFTC</w:t>
      </w:r>
      <w:proofErr w:type="spellEnd"/>
      <w:r>
        <w:rPr>
          <w:lang w:val="en-US"/>
        </w:rPr>
        <w:t xml:space="preserve"> No-Action Letter 16-74 (Oct. 7, 2016) at FN 7, available at: </w:t>
      </w:r>
      <w:hyperlink r:id="rId5" w:history="1">
        <w:r w:rsidRPr="00133903">
          <w:rPr>
            <w:rStyle w:val="Hyperlink"/>
            <w:lang w:val="en-US"/>
          </w:rPr>
          <w:t>http://www.cftc.gov/idc/groups/public/@lrlettergeneral/documents/letter/16-74.pdf</w:t>
        </w:r>
      </w:hyperlink>
      <w:r>
        <w:rPr>
          <w:lang w:val="en-US"/>
        </w:rPr>
        <w:t>.</w:t>
      </w:r>
    </w:p>
  </w:footnote>
  <w:footnote w:id="8">
    <w:p w14:paraId="03896D02" w14:textId="77777777" w:rsidR="00C75738" w:rsidRPr="00CA442D" w:rsidRDefault="00C75738" w:rsidP="00467126">
      <w:pPr>
        <w:pStyle w:val="FootnoteText"/>
        <w:rPr>
          <w:lang w:val="en-US"/>
        </w:rPr>
      </w:pPr>
      <w:r>
        <w:rPr>
          <w:rStyle w:val="FootnoteReference"/>
        </w:rPr>
        <w:footnoteRef/>
      </w:r>
      <w:r>
        <w:t xml:space="preserve"> </w:t>
      </w:r>
      <w:r w:rsidRPr="00F9526B">
        <w:rPr>
          <w:i/>
          <w:lang w:val="en-US"/>
        </w:rPr>
        <w:t xml:space="preserve">See </w:t>
      </w:r>
      <w:r>
        <w:rPr>
          <w:lang w:val="en-US"/>
        </w:rPr>
        <w:t xml:space="preserve">ESMA: Questions and Answers on MiFID II and </w:t>
      </w:r>
      <w:proofErr w:type="spellStart"/>
      <w:r>
        <w:rPr>
          <w:lang w:val="en-US"/>
        </w:rPr>
        <w:t>MiFIR</w:t>
      </w:r>
      <w:proofErr w:type="spellEnd"/>
      <w:r>
        <w:rPr>
          <w:lang w:val="en-US"/>
        </w:rPr>
        <w:t xml:space="preserve"> market structure topics, Question 3 in Section 5.1, available at: </w:t>
      </w:r>
      <w:hyperlink r:id="rId6" w:history="1">
        <w:r w:rsidRPr="00133903">
          <w:rPr>
            <w:rStyle w:val="Hyperlink"/>
            <w:lang w:val="en-US"/>
          </w:rPr>
          <w:t>https://www.esma.europa.eu/press-news/esma-news/esma-updates-qa-mifid-ii-implementation-0</w:t>
        </w:r>
      </w:hyperlink>
      <w:r>
        <w:rPr>
          <w:lang w:val="en-US"/>
        </w:rPr>
        <w:t>.</w:t>
      </w:r>
    </w:p>
  </w:footnote>
  <w:footnote w:id="9">
    <w:p w14:paraId="4A27A2DE" w14:textId="77777777" w:rsidR="00C75738" w:rsidRPr="002764BF" w:rsidRDefault="00C75738" w:rsidP="00C80FD9">
      <w:pPr>
        <w:pStyle w:val="FootnoteText"/>
        <w:rPr>
          <w:lang w:val="en-US"/>
        </w:rPr>
      </w:pPr>
      <w:r>
        <w:rPr>
          <w:rStyle w:val="FootnoteReference"/>
        </w:rPr>
        <w:footnoteRef/>
      </w:r>
      <w:r>
        <w:t xml:space="preserve"> </w:t>
      </w:r>
      <w:r w:rsidRPr="00A44581">
        <w:rPr>
          <w:i/>
          <w:lang w:val="en-US"/>
        </w:rPr>
        <w:t>See</w:t>
      </w:r>
      <w:r>
        <w:rPr>
          <w:lang w:val="en-US"/>
        </w:rPr>
        <w:t xml:space="preserve"> “30% of the Euro swap market is standardized?” </w:t>
      </w:r>
      <w:proofErr w:type="spellStart"/>
      <w:r>
        <w:rPr>
          <w:color w:val="313131"/>
        </w:rPr>
        <w:t>Clarus</w:t>
      </w:r>
      <w:proofErr w:type="spellEnd"/>
      <w:r>
        <w:rPr>
          <w:color w:val="313131"/>
        </w:rPr>
        <w:t xml:space="preserve"> Financial Technology </w:t>
      </w:r>
      <w:r>
        <w:rPr>
          <w:lang w:val="en-US"/>
        </w:rPr>
        <w:t xml:space="preserve">(Aug. 23, 2016), available at: </w:t>
      </w:r>
      <w:hyperlink r:id="rId7" w:history="1">
        <w:r w:rsidRPr="005C0D76">
          <w:rPr>
            <w:rStyle w:val="Hyperlink"/>
            <w:lang w:val="en-US"/>
          </w:rPr>
          <w:t>https://www.clarusft.com/30-of-the-euro-swap-market-is-standardized/</w:t>
        </w:r>
      </w:hyperlink>
      <w:r>
        <w:rPr>
          <w:lang w:val="en-US"/>
        </w:rPr>
        <w:t>.</w:t>
      </w:r>
    </w:p>
  </w:footnote>
  <w:footnote w:id="10">
    <w:p w14:paraId="6DA000E1" w14:textId="77777777" w:rsidR="00C75738" w:rsidRPr="00D6144D" w:rsidRDefault="00C75738" w:rsidP="00C80FD9">
      <w:pPr>
        <w:pStyle w:val="FootnoteText"/>
        <w:rPr>
          <w:lang w:val="en-US"/>
        </w:rPr>
      </w:pPr>
      <w:r>
        <w:rPr>
          <w:rStyle w:val="FootnoteReference"/>
        </w:rPr>
        <w:footnoteRef/>
      </w:r>
      <w:r>
        <w:t xml:space="preserve"> </w:t>
      </w:r>
      <w:r w:rsidRPr="00A44581">
        <w:rPr>
          <w:i/>
          <w:lang w:val="en-US"/>
        </w:rPr>
        <w:t>See</w:t>
      </w:r>
      <w:r>
        <w:rPr>
          <w:lang w:val="en-US"/>
        </w:rPr>
        <w:t xml:space="preserve"> “30% of the Euro swap market is standardized?” </w:t>
      </w:r>
      <w:proofErr w:type="spellStart"/>
      <w:r>
        <w:rPr>
          <w:color w:val="313131"/>
        </w:rPr>
        <w:t>Clarus</w:t>
      </w:r>
      <w:proofErr w:type="spellEnd"/>
      <w:r>
        <w:rPr>
          <w:color w:val="313131"/>
        </w:rPr>
        <w:t xml:space="preserve"> Financial Technology </w:t>
      </w:r>
      <w:r>
        <w:rPr>
          <w:lang w:val="en-US"/>
        </w:rPr>
        <w:t xml:space="preserve">(Aug. 23, 2016), available at: </w:t>
      </w:r>
      <w:hyperlink r:id="rId8" w:history="1">
        <w:r w:rsidRPr="00133903">
          <w:rPr>
            <w:rStyle w:val="Hyperlink"/>
            <w:lang w:val="en-US"/>
          </w:rPr>
          <w:t>https://www.clarusft.com/30-of-the-euro-swap-market-is-standardized/</w:t>
        </w:r>
      </w:hyperlink>
      <w:r>
        <w:rPr>
          <w:lang w:val="en-US"/>
        </w:rPr>
        <w:t>.</w:t>
      </w:r>
    </w:p>
  </w:footnote>
  <w:footnote w:id="11">
    <w:p w14:paraId="2E4E9699" w14:textId="77777777" w:rsidR="00C75738" w:rsidRPr="002E55FF" w:rsidRDefault="00C75738" w:rsidP="00EF7E7E">
      <w:pPr>
        <w:pStyle w:val="FootnoteText"/>
        <w:rPr>
          <w:lang w:val="en-US"/>
        </w:rPr>
      </w:pPr>
      <w:r>
        <w:rPr>
          <w:rStyle w:val="FootnoteReference"/>
        </w:rPr>
        <w:footnoteRef/>
      </w:r>
      <w:r>
        <w:t xml:space="preserve"> </w:t>
      </w:r>
      <w:r w:rsidRPr="00CF7DA5">
        <w:rPr>
          <w:i/>
          <w:lang w:val="en-US"/>
        </w:rPr>
        <w:t>See</w:t>
      </w:r>
      <w:r>
        <w:rPr>
          <w:lang w:val="en-US"/>
        </w:rPr>
        <w:t xml:space="preserve"> </w:t>
      </w:r>
      <w:proofErr w:type="spellStart"/>
      <w:r>
        <w:rPr>
          <w:lang w:val="en-US"/>
        </w:rPr>
        <w:t>CFTC</w:t>
      </w:r>
      <w:proofErr w:type="spellEnd"/>
      <w:r>
        <w:rPr>
          <w:lang w:val="en-US"/>
        </w:rPr>
        <w:t xml:space="preserve"> Regulation 37.203(a), available at: </w:t>
      </w:r>
      <w:hyperlink r:id="rId9" w:history="1">
        <w:r w:rsidRPr="00133903">
          <w:rPr>
            <w:rStyle w:val="Hyperlink"/>
            <w:lang w:val="en-US"/>
          </w:rPr>
          <w:t>http://www.cftc.gov/idc/groups/public/@lrfederalregister/documents/file/2013-12242a.pdf</w:t>
        </w:r>
      </w:hyperlink>
      <w:r>
        <w:rPr>
          <w:lang w:val="en-US"/>
        </w:rPr>
        <w:t>.</w:t>
      </w:r>
    </w:p>
  </w:footnote>
  <w:footnote w:id="12">
    <w:p w14:paraId="17F443ED" w14:textId="77777777" w:rsidR="00C75738" w:rsidRPr="00FD68AD" w:rsidRDefault="00C75738" w:rsidP="00EF7E7E">
      <w:pPr>
        <w:pStyle w:val="FootnoteText"/>
        <w:rPr>
          <w:lang w:val="en-US"/>
        </w:rPr>
      </w:pPr>
      <w:r>
        <w:rPr>
          <w:rStyle w:val="FootnoteReference"/>
        </w:rPr>
        <w:footnoteRef/>
      </w:r>
      <w:r>
        <w:t xml:space="preserve"> </w:t>
      </w:r>
      <w:r w:rsidRPr="00FD68AD">
        <w:rPr>
          <w:i/>
        </w:rPr>
        <w:t>See</w:t>
      </w:r>
      <w:r>
        <w:t xml:space="preserve"> </w:t>
      </w:r>
      <w:proofErr w:type="spellStart"/>
      <w:r>
        <w:t>CFTC</w:t>
      </w:r>
      <w:proofErr w:type="spellEnd"/>
      <w:r>
        <w:t xml:space="preserve"> SEF Rules at page 33503, available at: </w:t>
      </w:r>
      <w:hyperlink r:id="rId10" w:history="1">
        <w:r w:rsidRPr="00133903">
          <w:rPr>
            <w:rStyle w:val="Hyperlink"/>
            <w:lang w:val="en-US"/>
          </w:rPr>
          <w:t>http://www.cftc.gov/idc/groups/public/@lrfederalregister/documents/file/2013-12242a.pdf</w:t>
        </w:r>
      </w:hyperlink>
      <w:r>
        <w:rPr>
          <w:lang w:val="en-US"/>
        </w:rPr>
        <w:t>.</w:t>
      </w:r>
    </w:p>
  </w:footnote>
  <w:footnote w:id="13">
    <w:p w14:paraId="10DE947F" w14:textId="77777777" w:rsidR="00C75738" w:rsidRPr="00813944" w:rsidRDefault="00C75738" w:rsidP="00EF7E7E">
      <w:pPr>
        <w:pStyle w:val="FootnoteText"/>
        <w:rPr>
          <w:lang w:val="en-US"/>
        </w:rPr>
      </w:pPr>
      <w:r>
        <w:rPr>
          <w:rStyle w:val="FootnoteReference"/>
        </w:rPr>
        <w:footnoteRef/>
      </w:r>
      <w:r>
        <w:t xml:space="preserve"> </w:t>
      </w:r>
      <w:r w:rsidRPr="00A71C12">
        <w:rPr>
          <w:i/>
          <w:lang w:val="en-US"/>
        </w:rPr>
        <w:t>See</w:t>
      </w:r>
      <w:r>
        <w:rPr>
          <w:lang w:val="en-US"/>
        </w:rPr>
        <w:t xml:space="preserve"> </w:t>
      </w:r>
      <w:proofErr w:type="spellStart"/>
      <w:r>
        <w:rPr>
          <w:lang w:val="en-US"/>
        </w:rPr>
        <w:t>CFTC</w:t>
      </w:r>
      <w:proofErr w:type="spellEnd"/>
      <w:r>
        <w:rPr>
          <w:lang w:val="en-US"/>
        </w:rPr>
        <w:t xml:space="preserve"> No-Action Letter 16-74 (Oct. 7, 2016) at FN 7, available at: </w:t>
      </w:r>
      <w:hyperlink r:id="rId11" w:history="1">
        <w:r w:rsidRPr="00133903">
          <w:rPr>
            <w:rStyle w:val="Hyperlink"/>
            <w:lang w:val="en-US"/>
          </w:rPr>
          <w:t>http://www.cftc.gov/idc/groups/public/@lrlettergeneral/documents/letter/16-74.pdf</w:t>
        </w:r>
      </w:hyperlink>
      <w:r>
        <w:rPr>
          <w:lang w:val="en-US"/>
        </w:rPr>
        <w:t>.</w:t>
      </w:r>
    </w:p>
  </w:footnote>
  <w:footnote w:id="14">
    <w:p w14:paraId="45F384DB" w14:textId="77777777" w:rsidR="00C75738" w:rsidRPr="005D7553" w:rsidRDefault="00C75738" w:rsidP="00EF7E7E">
      <w:pPr>
        <w:pStyle w:val="FootnoteText"/>
        <w:rPr>
          <w:lang w:val="en-US"/>
        </w:rPr>
      </w:pPr>
      <w:r>
        <w:rPr>
          <w:rStyle w:val="FootnoteReference"/>
        </w:rPr>
        <w:footnoteRef/>
      </w:r>
      <w:r>
        <w:t xml:space="preserve"> </w:t>
      </w:r>
      <w:r w:rsidRPr="005D7553">
        <w:rPr>
          <w:i/>
          <w:lang w:val="en-US"/>
        </w:rPr>
        <w:t>See, e.g.,</w:t>
      </w:r>
      <w:r>
        <w:rPr>
          <w:lang w:val="en-US"/>
        </w:rPr>
        <w:t xml:space="preserve"> Article 4 of </w:t>
      </w:r>
      <w:proofErr w:type="spellStart"/>
      <w:r>
        <w:rPr>
          <w:lang w:val="en-US"/>
        </w:rPr>
        <w:t>MiFIR</w:t>
      </w:r>
      <w:proofErr w:type="spellEnd"/>
      <w:r>
        <w:rPr>
          <w:lang w:val="en-US"/>
        </w:rPr>
        <w:t>.</w:t>
      </w:r>
    </w:p>
  </w:footnote>
  <w:footnote w:id="15">
    <w:p w14:paraId="2A3CB2A8" w14:textId="77777777" w:rsidR="00C75738" w:rsidRPr="002476B6" w:rsidRDefault="00C75738" w:rsidP="00EF7E7E">
      <w:pPr>
        <w:pStyle w:val="FootnoteText"/>
        <w:rPr>
          <w:lang w:val="en-US"/>
        </w:rPr>
      </w:pPr>
      <w:r>
        <w:rPr>
          <w:rStyle w:val="FootnoteReference"/>
        </w:rPr>
        <w:footnoteRef/>
      </w:r>
      <w:r>
        <w:t xml:space="preserve"> </w:t>
      </w:r>
      <w:r>
        <w:rPr>
          <w:lang w:val="en-US"/>
        </w:rPr>
        <w:t>Consultation Paper at page 23.</w:t>
      </w:r>
    </w:p>
  </w:footnote>
  <w:footnote w:id="16">
    <w:p w14:paraId="759E9C7D" w14:textId="77777777" w:rsidR="00C75738" w:rsidRPr="00B42230" w:rsidRDefault="00C75738">
      <w:pPr>
        <w:pStyle w:val="FootnoteText"/>
        <w:rPr>
          <w:lang w:val="en-US"/>
        </w:rPr>
      </w:pPr>
      <w:r>
        <w:rPr>
          <w:rStyle w:val="FootnoteReference"/>
        </w:rPr>
        <w:footnoteRef/>
      </w:r>
      <w:r>
        <w:t xml:space="preserve"> Real-Time Public Reporting of Swap Transaction Data, 77 Fed. Reg. 1182 (Jan. 9, 2012) at 1217-18, available at: </w:t>
      </w:r>
      <w:hyperlink r:id="rId12" w:history="1">
        <w:r w:rsidRPr="00133903">
          <w:rPr>
            <w:rStyle w:val="Hyperlink"/>
          </w:rPr>
          <w:t>http://www.cftc.gov/idc/groups/public/@lrfederalregister/documents/file/2011-33173a.pdf</w:t>
        </w:r>
      </w:hyperlink>
      <w:r>
        <w:t>.</w:t>
      </w:r>
    </w:p>
  </w:footnote>
  <w:footnote w:id="17">
    <w:p w14:paraId="60E64FDC" w14:textId="77777777" w:rsidR="00C75738" w:rsidRPr="00817F10" w:rsidRDefault="00C75738" w:rsidP="00817F10">
      <w:pPr>
        <w:pStyle w:val="FootnoteText"/>
        <w:rPr>
          <w:lang w:val="en-US"/>
        </w:rPr>
      </w:pPr>
      <w:r>
        <w:rPr>
          <w:rStyle w:val="FootnoteReference"/>
        </w:rPr>
        <w:footnoteRef/>
      </w:r>
      <w:r>
        <w:t xml:space="preserve"> </w:t>
      </w:r>
      <w:r>
        <w:rPr>
          <w:lang w:val="en-US"/>
        </w:rPr>
        <w:t xml:space="preserve">Note that “block” trades are still subject to </w:t>
      </w:r>
      <w:r>
        <w:t xml:space="preserve">pre-trade credit checks under U.S. </w:t>
      </w:r>
      <w:proofErr w:type="spellStart"/>
      <w:r>
        <w:t>CFTC</w:t>
      </w:r>
      <w:proofErr w:type="spellEnd"/>
      <w:r>
        <w:t xml:space="preserve"> rules.  </w:t>
      </w:r>
      <w:r w:rsidRPr="00A71C12">
        <w:rPr>
          <w:i/>
          <w:lang w:val="en-US"/>
        </w:rPr>
        <w:t>See</w:t>
      </w:r>
      <w:r>
        <w:rPr>
          <w:lang w:val="en-US"/>
        </w:rPr>
        <w:t xml:space="preserve"> </w:t>
      </w:r>
      <w:proofErr w:type="spellStart"/>
      <w:r>
        <w:rPr>
          <w:lang w:val="en-US"/>
        </w:rPr>
        <w:t>CFTC</w:t>
      </w:r>
      <w:proofErr w:type="spellEnd"/>
      <w:r>
        <w:rPr>
          <w:lang w:val="en-US"/>
        </w:rPr>
        <w:t xml:space="preserve"> No-Action Letter 16-74 (Oct. 7, 2016) at FN 7, available at: </w:t>
      </w:r>
      <w:hyperlink r:id="rId13" w:history="1">
        <w:r w:rsidRPr="00133903">
          <w:rPr>
            <w:rStyle w:val="Hyperlink"/>
            <w:lang w:val="en-US"/>
          </w:rPr>
          <w:t>http://www.cftc.gov/idc/groups/public/@lrlettergeneral/documents/letter/16-74.pdf</w:t>
        </w:r>
      </w:hyperlink>
      <w:r>
        <w:rPr>
          <w:lang w:val="en-US"/>
        </w:rPr>
        <w:t>.</w:t>
      </w:r>
    </w:p>
  </w:footnote>
  <w:footnote w:id="18">
    <w:p w14:paraId="7E928CDA" w14:textId="77777777" w:rsidR="00C75738" w:rsidRPr="00CA442D" w:rsidRDefault="00C75738">
      <w:pPr>
        <w:pStyle w:val="FootnoteText"/>
        <w:rPr>
          <w:lang w:val="en-US"/>
        </w:rPr>
      </w:pPr>
      <w:r>
        <w:rPr>
          <w:rStyle w:val="FootnoteReference"/>
        </w:rPr>
        <w:footnoteRef/>
      </w:r>
      <w:r>
        <w:t xml:space="preserve"> </w:t>
      </w:r>
      <w:r w:rsidRPr="00F9526B">
        <w:rPr>
          <w:i/>
          <w:lang w:val="en-US"/>
        </w:rPr>
        <w:t xml:space="preserve">See </w:t>
      </w:r>
      <w:r>
        <w:rPr>
          <w:lang w:val="en-US"/>
        </w:rPr>
        <w:t xml:space="preserve">ESMA: Questions and Answers on MiFID II and </w:t>
      </w:r>
      <w:proofErr w:type="spellStart"/>
      <w:r>
        <w:rPr>
          <w:lang w:val="en-US"/>
        </w:rPr>
        <w:t>MiFIR</w:t>
      </w:r>
      <w:proofErr w:type="spellEnd"/>
      <w:r>
        <w:rPr>
          <w:lang w:val="en-US"/>
        </w:rPr>
        <w:t xml:space="preserve"> market structure topics, Question 3 in Section 5.1, available at: </w:t>
      </w:r>
      <w:hyperlink r:id="rId14" w:history="1">
        <w:r w:rsidRPr="00133903">
          <w:rPr>
            <w:rStyle w:val="Hyperlink"/>
            <w:lang w:val="en-US"/>
          </w:rPr>
          <w:t>https://www.esma.europa.eu/press-news/esma-news/esma-updates-qa-mifid-ii-implementation-0</w:t>
        </w:r>
      </w:hyperlink>
      <w:r>
        <w:rPr>
          <w:lang w:val="en-US"/>
        </w:rPr>
        <w:t>.</w:t>
      </w:r>
    </w:p>
  </w:footnote>
  <w:footnote w:id="19">
    <w:p w14:paraId="5732708B" w14:textId="77777777" w:rsidR="00C75738" w:rsidRPr="00300C1A" w:rsidRDefault="00C75738">
      <w:pPr>
        <w:pStyle w:val="FootnoteText"/>
        <w:rPr>
          <w:lang w:val="en-US"/>
        </w:rPr>
      </w:pPr>
      <w:r>
        <w:rPr>
          <w:rStyle w:val="FootnoteReference"/>
        </w:rPr>
        <w:footnoteRef/>
      </w:r>
      <w:r>
        <w:t xml:space="preserve"> </w:t>
      </w:r>
      <w:r w:rsidRPr="00300C1A">
        <w:rPr>
          <w:i/>
        </w:rPr>
        <w:t>See</w:t>
      </w:r>
      <w:r w:rsidRPr="00300C1A">
        <w:t xml:space="preserve"> </w:t>
      </w:r>
      <w:hyperlink r:id="rId15" w:history="1">
        <w:r w:rsidRPr="00133903">
          <w:rPr>
            <w:rStyle w:val="Hyperlink"/>
          </w:rPr>
          <w:t>https://www.esma.europa.eu/policy-activities/mifid-ii-and-mifir/mifid-ii-transitional-transparency-calculation</w:t>
        </w:r>
      </w:hyperlink>
      <w:r>
        <w:t>.</w:t>
      </w:r>
    </w:p>
  </w:footnote>
  <w:footnote w:id="20">
    <w:p w14:paraId="45146D52" w14:textId="77777777" w:rsidR="00C75738" w:rsidRPr="005577CE" w:rsidRDefault="00C75738" w:rsidP="00EB6CA4">
      <w:pPr>
        <w:pStyle w:val="FootnoteText"/>
        <w:rPr>
          <w:lang w:val="en-US"/>
        </w:rPr>
      </w:pPr>
      <w:r>
        <w:rPr>
          <w:rStyle w:val="FootnoteReference"/>
        </w:rPr>
        <w:footnoteRef/>
      </w:r>
      <w:r>
        <w:t xml:space="preserve"> </w:t>
      </w:r>
      <w:r>
        <w:rPr>
          <w:lang w:val="en-US"/>
        </w:rPr>
        <w:t xml:space="preserve">See </w:t>
      </w:r>
      <w:hyperlink r:id="rId16" w:history="1">
        <w:r w:rsidRPr="00876FD3">
          <w:rPr>
            <w:rStyle w:val="Hyperlink"/>
            <w:lang w:val="en-US"/>
          </w:rPr>
          <w:t>http://eur-lex.europa.eu/legal-content/EN/TXT/PDF/?uri=CELEX:32017R0583&amp;from=EN</w:t>
        </w:r>
      </w:hyperlink>
      <w:r>
        <w:rPr>
          <w:lang w:val="en-US"/>
        </w:rPr>
        <w:t>.</w:t>
      </w:r>
    </w:p>
  </w:footnote>
  <w:footnote w:id="21">
    <w:p w14:paraId="3BB2C10D" w14:textId="77777777" w:rsidR="00C75738" w:rsidRPr="009B7724" w:rsidRDefault="00C75738">
      <w:pPr>
        <w:pStyle w:val="FootnoteText"/>
        <w:rPr>
          <w:lang w:val="en-US"/>
        </w:rPr>
      </w:pPr>
      <w:r>
        <w:rPr>
          <w:rStyle w:val="FootnoteReference"/>
        </w:rPr>
        <w:footnoteRef/>
      </w:r>
      <w:r>
        <w:t xml:space="preserve"> </w:t>
      </w:r>
      <w:r w:rsidRPr="009B7724">
        <w:rPr>
          <w:i/>
          <w:lang w:val="en-US"/>
        </w:rPr>
        <w:t xml:space="preserve">See </w:t>
      </w:r>
      <w:r>
        <w:rPr>
          <w:lang w:val="en-US"/>
        </w:rPr>
        <w:t>Consultation Paper at pages 71-72.</w:t>
      </w:r>
    </w:p>
  </w:footnote>
  <w:footnote w:id="22">
    <w:p w14:paraId="53A4D687" w14:textId="77777777" w:rsidR="00C75738" w:rsidRPr="002E55FF" w:rsidRDefault="00C75738">
      <w:pPr>
        <w:pStyle w:val="FootnoteText"/>
        <w:rPr>
          <w:lang w:val="en-US"/>
        </w:rPr>
      </w:pPr>
      <w:r>
        <w:rPr>
          <w:rStyle w:val="FootnoteReference"/>
        </w:rPr>
        <w:footnoteRef/>
      </w:r>
      <w:r>
        <w:t xml:space="preserve"> </w:t>
      </w:r>
      <w:r w:rsidRPr="00CF7DA5">
        <w:rPr>
          <w:i/>
          <w:lang w:val="en-US"/>
        </w:rPr>
        <w:t>See</w:t>
      </w:r>
      <w:r>
        <w:rPr>
          <w:lang w:val="en-US"/>
        </w:rPr>
        <w:t xml:space="preserve"> </w:t>
      </w:r>
      <w:proofErr w:type="spellStart"/>
      <w:r>
        <w:rPr>
          <w:lang w:val="en-US"/>
        </w:rPr>
        <w:t>CFTC</w:t>
      </w:r>
      <w:proofErr w:type="spellEnd"/>
      <w:r>
        <w:rPr>
          <w:lang w:val="en-US"/>
        </w:rPr>
        <w:t xml:space="preserve"> Regulation 37.203(a), available at: </w:t>
      </w:r>
      <w:hyperlink r:id="rId17" w:history="1">
        <w:r w:rsidRPr="00133903">
          <w:rPr>
            <w:rStyle w:val="Hyperlink"/>
            <w:lang w:val="en-US"/>
          </w:rPr>
          <w:t>http://www.cftc.gov/idc/groups/public/@lrfederalregister/documents/file/2013-12242a.pdf</w:t>
        </w:r>
      </w:hyperlink>
      <w:r>
        <w:rPr>
          <w:lang w:val="en-US"/>
        </w:rPr>
        <w:t>.</w:t>
      </w:r>
    </w:p>
  </w:footnote>
  <w:footnote w:id="23">
    <w:p w14:paraId="75C6EBD5" w14:textId="77777777" w:rsidR="00C75738" w:rsidRPr="00FD68AD" w:rsidRDefault="00C75738">
      <w:pPr>
        <w:pStyle w:val="FootnoteText"/>
        <w:rPr>
          <w:lang w:val="en-US"/>
        </w:rPr>
      </w:pPr>
      <w:r>
        <w:rPr>
          <w:rStyle w:val="FootnoteReference"/>
        </w:rPr>
        <w:footnoteRef/>
      </w:r>
      <w:r>
        <w:t xml:space="preserve"> </w:t>
      </w:r>
      <w:r w:rsidRPr="00FD68AD">
        <w:rPr>
          <w:i/>
        </w:rPr>
        <w:t>See</w:t>
      </w:r>
      <w:r>
        <w:t xml:space="preserve"> </w:t>
      </w:r>
      <w:proofErr w:type="spellStart"/>
      <w:r>
        <w:t>CFTC</w:t>
      </w:r>
      <w:proofErr w:type="spellEnd"/>
      <w:r>
        <w:t xml:space="preserve"> SEF Rules at page 33503, available at: </w:t>
      </w:r>
      <w:hyperlink r:id="rId18" w:history="1">
        <w:r w:rsidRPr="00133903">
          <w:rPr>
            <w:rStyle w:val="Hyperlink"/>
            <w:lang w:val="en-US"/>
          </w:rPr>
          <w:t>http://www.cftc.gov/idc/groups/public/@lrfederalregister/documents/file/2013-12242a.pdf</w:t>
        </w:r>
      </w:hyperlink>
      <w:r>
        <w:rPr>
          <w:lang w:val="en-US"/>
        </w:rPr>
        <w:t>.</w:t>
      </w:r>
    </w:p>
  </w:footnote>
  <w:footnote w:id="24">
    <w:p w14:paraId="6B522EB5" w14:textId="77777777" w:rsidR="00C75738" w:rsidRPr="00813944" w:rsidRDefault="00C75738">
      <w:pPr>
        <w:pStyle w:val="FootnoteText"/>
        <w:rPr>
          <w:lang w:val="en-US"/>
        </w:rPr>
      </w:pPr>
      <w:r>
        <w:rPr>
          <w:rStyle w:val="FootnoteReference"/>
        </w:rPr>
        <w:footnoteRef/>
      </w:r>
      <w:r>
        <w:t xml:space="preserve"> </w:t>
      </w:r>
      <w:r w:rsidRPr="00A71C12">
        <w:rPr>
          <w:i/>
          <w:lang w:val="en-US"/>
        </w:rPr>
        <w:t>See</w:t>
      </w:r>
      <w:r>
        <w:rPr>
          <w:lang w:val="en-US"/>
        </w:rPr>
        <w:t xml:space="preserve"> </w:t>
      </w:r>
      <w:proofErr w:type="spellStart"/>
      <w:r>
        <w:rPr>
          <w:lang w:val="en-US"/>
        </w:rPr>
        <w:t>CFTC</w:t>
      </w:r>
      <w:proofErr w:type="spellEnd"/>
      <w:r>
        <w:rPr>
          <w:lang w:val="en-US"/>
        </w:rPr>
        <w:t xml:space="preserve"> No-Action Letter 16-74 (Oct. 7, 2016) at FN 7, available at: </w:t>
      </w:r>
      <w:hyperlink r:id="rId19" w:history="1">
        <w:r w:rsidRPr="00133903">
          <w:rPr>
            <w:rStyle w:val="Hyperlink"/>
            <w:lang w:val="en-US"/>
          </w:rPr>
          <w:t>http://www.cftc.gov/idc/groups/public/@lrlettergeneral/documents/letter/16-74.pdf</w:t>
        </w:r>
      </w:hyperlink>
      <w:r>
        <w:rPr>
          <w:lang w:val="en-US"/>
        </w:rPr>
        <w:t>.</w:t>
      </w:r>
    </w:p>
  </w:footnote>
  <w:footnote w:id="25">
    <w:p w14:paraId="4AD6B7FC" w14:textId="77777777" w:rsidR="00C75738" w:rsidRPr="005D7553" w:rsidRDefault="00C75738" w:rsidP="001D0001">
      <w:pPr>
        <w:pStyle w:val="FootnoteText"/>
        <w:rPr>
          <w:lang w:val="en-US"/>
        </w:rPr>
      </w:pPr>
      <w:r>
        <w:rPr>
          <w:rStyle w:val="FootnoteReference"/>
        </w:rPr>
        <w:footnoteRef/>
      </w:r>
      <w:r>
        <w:t xml:space="preserve"> </w:t>
      </w:r>
      <w:r w:rsidRPr="005D7553">
        <w:rPr>
          <w:i/>
          <w:lang w:val="en-US"/>
        </w:rPr>
        <w:t>See, e.g.,</w:t>
      </w:r>
      <w:r>
        <w:rPr>
          <w:lang w:val="en-US"/>
        </w:rPr>
        <w:t xml:space="preserve"> Article 4 of </w:t>
      </w:r>
      <w:proofErr w:type="spellStart"/>
      <w:r>
        <w:rPr>
          <w:lang w:val="en-US"/>
        </w:rPr>
        <w:t>MiFIR</w:t>
      </w:r>
      <w:proofErr w:type="spellEnd"/>
      <w:r>
        <w:rPr>
          <w:lang w:val="en-US"/>
        </w:rPr>
        <w:t>.</w:t>
      </w:r>
    </w:p>
  </w:footnote>
  <w:footnote w:id="26">
    <w:p w14:paraId="2A5D1D7C" w14:textId="77777777" w:rsidR="00C75738" w:rsidRPr="002476B6" w:rsidRDefault="00C75738">
      <w:pPr>
        <w:pStyle w:val="FootnoteText"/>
        <w:rPr>
          <w:lang w:val="en-US"/>
        </w:rPr>
      </w:pPr>
      <w:r>
        <w:rPr>
          <w:rStyle w:val="FootnoteReference"/>
        </w:rPr>
        <w:footnoteRef/>
      </w:r>
      <w:r>
        <w:t xml:space="preserve"> </w:t>
      </w:r>
      <w:r>
        <w:rPr>
          <w:lang w:val="en-US"/>
        </w:rPr>
        <w:t>Consultation Paper at page 23.</w:t>
      </w:r>
    </w:p>
  </w:footnote>
  <w:footnote w:id="27">
    <w:p w14:paraId="5140D6D7" w14:textId="77777777" w:rsidR="00C75738" w:rsidRPr="005577CE" w:rsidRDefault="00C75738" w:rsidP="0097183F">
      <w:pPr>
        <w:pStyle w:val="FootnoteText"/>
        <w:rPr>
          <w:lang w:val="en-US"/>
        </w:rPr>
      </w:pPr>
      <w:r>
        <w:rPr>
          <w:rStyle w:val="FootnoteReference"/>
        </w:rPr>
        <w:footnoteRef/>
      </w:r>
      <w:r>
        <w:t xml:space="preserve"> </w:t>
      </w:r>
      <w:r w:rsidRPr="004E5E87">
        <w:rPr>
          <w:i/>
          <w:lang w:val="en-US"/>
        </w:rPr>
        <w:t>See</w:t>
      </w:r>
      <w:r>
        <w:rPr>
          <w:lang w:val="en-US"/>
        </w:rPr>
        <w:t xml:space="preserve"> </w:t>
      </w:r>
      <w:hyperlink r:id="rId20" w:history="1">
        <w:r w:rsidRPr="00876FD3">
          <w:rPr>
            <w:rStyle w:val="Hyperlink"/>
            <w:lang w:val="en-US"/>
          </w:rPr>
          <w:t>http://eur-lex.europa.eu/legal-content/EN/TXT/PDF/?uri=CELEX:32017R0583&amp;from=EN</w:t>
        </w:r>
      </w:hyperlink>
      <w:r>
        <w:rPr>
          <w:lang w:val="en-US"/>
        </w:rPr>
        <w:t>.</w:t>
      </w:r>
    </w:p>
  </w:footnote>
  <w:footnote w:id="28">
    <w:p w14:paraId="3F7EEA2B" w14:textId="77777777" w:rsidR="00C75738" w:rsidRPr="002764BF" w:rsidRDefault="00C75738" w:rsidP="009F56C5">
      <w:pPr>
        <w:pStyle w:val="FootnoteText"/>
        <w:rPr>
          <w:lang w:val="en-US"/>
        </w:rPr>
      </w:pPr>
      <w:r>
        <w:rPr>
          <w:rStyle w:val="FootnoteReference"/>
        </w:rPr>
        <w:footnoteRef/>
      </w:r>
      <w:r>
        <w:t xml:space="preserve"> </w:t>
      </w:r>
      <w:r w:rsidRPr="00A44581">
        <w:rPr>
          <w:i/>
          <w:lang w:val="en-US"/>
        </w:rPr>
        <w:t>See</w:t>
      </w:r>
      <w:r>
        <w:rPr>
          <w:lang w:val="en-US"/>
        </w:rPr>
        <w:t xml:space="preserve"> “30% of the Euro swap market is standardized?” </w:t>
      </w:r>
      <w:proofErr w:type="spellStart"/>
      <w:r>
        <w:rPr>
          <w:color w:val="313131"/>
        </w:rPr>
        <w:t>Clarus</w:t>
      </w:r>
      <w:proofErr w:type="spellEnd"/>
      <w:r>
        <w:rPr>
          <w:color w:val="313131"/>
        </w:rPr>
        <w:t xml:space="preserve"> Financial Technology </w:t>
      </w:r>
      <w:r>
        <w:rPr>
          <w:lang w:val="en-US"/>
        </w:rPr>
        <w:t xml:space="preserve">(Aug. 23, 2016), available at: </w:t>
      </w:r>
      <w:hyperlink r:id="rId21" w:history="1">
        <w:r w:rsidRPr="005C0D76">
          <w:rPr>
            <w:rStyle w:val="Hyperlink"/>
            <w:lang w:val="en-US"/>
          </w:rPr>
          <w:t>https://www.clarusft.com/30-of-the-euro-swap-market-is-standardized/</w:t>
        </w:r>
      </w:hyperlink>
      <w:r>
        <w:rPr>
          <w:lang w:val="en-US"/>
        </w:rPr>
        <w:t>.</w:t>
      </w:r>
    </w:p>
  </w:footnote>
  <w:footnote w:id="29">
    <w:p w14:paraId="02EA5B53" w14:textId="77777777" w:rsidR="00C75738" w:rsidRPr="00D6144D" w:rsidRDefault="00C75738">
      <w:pPr>
        <w:pStyle w:val="FootnoteText"/>
        <w:rPr>
          <w:lang w:val="en-US"/>
        </w:rPr>
      </w:pPr>
      <w:r>
        <w:rPr>
          <w:rStyle w:val="FootnoteReference"/>
        </w:rPr>
        <w:footnoteRef/>
      </w:r>
      <w:r>
        <w:t xml:space="preserve"> </w:t>
      </w:r>
      <w:r w:rsidRPr="00A44581">
        <w:rPr>
          <w:i/>
          <w:lang w:val="en-US"/>
        </w:rPr>
        <w:t>See</w:t>
      </w:r>
      <w:r>
        <w:rPr>
          <w:lang w:val="en-US"/>
        </w:rPr>
        <w:t xml:space="preserve"> “30% of the Euro swap market is standardized?” </w:t>
      </w:r>
      <w:proofErr w:type="spellStart"/>
      <w:r>
        <w:rPr>
          <w:color w:val="313131"/>
        </w:rPr>
        <w:t>Clarus</w:t>
      </w:r>
      <w:proofErr w:type="spellEnd"/>
      <w:r>
        <w:rPr>
          <w:color w:val="313131"/>
        </w:rPr>
        <w:t xml:space="preserve"> Financial Technology </w:t>
      </w:r>
      <w:r>
        <w:rPr>
          <w:lang w:val="en-US"/>
        </w:rPr>
        <w:t xml:space="preserve">(Aug. 23, 2016), available at: </w:t>
      </w:r>
      <w:hyperlink r:id="rId22" w:history="1">
        <w:r w:rsidRPr="00133903">
          <w:rPr>
            <w:rStyle w:val="Hyperlink"/>
            <w:lang w:val="en-US"/>
          </w:rPr>
          <w:t>https://www.clarusft.com/30-of-the-euro-swap-market-is-standardized/</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0C40" w14:textId="77777777" w:rsidR="00C75738" w:rsidRDefault="00C75738">
    <w:pPr>
      <w:pStyle w:val="Header"/>
    </w:pPr>
    <w:r>
      <w:rPr>
        <w:noProof/>
        <w:lang w:val="en-US" w:eastAsia="en-US"/>
      </w:rPr>
      <w:drawing>
        <wp:anchor distT="0" distB="0" distL="114300" distR="114300" simplePos="0" relativeHeight="251658240" behindDoc="0" locked="0" layoutInCell="1" allowOverlap="1" wp14:anchorId="027831BB" wp14:editId="581879A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3E0091CE" wp14:editId="36E65FE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E963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CDB4" w14:textId="77777777" w:rsidR="00C75738" w:rsidRDefault="00C75738" w:rsidP="00013CCE">
    <w:pPr>
      <w:pStyle w:val="Header"/>
      <w:jc w:val="right"/>
    </w:pPr>
    <w:r>
      <w:rPr>
        <w:noProof/>
        <w:lang w:val="en-US" w:eastAsia="en-US"/>
      </w:rPr>
      <w:drawing>
        <wp:anchor distT="0" distB="0" distL="114300" distR="114300" simplePos="0" relativeHeight="251657216" behindDoc="0" locked="0" layoutInCell="1" allowOverlap="1" wp14:anchorId="3EFA197A" wp14:editId="1BB0412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53BF405D" wp14:editId="6B152485">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BD4B" w14:textId="77777777" w:rsidR="00C75738" w:rsidRDefault="00C7573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75738" w:rsidRPr="002F4496" w14:paraId="5BCEDBFE" w14:textId="77777777" w:rsidTr="000C06C9">
      <w:trPr>
        <w:trHeight w:val="284"/>
      </w:trPr>
      <w:tc>
        <w:tcPr>
          <w:tcW w:w="8460" w:type="dxa"/>
        </w:tcPr>
        <w:p w14:paraId="08AE3AD7" w14:textId="77777777" w:rsidR="00C75738" w:rsidRPr="000C3B6D" w:rsidRDefault="00C75738" w:rsidP="000C06C9">
          <w:pPr>
            <w:pStyle w:val="00Footer"/>
            <w:rPr>
              <w:lang w:val="fr-FR"/>
            </w:rPr>
          </w:pPr>
        </w:p>
      </w:tc>
      <w:tc>
        <w:tcPr>
          <w:tcW w:w="952" w:type="dxa"/>
        </w:tcPr>
        <w:p w14:paraId="1F13F5F1" w14:textId="77777777" w:rsidR="00C75738" w:rsidRPr="00146B34" w:rsidRDefault="00C75738" w:rsidP="000C06C9">
          <w:pPr>
            <w:pStyle w:val="00aPagenumber"/>
            <w:rPr>
              <w:lang w:val="fr-FR"/>
            </w:rPr>
          </w:pPr>
        </w:p>
      </w:tc>
    </w:tr>
  </w:tbl>
  <w:p w14:paraId="29DA7704" w14:textId="77777777" w:rsidR="00C75738" w:rsidRPr="00DB46C3" w:rsidRDefault="00C75738">
    <w:pPr>
      <w:rPr>
        <w:lang w:val="fr-FR"/>
      </w:rPr>
    </w:pPr>
  </w:p>
  <w:p w14:paraId="3D14A2D4" w14:textId="77777777" w:rsidR="00C75738" w:rsidRPr="002F4496" w:rsidRDefault="00C75738">
    <w:pPr>
      <w:pStyle w:val="Header"/>
      <w:rPr>
        <w:lang w:val="fr-FR"/>
      </w:rPr>
    </w:pPr>
  </w:p>
  <w:p w14:paraId="5BB778B4" w14:textId="77777777" w:rsidR="00C75738" w:rsidRPr="002F4496" w:rsidRDefault="00C75738" w:rsidP="000C06C9">
    <w:pPr>
      <w:pStyle w:val="Header"/>
      <w:tabs>
        <w:tab w:val="clear" w:pos="4536"/>
        <w:tab w:val="clear" w:pos="9072"/>
        <w:tab w:val="left" w:pos="8227"/>
      </w:tabs>
      <w:rPr>
        <w:lang w:val="fr-FR"/>
      </w:rPr>
    </w:pPr>
  </w:p>
  <w:p w14:paraId="289E7B7E" w14:textId="77777777" w:rsidR="00C75738" w:rsidRPr="002F4496" w:rsidRDefault="00C75738" w:rsidP="000C06C9">
    <w:pPr>
      <w:pStyle w:val="Header"/>
      <w:tabs>
        <w:tab w:val="clear" w:pos="4536"/>
        <w:tab w:val="clear" w:pos="9072"/>
        <w:tab w:val="left" w:pos="8227"/>
      </w:tabs>
      <w:rPr>
        <w:lang w:val="fr-FR"/>
      </w:rPr>
    </w:pPr>
  </w:p>
  <w:p w14:paraId="62F44C0A" w14:textId="77777777" w:rsidR="00C75738" w:rsidRPr="002F4496" w:rsidRDefault="00C75738">
    <w:pPr>
      <w:pStyle w:val="Header"/>
      <w:rPr>
        <w:lang w:val="fr-FR"/>
      </w:rPr>
    </w:pPr>
  </w:p>
  <w:p w14:paraId="51160F79" w14:textId="77777777" w:rsidR="00C75738" w:rsidRPr="002F4496" w:rsidRDefault="00C75738">
    <w:pPr>
      <w:pStyle w:val="Header"/>
      <w:rPr>
        <w:lang w:val="fr-FR"/>
      </w:rPr>
    </w:pPr>
  </w:p>
  <w:p w14:paraId="565C67C0" w14:textId="77777777" w:rsidR="00C75738" w:rsidRPr="002F4496" w:rsidRDefault="00C75738">
    <w:pPr>
      <w:pStyle w:val="Header"/>
      <w:rPr>
        <w:lang w:val="fr-FR"/>
      </w:rPr>
    </w:pPr>
  </w:p>
  <w:p w14:paraId="320525F0" w14:textId="77777777" w:rsidR="00C75738" w:rsidRPr="002F4496" w:rsidRDefault="00C75738">
    <w:pPr>
      <w:pStyle w:val="Header"/>
      <w:rPr>
        <w:lang w:val="fr-FR"/>
      </w:rPr>
    </w:pPr>
  </w:p>
  <w:p w14:paraId="0A8D4554" w14:textId="77777777" w:rsidR="00C75738" w:rsidRPr="002F4496" w:rsidRDefault="00C75738">
    <w:pPr>
      <w:pStyle w:val="Header"/>
      <w:rPr>
        <w:highlight w:val="yellow"/>
        <w:lang w:val="fr-FR"/>
      </w:rPr>
    </w:pPr>
  </w:p>
  <w:p w14:paraId="68A95286" w14:textId="77777777" w:rsidR="00C75738" w:rsidRDefault="00C75738">
    <w:pPr>
      <w:pStyle w:val="Header"/>
    </w:pPr>
    <w:r>
      <w:rPr>
        <w:noProof/>
        <w:lang w:val="en-US" w:eastAsia="en-US"/>
      </w:rPr>
      <mc:AlternateContent>
        <mc:Choice Requires="wps">
          <w:drawing>
            <wp:anchor distT="0" distB="0" distL="114299" distR="114299" simplePos="0" relativeHeight="251660288" behindDoc="0" locked="0" layoutInCell="1" allowOverlap="1" wp14:anchorId="2527025F" wp14:editId="6492BA52">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53B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6C02C463" wp14:editId="4134F9A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552D0"/>
    <w:multiLevelType w:val="hybridMultilevel"/>
    <w:tmpl w:val="665C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5F4BC4"/>
    <w:multiLevelType w:val="hybridMultilevel"/>
    <w:tmpl w:val="A664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03358F"/>
    <w:multiLevelType w:val="hybridMultilevel"/>
    <w:tmpl w:val="63F62984"/>
    <w:lvl w:ilvl="0" w:tplc="9D540D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9C97F8E"/>
    <w:multiLevelType w:val="hybridMultilevel"/>
    <w:tmpl w:val="51D8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6F734F8"/>
    <w:multiLevelType w:val="hybridMultilevel"/>
    <w:tmpl w:val="1388C2E4"/>
    <w:lvl w:ilvl="0" w:tplc="261093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D625F62"/>
    <w:multiLevelType w:val="hybridMultilevel"/>
    <w:tmpl w:val="199E1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A4B84"/>
    <w:multiLevelType w:val="hybridMultilevel"/>
    <w:tmpl w:val="AD18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1"/>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7"/>
  </w:num>
  <w:num w:numId="36">
    <w:abstractNumId w:val="36"/>
  </w:num>
  <w:num w:numId="37">
    <w:abstractNumId w:val="42"/>
  </w:num>
  <w:num w:numId="38">
    <w:abstractNumId w:val="12"/>
  </w:num>
  <w:num w:numId="39">
    <w:abstractNumId w:val="35"/>
  </w:num>
  <w:num w:numId="40">
    <w:abstractNumId w:val="43"/>
  </w:num>
  <w:num w:numId="41">
    <w:abstractNumId w:val="3"/>
  </w:num>
  <w:num w:numId="42">
    <w:abstractNumId w:val="39"/>
  </w:num>
  <w:num w:numId="43">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nLRBjT2dLmD0tV7MB2vFN6mUhAv11FRzD8QDy3sowRRMzTjZfvgtHCqNbEZqxTv5gtpht/m3i6sRO0vjObsjQ==" w:salt="pzODZx2eCmMfTtFF8Mc1Fw=="/>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4A3"/>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173"/>
    <w:rsid w:val="00020D0F"/>
    <w:rsid w:val="000215EB"/>
    <w:rsid w:val="00021E83"/>
    <w:rsid w:val="00023713"/>
    <w:rsid w:val="00023C4D"/>
    <w:rsid w:val="00025E71"/>
    <w:rsid w:val="00026269"/>
    <w:rsid w:val="00027154"/>
    <w:rsid w:val="00027ECF"/>
    <w:rsid w:val="000303BE"/>
    <w:rsid w:val="000325CC"/>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616"/>
    <w:rsid w:val="000537BB"/>
    <w:rsid w:val="0005399B"/>
    <w:rsid w:val="00054DE6"/>
    <w:rsid w:val="00056419"/>
    <w:rsid w:val="000569D7"/>
    <w:rsid w:val="000576D7"/>
    <w:rsid w:val="00060F72"/>
    <w:rsid w:val="00062592"/>
    <w:rsid w:val="00062612"/>
    <w:rsid w:val="000633B2"/>
    <w:rsid w:val="000636A1"/>
    <w:rsid w:val="000649D9"/>
    <w:rsid w:val="000652BE"/>
    <w:rsid w:val="00066479"/>
    <w:rsid w:val="0006723C"/>
    <w:rsid w:val="00070376"/>
    <w:rsid w:val="00070630"/>
    <w:rsid w:val="00070974"/>
    <w:rsid w:val="00071565"/>
    <w:rsid w:val="00071EAD"/>
    <w:rsid w:val="00071F4E"/>
    <w:rsid w:val="00072271"/>
    <w:rsid w:val="00072B54"/>
    <w:rsid w:val="0007463D"/>
    <w:rsid w:val="000749F0"/>
    <w:rsid w:val="0007609D"/>
    <w:rsid w:val="00077C67"/>
    <w:rsid w:val="00080976"/>
    <w:rsid w:val="00081CEB"/>
    <w:rsid w:val="00081E60"/>
    <w:rsid w:val="0008232E"/>
    <w:rsid w:val="00082B84"/>
    <w:rsid w:val="00082D8E"/>
    <w:rsid w:val="00082E31"/>
    <w:rsid w:val="000839A6"/>
    <w:rsid w:val="00083AA3"/>
    <w:rsid w:val="00085947"/>
    <w:rsid w:val="000868FE"/>
    <w:rsid w:val="000878D1"/>
    <w:rsid w:val="00087D2E"/>
    <w:rsid w:val="000921AE"/>
    <w:rsid w:val="000921CB"/>
    <w:rsid w:val="000921D7"/>
    <w:rsid w:val="000925FF"/>
    <w:rsid w:val="000932E0"/>
    <w:rsid w:val="00094C4C"/>
    <w:rsid w:val="00096762"/>
    <w:rsid w:val="000969C8"/>
    <w:rsid w:val="0009752D"/>
    <w:rsid w:val="00097AEE"/>
    <w:rsid w:val="000A014A"/>
    <w:rsid w:val="000A04B6"/>
    <w:rsid w:val="000A0E36"/>
    <w:rsid w:val="000A1BD2"/>
    <w:rsid w:val="000A2127"/>
    <w:rsid w:val="000A3088"/>
    <w:rsid w:val="000A358F"/>
    <w:rsid w:val="000A43CC"/>
    <w:rsid w:val="000A50FE"/>
    <w:rsid w:val="000A7314"/>
    <w:rsid w:val="000A7862"/>
    <w:rsid w:val="000A7B53"/>
    <w:rsid w:val="000A7B64"/>
    <w:rsid w:val="000B275C"/>
    <w:rsid w:val="000B2C3D"/>
    <w:rsid w:val="000B3961"/>
    <w:rsid w:val="000B55C0"/>
    <w:rsid w:val="000B5DF2"/>
    <w:rsid w:val="000C06C9"/>
    <w:rsid w:val="000C1DCC"/>
    <w:rsid w:val="000C1FBC"/>
    <w:rsid w:val="000C2B6A"/>
    <w:rsid w:val="000C2F88"/>
    <w:rsid w:val="000C55C8"/>
    <w:rsid w:val="000C57C4"/>
    <w:rsid w:val="000C5FD3"/>
    <w:rsid w:val="000C701D"/>
    <w:rsid w:val="000C7C4A"/>
    <w:rsid w:val="000D0370"/>
    <w:rsid w:val="000D17AA"/>
    <w:rsid w:val="000D2D0B"/>
    <w:rsid w:val="000D4660"/>
    <w:rsid w:val="000D705D"/>
    <w:rsid w:val="000D7EB9"/>
    <w:rsid w:val="000E0223"/>
    <w:rsid w:val="000E0CF3"/>
    <w:rsid w:val="000E18A8"/>
    <w:rsid w:val="000E1AEC"/>
    <w:rsid w:val="000E36CC"/>
    <w:rsid w:val="000E3937"/>
    <w:rsid w:val="000E4926"/>
    <w:rsid w:val="000E5F7F"/>
    <w:rsid w:val="000E7086"/>
    <w:rsid w:val="000E7C65"/>
    <w:rsid w:val="000F04D2"/>
    <w:rsid w:val="000F55B7"/>
    <w:rsid w:val="000F604F"/>
    <w:rsid w:val="000F6B46"/>
    <w:rsid w:val="000F7399"/>
    <w:rsid w:val="001027F1"/>
    <w:rsid w:val="00104F2E"/>
    <w:rsid w:val="00106E85"/>
    <w:rsid w:val="001072DD"/>
    <w:rsid w:val="00110D7A"/>
    <w:rsid w:val="00111464"/>
    <w:rsid w:val="0011167D"/>
    <w:rsid w:val="00112892"/>
    <w:rsid w:val="00112E48"/>
    <w:rsid w:val="001130EA"/>
    <w:rsid w:val="00114259"/>
    <w:rsid w:val="001144B5"/>
    <w:rsid w:val="001168B2"/>
    <w:rsid w:val="00117C20"/>
    <w:rsid w:val="00120F0E"/>
    <w:rsid w:val="00121A5D"/>
    <w:rsid w:val="00121BED"/>
    <w:rsid w:val="00123D39"/>
    <w:rsid w:val="001244CD"/>
    <w:rsid w:val="0012566F"/>
    <w:rsid w:val="001262B1"/>
    <w:rsid w:val="00126FC1"/>
    <w:rsid w:val="00130F41"/>
    <w:rsid w:val="00130FAF"/>
    <w:rsid w:val="00135F2B"/>
    <w:rsid w:val="001372DD"/>
    <w:rsid w:val="0013790A"/>
    <w:rsid w:val="001405BA"/>
    <w:rsid w:val="00141497"/>
    <w:rsid w:val="0014253A"/>
    <w:rsid w:val="001425C8"/>
    <w:rsid w:val="00142B96"/>
    <w:rsid w:val="001431AE"/>
    <w:rsid w:val="00143B87"/>
    <w:rsid w:val="00145585"/>
    <w:rsid w:val="00145714"/>
    <w:rsid w:val="001459E3"/>
    <w:rsid w:val="00146982"/>
    <w:rsid w:val="00146A0B"/>
    <w:rsid w:val="0014761E"/>
    <w:rsid w:val="00151907"/>
    <w:rsid w:val="001544C8"/>
    <w:rsid w:val="00155FAB"/>
    <w:rsid w:val="001567A1"/>
    <w:rsid w:val="00156857"/>
    <w:rsid w:val="001576F4"/>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0B3"/>
    <w:rsid w:val="00173AC7"/>
    <w:rsid w:val="001745D7"/>
    <w:rsid w:val="00175754"/>
    <w:rsid w:val="00176982"/>
    <w:rsid w:val="0017701C"/>
    <w:rsid w:val="001804C8"/>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732"/>
    <w:rsid w:val="001A1642"/>
    <w:rsid w:val="001A371B"/>
    <w:rsid w:val="001A4766"/>
    <w:rsid w:val="001A6A0D"/>
    <w:rsid w:val="001A6C51"/>
    <w:rsid w:val="001A6FAA"/>
    <w:rsid w:val="001A7588"/>
    <w:rsid w:val="001A7D73"/>
    <w:rsid w:val="001B0363"/>
    <w:rsid w:val="001B1355"/>
    <w:rsid w:val="001B3138"/>
    <w:rsid w:val="001B4198"/>
    <w:rsid w:val="001B4E4B"/>
    <w:rsid w:val="001B50AC"/>
    <w:rsid w:val="001B5E05"/>
    <w:rsid w:val="001B6D68"/>
    <w:rsid w:val="001B6F2E"/>
    <w:rsid w:val="001C0344"/>
    <w:rsid w:val="001C0F2A"/>
    <w:rsid w:val="001C1A59"/>
    <w:rsid w:val="001C270F"/>
    <w:rsid w:val="001C4679"/>
    <w:rsid w:val="001C5770"/>
    <w:rsid w:val="001C6195"/>
    <w:rsid w:val="001D0001"/>
    <w:rsid w:val="001D000A"/>
    <w:rsid w:val="001D0883"/>
    <w:rsid w:val="001D0D0C"/>
    <w:rsid w:val="001D2205"/>
    <w:rsid w:val="001D3A1F"/>
    <w:rsid w:val="001D3FB6"/>
    <w:rsid w:val="001D4550"/>
    <w:rsid w:val="001D5498"/>
    <w:rsid w:val="001D5BAF"/>
    <w:rsid w:val="001D6401"/>
    <w:rsid w:val="001D66C9"/>
    <w:rsid w:val="001D722A"/>
    <w:rsid w:val="001D7FF0"/>
    <w:rsid w:val="001E04FC"/>
    <w:rsid w:val="001E1E3B"/>
    <w:rsid w:val="001E407D"/>
    <w:rsid w:val="001E40FB"/>
    <w:rsid w:val="001E652F"/>
    <w:rsid w:val="001E65BE"/>
    <w:rsid w:val="001E66EC"/>
    <w:rsid w:val="001E68C5"/>
    <w:rsid w:val="001E702A"/>
    <w:rsid w:val="001F0F63"/>
    <w:rsid w:val="001F3996"/>
    <w:rsid w:val="001F44A4"/>
    <w:rsid w:val="001F579D"/>
    <w:rsid w:val="001F65EF"/>
    <w:rsid w:val="001F697B"/>
    <w:rsid w:val="002005A6"/>
    <w:rsid w:val="0020190A"/>
    <w:rsid w:val="00204CBC"/>
    <w:rsid w:val="002051F1"/>
    <w:rsid w:val="002067BA"/>
    <w:rsid w:val="0021058D"/>
    <w:rsid w:val="00211E2F"/>
    <w:rsid w:val="00211E9E"/>
    <w:rsid w:val="00214FB4"/>
    <w:rsid w:val="00215940"/>
    <w:rsid w:val="00217C23"/>
    <w:rsid w:val="00220561"/>
    <w:rsid w:val="00220CE4"/>
    <w:rsid w:val="00221534"/>
    <w:rsid w:val="00222D9B"/>
    <w:rsid w:val="00223788"/>
    <w:rsid w:val="00223853"/>
    <w:rsid w:val="00223D11"/>
    <w:rsid w:val="002242D3"/>
    <w:rsid w:val="00226C4B"/>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6B6"/>
    <w:rsid w:val="00250898"/>
    <w:rsid w:val="00251EA9"/>
    <w:rsid w:val="00252843"/>
    <w:rsid w:val="002543F8"/>
    <w:rsid w:val="002551A4"/>
    <w:rsid w:val="002559F3"/>
    <w:rsid w:val="002568A4"/>
    <w:rsid w:val="00256DFE"/>
    <w:rsid w:val="002602AC"/>
    <w:rsid w:val="00261B2B"/>
    <w:rsid w:val="00261D56"/>
    <w:rsid w:val="00261FD3"/>
    <w:rsid w:val="00264077"/>
    <w:rsid w:val="00264773"/>
    <w:rsid w:val="00266B9A"/>
    <w:rsid w:val="00267976"/>
    <w:rsid w:val="00270E54"/>
    <w:rsid w:val="00273633"/>
    <w:rsid w:val="00273681"/>
    <w:rsid w:val="002754B5"/>
    <w:rsid w:val="002754FC"/>
    <w:rsid w:val="002764C5"/>
    <w:rsid w:val="002772AE"/>
    <w:rsid w:val="00280613"/>
    <w:rsid w:val="00282225"/>
    <w:rsid w:val="0028274D"/>
    <w:rsid w:val="00282B96"/>
    <w:rsid w:val="002833D6"/>
    <w:rsid w:val="00283F51"/>
    <w:rsid w:val="0028561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852"/>
    <w:rsid w:val="002C1E8B"/>
    <w:rsid w:val="002C2EFE"/>
    <w:rsid w:val="002C53AA"/>
    <w:rsid w:val="002C5B2D"/>
    <w:rsid w:val="002C6870"/>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55FF"/>
    <w:rsid w:val="002E76FC"/>
    <w:rsid w:val="002E7F4B"/>
    <w:rsid w:val="002F0C91"/>
    <w:rsid w:val="002F0E3E"/>
    <w:rsid w:val="002F1B19"/>
    <w:rsid w:val="002F1FBF"/>
    <w:rsid w:val="002F4139"/>
    <w:rsid w:val="00300624"/>
    <w:rsid w:val="003009B6"/>
    <w:rsid w:val="00300C1A"/>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340"/>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0B4A"/>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4F37"/>
    <w:rsid w:val="00385213"/>
    <w:rsid w:val="003865E5"/>
    <w:rsid w:val="00387A0E"/>
    <w:rsid w:val="003926C1"/>
    <w:rsid w:val="00392900"/>
    <w:rsid w:val="00393357"/>
    <w:rsid w:val="00395DC1"/>
    <w:rsid w:val="00395E7B"/>
    <w:rsid w:val="00395F4C"/>
    <w:rsid w:val="003A5C7A"/>
    <w:rsid w:val="003A5DAC"/>
    <w:rsid w:val="003A6591"/>
    <w:rsid w:val="003A6E9A"/>
    <w:rsid w:val="003B08C8"/>
    <w:rsid w:val="003B0A1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BC0"/>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407"/>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8EE"/>
    <w:rsid w:val="00417EF7"/>
    <w:rsid w:val="00422A7D"/>
    <w:rsid w:val="00422BFC"/>
    <w:rsid w:val="00424642"/>
    <w:rsid w:val="00425ABB"/>
    <w:rsid w:val="00425BB6"/>
    <w:rsid w:val="004261A0"/>
    <w:rsid w:val="004265AA"/>
    <w:rsid w:val="00426BC3"/>
    <w:rsid w:val="00426CE1"/>
    <w:rsid w:val="00427520"/>
    <w:rsid w:val="00427D52"/>
    <w:rsid w:val="00430412"/>
    <w:rsid w:val="00430497"/>
    <w:rsid w:val="0043173B"/>
    <w:rsid w:val="00431DA4"/>
    <w:rsid w:val="00431EAF"/>
    <w:rsid w:val="00432A91"/>
    <w:rsid w:val="00432D4E"/>
    <w:rsid w:val="004332A4"/>
    <w:rsid w:val="0043453F"/>
    <w:rsid w:val="00434A74"/>
    <w:rsid w:val="00437929"/>
    <w:rsid w:val="00437A4A"/>
    <w:rsid w:val="00440541"/>
    <w:rsid w:val="0044162D"/>
    <w:rsid w:val="0044277A"/>
    <w:rsid w:val="004434EF"/>
    <w:rsid w:val="00444EFF"/>
    <w:rsid w:val="004456DC"/>
    <w:rsid w:val="00446932"/>
    <w:rsid w:val="00447FBE"/>
    <w:rsid w:val="0045035E"/>
    <w:rsid w:val="004511B2"/>
    <w:rsid w:val="0045175A"/>
    <w:rsid w:val="00451ED9"/>
    <w:rsid w:val="00452180"/>
    <w:rsid w:val="00453072"/>
    <w:rsid w:val="004539F8"/>
    <w:rsid w:val="00453B76"/>
    <w:rsid w:val="00453F26"/>
    <w:rsid w:val="0045503F"/>
    <w:rsid w:val="00455273"/>
    <w:rsid w:val="00460905"/>
    <w:rsid w:val="00461E35"/>
    <w:rsid w:val="004621DB"/>
    <w:rsid w:val="004634A7"/>
    <w:rsid w:val="00463787"/>
    <w:rsid w:val="00466926"/>
    <w:rsid w:val="00466FDA"/>
    <w:rsid w:val="00467126"/>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2A4"/>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821"/>
    <w:rsid w:val="004D2D3A"/>
    <w:rsid w:val="004D374D"/>
    <w:rsid w:val="004D3DEC"/>
    <w:rsid w:val="004D42C8"/>
    <w:rsid w:val="004D4537"/>
    <w:rsid w:val="004D4F57"/>
    <w:rsid w:val="004D50F6"/>
    <w:rsid w:val="004D5A0D"/>
    <w:rsid w:val="004D6C9C"/>
    <w:rsid w:val="004D7910"/>
    <w:rsid w:val="004D7DEA"/>
    <w:rsid w:val="004E0A28"/>
    <w:rsid w:val="004E1A0F"/>
    <w:rsid w:val="004E249E"/>
    <w:rsid w:val="004E2E89"/>
    <w:rsid w:val="004E33C2"/>
    <w:rsid w:val="004E3B9A"/>
    <w:rsid w:val="004E48E0"/>
    <w:rsid w:val="004E49B0"/>
    <w:rsid w:val="004E5E87"/>
    <w:rsid w:val="004E62DE"/>
    <w:rsid w:val="004E6B05"/>
    <w:rsid w:val="004E76A1"/>
    <w:rsid w:val="004F05DE"/>
    <w:rsid w:val="004F6376"/>
    <w:rsid w:val="004F6A93"/>
    <w:rsid w:val="004F6F14"/>
    <w:rsid w:val="004F76D9"/>
    <w:rsid w:val="004F79A6"/>
    <w:rsid w:val="00501BF5"/>
    <w:rsid w:val="00501D8B"/>
    <w:rsid w:val="005030F5"/>
    <w:rsid w:val="00503A3E"/>
    <w:rsid w:val="00503F59"/>
    <w:rsid w:val="005049A7"/>
    <w:rsid w:val="00504FDA"/>
    <w:rsid w:val="005053B2"/>
    <w:rsid w:val="00506331"/>
    <w:rsid w:val="005073A5"/>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26B7"/>
    <w:rsid w:val="005532B5"/>
    <w:rsid w:val="00554A05"/>
    <w:rsid w:val="00555678"/>
    <w:rsid w:val="00555849"/>
    <w:rsid w:val="005559A8"/>
    <w:rsid w:val="00557048"/>
    <w:rsid w:val="005577CE"/>
    <w:rsid w:val="00557FB5"/>
    <w:rsid w:val="00561AED"/>
    <w:rsid w:val="005648A8"/>
    <w:rsid w:val="00564DE3"/>
    <w:rsid w:val="00564E44"/>
    <w:rsid w:val="00566C6A"/>
    <w:rsid w:val="00566CE5"/>
    <w:rsid w:val="00566D36"/>
    <w:rsid w:val="0056704E"/>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6FA6"/>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4C89"/>
    <w:rsid w:val="005D5EB1"/>
    <w:rsid w:val="005D6A29"/>
    <w:rsid w:val="005D7456"/>
    <w:rsid w:val="005D7553"/>
    <w:rsid w:val="005E0481"/>
    <w:rsid w:val="005E10BF"/>
    <w:rsid w:val="005E14FF"/>
    <w:rsid w:val="005E1834"/>
    <w:rsid w:val="005E49E5"/>
    <w:rsid w:val="005E5481"/>
    <w:rsid w:val="005E55E4"/>
    <w:rsid w:val="005E6C5F"/>
    <w:rsid w:val="005E7636"/>
    <w:rsid w:val="005F028E"/>
    <w:rsid w:val="005F04B4"/>
    <w:rsid w:val="005F11A4"/>
    <w:rsid w:val="005F19F8"/>
    <w:rsid w:val="005F33F2"/>
    <w:rsid w:val="005F3FB1"/>
    <w:rsid w:val="005F5ACF"/>
    <w:rsid w:val="005F60DC"/>
    <w:rsid w:val="006000DD"/>
    <w:rsid w:val="00600F63"/>
    <w:rsid w:val="006012E1"/>
    <w:rsid w:val="00602253"/>
    <w:rsid w:val="006023E1"/>
    <w:rsid w:val="00602CC0"/>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5088"/>
    <w:rsid w:val="00615A9A"/>
    <w:rsid w:val="00616A11"/>
    <w:rsid w:val="00616B9B"/>
    <w:rsid w:val="00617520"/>
    <w:rsid w:val="00617DC7"/>
    <w:rsid w:val="00620D7C"/>
    <w:rsid w:val="00621089"/>
    <w:rsid w:val="00621E1F"/>
    <w:rsid w:val="006228B2"/>
    <w:rsid w:val="006228E1"/>
    <w:rsid w:val="00622E32"/>
    <w:rsid w:val="00623688"/>
    <w:rsid w:val="006247E0"/>
    <w:rsid w:val="00625786"/>
    <w:rsid w:val="00625F82"/>
    <w:rsid w:val="00627999"/>
    <w:rsid w:val="00630618"/>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1895"/>
    <w:rsid w:val="006521F3"/>
    <w:rsid w:val="006524D5"/>
    <w:rsid w:val="00652BBD"/>
    <w:rsid w:val="00653633"/>
    <w:rsid w:val="00653F69"/>
    <w:rsid w:val="00654936"/>
    <w:rsid w:val="00655485"/>
    <w:rsid w:val="006558B3"/>
    <w:rsid w:val="00657F6C"/>
    <w:rsid w:val="00660BF0"/>
    <w:rsid w:val="0066189C"/>
    <w:rsid w:val="006630CF"/>
    <w:rsid w:val="00663EFF"/>
    <w:rsid w:val="0066469D"/>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D27"/>
    <w:rsid w:val="00694B73"/>
    <w:rsid w:val="00694DF2"/>
    <w:rsid w:val="006951C0"/>
    <w:rsid w:val="00695F80"/>
    <w:rsid w:val="006964EA"/>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329"/>
    <w:rsid w:val="006C4334"/>
    <w:rsid w:val="006C4B0F"/>
    <w:rsid w:val="006C5E96"/>
    <w:rsid w:val="006C7C65"/>
    <w:rsid w:val="006D399F"/>
    <w:rsid w:val="006D4F0C"/>
    <w:rsid w:val="006D5645"/>
    <w:rsid w:val="006E0C8A"/>
    <w:rsid w:val="006E2A23"/>
    <w:rsid w:val="006E35E5"/>
    <w:rsid w:val="006E3C72"/>
    <w:rsid w:val="006E4F20"/>
    <w:rsid w:val="006E5219"/>
    <w:rsid w:val="006E649A"/>
    <w:rsid w:val="006E74A0"/>
    <w:rsid w:val="006F08DC"/>
    <w:rsid w:val="006F3524"/>
    <w:rsid w:val="006F3948"/>
    <w:rsid w:val="006F4403"/>
    <w:rsid w:val="006F45EC"/>
    <w:rsid w:val="006F47B8"/>
    <w:rsid w:val="006F47D2"/>
    <w:rsid w:val="006F4B04"/>
    <w:rsid w:val="006F5456"/>
    <w:rsid w:val="006F57F2"/>
    <w:rsid w:val="006F6468"/>
    <w:rsid w:val="00700247"/>
    <w:rsid w:val="00700FE0"/>
    <w:rsid w:val="00701051"/>
    <w:rsid w:val="007021C2"/>
    <w:rsid w:val="00702502"/>
    <w:rsid w:val="007033A8"/>
    <w:rsid w:val="0070421B"/>
    <w:rsid w:val="007043F0"/>
    <w:rsid w:val="0070482E"/>
    <w:rsid w:val="00704D25"/>
    <w:rsid w:val="00707B29"/>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A55"/>
    <w:rsid w:val="00725FB1"/>
    <w:rsid w:val="00726630"/>
    <w:rsid w:val="00727F73"/>
    <w:rsid w:val="00730705"/>
    <w:rsid w:val="00730944"/>
    <w:rsid w:val="00731674"/>
    <w:rsid w:val="0073248E"/>
    <w:rsid w:val="00733EE9"/>
    <w:rsid w:val="00735B8E"/>
    <w:rsid w:val="0073673C"/>
    <w:rsid w:val="00736935"/>
    <w:rsid w:val="00743DE7"/>
    <w:rsid w:val="0074456F"/>
    <w:rsid w:val="0074509E"/>
    <w:rsid w:val="00745B9F"/>
    <w:rsid w:val="0074726F"/>
    <w:rsid w:val="0075205A"/>
    <w:rsid w:val="00752D4F"/>
    <w:rsid w:val="0075409F"/>
    <w:rsid w:val="00754262"/>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125"/>
    <w:rsid w:val="00771C3B"/>
    <w:rsid w:val="007726F9"/>
    <w:rsid w:val="00773B94"/>
    <w:rsid w:val="00773C65"/>
    <w:rsid w:val="0077412F"/>
    <w:rsid w:val="00775937"/>
    <w:rsid w:val="00777046"/>
    <w:rsid w:val="007770DA"/>
    <w:rsid w:val="007805B9"/>
    <w:rsid w:val="00780C3A"/>
    <w:rsid w:val="007827EC"/>
    <w:rsid w:val="007834A1"/>
    <w:rsid w:val="00785428"/>
    <w:rsid w:val="00791EB4"/>
    <w:rsid w:val="007927D8"/>
    <w:rsid w:val="007928F1"/>
    <w:rsid w:val="00792B8F"/>
    <w:rsid w:val="0079357D"/>
    <w:rsid w:val="007937CC"/>
    <w:rsid w:val="00793A31"/>
    <w:rsid w:val="00794979"/>
    <w:rsid w:val="007956B7"/>
    <w:rsid w:val="00795F1A"/>
    <w:rsid w:val="00796E32"/>
    <w:rsid w:val="00796EDE"/>
    <w:rsid w:val="00797297"/>
    <w:rsid w:val="007974B3"/>
    <w:rsid w:val="00797875"/>
    <w:rsid w:val="007A076C"/>
    <w:rsid w:val="007A2140"/>
    <w:rsid w:val="007A23E2"/>
    <w:rsid w:val="007A31A5"/>
    <w:rsid w:val="007A411B"/>
    <w:rsid w:val="007A45E6"/>
    <w:rsid w:val="007A4B28"/>
    <w:rsid w:val="007A5C2C"/>
    <w:rsid w:val="007A7678"/>
    <w:rsid w:val="007B0AB5"/>
    <w:rsid w:val="007B0CD8"/>
    <w:rsid w:val="007B0DE0"/>
    <w:rsid w:val="007B21DE"/>
    <w:rsid w:val="007B2BB9"/>
    <w:rsid w:val="007B2F29"/>
    <w:rsid w:val="007B43E8"/>
    <w:rsid w:val="007B4740"/>
    <w:rsid w:val="007B502C"/>
    <w:rsid w:val="007B5F3B"/>
    <w:rsid w:val="007B7323"/>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295"/>
    <w:rsid w:val="007E3514"/>
    <w:rsid w:val="007E4AAA"/>
    <w:rsid w:val="007E4BD2"/>
    <w:rsid w:val="007E4C29"/>
    <w:rsid w:val="007E5DB3"/>
    <w:rsid w:val="007E5E44"/>
    <w:rsid w:val="007F0DDA"/>
    <w:rsid w:val="007F1939"/>
    <w:rsid w:val="007F20E4"/>
    <w:rsid w:val="007F365C"/>
    <w:rsid w:val="007F5066"/>
    <w:rsid w:val="007F621C"/>
    <w:rsid w:val="007F7155"/>
    <w:rsid w:val="00800C28"/>
    <w:rsid w:val="0080245E"/>
    <w:rsid w:val="00803480"/>
    <w:rsid w:val="0080359C"/>
    <w:rsid w:val="008037AE"/>
    <w:rsid w:val="008043F4"/>
    <w:rsid w:val="00804BB4"/>
    <w:rsid w:val="00805D9F"/>
    <w:rsid w:val="00806E73"/>
    <w:rsid w:val="00807646"/>
    <w:rsid w:val="00807754"/>
    <w:rsid w:val="00807A4D"/>
    <w:rsid w:val="00807F30"/>
    <w:rsid w:val="008103DC"/>
    <w:rsid w:val="00810B32"/>
    <w:rsid w:val="0081119F"/>
    <w:rsid w:val="0081134D"/>
    <w:rsid w:val="00811EDA"/>
    <w:rsid w:val="00812403"/>
    <w:rsid w:val="00812715"/>
    <w:rsid w:val="00812FD7"/>
    <w:rsid w:val="00813944"/>
    <w:rsid w:val="008150ED"/>
    <w:rsid w:val="00817236"/>
    <w:rsid w:val="00817F10"/>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109"/>
    <w:rsid w:val="00840477"/>
    <w:rsid w:val="0084121D"/>
    <w:rsid w:val="0084196C"/>
    <w:rsid w:val="008419C1"/>
    <w:rsid w:val="00844515"/>
    <w:rsid w:val="0084465A"/>
    <w:rsid w:val="00844DFF"/>
    <w:rsid w:val="00845D87"/>
    <w:rsid w:val="00846C3A"/>
    <w:rsid w:val="008477BF"/>
    <w:rsid w:val="008503DA"/>
    <w:rsid w:val="00850B68"/>
    <w:rsid w:val="00850E4E"/>
    <w:rsid w:val="00850E82"/>
    <w:rsid w:val="0085122D"/>
    <w:rsid w:val="008519E8"/>
    <w:rsid w:val="0085231A"/>
    <w:rsid w:val="008525FF"/>
    <w:rsid w:val="00852C03"/>
    <w:rsid w:val="0085590C"/>
    <w:rsid w:val="008575EB"/>
    <w:rsid w:val="008627D0"/>
    <w:rsid w:val="00862DDD"/>
    <w:rsid w:val="0086326D"/>
    <w:rsid w:val="00863CC1"/>
    <w:rsid w:val="00865B01"/>
    <w:rsid w:val="00866D7A"/>
    <w:rsid w:val="00866EE3"/>
    <w:rsid w:val="00870BF4"/>
    <w:rsid w:val="00871F04"/>
    <w:rsid w:val="008746C1"/>
    <w:rsid w:val="00880224"/>
    <w:rsid w:val="0088244C"/>
    <w:rsid w:val="00883367"/>
    <w:rsid w:val="00884C47"/>
    <w:rsid w:val="00884D0D"/>
    <w:rsid w:val="00885E6F"/>
    <w:rsid w:val="008861AC"/>
    <w:rsid w:val="008868E4"/>
    <w:rsid w:val="00886A60"/>
    <w:rsid w:val="00886E68"/>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2DF4"/>
    <w:rsid w:val="008C3863"/>
    <w:rsid w:val="008C4BDC"/>
    <w:rsid w:val="008C50FF"/>
    <w:rsid w:val="008C5435"/>
    <w:rsid w:val="008C6BD1"/>
    <w:rsid w:val="008D221A"/>
    <w:rsid w:val="008D2DB5"/>
    <w:rsid w:val="008D3F10"/>
    <w:rsid w:val="008D471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475F"/>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5A4D"/>
    <w:rsid w:val="009360F6"/>
    <w:rsid w:val="009371DC"/>
    <w:rsid w:val="0093759D"/>
    <w:rsid w:val="00940239"/>
    <w:rsid w:val="00942BD6"/>
    <w:rsid w:val="00942DED"/>
    <w:rsid w:val="00944404"/>
    <w:rsid w:val="009452D7"/>
    <w:rsid w:val="00945FD1"/>
    <w:rsid w:val="00946CCC"/>
    <w:rsid w:val="009503E5"/>
    <w:rsid w:val="00950818"/>
    <w:rsid w:val="00950F71"/>
    <w:rsid w:val="00952F2C"/>
    <w:rsid w:val="009532E3"/>
    <w:rsid w:val="00953615"/>
    <w:rsid w:val="00954BAF"/>
    <w:rsid w:val="00955F48"/>
    <w:rsid w:val="009560B3"/>
    <w:rsid w:val="0095745E"/>
    <w:rsid w:val="00957CE0"/>
    <w:rsid w:val="0096002E"/>
    <w:rsid w:val="0096039E"/>
    <w:rsid w:val="00960C5D"/>
    <w:rsid w:val="00962CEF"/>
    <w:rsid w:val="00963766"/>
    <w:rsid w:val="00963FDF"/>
    <w:rsid w:val="00964C32"/>
    <w:rsid w:val="0096528F"/>
    <w:rsid w:val="009653F2"/>
    <w:rsid w:val="009661DF"/>
    <w:rsid w:val="009667BD"/>
    <w:rsid w:val="00967CE2"/>
    <w:rsid w:val="009707EE"/>
    <w:rsid w:val="0097183F"/>
    <w:rsid w:val="00971DA3"/>
    <w:rsid w:val="00972161"/>
    <w:rsid w:val="0097261B"/>
    <w:rsid w:val="00974881"/>
    <w:rsid w:val="0097606C"/>
    <w:rsid w:val="009771D1"/>
    <w:rsid w:val="0098012D"/>
    <w:rsid w:val="00980845"/>
    <w:rsid w:val="009814B3"/>
    <w:rsid w:val="00981BD9"/>
    <w:rsid w:val="0098225F"/>
    <w:rsid w:val="00983A3C"/>
    <w:rsid w:val="00983EFA"/>
    <w:rsid w:val="00984C15"/>
    <w:rsid w:val="00987829"/>
    <w:rsid w:val="00991276"/>
    <w:rsid w:val="009923E7"/>
    <w:rsid w:val="00992697"/>
    <w:rsid w:val="00992D4E"/>
    <w:rsid w:val="00993092"/>
    <w:rsid w:val="00994621"/>
    <w:rsid w:val="009947FF"/>
    <w:rsid w:val="0099544B"/>
    <w:rsid w:val="009A07A6"/>
    <w:rsid w:val="009A0D56"/>
    <w:rsid w:val="009A31B9"/>
    <w:rsid w:val="009A4D4F"/>
    <w:rsid w:val="009A53D8"/>
    <w:rsid w:val="009A597F"/>
    <w:rsid w:val="009A7B72"/>
    <w:rsid w:val="009A7F49"/>
    <w:rsid w:val="009B0116"/>
    <w:rsid w:val="009B03C4"/>
    <w:rsid w:val="009B0AA2"/>
    <w:rsid w:val="009B1D02"/>
    <w:rsid w:val="009B7133"/>
    <w:rsid w:val="009B7658"/>
    <w:rsid w:val="009B7724"/>
    <w:rsid w:val="009B7CD1"/>
    <w:rsid w:val="009B7E22"/>
    <w:rsid w:val="009B7E78"/>
    <w:rsid w:val="009C10FE"/>
    <w:rsid w:val="009C13BC"/>
    <w:rsid w:val="009C1CA4"/>
    <w:rsid w:val="009C2532"/>
    <w:rsid w:val="009C2BA4"/>
    <w:rsid w:val="009C6091"/>
    <w:rsid w:val="009C634F"/>
    <w:rsid w:val="009D0219"/>
    <w:rsid w:val="009D02D3"/>
    <w:rsid w:val="009D0D55"/>
    <w:rsid w:val="009D2295"/>
    <w:rsid w:val="009D2511"/>
    <w:rsid w:val="009D3CCB"/>
    <w:rsid w:val="009D3E7C"/>
    <w:rsid w:val="009D55CA"/>
    <w:rsid w:val="009D5EF0"/>
    <w:rsid w:val="009D6401"/>
    <w:rsid w:val="009D766E"/>
    <w:rsid w:val="009E0711"/>
    <w:rsid w:val="009E1917"/>
    <w:rsid w:val="009E3594"/>
    <w:rsid w:val="009E6B77"/>
    <w:rsid w:val="009E7724"/>
    <w:rsid w:val="009E7D1F"/>
    <w:rsid w:val="009F1410"/>
    <w:rsid w:val="009F1D82"/>
    <w:rsid w:val="009F37AA"/>
    <w:rsid w:val="009F544C"/>
    <w:rsid w:val="009F56C5"/>
    <w:rsid w:val="009F5731"/>
    <w:rsid w:val="009F6158"/>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F49"/>
    <w:rsid w:val="00A10148"/>
    <w:rsid w:val="00A10C20"/>
    <w:rsid w:val="00A110F6"/>
    <w:rsid w:val="00A113FD"/>
    <w:rsid w:val="00A11DDE"/>
    <w:rsid w:val="00A127A7"/>
    <w:rsid w:val="00A129F4"/>
    <w:rsid w:val="00A12ABC"/>
    <w:rsid w:val="00A136F4"/>
    <w:rsid w:val="00A160D3"/>
    <w:rsid w:val="00A16DC9"/>
    <w:rsid w:val="00A20225"/>
    <w:rsid w:val="00A20F8A"/>
    <w:rsid w:val="00A24269"/>
    <w:rsid w:val="00A243E4"/>
    <w:rsid w:val="00A252FF"/>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08C5"/>
    <w:rsid w:val="00A4173D"/>
    <w:rsid w:val="00A41A95"/>
    <w:rsid w:val="00A4248B"/>
    <w:rsid w:val="00A4376E"/>
    <w:rsid w:val="00A4572B"/>
    <w:rsid w:val="00A46246"/>
    <w:rsid w:val="00A46349"/>
    <w:rsid w:val="00A46D5E"/>
    <w:rsid w:val="00A50847"/>
    <w:rsid w:val="00A512C7"/>
    <w:rsid w:val="00A51BB2"/>
    <w:rsid w:val="00A52CAA"/>
    <w:rsid w:val="00A52EBB"/>
    <w:rsid w:val="00A54BFF"/>
    <w:rsid w:val="00A54C63"/>
    <w:rsid w:val="00A54FBB"/>
    <w:rsid w:val="00A55BB1"/>
    <w:rsid w:val="00A55FD6"/>
    <w:rsid w:val="00A5619C"/>
    <w:rsid w:val="00A564CD"/>
    <w:rsid w:val="00A564CE"/>
    <w:rsid w:val="00A5675F"/>
    <w:rsid w:val="00A568CE"/>
    <w:rsid w:val="00A607BE"/>
    <w:rsid w:val="00A60D6F"/>
    <w:rsid w:val="00A61009"/>
    <w:rsid w:val="00A6108A"/>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A03"/>
    <w:rsid w:val="00A85543"/>
    <w:rsid w:val="00A8728B"/>
    <w:rsid w:val="00A91682"/>
    <w:rsid w:val="00A92E4A"/>
    <w:rsid w:val="00A958CA"/>
    <w:rsid w:val="00A966B6"/>
    <w:rsid w:val="00A96B46"/>
    <w:rsid w:val="00AA003B"/>
    <w:rsid w:val="00AA016B"/>
    <w:rsid w:val="00AA15DD"/>
    <w:rsid w:val="00AA1C09"/>
    <w:rsid w:val="00AA2F67"/>
    <w:rsid w:val="00AA2F9D"/>
    <w:rsid w:val="00AA3569"/>
    <w:rsid w:val="00AA5F4C"/>
    <w:rsid w:val="00AA615C"/>
    <w:rsid w:val="00AA6711"/>
    <w:rsid w:val="00AA7572"/>
    <w:rsid w:val="00AB2AEC"/>
    <w:rsid w:val="00AB2DC1"/>
    <w:rsid w:val="00AB3102"/>
    <w:rsid w:val="00AB3D9A"/>
    <w:rsid w:val="00AB4824"/>
    <w:rsid w:val="00AB4B1D"/>
    <w:rsid w:val="00AB6B5E"/>
    <w:rsid w:val="00AC047F"/>
    <w:rsid w:val="00AC315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3FA2"/>
    <w:rsid w:val="00AF4401"/>
    <w:rsid w:val="00AF4463"/>
    <w:rsid w:val="00AF53CB"/>
    <w:rsid w:val="00AF65C5"/>
    <w:rsid w:val="00AF691F"/>
    <w:rsid w:val="00AF7CD1"/>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242"/>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2230"/>
    <w:rsid w:val="00B43603"/>
    <w:rsid w:val="00B4401C"/>
    <w:rsid w:val="00B44802"/>
    <w:rsid w:val="00B455D1"/>
    <w:rsid w:val="00B46135"/>
    <w:rsid w:val="00B470C1"/>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6D33"/>
    <w:rsid w:val="00B57107"/>
    <w:rsid w:val="00B60D27"/>
    <w:rsid w:val="00B619E4"/>
    <w:rsid w:val="00B61D0B"/>
    <w:rsid w:val="00B6439A"/>
    <w:rsid w:val="00B6443B"/>
    <w:rsid w:val="00B6517B"/>
    <w:rsid w:val="00B65E71"/>
    <w:rsid w:val="00B66C26"/>
    <w:rsid w:val="00B71C58"/>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18"/>
    <w:rsid w:val="00B928AE"/>
    <w:rsid w:val="00B93CDA"/>
    <w:rsid w:val="00B942E9"/>
    <w:rsid w:val="00B9433A"/>
    <w:rsid w:val="00B948EE"/>
    <w:rsid w:val="00B94BF3"/>
    <w:rsid w:val="00B94F90"/>
    <w:rsid w:val="00B95DC5"/>
    <w:rsid w:val="00B97E34"/>
    <w:rsid w:val="00B97FEF"/>
    <w:rsid w:val="00BA1354"/>
    <w:rsid w:val="00BA1F29"/>
    <w:rsid w:val="00BA24F8"/>
    <w:rsid w:val="00BA31AA"/>
    <w:rsid w:val="00BA3A0C"/>
    <w:rsid w:val="00BA45D8"/>
    <w:rsid w:val="00BA5828"/>
    <w:rsid w:val="00BA64B3"/>
    <w:rsid w:val="00BA754A"/>
    <w:rsid w:val="00BA7820"/>
    <w:rsid w:val="00BA794C"/>
    <w:rsid w:val="00BB09FB"/>
    <w:rsid w:val="00BB1DCC"/>
    <w:rsid w:val="00BB238D"/>
    <w:rsid w:val="00BB37CC"/>
    <w:rsid w:val="00BB48C4"/>
    <w:rsid w:val="00BB6907"/>
    <w:rsid w:val="00BB7A20"/>
    <w:rsid w:val="00BC15B1"/>
    <w:rsid w:val="00BC3C06"/>
    <w:rsid w:val="00BC4E8B"/>
    <w:rsid w:val="00BC5622"/>
    <w:rsid w:val="00BC6060"/>
    <w:rsid w:val="00BC7897"/>
    <w:rsid w:val="00BD0F35"/>
    <w:rsid w:val="00BD341C"/>
    <w:rsid w:val="00BD45A4"/>
    <w:rsid w:val="00BD4A5F"/>
    <w:rsid w:val="00BD59AA"/>
    <w:rsid w:val="00BD65E6"/>
    <w:rsid w:val="00BD6AF7"/>
    <w:rsid w:val="00BE19EF"/>
    <w:rsid w:val="00BE1B06"/>
    <w:rsid w:val="00BE425B"/>
    <w:rsid w:val="00BE51BB"/>
    <w:rsid w:val="00BE7595"/>
    <w:rsid w:val="00BE77D3"/>
    <w:rsid w:val="00BF0138"/>
    <w:rsid w:val="00BF114B"/>
    <w:rsid w:val="00BF1620"/>
    <w:rsid w:val="00BF1AC3"/>
    <w:rsid w:val="00BF373A"/>
    <w:rsid w:val="00BF3996"/>
    <w:rsid w:val="00BF61C8"/>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833"/>
    <w:rsid w:val="00C14F48"/>
    <w:rsid w:val="00C15296"/>
    <w:rsid w:val="00C16EB1"/>
    <w:rsid w:val="00C17750"/>
    <w:rsid w:val="00C2094B"/>
    <w:rsid w:val="00C20DC5"/>
    <w:rsid w:val="00C2294E"/>
    <w:rsid w:val="00C22A5B"/>
    <w:rsid w:val="00C23412"/>
    <w:rsid w:val="00C264C7"/>
    <w:rsid w:val="00C271C4"/>
    <w:rsid w:val="00C274F3"/>
    <w:rsid w:val="00C30A54"/>
    <w:rsid w:val="00C316F7"/>
    <w:rsid w:val="00C31DF0"/>
    <w:rsid w:val="00C31ED9"/>
    <w:rsid w:val="00C33916"/>
    <w:rsid w:val="00C33BCF"/>
    <w:rsid w:val="00C353A0"/>
    <w:rsid w:val="00C368D7"/>
    <w:rsid w:val="00C36FD1"/>
    <w:rsid w:val="00C371A5"/>
    <w:rsid w:val="00C400B0"/>
    <w:rsid w:val="00C413FC"/>
    <w:rsid w:val="00C43D33"/>
    <w:rsid w:val="00C44407"/>
    <w:rsid w:val="00C456E8"/>
    <w:rsid w:val="00C46630"/>
    <w:rsid w:val="00C474CC"/>
    <w:rsid w:val="00C47A2F"/>
    <w:rsid w:val="00C47DF6"/>
    <w:rsid w:val="00C50D18"/>
    <w:rsid w:val="00C51179"/>
    <w:rsid w:val="00C5282C"/>
    <w:rsid w:val="00C52FBE"/>
    <w:rsid w:val="00C5355E"/>
    <w:rsid w:val="00C535E2"/>
    <w:rsid w:val="00C53FC1"/>
    <w:rsid w:val="00C56438"/>
    <w:rsid w:val="00C570B3"/>
    <w:rsid w:val="00C57F5E"/>
    <w:rsid w:val="00C6009F"/>
    <w:rsid w:val="00C60417"/>
    <w:rsid w:val="00C6046F"/>
    <w:rsid w:val="00C638C2"/>
    <w:rsid w:val="00C651D4"/>
    <w:rsid w:val="00C6604D"/>
    <w:rsid w:val="00C6669E"/>
    <w:rsid w:val="00C672B0"/>
    <w:rsid w:val="00C729C7"/>
    <w:rsid w:val="00C74305"/>
    <w:rsid w:val="00C75738"/>
    <w:rsid w:val="00C75BF1"/>
    <w:rsid w:val="00C777AD"/>
    <w:rsid w:val="00C80C53"/>
    <w:rsid w:val="00C80FD9"/>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2D"/>
    <w:rsid w:val="00CA44F3"/>
    <w:rsid w:val="00CA582C"/>
    <w:rsid w:val="00CA5EF6"/>
    <w:rsid w:val="00CA6077"/>
    <w:rsid w:val="00CA715B"/>
    <w:rsid w:val="00CA7988"/>
    <w:rsid w:val="00CA7BA2"/>
    <w:rsid w:val="00CB0B78"/>
    <w:rsid w:val="00CB12A5"/>
    <w:rsid w:val="00CB17FA"/>
    <w:rsid w:val="00CB23D8"/>
    <w:rsid w:val="00CB2ED9"/>
    <w:rsid w:val="00CB36A5"/>
    <w:rsid w:val="00CB5646"/>
    <w:rsid w:val="00CB56B4"/>
    <w:rsid w:val="00CB5A8E"/>
    <w:rsid w:val="00CB7286"/>
    <w:rsid w:val="00CB7947"/>
    <w:rsid w:val="00CC1783"/>
    <w:rsid w:val="00CC2EA3"/>
    <w:rsid w:val="00CC3B46"/>
    <w:rsid w:val="00CC3D8B"/>
    <w:rsid w:val="00CC4926"/>
    <w:rsid w:val="00CC4E27"/>
    <w:rsid w:val="00CC570C"/>
    <w:rsid w:val="00CC62B6"/>
    <w:rsid w:val="00CC6BDB"/>
    <w:rsid w:val="00CC7303"/>
    <w:rsid w:val="00CC76AA"/>
    <w:rsid w:val="00CC78B8"/>
    <w:rsid w:val="00CC7CD2"/>
    <w:rsid w:val="00CD05CF"/>
    <w:rsid w:val="00CD1B08"/>
    <w:rsid w:val="00CD1FAE"/>
    <w:rsid w:val="00CD232F"/>
    <w:rsid w:val="00CD279E"/>
    <w:rsid w:val="00CD2F92"/>
    <w:rsid w:val="00CD4EB0"/>
    <w:rsid w:val="00CD512D"/>
    <w:rsid w:val="00CD5831"/>
    <w:rsid w:val="00CD6F6E"/>
    <w:rsid w:val="00CD7722"/>
    <w:rsid w:val="00CE157F"/>
    <w:rsid w:val="00CE1966"/>
    <w:rsid w:val="00CE1ED4"/>
    <w:rsid w:val="00CE2216"/>
    <w:rsid w:val="00CE3014"/>
    <w:rsid w:val="00CE30E5"/>
    <w:rsid w:val="00CE6FC6"/>
    <w:rsid w:val="00CF2056"/>
    <w:rsid w:val="00CF4471"/>
    <w:rsid w:val="00CF51C0"/>
    <w:rsid w:val="00CF5B2A"/>
    <w:rsid w:val="00CF5F57"/>
    <w:rsid w:val="00CF616E"/>
    <w:rsid w:val="00CF64A7"/>
    <w:rsid w:val="00CF6730"/>
    <w:rsid w:val="00CF70E5"/>
    <w:rsid w:val="00CF7CEC"/>
    <w:rsid w:val="00CF7DA5"/>
    <w:rsid w:val="00D009A7"/>
    <w:rsid w:val="00D00B0F"/>
    <w:rsid w:val="00D01BF4"/>
    <w:rsid w:val="00D0272C"/>
    <w:rsid w:val="00D045CE"/>
    <w:rsid w:val="00D05082"/>
    <w:rsid w:val="00D06163"/>
    <w:rsid w:val="00D06937"/>
    <w:rsid w:val="00D07AFD"/>
    <w:rsid w:val="00D07EA2"/>
    <w:rsid w:val="00D10C24"/>
    <w:rsid w:val="00D11749"/>
    <w:rsid w:val="00D12A7D"/>
    <w:rsid w:val="00D13AB0"/>
    <w:rsid w:val="00D1519E"/>
    <w:rsid w:val="00D152B7"/>
    <w:rsid w:val="00D16EDC"/>
    <w:rsid w:val="00D17FDE"/>
    <w:rsid w:val="00D201CB"/>
    <w:rsid w:val="00D22786"/>
    <w:rsid w:val="00D228B4"/>
    <w:rsid w:val="00D2321B"/>
    <w:rsid w:val="00D25AC4"/>
    <w:rsid w:val="00D305F6"/>
    <w:rsid w:val="00D30B25"/>
    <w:rsid w:val="00D3175A"/>
    <w:rsid w:val="00D31A00"/>
    <w:rsid w:val="00D323E4"/>
    <w:rsid w:val="00D32871"/>
    <w:rsid w:val="00D33881"/>
    <w:rsid w:val="00D34282"/>
    <w:rsid w:val="00D366B1"/>
    <w:rsid w:val="00D3729B"/>
    <w:rsid w:val="00D37AE0"/>
    <w:rsid w:val="00D416A8"/>
    <w:rsid w:val="00D4217D"/>
    <w:rsid w:val="00D4257C"/>
    <w:rsid w:val="00D425AC"/>
    <w:rsid w:val="00D42823"/>
    <w:rsid w:val="00D428D7"/>
    <w:rsid w:val="00D42D5E"/>
    <w:rsid w:val="00D43F14"/>
    <w:rsid w:val="00D44C18"/>
    <w:rsid w:val="00D4556D"/>
    <w:rsid w:val="00D511C6"/>
    <w:rsid w:val="00D5121D"/>
    <w:rsid w:val="00D516AC"/>
    <w:rsid w:val="00D521BB"/>
    <w:rsid w:val="00D52875"/>
    <w:rsid w:val="00D54050"/>
    <w:rsid w:val="00D540A8"/>
    <w:rsid w:val="00D56AC0"/>
    <w:rsid w:val="00D600D9"/>
    <w:rsid w:val="00D6081B"/>
    <w:rsid w:val="00D6144D"/>
    <w:rsid w:val="00D6240A"/>
    <w:rsid w:val="00D63093"/>
    <w:rsid w:val="00D63599"/>
    <w:rsid w:val="00D63EBD"/>
    <w:rsid w:val="00D6438A"/>
    <w:rsid w:val="00D67101"/>
    <w:rsid w:val="00D71B45"/>
    <w:rsid w:val="00D71F8A"/>
    <w:rsid w:val="00D75603"/>
    <w:rsid w:val="00D75C5A"/>
    <w:rsid w:val="00D75FEE"/>
    <w:rsid w:val="00D76933"/>
    <w:rsid w:val="00D76D88"/>
    <w:rsid w:val="00D77CC9"/>
    <w:rsid w:val="00D83D4B"/>
    <w:rsid w:val="00D871C6"/>
    <w:rsid w:val="00D87E0D"/>
    <w:rsid w:val="00D9014C"/>
    <w:rsid w:val="00D91010"/>
    <w:rsid w:val="00D920D1"/>
    <w:rsid w:val="00D9237D"/>
    <w:rsid w:val="00D9321E"/>
    <w:rsid w:val="00D9361B"/>
    <w:rsid w:val="00DA0FA7"/>
    <w:rsid w:val="00DA12B0"/>
    <w:rsid w:val="00DA2BA0"/>
    <w:rsid w:val="00DA39AD"/>
    <w:rsid w:val="00DA56D8"/>
    <w:rsid w:val="00DA5B13"/>
    <w:rsid w:val="00DA5D17"/>
    <w:rsid w:val="00DA6917"/>
    <w:rsid w:val="00DA6926"/>
    <w:rsid w:val="00DB0011"/>
    <w:rsid w:val="00DB0965"/>
    <w:rsid w:val="00DB0E47"/>
    <w:rsid w:val="00DB2BDD"/>
    <w:rsid w:val="00DB3AED"/>
    <w:rsid w:val="00DB4121"/>
    <w:rsid w:val="00DB46C3"/>
    <w:rsid w:val="00DB5742"/>
    <w:rsid w:val="00DB5EDF"/>
    <w:rsid w:val="00DB6C46"/>
    <w:rsid w:val="00DB72B8"/>
    <w:rsid w:val="00DC16AF"/>
    <w:rsid w:val="00DC2A9A"/>
    <w:rsid w:val="00DC2E2E"/>
    <w:rsid w:val="00DC4D68"/>
    <w:rsid w:val="00DC645D"/>
    <w:rsid w:val="00DC6463"/>
    <w:rsid w:val="00DC7822"/>
    <w:rsid w:val="00DC7AF1"/>
    <w:rsid w:val="00DD2660"/>
    <w:rsid w:val="00DD2D92"/>
    <w:rsid w:val="00DD3026"/>
    <w:rsid w:val="00DD33DC"/>
    <w:rsid w:val="00DD3BB0"/>
    <w:rsid w:val="00DD45F8"/>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3F56"/>
    <w:rsid w:val="00E1633B"/>
    <w:rsid w:val="00E16FB5"/>
    <w:rsid w:val="00E179D6"/>
    <w:rsid w:val="00E21407"/>
    <w:rsid w:val="00E22668"/>
    <w:rsid w:val="00E227D3"/>
    <w:rsid w:val="00E22BFF"/>
    <w:rsid w:val="00E22CB0"/>
    <w:rsid w:val="00E23798"/>
    <w:rsid w:val="00E2585D"/>
    <w:rsid w:val="00E25DBD"/>
    <w:rsid w:val="00E25FA2"/>
    <w:rsid w:val="00E2723D"/>
    <w:rsid w:val="00E27435"/>
    <w:rsid w:val="00E27C77"/>
    <w:rsid w:val="00E30AB1"/>
    <w:rsid w:val="00E3179E"/>
    <w:rsid w:val="00E32AC9"/>
    <w:rsid w:val="00E354DA"/>
    <w:rsid w:val="00E354F5"/>
    <w:rsid w:val="00E3687E"/>
    <w:rsid w:val="00E40974"/>
    <w:rsid w:val="00E40AAB"/>
    <w:rsid w:val="00E41205"/>
    <w:rsid w:val="00E41D9D"/>
    <w:rsid w:val="00E41F32"/>
    <w:rsid w:val="00E42608"/>
    <w:rsid w:val="00E43536"/>
    <w:rsid w:val="00E436BB"/>
    <w:rsid w:val="00E43DA3"/>
    <w:rsid w:val="00E44B80"/>
    <w:rsid w:val="00E47430"/>
    <w:rsid w:val="00E47995"/>
    <w:rsid w:val="00E50FB7"/>
    <w:rsid w:val="00E5199F"/>
    <w:rsid w:val="00E526DF"/>
    <w:rsid w:val="00E53C15"/>
    <w:rsid w:val="00E54EE6"/>
    <w:rsid w:val="00E55286"/>
    <w:rsid w:val="00E56715"/>
    <w:rsid w:val="00E56C2C"/>
    <w:rsid w:val="00E57F8E"/>
    <w:rsid w:val="00E611C8"/>
    <w:rsid w:val="00E6344A"/>
    <w:rsid w:val="00E64E69"/>
    <w:rsid w:val="00E64FB7"/>
    <w:rsid w:val="00E65D07"/>
    <w:rsid w:val="00E669A1"/>
    <w:rsid w:val="00E679BA"/>
    <w:rsid w:val="00E70243"/>
    <w:rsid w:val="00E7065A"/>
    <w:rsid w:val="00E72CC6"/>
    <w:rsid w:val="00E72D84"/>
    <w:rsid w:val="00E73D44"/>
    <w:rsid w:val="00E7494A"/>
    <w:rsid w:val="00E74BE2"/>
    <w:rsid w:val="00E74C66"/>
    <w:rsid w:val="00E75933"/>
    <w:rsid w:val="00E77A1B"/>
    <w:rsid w:val="00E808BE"/>
    <w:rsid w:val="00E81E36"/>
    <w:rsid w:val="00E81E40"/>
    <w:rsid w:val="00E82ECE"/>
    <w:rsid w:val="00E8430E"/>
    <w:rsid w:val="00E8590A"/>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A4"/>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6CE0"/>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EF7E7E"/>
    <w:rsid w:val="00F005FD"/>
    <w:rsid w:val="00F016BE"/>
    <w:rsid w:val="00F02C04"/>
    <w:rsid w:val="00F03AF1"/>
    <w:rsid w:val="00F04BCD"/>
    <w:rsid w:val="00F05A8C"/>
    <w:rsid w:val="00F06211"/>
    <w:rsid w:val="00F10A54"/>
    <w:rsid w:val="00F115A6"/>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B11"/>
    <w:rsid w:val="00F24E6F"/>
    <w:rsid w:val="00F26069"/>
    <w:rsid w:val="00F26B7E"/>
    <w:rsid w:val="00F27D7D"/>
    <w:rsid w:val="00F3002B"/>
    <w:rsid w:val="00F30BC9"/>
    <w:rsid w:val="00F310E7"/>
    <w:rsid w:val="00F3162F"/>
    <w:rsid w:val="00F32462"/>
    <w:rsid w:val="00F32FF7"/>
    <w:rsid w:val="00F33C45"/>
    <w:rsid w:val="00F33EDE"/>
    <w:rsid w:val="00F3568B"/>
    <w:rsid w:val="00F35BF5"/>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664"/>
    <w:rsid w:val="00F61B99"/>
    <w:rsid w:val="00F62ECC"/>
    <w:rsid w:val="00F64C45"/>
    <w:rsid w:val="00F6502B"/>
    <w:rsid w:val="00F6612A"/>
    <w:rsid w:val="00F66724"/>
    <w:rsid w:val="00F67F04"/>
    <w:rsid w:val="00F70207"/>
    <w:rsid w:val="00F702CB"/>
    <w:rsid w:val="00F71834"/>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26B"/>
    <w:rsid w:val="00F9550B"/>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05B8"/>
    <w:rsid w:val="00FD13EA"/>
    <w:rsid w:val="00FD4762"/>
    <w:rsid w:val="00FD5EC4"/>
    <w:rsid w:val="00FD68AD"/>
    <w:rsid w:val="00FD7858"/>
    <w:rsid w:val="00FD7A8D"/>
    <w:rsid w:val="00FE1330"/>
    <w:rsid w:val="00FE1CE5"/>
    <w:rsid w:val="00FE2832"/>
    <w:rsid w:val="00FE2D38"/>
    <w:rsid w:val="00FE3929"/>
    <w:rsid w:val="00FF097B"/>
    <w:rsid w:val="00FF0B6E"/>
    <w:rsid w:val="00FF12A2"/>
    <w:rsid w:val="00FF1C1B"/>
    <w:rsid w:val="00FF2067"/>
    <w:rsid w:val="00FF3BC4"/>
    <w:rsid w:val="00FF4B66"/>
    <w:rsid w:val="00FF5939"/>
    <w:rsid w:val="00FF688E"/>
    <w:rsid w:val="00FF6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33ACFB7F"/>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larusft.com/30-of-the-euro-swap-market-is-standardized/" TargetMode="External"/><Relationship Id="rId13" Type="http://schemas.openxmlformats.org/officeDocument/2006/relationships/hyperlink" Target="http://www.cftc.gov/idc/groups/public/@lrlettergeneral/documents/letter/16-74.pdf" TargetMode="External"/><Relationship Id="rId18" Type="http://schemas.openxmlformats.org/officeDocument/2006/relationships/hyperlink" Target="http://www.cftc.gov/idc/groups/public/@lrfederalregister/documents/file/2013-12242a.pdf" TargetMode="External"/><Relationship Id="rId3" Type="http://schemas.openxmlformats.org/officeDocument/2006/relationships/hyperlink" Target="https://www.clarusft.com/spreadovers-us-treasury-spreads-in-the-swaps-data/" TargetMode="External"/><Relationship Id="rId21" Type="http://schemas.openxmlformats.org/officeDocument/2006/relationships/hyperlink" Target="https://www.clarusft.com/30-of-the-euro-swap-market-is-standardized/" TargetMode="External"/><Relationship Id="rId7" Type="http://schemas.openxmlformats.org/officeDocument/2006/relationships/hyperlink" Target="https://www.clarusft.com/30-of-the-euro-swap-market-is-standardized/" TargetMode="External"/><Relationship Id="rId12" Type="http://schemas.openxmlformats.org/officeDocument/2006/relationships/hyperlink" Target="http://www.cftc.gov/idc/groups/public/@lrfederalregister/documents/file/2011-33173a.pdf" TargetMode="External"/><Relationship Id="rId17" Type="http://schemas.openxmlformats.org/officeDocument/2006/relationships/hyperlink" Target="http://www.cftc.gov/idc/groups/public/@lrfederalregister/documents/file/2013-12242a.pdf" TargetMode="External"/><Relationship Id="rId2" Type="http://schemas.openxmlformats.org/officeDocument/2006/relationships/hyperlink" Target="http://eur-lex.europa.eu/legal-content/EN/TXT/PDF/?uri=CELEX:32017R0583&amp;from=EN" TargetMode="External"/><Relationship Id="rId16" Type="http://schemas.openxmlformats.org/officeDocument/2006/relationships/hyperlink" Target="http://eur-lex.europa.eu/legal-content/EN/TXT/PDF/?uri=CELEX:32017R0583&amp;from=EN" TargetMode="External"/><Relationship Id="rId20" Type="http://schemas.openxmlformats.org/officeDocument/2006/relationships/hyperlink" Target="http://eur-lex.europa.eu/legal-content/EN/TXT/PDF/?uri=CELEX:32017R0583&amp;from=EN" TargetMode="External"/><Relationship Id="rId1" Type="http://schemas.openxmlformats.org/officeDocument/2006/relationships/hyperlink" Target="https://www.esma.europa.eu/policy-activities/mifid-ii-and-mifir/mifid-ii-transitional-transparency-calculation" TargetMode="External"/><Relationship Id="rId6" Type="http://schemas.openxmlformats.org/officeDocument/2006/relationships/hyperlink" Target="https://www.esma.europa.eu/press-news/esma-news/esma-updates-qa-mifid-ii-implementation-0" TargetMode="External"/><Relationship Id="rId11" Type="http://schemas.openxmlformats.org/officeDocument/2006/relationships/hyperlink" Target="http://www.cftc.gov/idc/groups/public/@lrlettergeneral/documents/letter/16-74.pdf" TargetMode="External"/><Relationship Id="rId5" Type="http://schemas.openxmlformats.org/officeDocument/2006/relationships/hyperlink" Target="http://www.cftc.gov/idc/groups/public/@lrlettergeneral/documents/letter/16-74.pdf" TargetMode="External"/><Relationship Id="rId15" Type="http://schemas.openxmlformats.org/officeDocument/2006/relationships/hyperlink" Target="https://www.esma.europa.eu/policy-activities/mifid-ii-and-mifir/mifid-ii-transitional-transparency-calculation" TargetMode="External"/><Relationship Id="rId10" Type="http://schemas.openxmlformats.org/officeDocument/2006/relationships/hyperlink" Target="http://www.cftc.gov/idc/groups/public/@lrfederalregister/documents/file/2013-12242a.pdf" TargetMode="External"/><Relationship Id="rId19" Type="http://schemas.openxmlformats.org/officeDocument/2006/relationships/hyperlink" Target="http://www.cftc.gov/idc/groups/public/@lrlettergeneral/documents/letter/16-74.pdf" TargetMode="External"/><Relationship Id="rId4" Type="http://schemas.openxmlformats.org/officeDocument/2006/relationships/hyperlink" Target="http://voxia.ch/en/trad-x-strengthens-interest-rate-swaps-market-presence-with-eurex-clearing-partnership/" TargetMode="External"/><Relationship Id="rId9" Type="http://schemas.openxmlformats.org/officeDocument/2006/relationships/hyperlink" Target="http://www.cftc.gov/idc/groups/public/@lrfederalregister/documents/file/2013-12242a.pdf" TargetMode="External"/><Relationship Id="rId14" Type="http://schemas.openxmlformats.org/officeDocument/2006/relationships/hyperlink" Target="https://www.esma.europa.eu/press-news/esma-news/esma-updates-qa-mifid-ii-implementation-0" TargetMode="External"/><Relationship Id="rId22" Type="http://schemas.openxmlformats.org/officeDocument/2006/relationships/hyperlink" Target="https://www.clarusft.com/30-of-the-euro-swap-market-is-standardiz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A262F8F8-5BAF-4BA7-B8CB-49AD577B0E27}">
  <ds:schemaRefs>
    <ds:schemaRef ds:uri="http://www.w3.org/XML/1998/namespace"/>
    <ds:schemaRef ds:uri="http://schemas.microsoft.com/sharepoint/v4"/>
    <ds:schemaRef ds:uri="20fbe147-bbda-4e53-b6b1-7e8bbff3fe19"/>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9FBBA2-338F-4E34-AE79-640E8F381EEF}">
  <ds:schemaRefs>
    <ds:schemaRef ds:uri="http://schemas.openxmlformats.org/officeDocument/2006/bibliography"/>
  </ds:schemaRefs>
</ds:datastoreItem>
</file>

<file path=customXml/itemProps6.xml><?xml version="1.0" encoding="utf-8"?>
<ds:datastoreItem xmlns:ds="http://schemas.openxmlformats.org/officeDocument/2006/customXml" ds:itemID="{AB148B20-21D3-4EC0-AB90-E909547E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8433</Words>
  <Characters>47301</Characters>
  <Application>Microsoft Office Word</Application>
  <DocSecurity>8</DocSecurity>
  <Lines>394</Lines>
  <Paragraphs>111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LinksUpToDate>false</LinksUpToDate>
  <CharactersWithSpaces>55623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2017-07-31T17:13:00Z</cp:lastPrinted>
  <dcterms:created xsi:type="dcterms:W3CDTF">2017-07-31T17:49:00Z</dcterms:created>
  <dcterms:modified xsi:type="dcterms:W3CDTF">2017-07-31T18:42:00Z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