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C539FF" w:rsidP="006A24D5">
            <w:pPr>
              <w:pStyle w:val="00bDBInfo"/>
              <w:rPr>
                <w:rFonts w:cs="Arial"/>
              </w:rPr>
            </w:pPr>
            <w:r>
              <w:rPr>
                <w:rFonts w:cs="Arial"/>
              </w:rPr>
              <w:t>31</w:t>
            </w:r>
            <w:r w:rsidR="00F65811">
              <w:rPr>
                <w:rFonts w:cs="Arial"/>
              </w:rPr>
              <w:t xml:space="preserve"> January 2017</w:t>
            </w:r>
          </w:p>
        </w:tc>
      </w:tr>
    </w:tbl>
    <w:p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rsidTr="006F4535">
        <w:trPr>
          <w:trHeight w:hRule="exact" w:val="1912"/>
        </w:trPr>
        <w:tc>
          <w:tcPr>
            <w:tcW w:w="9586" w:type="dxa"/>
            <w:vAlign w:val="bottom"/>
          </w:tcPr>
          <w:p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rsidR="006F4535" w:rsidRPr="009A053D" w:rsidRDefault="00F65811" w:rsidP="00F65811">
            <w:pPr>
              <w:pStyle w:val="01aDBTitle"/>
              <w:rPr>
                <w:rFonts w:cs="Arial"/>
                <w:sz w:val="32"/>
              </w:rPr>
            </w:pPr>
            <w:r w:rsidRPr="002867B0">
              <w:rPr>
                <w:rFonts w:cs="Arial"/>
                <w:sz w:val="26"/>
                <w:szCs w:val="26"/>
              </w:rPr>
              <w:t>ESMA’</w:t>
            </w:r>
            <w:r>
              <w:rPr>
                <w:rFonts w:cs="Arial"/>
                <w:sz w:val="26"/>
                <w:szCs w:val="26"/>
              </w:rPr>
              <w:t>s Guidelines on transfer of data between TRs</w:t>
            </w:r>
            <w:r w:rsidR="006A24D5" w:rsidRPr="006F4535">
              <w:rPr>
                <w:rFonts w:cs="Arial"/>
                <w:sz w:val="32"/>
              </w:rPr>
              <w:t xml:space="preserve"> </w:t>
            </w:r>
            <w:r w:rsidR="006F4535" w:rsidRPr="006F4535">
              <w:rPr>
                <w:rFonts w:cs="Arial"/>
                <w:sz w:val="32"/>
              </w:rPr>
              <w:t xml:space="preserve"> </w:t>
            </w:r>
          </w:p>
        </w:tc>
      </w:tr>
      <w:tr w:rsidR="006F4535" w:rsidRPr="00616B9B" w:rsidTr="006F4535">
        <w:trPr>
          <w:trHeight w:hRule="exact" w:val="956"/>
        </w:trPr>
        <w:tc>
          <w:tcPr>
            <w:tcW w:w="958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C539FF">
            <w:pPr>
              <w:pStyle w:val="02Date"/>
              <w:rPr>
                <w:rFonts w:cs="Arial"/>
              </w:rPr>
            </w:pPr>
            <w:r w:rsidRPr="004E49B0">
              <w:rPr>
                <w:rFonts w:cs="Arial"/>
              </w:rPr>
              <w:lastRenderedPageBreak/>
              <w:t xml:space="preserve">Date: </w:t>
            </w:r>
            <w:r w:rsidR="00C539FF">
              <w:rPr>
                <w:rFonts w:cs="Arial"/>
              </w:rPr>
              <w:t>31</w:t>
            </w:r>
            <w:r w:rsidR="00F65811">
              <w:rPr>
                <w:rFonts w:cs="Arial"/>
              </w:rPr>
              <w:t xml:space="preserve"> January 2017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F65811" w:rsidRPr="00F65811">
        <w:rPr>
          <w:rFonts w:cs="Arial"/>
        </w:rPr>
        <w:t>ESMA’s Guidelines on transfer of data between TRs</w:t>
      </w:r>
      <w:r w:rsidR="005D0594">
        <w:rPr>
          <w:rFonts w:cs="Arial"/>
        </w:rPr>
        <w:t xml:space="preserve"> </w:t>
      </w:r>
      <w:r w:rsidR="008701E5" w:rsidRPr="008701E5">
        <w:rPr>
          <w:rFonts w:cs="Arial"/>
        </w:rPr>
        <w:t>(</w:t>
      </w:r>
      <w:r w:rsidR="005D0594">
        <w:rPr>
          <w:rFonts w:cs="Arial"/>
        </w:rPr>
        <w:t>TR</w:t>
      </w:r>
      <w:r w:rsidR="00F65811">
        <w:rPr>
          <w:rFonts w:cs="Arial"/>
        </w:rPr>
        <w:t>P</w:t>
      </w:r>
      <w:r w:rsidR="008701E5" w:rsidRPr="008701E5">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0321C9">
        <w:rPr>
          <w:rFonts w:cs="Arial"/>
        </w:rPr>
        <w:t>TRP</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6A24D5">
        <w:rPr>
          <w:rFonts w:cs="Arial"/>
        </w:rPr>
        <w:t>TR</w:t>
      </w:r>
      <w:r w:rsidR="000321C9">
        <w:rPr>
          <w:rFonts w:cs="Arial"/>
        </w:rPr>
        <w:t>P</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6A24D5">
        <w:rPr>
          <w:rFonts w:cs="Arial"/>
        </w:rPr>
        <w:t>TR</w:t>
      </w:r>
      <w:r w:rsidR="000321C9">
        <w:rPr>
          <w:rFonts w:cs="Arial"/>
        </w:rPr>
        <w:t>P</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ESMA_</w:t>
      </w:r>
      <w:r w:rsidR="006A24D5">
        <w:t>TR</w:t>
      </w:r>
      <w:r w:rsidR="000321C9">
        <w:t>P</w:t>
      </w:r>
      <w:r>
        <w:rPr>
          <w:rFonts w:cs="Arial"/>
        </w:rPr>
        <w:t>_XXXX</w:t>
      </w:r>
      <w:r w:rsidR="00021E83" w:rsidRPr="00EF0769">
        <w:rPr>
          <w:rFonts w:cs="Arial"/>
        </w:rPr>
        <w:t>_ANNEX1</w:t>
      </w:r>
    </w:p>
    <w:p w:rsidR="005D0594" w:rsidRDefault="005D059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150F7" w:rsidRPr="00F9173D">
        <w:rPr>
          <w:b/>
        </w:rPr>
        <w:t xml:space="preserve">31 </w:t>
      </w:r>
      <w:r w:rsidR="000321C9">
        <w:rPr>
          <w:b/>
        </w:rPr>
        <w:t>March</w:t>
      </w:r>
      <w:r w:rsidR="00A150F7" w:rsidRPr="00F9173D">
        <w:rPr>
          <w:b/>
        </w:rPr>
        <w:t xml:space="preserve"> 2017</w:t>
      </w:r>
      <w:r w:rsidR="00B705C4">
        <w:rPr>
          <w:rFonts w:cs="Arial"/>
          <w:b/>
        </w:rPr>
        <w:t>.</w:t>
      </w:r>
    </w:p>
    <w:p w:rsidR="00F574D0"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ipervnculo"/>
            <w:rFonts w:cs="Arial"/>
          </w:rPr>
          <w:t>www.esma.europa.eu</w:t>
        </w:r>
      </w:hyperlink>
      <w:r w:rsidRPr="00EF0769">
        <w:rPr>
          <w:rFonts w:cs="Arial"/>
        </w:rPr>
        <w:t xml:space="preserve"> under the heading ‘Your input/Consultations’. </w:t>
      </w:r>
    </w:p>
    <w:p w:rsidR="000321C9" w:rsidRPr="00EF0769" w:rsidRDefault="000321C9" w:rsidP="00F574D0">
      <w:pPr>
        <w:pStyle w:val="04BodyText"/>
        <w:spacing w:before="120" w:after="120"/>
        <w:rPr>
          <w:rFonts w:cs="Arial"/>
        </w:rPr>
      </w:pP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ipervnculo"/>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B327E9" w:rsidRPr="00AB6D88" w:rsidRDefault="00B327E9" w:rsidP="00B327E9">
      <w:pPr>
        <w:pStyle w:val="Ttulo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rsidTr="00FD6EFC">
        <w:tc>
          <w:tcPr>
            <w:tcW w:w="3929" w:type="dxa"/>
            <w:shd w:val="clear" w:color="auto" w:fill="auto"/>
          </w:tcPr>
          <w:p w:rsidR="00B327E9" w:rsidRPr="00AB6D88" w:rsidRDefault="00B327E9" w:rsidP="00FD6EFC">
            <w:pPr>
              <w:rPr>
                <w:rFonts w:cs="Arial"/>
              </w:rPr>
            </w:pPr>
            <w:permStart w:id="1540894981" w:edGrp="everyone" w:colFirst="1" w:colLast="1"/>
            <w:r w:rsidRPr="00AB6D88">
              <w:rPr>
                <w:rFonts w:cs="Arial"/>
              </w:rPr>
              <w:t>Name of the company / organisation</w:t>
            </w:r>
          </w:p>
        </w:tc>
        <w:sdt>
          <w:sdtPr>
            <w:rPr>
              <w:rStyle w:val="Textodelmarcadordeposicin"/>
              <w:rFonts w:cs="Arial"/>
            </w:rPr>
            <w:id w:val="-1905066999"/>
            <w:text/>
          </w:sdtPr>
          <w:sdtEndPr>
            <w:rPr>
              <w:rStyle w:val="Textodelmarcadordeposicin"/>
            </w:rPr>
          </w:sdtEndPr>
          <w:sdtContent>
            <w:tc>
              <w:tcPr>
                <w:tcW w:w="5595" w:type="dxa"/>
                <w:shd w:val="clear" w:color="auto" w:fill="auto"/>
              </w:tcPr>
              <w:p w:rsidR="00B327E9" w:rsidRPr="00AB6D88" w:rsidRDefault="00837B31" w:rsidP="00837B31">
                <w:pPr>
                  <w:rPr>
                    <w:rStyle w:val="Textodelmarcadordeposicin"/>
                    <w:rFonts w:cs="Arial"/>
                  </w:rPr>
                </w:pPr>
                <w:r>
                  <w:rPr>
                    <w:rStyle w:val="Textodelmarcadordeposicin"/>
                    <w:rFonts w:cs="Arial"/>
                  </w:rPr>
                  <w:t>REGIS-TR</w:t>
                </w:r>
              </w:p>
            </w:tc>
          </w:sdtContent>
        </w:sdt>
      </w:tr>
      <w:tr w:rsidR="00B327E9" w:rsidRPr="00AB6D88" w:rsidTr="00FD6EFC">
        <w:tc>
          <w:tcPr>
            <w:tcW w:w="3929" w:type="dxa"/>
            <w:shd w:val="clear" w:color="auto" w:fill="auto"/>
          </w:tcPr>
          <w:p w:rsidR="00B327E9" w:rsidRPr="00AB6D88" w:rsidRDefault="00B327E9" w:rsidP="00FD6EFC">
            <w:pPr>
              <w:rPr>
                <w:rFonts w:cs="Arial"/>
              </w:rPr>
            </w:pPr>
            <w:permStart w:id="2095265351" w:edGrp="everyone" w:colFirst="1" w:colLast="1"/>
            <w:permEnd w:id="1540894981"/>
            <w:r w:rsidRPr="00AB6D88">
              <w:rPr>
                <w:rFonts w:cs="Arial"/>
              </w:rPr>
              <w:t>Activity</w:t>
            </w:r>
          </w:p>
        </w:tc>
        <w:tc>
          <w:tcPr>
            <w:tcW w:w="5595" w:type="dxa"/>
            <w:shd w:val="clear" w:color="auto" w:fill="auto"/>
          </w:tcPr>
          <w:p w:rsidR="00B327E9" w:rsidRPr="00AB6D88" w:rsidRDefault="00AC16A4" w:rsidP="00FD6EFC">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A0ECA">
                  <w:rPr>
                    <w:rFonts w:cs="Arial"/>
                  </w:rPr>
                  <w:t>Other Financial service providers</w:t>
                </w:r>
              </w:sdtContent>
            </w:sdt>
          </w:p>
        </w:tc>
      </w:tr>
      <w:tr w:rsidR="00B327E9" w:rsidRPr="00AB6D88" w:rsidTr="00FD6EFC">
        <w:tc>
          <w:tcPr>
            <w:tcW w:w="3929" w:type="dxa"/>
            <w:shd w:val="clear" w:color="auto" w:fill="auto"/>
          </w:tcPr>
          <w:p w:rsidR="00B327E9" w:rsidRPr="00AB6D88" w:rsidRDefault="00B327E9" w:rsidP="00FD6EFC">
            <w:pPr>
              <w:rPr>
                <w:rFonts w:cs="Arial"/>
              </w:rPr>
            </w:pPr>
            <w:permStart w:id="1488412610" w:edGrp="everyone" w:colFirst="1" w:colLast="1"/>
            <w:permEnd w:id="2095265351"/>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B327E9" w:rsidRPr="00AB6D88" w:rsidRDefault="00B327E9" w:rsidP="00FD6EFC">
                <w:pPr>
                  <w:rPr>
                    <w:rFonts w:cs="Arial"/>
                  </w:rPr>
                </w:pPr>
                <w:r>
                  <w:rPr>
                    <w:rFonts w:ascii="MS Gothic" w:eastAsia="MS Gothic" w:hAnsi="MS Gothic" w:cs="Arial" w:hint="eastAsia"/>
                  </w:rPr>
                  <w:t>☐</w:t>
                </w:r>
              </w:p>
            </w:tc>
          </w:sdtContent>
        </w:sdt>
      </w:tr>
      <w:tr w:rsidR="00B327E9" w:rsidRPr="00AB6D88" w:rsidTr="00FD6EFC">
        <w:tc>
          <w:tcPr>
            <w:tcW w:w="3929" w:type="dxa"/>
            <w:shd w:val="clear" w:color="auto" w:fill="auto"/>
          </w:tcPr>
          <w:p w:rsidR="00B327E9" w:rsidRPr="00AB6D88" w:rsidRDefault="00B327E9" w:rsidP="00FD6EFC">
            <w:pPr>
              <w:rPr>
                <w:rFonts w:cs="Arial"/>
              </w:rPr>
            </w:pPr>
            <w:permStart w:id="1349139625" w:edGrp="everyone" w:colFirst="1" w:colLast="1"/>
            <w:permEnd w:id="1488412610"/>
            <w:r w:rsidRPr="00AB6D88">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B327E9" w:rsidRPr="00AB6D88" w:rsidRDefault="00AA0ECA" w:rsidP="00FD6EFC">
                <w:pPr>
                  <w:rPr>
                    <w:rFonts w:cs="Arial"/>
                  </w:rPr>
                </w:pPr>
                <w:r>
                  <w:rPr>
                    <w:rFonts w:cs="Arial"/>
                  </w:rPr>
                  <w:t>Europe</w:t>
                </w:r>
              </w:p>
            </w:tc>
          </w:sdtContent>
        </w:sdt>
      </w:tr>
      <w:permEnd w:id="1349139625"/>
    </w:tbl>
    <w:p w:rsidR="00B327E9" w:rsidRDefault="00B327E9" w:rsidP="00B327E9">
      <w:pPr>
        <w:spacing w:after="120" w:line="264" w:lineRule="auto"/>
      </w:pPr>
    </w:p>
    <w:p w:rsidR="00B327E9" w:rsidRDefault="00B327E9" w:rsidP="00B327E9">
      <w:pPr>
        <w:pStyle w:val="Ttulo1"/>
        <w:numPr>
          <w:ilvl w:val="0"/>
          <w:numId w:val="0"/>
        </w:numPr>
        <w:ind w:left="431" w:hanging="431"/>
      </w:pPr>
      <w:r>
        <w:t>Introduction</w:t>
      </w:r>
    </w:p>
    <w:p w:rsidR="00B327E9" w:rsidRPr="001D47A5" w:rsidRDefault="00B327E9" w:rsidP="00B327E9">
      <w:pPr>
        <w:rPr>
          <w:rStyle w:val="nfasisintenso"/>
        </w:rPr>
      </w:pPr>
      <w:r w:rsidRPr="001D47A5">
        <w:rPr>
          <w:rStyle w:val="nfasisintenso"/>
        </w:rPr>
        <w:t>Please make your introductory comments below, if any:</w:t>
      </w:r>
    </w:p>
    <w:p w:rsidR="00B327E9" w:rsidRPr="00BF28DA" w:rsidRDefault="00B327E9" w:rsidP="00B327E9"/>
    <w:p w:rsidR="00B327E9" w:rsidRPr="006F4535" w:rsidRDefault="00B327E9" w:rsidP="00B327E9">
      <w:r w:rsidRPr="006F4535">
        <w:t>&lt;ESMA_COMMENT_</w:t>
      </w:r>
      <w:r>
        <w:t>TRP</w:t>
      </w:r>
      <w:r w:rsidRPr="006F4535">
        <w:t>_1&gt;</w:t>
      </w:r>
    </w:p>
    <w:p w:rsidR="00106587" w:rsidRDefault="003935D1">
      <w:pPr>
        <w:divId w:val="1920941061"/>
        <w:rPr>
          <w:lang w:val="en-US"/>
        </w:rPr>
      </w:pPr>
      <w:permStart w:id="1402548232" w:edGrp="everyone"/>
      <w:r>
        <w:rPr>
          <w:lang w:val="en-US"/>
        </w:rPr>
        <w:t xml:space="preserve">REGIS-TR welcomes the opportunity to comment on the portability procedure, which could heavily impact the data quality process of migrated information and therefore requires the common agreement between trade repositories, authorities and market participants. </w:t>
      </w:r>
    </w:p>
    <w:p w:rsidR="00106587" w:rsidRDefault="00106587">
      <w:pPr>
        <w:divId w:val="1920941061"/>
        <w:rPr>
          <w:lang w:val="en-US"/>
        </w:rPr>
      </w:pPr>
    </w:p>
    <w:p w:rsidR="007E0A6A" w:rsidRDefault="007E0A6A">
      <w:pPr>
        <w:divId w:val="1920941061"/>
        <w:rPr>
          <w:lang w:val="en-US"/>
        </w:rPr>
      </w:pPr>
      <w:r>
        <w:rPr>
          <w:lang w:val="en-US"/>
        </w:rPr>
        <w:t xml:space="preserve">In general REGIS-TR disagrees with the approach taken by ESMA through the proposed solution in the consultation paper and has two </w:t>
      </w:r>
      <w:r w:rsidR="00D568DC">
        <w:rPr>
          <w:lang w:val="en-US"/>
        </w:rPr>
        <w:t>main</w:t>
      </w:r>
      <w:r>
        <w:rPr>
          <w:lang w:val="en-US"/>
        </w:rPr>
        <w:t xml:space="preserve"> comments, one regarding the portability of outstanding trades, and one regarding the historic data.  </w:t>
      </w:r>
    </w:p>
    <w:p w:rsidR="00DC1AE2" w:rsidRDefault="00DC1AE2">
      <w:pPr>
        <w:divId w:val="1920941061"/>
        <w:rPr>
          <w:color w:val="FF0000"/>
          <w:lang w:val="en-US"/>
        </w:rPr>
      </w:pPr>
    </w:p>
    <w:p w:rsidR="00D568DC" w:rsidRPr="00106587" w:rsidRDefault="00D568DC">
      <w:pPr>
        <w:divId w:val="1920941061"/>
        <w:rPr>
          <w:lang w:val="en-US"/>
        </w:rPr>
      </w:pPr>
      <w:r w:rsidRPr="00106587">
        <w:rPr>
          <w:lang w:val="en-US"/>
        </w:rPr>
        <w:t xml:space="preserve">The solution proposed by ESMA </w:t>
      </w:r>
      <w:r w:rsidR="009C34B2" w:rsidRPr="00106587">
        <w:rPr>
          <w:lang w:val="en-US"/>
        </w:rPr>
        <w:t xml:space="preserve">of involving the TRs in the transfer of data </w:t>
      </w:r>
      <w:r w:rsidRPr="00106587">
        <w:rPr>
          <w:lang w:val="en-US"/>
        </w:rPr>
        <w:t>entails some disadvantages</w:t>
      </w:r>
      <w:r w:rsidR="009C34B2" w:rsidRPr="00106587">
        <w:rPr>
          <w:lang w:val="en-US"/>
        </w:rPr>
        <w:t xml:space="preserve"> and risks</w:t>
      </w:r>
      <w:r w:rsidRPr="00106587">
        <w:rPr>
          <w:lang w:val="en-US"/>
        </w:rPr>
        <w:t>:</w:t>
      </w:r>
    </w:p>
    <w:p w:rsidR="00D568DC" w:rsidRPr="00106587" w:rsidRDefault="00D568DC" w:rsidP="00186A71">
      <w:pPr>
        <w:pStyle w:val="Prrafodelista"/>
        <w:numPr>
          <w:ilvl w:val="0"/>
          <w:numId w:val="55"/>
        </w:numPr>
        <w:divId w:val="1920941061"/>
        <w:rPr>
          <w:lang w:val="en-US"/>
        </w:rPr>
      </w:pPr>
      <w:r w:rsidRPr="00106587">
        <w:rPr>
          <w:lang w:val="en-US"/>
        </w:rPr>
        <w:t xml:space="preserve">The need to define a procedure to be followed by all TRs when migrating the data: Considering the difficulties </w:t>
      </w:r>
      <w:r w:rsidR="009B2AF9" w:rsidRPr="00106587">
        <w:rPr>
          <w:lang w:val="en-US"/>
        </w:rPr>
        <w:t>encountered when agreeing and defining the inter-TR procedure and the subsequent deployment, it is understood that establishing a correct procedure will take a long time and will raise many issues. In the Inter-TR procedure, we have noticed that issues arise vis-à-vis every TR</w:t>
      </w:r>
      <w:r w:rsidR="009C34B2" w:rsidRPr="00106587">
        <w:rPr>
          <w:lang w:val="en-US"/>
        </w:rPr>
        <w:t xml:space="preserve"> and it is very likely that this may happen when putting in place a new standard to be followed by all TRs.</w:t>
      </w:r>
    </w:p>
    <w:p w:rsidR="009B2AF9" w:rsidRPr="00106587" w:rsidRDefault="009C34B2" w:rsidP="00186A71">
      <w:pPr>
        <w:pStyle w:val="Prrafodelista"/>
        <w:numPr>
          <w:ilvl w:val="0"/>
          <w:numId w:val="55"/>
        </w:numPr>
        <w:divId w:val="1920941061"/>
        <w:rPr>
          <w:lang w:val="en-US"/>
        </w:rPr>
      </w:pPr>
      <w:r w:rsidRPr="00106587">
        <w:rPr>
          <w:lang w:val="en-US"/>
        </w:rPr>
        <w:t>Risk of missing or corrupting the customer’s data: It is particula</w:t>
      </w:r>
      <w:r w:rsidR="0035346A" w:rsidRPr="00106587">
        <w:rPr>
          <w:lang w:val="en-US"/>
        </w:rPr>
        <w:t>rly relevant the risk that the n</w:t>
      </w:r>
      <w:r w:rsidRPr="00106587">
        <w:rPr>
          <w:lang w:val="en-US"/>
        </w:rPr>
        <w:t>ew TR faces when acco</w:t>
      </w:r>
      <w:r w:rsidR="0035346A" w:rsidRPr="00106587">
        <w:rPr>
          <w:lang w:val="en-US"/>
        </w:rPr>
        <w:t>mmodating the data sent by the o</w:t>
      </w:r>
      <w:r w:rsidRPr="00106587">
        <w:rPr>
          <w:lang w:val="en-US"/>
        </w:rPr>
        <w:t>ld TR. Missing or corrupting the customer’s data will likely provoke an immediate disruption in the fulfilment of the customer’s reporting obligation. Furthermore, any issue will provoke the immediate misreporting to the affected regulators.</w:t>
      </w:r>
    </w:p>
    <w:p w:rsidR="009C34B2" w:rsidRPr="00106587" w:rsidRDefault="009C34B2" w:rsidP="009C34B2">
      <w:pPr>
        <w:pStyle w:val="Prrafodelista"/>
        <w:numPr>
          <w:ilvl w:val="0"/>
          <w:numId w:val="55"/>
        </w:numPr>
        <w:divId w:val="1920941061"/>
        <w:rPr>
          <w:lang w:val="en-US"/>
        </w:rPr>
      </w:pPr>
      <w:r w:rsidRPr="00106587">
        <w:rPr>
          <w:lang w:val="en-US"/>
        </w:rPr>
        <w:t xml:space="preserve">Cost of the deployment: All TRs will have to develop the portability solution. </w:t>
      </w:r>
    </w:p>
    <w:p w:rsidR="009C34B2" w:rsidRPr="00106587" w:rsidRDefault="009C34B2" w:rsidP="009C34B2">
      <w:pPr>
        <w:pStyle w:val="Prrafodelista"/>
        <w:numPr>
          <w:ilvl w:val="0"/>
          <w:numId w:val="55"/>
        </w:numPr>
        <w:divId w:val="1920941061"/>
        <w:rPr>
          <w:lang w:val="en-US"/>
        </w:rPr>
      </w:pPr>
      <w:r w:rsidRPr="00106587">
        <w:rPr>
          <w:lang w:val="en-US"/>
        </w:rPr>
        <w:t>Fees increase: Both TRs, old and new, will pass on the cost of every migration to the affected customer.</w:t>
      </w:r>
    </w:p>
    <w:p w:rsidR="00DC1AE2" w:rsidRPr="00106587" w:rsidRDefault="00DC1AE2" w:rsidP="009C34B2">
      <w:pPr>
        <w:pStyle w:val="Prrafodelista"/>
        <w:numPr>
          <w:ilvl w:val="0"/>
          <w:numId w:val="55"/>
        </w:numPr>
        <w:divId w:val="1920941061"/>
        <w:rPr>
          <w:lang w:val="en-US"/>
        </w:rPr>
      </w:pPr>
      <w:r w:rsidRPr="00106587">
        <w:rPr>
          <w:lang w:val="en-US"/>
        </w:rPr>
        <w:t xml:space="preserve">Inter-TR reconciliation: the historical data contained in the </w:t>
      </w:r>
      <w:r w:rsidR="0035346A" w:rsidRPr="00106587">
        <w:rPr>
          <w:lang w:val="en-US"/>
        </w:rPr>
        <w:t>o</w:t>
      </w:r>
      <w:r w:rsidRPr="00106587">
        <w:rPr>
          <w:lang w:val="en-US"/>
        </w:rPr>
        <w:t xml:space="preserve">ld TR will not be accessible by the customer anymore as its account is closed and, therefore, there is no option for the customer to amend the data in order to </w:t>
      </w:r>
      <w:r w:rsidR="008C167D" w:rsidRPr="00106587">
        <w:rPr>
          <w:lang w:val="en-US"/>
        </w:rPr>
        <w:t>achieve reconciliation of historical trades.</w:t>
      </w:r>
    </w:p>
    <w:p w:rsidR="009C34B2" w:rsidRPr="00106587" w:rsidRDefault="009C34B2" w:rsidP="009C34B2">
      <w:pPr>
        <w:pStyle w:val="Prrafodelista"/>
        <w:divId w:val="1920941061"/>
        <w:rPr>
          <w:lang w:val="en-US"/>
        </w:rPr>
      </w:pPr>
    </w:p>
    <w:p w:rsidR="00DC1AE2" w:rsidRPr="00106587" w:rsidRDefault="009C34B2">
      <w:pPr>
        <w:divId w:val="1920941061"/>
        <w:rPr>
          <w:lang w:val="en-US"/>
        </w:rPr>
      </w:pPr>
      <w:r w:rsidRPr="00106587">
        <w:rPr>
          <w:lang w:val="en-US"/>
        </w:rPr>
        <w:t xml:space="preserve">At REGIS-TR we understand that ESMA must be </w:t>
      </w:r>
      <w:r w:rsidR="00DC1AE2" w:rsidRPr="00106587">
        <w:rPr>
          <w:lang w:val="en-US"/>
        </w:rPr>
        <w:t>very</w:t>
      </w:r>
      <w:r w:rsidRPr="00106587">
        <w:rPr>
          <w:lang w:val="en-US"/>
        </w:rPr>
        <w:t xml:space="preserve"> sensitive</w:t>
      </w:r>
      <w:r w:rsidR="00DC1AE2" w:rsidRPr="00106587">
        <w:rPr>
          <w:lang w:val="en-US"/>
        </w:rPr>
        <w:t xml:space="preserve"> with the fulfilment of EMIR articles related to the effective safeguarding and recordkeeping of the data and the correct reporting to Regulators. To reach those aims, risks related should be reduced to a minimum. Further, the solution to be deployed should be particularly focused to guarantee the integrity of the data related to the outstanding trades and positions, which is key for the Regulators to fulfil their main objective: supervise systemic risk. </w:t>
      </w:r>
    </w:p>
    <w:p w:rsidR="00DC1AE2" w:rsidRPr="00106587" w:rsidRDefault="00DC1AE2">
      <w:pPr>
        <w:divId w:val="1920941061"/>
        <w:rPr>
          <w:lang w:val="en-US"/>
        </w:rPr>
      </w:pPr>
    </w:p>
    <w:p w:rsidR="00DC1AE2" w:rsidRPr="00106587" w:rsidRDefault="00DC1AE2">
      <w:pPr>
        <w:divId w:val="1920941061"/>
        <w:rPr>
          <w:lang w:val="en-US"/>
        </w:rPr>
      </w:pPr>
      <w:r w:rsidRPr="00106587">
        <w:rPr>
          <w:lang w:val="en-US"/>
        </w:rPr>
        <w:t xml:space="preserve">For this reason, REGIS-TR proposes to split the solution in two steps: First, the transfer of outstanding trades and positions and the migration of the historic data and messaging. </w:t>
      </w:r>
    </w:p>
    <w:p w:rsidR="00DC1AE2" w:rsidRPr="00106587" w:rsidRDefault="00DC1AE2">
      <w:pPr>
        <w:divId w:val="1920941061"/>
        <w:rPr>
          <w:lang w:val="en-US"/>
        </w:rPr>
      </w:pPr>
    </w:p>
    <w:p w:rsidR="0035346A" w:rsidRPr="00106587" w:rsidRDefault="0035346A" w:rsidP="0035346A">
      <w:pPr>
        <w:divId w:val="1920941061"/>
        <w:rPr>
          <w:rFonts w:ascii="Calibri" w:hAnsi="Calibri"/>
          <w:szCs w:val="22"/>
          <w:lang w:val="en-US" w:eastAsia="en-US"/>
        </w:rPr>
      </w:pPr>
      <w:r w:rsidRPr="00106587">
        <w:rPr>
          <w:lang w:val="en-US"/>
        </w:rPr>
        <w:t xml:space="preserve">Regarding the migration of outstanding trades and positions, REGIS-TR proposes to define a new flow, by which the client would be able to cancel/erase its trades in the old TR with an action type specifically defined for this purpose, and then reinstruct them in the new TR, again with an action type specifically defined for this purpose. This new action types would also be considered in the reconciliation process, enabling TRs to easily </w:t>
      </w:r>
      <w:proofErr w:type="spellStart"/>
      <w:r w:rsidRPr="00106587">
        <w:rPr>
          <w:lang w:val="en-US"/>
        </w:rPr>
        <w:t>unpair</w:t>
      </w:r>
      <w:proofErr w:type="spellEnd"/>
      <w:r w:rsidRPr="00106587">
        <w:rPr>
          <w:lang w:val="en-US"/>
        </w:rPr>
        <w:t xml:space="preserve"> and pair again trades that have been subject to a migration. Furthermore, authorities would easily identify the portability cases and keep track of the ported data via the TRs’ regulators </w:t>
      </w:r>
      <w:r w:rsidRPr="00106587">
        <w:rPr>
          <w:lang w:val="en-US"/>
        </w:rPr>
        <w:lastRenderedPageBreak/>
        <w:t>reports. The cost of this solution is very reduced as the involved customer already knows the old TR format and flows and has already developed the messaging of the new TR. Further, any error can be directly solved by the customer, who has the ultimate obligation of sending accurate data to the TR.</w:t>
      </w:r>
    </w:p>
    <w:p w:rsidR="0071467C" w:rsidRPr="00106587" w:rsidRDefault="0071467C" w:rsidP="0071467C">
      <w:pPr>
        <w:divId w:val="1920941061"/>
        <w:rPr>
          <w:lang w:val="en-US"/>
        </w:rPr>
      </w:pPr>
    </w:p>
    <w:p w:rsidR="003935D1" w:rsidRPr="00106587" w:rsidRDefault="00E74578" w:rsidP="00B327E9">
      <w:pPr>
        <w:rPr>
          <w:lang w:val="en-US"/>
        </w:rPr>
      </w:pPr>
      <w:r w:rsidRPr="00106587">
        <w:rPr>
          <w:lang w:val="en-US"/>
        </w:rPr>
        <w:t>Regarding historic trades</w:t>
      </w:r>
      <w:r w:rsidR="003935D1" w:rsidRPr="00106587">
        <w:rPr>
          <w:lang w:val="en-US"/>
        </w:rPr>
        <w:t xml:space="preserve">, REGIS-TR needs to </w:t>
      </w:r>
      <w:r w:rsidR="008C167D" w:rsidRPr="00106587">
        <w:rPr>
          <w:lang w:val="en-US"/>
        </w:rPr>
        <w:t>stress out again</w:t>
      </w:r>
      <w:r w:rsidR="003935D1" w:rsidRPr="00106587">
        <w:rPr>
          <w:lang w:val="en-US"/>
        </w:rPr>
        <w:t xml:space="preserve"> the big contradiction we find in requiring the reconciliation of historic information</w:t>
      </w:r>
      <w:r w:rsidR="008516B6" w:rsidRPr="00106587">
        <w:rPr>
          <w:lang w:val="en-US"/>
        </w:rPr>
        <w:t>,</w:t>
      </w:r>
      <w:r w:rsidR="003935D1" w:rsidRPr="00106587">
        <w:rPr>
          <w:lang w:val="en-US"/>
        </w:rPr>
        <w:t xml:space="preserve"> while on the other hand the consultation proposes to keep this information in the old TR. When a participant migrates from one TR to another, the relevant accounts must be closed in the old TR to avoid charges on the migrated client, therefore participants will not have access to the historic data in order to make the necessary modifications to achieve reconciliation. TRs cannot provide unlimited access to historic data with no charge, as this wo</w:t>
      </w:r>
      <w:r w:rsidR="008C167D" w:rsidRPr="00106587">
        <w:rPr>
          <w:lang w:val="en-US"/>
        </w:rPr>
        <w:t>uld not respect the cost-relation</w:t>
      </w:r>
      <w:r w:rsidR="003935D1" w:rsidRPr="00106587">
        <w:rPr>
          <w:lang w:val="en-US"/>
        </w:rPr>
        <w:t xml:space="preserve"> principle stated in EMIR and additionally the old TR would need to revert this cost </w:t>
      </w:r>
      <w:r w:rsidR="008C167D" w:rsidRPr="00106587">
        <w:rPr>
          <w:lang w:val="en-US"/>
        </w:rPr>
        <w:t>to</w:t>
      </w:r>
      <w:r w:rsidR="003935D1" w:rsidRPr="00106587">
        <w:rPr>
          <w:lang w:val="en-US"/>
        </w:rPr>
        <w:t xml:space="preserve"> its existing clients, what would be completely unfair.</w:t>
      </w:r>
    </w:p>
    <w:p w:rsidR="0071467C" w:rsidRPr="00106587" w:rsidRDefault="0071467C" w:rsidP="00B327E9">
      <w:pPr>
        <w:rPr>
          <w:lang w:val="en-US"/>
        </w:rPr>
      </w:pPr>
    </w:p>
    <w:p w:rsidR="0071467C" w:rsidRPr="00106587" w:rsidRDefault="0071467C" w:rsidP="0071467C">
      <w:pPr>
        <w:rPr>
          <w:rFonts w:ascii="Calibri" w:hAnsi="Calibri"/>
          <w:szCs w:val="22"/>
          <w:lang w:val="en-US" w:eastAsia="en-US"/>
        </w:rPr>
      </w:pPr>
      <w:r w:rsidRPr="00106587">
        <w:rPr>
          <w:lang w:val="en-US"/>
        </w:rPr>
        <w:t>For the abovementioned reasons, REGIS-TR proposes that the involved TRs take care of the migration of historic data. We consider that migrating historic data has less priority and the risks are reduced as, if there were an issue in the migration, the two involved TRs could turn back and repeat the process with less pressure as this process is isolated from the transfer of the outstanding trades.</w:t>
      </w:r>
    </w:p>
    <w:p w:rsidR="0071467C" w:rsidRPr="00106587" w:rsidRDefault="0071467C" w:rsidP="0071467C">
      <w:pPr>
        <w:rPr>
          <w:lang w:val="en-US"/>
        </w:rPr>
      </w:pPr>
    </w:p>
    <w:p w:rsidR="0071467C" w:rsidRPr="00106587" w:rsidRDefault="0071467C" w:rsidP="00B327E9">
      <w:pPr>
        <w:rPr>
          <w:lang w:val="en-US"/>
        </w:rPr>
      </w:pPr>
      <w:r w:rsidRPr="00106587">
        <w:rPr>
          <w:lang w:val="en-US"/>
        </w:rPr>
        <w:t xml:space="preserve">In any case and, without prejudice of the solution proposed above, REGIS-TR has answered the questions to this consultation paper under the premise that the transfer of data will be managed by the TRs and not the client, in accordance with the procedure proposed by ESMA.  </w:t>
      </w:r>
    </w:p>
    <w:permEnd w:id="1402548232"/>
    <w:p w:rsidR="00B327E9" w:rsidRPr="00BF28DA" w:rsidRDefault="00B327E9" w:rsidP="00B327E9">
      <w:r w:rsidRPr="00BF28DA">
        <w:t>&lt;ESMA_COMMENT_</w:t>
      </w:r>
      <w:r>
        <w:t>TRP</w:t>
      </w:r>
      <w:r w:rsidRPr="00BF28DA">
        <w:t>_1&gt;</w:t>
      </w:r>
    </w:p>
    <w:p w:rsidR="002E7113" w:rsidRDefault="002E7113" w:rsidP="002E7113">
      <w:pPr>
        <w:pStyle w:val="Ttulo1"/>
        <w:numPr>
          <w:ilvl w:val="0"/>
          <w:numId w:val="0"/>
        </w:numPr>
      </w:pPr>
    </w:p>
    <w:p w:rsidR="00F31E57" w:rsidRPr="00BF28DA" w:rsidRDefault="00F31E57" w:rsidP="00D34282"/>
    <w:p w:rsidR="00B327E9" w:rsidRPr="000B5AC3" w:rsidRDefault="00F31E57" w:rsidP="00B327E9">
      <w:pPr>
        <w:pStyle w:val="Questionstyle"/>
        <w:numPr>
          <w:ilvl w:val="0"/>
          <w:numId w:val="53"/>
        </w:numPr>
      </w:pPr>
      <w:r w:rsidRPr="0075015C">
        <w:br w:type="page"/>
      </w:r>
      <w:hyperlink w:anchor="_Toc471395657" w:history="1">
        <w:r w:rsidR="00B327E9" w:rsidRPr="000B5AC3">
          <w:t>Are there any other definitions related to the reporting of derivatives under Article 9 of EMIR that would need to be taken into account?</w:t>
        </w:r>
      </w:hyperlink>
    </w:p>
    <w:p w:rsidR="00B327E9" w:rsidRDefault="00B327E9" w:rsidP="00B327E9">
      <w:r>
        <w:t>&lt;ESMA_QUESTION_TRP_1&gt;</w:t>
      </w:r>
    </w:p>
    <w:p w:rsidR="00B327E9" w:rsidRDefault="00837B31" w:rsidP="00B327E9">
      <w:permStart w:id="1964724338" w:edGrp="everyone"/>
      <w:r>
        <w:t>No further definitions are foreseen.</w:t>
      </w:r>
    </w:p>
    <w:permEnd w:id="1964724338"/>
    <w:p w:rsidR="00B327E9" w:rsidRDefault="00B327E9" w:rsidP="00B327E9">
      <w:r>
        <w:t>&lt;ESMA_QUESTION_TRP_1&gt;</w:t>
      </w:r>
    </w:p>
    <w:p w:rsidR="00B327E9" w:rsidRDefault="00B327E9" w:rsidP="00B327E9"/>
    <w:p w:rsidR="00B327E9" w:rsidRPr="000B5AC3" w:rsidRDefault="00AC16A4" w:rsidP="00B327E9">
      <w:pPr>
        <w:pStyle w:val="Questionstyle"/>
        <w:numPr>
          <w:ilvl w:val="0"/>
          <w:numId w:val="53"/>
        </w:numPr>
      </w:pPr>
      <w:hyperlink w:anchor="_Toc471395658" w:history="1">
        <w:r w:rsidR="00B327E9" w:rsidRPr="000B5AC3">
          <w:t>Do you agree with the analysis in the previous paragraphs and the need to provide clarity on a standardised manner to conduct portability? What other challenges are experienced by entities wishing to switch the TR to which they report?</w:t>
        </w:r>
      </w:hyperlink>
    </w:p>
    <w:p w:rsidR="00B327E9" w:rsidRDefault="00B327E9" w:rsidP="00B327E9">
      <w:r>
        <w:t>&lt;ESMA_QUESTION_TRP_2&gt;</w:t>
      </w:r>
    </w:p>
    <w:p w:rsidR="00B327E9" w:rsidRDefault="00837B31" w:rsidP="00B327E9">
      <w:permStart w:id="1823370066" w:edGrp="everyone"/>
      <w:r w:rsidRPr="002F46D2">
        <w:t>REGIS-TR agrees with the analysis in the previous paragraphs and the need to provide clarity on a standardised manner to conduct portability.</w:t>
      </w:r>
    </w:p>
    <w:p w:rsidR="00230E16" w:rsidRPr="002F46D2" w:rsidRDefault="00230E16" w:rsidP="00B327E9"/>
    <w:p w:rsidR="001E7D8C" w:rsidRDefault="00837B31" w:rsidP="00B327E9">
      <w:r w:rsidRPr="002F46D2">
        <w:t>Other challenges experienced by en</w:t>
      </w:r>
      <w:r w:rsidR="001E7D8C" w:rsidRPr="002F46D2">
        <w:t xml:space="preserve">tities wishing to switch TR are: the current uncertainty as to what is the correct way to port from one TR to another; adapting to the different reporting message schemas from the different TRs, as an example of this, some TRs have proprietary fields that differ from those of other TRs; the impact in both the Inter TR and in the Intra TR </w:t>
      </w:r>
      <w:r w:rsidR="004C26B6" w:rsidRPr="002F46D2">
        <w:t xml:space="preserve">reconciliation </w:t>
      </w:r>
      <w:r w:rsidR="001E7D8C" w:rsidRPr="002F46D2">
        <w:t xml:space="preserve">processes; in some cases porting TR implies duplicating reports; </w:t>
      </w:r>
      <w:r w:rsidR="00FA1237" w:rsidRPr="002F46D2">
        <w:t xml:space="preserve">and finally the misreporting in which portability </w:t>
      </w:r>
      <w:r w:rsidR="004C26B6" w:rsidRPr="002F46D2">
        <w:t>may result due</w:t>
      </w:r>
      <w:r w:rsidR="00FA1237" w:rsidRPr="002F46D2">
        <w:t xml:space="preserve"> to the absence of guidance</w:t>
      </w:r>
      <w:r w:rsidR="001E7D8C" w:rsidRPr="002F46D2">
        <w:t>.</w:t>
      </w:r>
      <w:r w:rsidR="00FA1237" w:rsidRPr="002F46D2">
        <w:t xml:space="preserve"> For example, participants in some cases have decided to make CFD positions flat</w:t>
      </w:r>
      <w:r w:rsidR="004C26B6" w:rsidRPr="002F46D2">
        <w:t xml:space="preserve"> in the old TR</w:t>
      </w:r>
      <w:r w:rsidR="00FA1237" w:rsidRPr="002F46D2">
        <w:t xml:space="preserve"> by modifying the message and then re-use the same UTI in another TR for the CFD.</w:t>
      </w:r>
      <w:r w:rsidR="001E7D8C" w:rsidRPr="002F46D2">
        <w:t xml:space="preserve"> </w:t>
      </w:r>
    </w:p>
    <w:p w:rsidR="00230E16" w:rsidRPr="002F46D2" w:rsidRDefault="00230E16" w:rsidP="00B327E9"/>
    <w:p w:rsidR="00837B31" w:rsidRDefault="001E7D8C" w:rsidP="00B327E9">
      <w:r w:rsidRPr="002F46D2">
        <w:t xml:space="preserve">On another hand, portability as it is handled today </w:t>
      </w:r>
      <w:r w:rsidR="004C26B6" w:rsidRPr="002F46D2">
        <w:t>might have a</w:t>
      </w:r>
      <w:r w:rsidRPr="002F46D2">
        <w:t xml:space="preserve"> very big impact in the TRs daily processes. Some clients may decide to port by cancelling trades in </w:t>
      </w:r>
      <w:r w:rsidR="00CE4386" w:rsidRPr="002F46D2">
        <w:t>the old</w:t>
      </w:r>
      <w:r w:rsidRPr="002F46D2">
        <w:t xml:space="preserve"> TR and resubmitting to the new TR. This may cause in some cases a significant and unplanned increase in the volume of messages submitted to the TR. If not handled correctly, i.e. in accordance with a plan agreed among the client and the TRs, the unexpected incr</w:t>
      </w:r>
      <w:r w:rsidR="00CE4386" w:rsidRPr="002F46D2">
        <w:t>ease in messages may cause issues in the TRs processes and TRs may even be forced to limit the number of messages submitted by the porting client.</w:t>
      </w:r>
      <w:r w:rsidR="00CE5FB3" w:rsidRPr="002F46D2">
        <w:t xml:space="preserve"> Apart from the misreporting and lo</w:t>
      </w:r>
      <w:r w:rsidR="003364D8" w:rsidRPr="002F46D2">
        <w:t>ss</w:t>
      </w:r>
      <w:r w:rsidR="00CE5FB3" w:rsidRPr="002F46D2">
        <w:t xml:space="preserve"> of traceability </w:t>
      </w:r>
      <w:r w:rsidR="00CE5FB3">
        <w:t>this procedure implies.</w:t>
      </w:r>
      <w:r>
        <w:t xml:space="preserve"> </w:t>
      </w:r>
    </w:p>
    <w:permEnd w:id="1823370066"/>
    <w:p w:rsidR="00B327E9" w:rsidRDefault="00B327E9" w:rsidP="00B327E9">
      <w:r>
        <w:t>&lt;ESMA_QUESTION_TRP_2&gt;</w:t>
      </w:r>
    </w:p>
    <w:p w:rsidR="00B327E9" w:rsidRDefault="00B327E9" w:rsidP="00B327E9"/>
    <w:p w:rsidR="00B327E9" w:rsidRPr="000B5AC3" w:rsidRDefault="00AC16A4" w:rsidP="00B327E9">
      <w:pPr>
        <w:pStyle w:val="Questionstyle"/>
        <w:numPr>
          <w:ilvl w:val="0"/>
          <w:numId w:val="53"/>
        </w:numPr>
      </w:pPr>
      <w:hyperlink w:anchor="_Toc471395659" w:history="1">
        <w:r w:rsidR="00B327E9" w:rsidRPr="000B5AC3">
          <w:t>What other issues related to transfer of data that impact the quality of the data available to authorities are observed? Please elaborate on the reasons for your response.</w:t>
        </w:r>
      </w:hyperlink>
    </w:p>
    <w:p w:rsidR="00B327E9" w:rsidRDefault="00B327E9" w:rsidP="00B327E9">
      <w:r>
        <w:t>&lt;ESMA_QUESTION_TRP_3&gt;</w:t>
      </w:r>
    </w:p>
    <w:p w:rsidR="00E91EBF" w:rsidRDefault="00CE4386" w:rsidP="00B327E9">
      <w:permStart w:id="1680286294" w:edGrp="everyone"/>
      <w:r w:rsidRPr="002F46D2">
        <w:t xml:space="preserve">The quality of the data available to authorities can be impacted by the fact that the current way in which clients are porting from one TR to another may derive in the duplication of reports. </w:t>
      </w:r>
      <w:r w:rsidR="00ED0027" w:rsidRPr="002F46D2">
        <w:t>On another hand, due to the fact that a portability can normally not be completed in one day, d</w:t>
      </w:r>
      <w:r w:rsidRPr="002F46D2">
        <w:t xml:space="preserve">uring the period of time in which </w:t>
      </w:r>
      <w:r w:rsidR="00ED0027" w:rsidRPr="002F46D2">
        <w:t>it</w:t>
      </w:r>
      <w:r w:rsidRPr="002F46D2">
        <w:t xml:space="preserve"> is being done, authorities will be receiving the data correspondi</w:t>
      </w:r>
      <w:r w:rsidR="00ED0027" w:rsidRPr="002F46D2">
        <w:t xml:space="preserve">ng to the participant from several TRs, i.e. the authority will not have a complete picture of a counterparty’s exposure unless it aggregates the reports received from the different TRs. </w:t>
      </w:r>
      <w:r w:rsidR="00CE5FB3" w:rsidRPr="002F46D2">
        <w:t>As mentioned above, the way certain participants are currently porting their positions by cancelling and reinstructing the trades, causes the lo</w:t>
      </w:r>
      <w:r w:rsidR="00253C01" w:rsidRPr="002F46D2">
        <w:t>ss</w:t>
      </w:r>
      <w:r w:rsidR="00CE5FB3" w:rsidRPr="002F46D2">
        <w:t xml:space="preserve"> of traceability from the historic positions to the ones ported. </w:t>
      </w:r>
    </w:p>
    <w:p w:rsidR="00230E16" w:rsidRPr="002F46D2" w:rsidRDefault="00230E16" w:rsidP="00B327E9"/>
    <w:p w:rsidR="004C26B6" w:rsidRPr="002F46D2" w:rsidRDefault="00ED0027" w:rsidP="00B327E9">
      <w:r w:rsidRPr="002F46D2">
        <w:t xml:space="preserve">Finally, the impact </w:t>
      </w:r>
      <w:r w:rsidR="004C26B6" w:rsidRPr="002F46D2">
        <w:t xml:space="preserve">of </w:t>
      </w:r>
      <w:r w:rsidRPr="002F46D2">
        <w:t>portability in the reconciliation process, will also affect the quality of th</w:t>
      </w:r>
      <w:r w:rsidR="00E91EBF" w:rsidRPr="002F46D2">
        <w:t>e data available to authorities. The reconciliation is a continuous process that requires the interaction of the counterparties with the past dataset, especially in the cases where mismatches have to be managed. Not porting historical data might produce issues in the reconciliation process because the ported counterparty does not have access to the old TR (technically speaking) and a significant number of records will remain with the latest reconciliation status reached before the portability.</w:t>
      </w:r>
    </w:p>
    <w:permEnd w:id="1680286294"/>
    <w:p w:rsidR="00B327E9" w:rsidRDefault="00B327E9" w:rsidP="00B327E9">
      <w:r>
        <w:t>&lt;ESMA_QUESTION_TRP_3&gt;</w:t>
      </w:r>
    </w:p>
    <w:p w:rsidR="00B327E9" w:rsidRDefault="00B327E9" w:rsidP="00B327E9"/>
    <w:p w:rsidR="00B327E9" w:rsidRPr="000B5AC3" w:rsidRDefault="00AC16A4" w:rsidP="00B327E9">
      <w:pPr>
        <w:pStyle w:val="Questionstyle"/>
        <w:numPr>
          <w:ilvl w:val="0"/>
          <w:numId w:val="53"/>
        </w:numPr>
      </w:pPr>
      <w:hyperlink w:anchor="_Toc471395660" w:history="1">
        <w:r w:rsidR="00B327E9" w:rsidRPr="000B5AC3">
          <w:t>Do you agree with the proposal that only the TRs should carry out the transfer of data? Please elaborate on the reasons for your response.</w:t>
        </w:r>
      </w:hyperlink>
    </w:p>
    <w:p w:rsidR="00B327E9" w:rsidRDefault="00B327E9" w:rsidP="00B327E9">
      <w:r>
        <w:t>&lt;ESMA_QUESTION_TRP_4&gt;</w:t>
      </w:r>
    </w:p>
    <w:p w:rsidR="00672F0B" w:rsidRDefault="00FA1237" w:rsidP="00B327E9">
      <w:permStart w:id="760184207" w:edGrp="everyone"/>
      <w:r w:rsidRPr="00106587">
        <w:t xml:space="preserve">REGIS-TR </w:t>
      </w:r>
      <w:r w:rsidR="00BB7A12" w:rsidRPr="00106587">
        <w:t>dis</w:t>
      </w:r>
      <w:r w:rsidRPr="00106587">
        <w:t xml:space="preserve">agrees with the proposal that only the TRs should carry out the transfer of data as </w:t>
      </w:r>
      <w:r w:rsidR="00BB7A12" w:rsidRPr="00106587">
        <w:t>there is room for a safer and cleaner procedure as described in the introduction to this consultation paper. I</w:t>
      </w:r>
      <w:r w:rsidRPr="00106587">
        <w:t>t is worth noting</w:t>
      </w:r>
      <w:r w:rsidR="00BB7A12" w:rsidRPr="00106587">
        <w:t xml:space="preserve">, </w:t>
      </w:r>
      <w:r w:rsidR="00474655" w:rsidRPr="00106587">
        <w:t xml:space="preserve">that the burden </w:t>
      </w:r>
      <w:r w:rsidR="00BB7A12" w:rsidRPr="00106587">
        <w:t>the pro</w:t>
      </w:r>
      <w:r w:rsidR="00474655" w:rsidRPr="00106587">
        <w:t>cess described by ESMA in the consultation paper implies</w:t>
      </w:r>
      <w:r w:rsidRPr="00106587">
        <w:t xml:space="preserve"> for TRs</w:t>
      </w:r>
      <w:r w:rsidR="00474655" w:rsidRPr="00106587">
        <w:t>,</w:t>
      </w:r>
      <w:r w:rsidRPr="00106587">
        <w:t xml:space="preserve"> is enormous</w:t>
      </w:r>
      <w:r w:rsidR="00474655" w:rsidRPr="00106587">
        <w:t>,</w:t>
      </w:r>
      <w:r w:rsidRPr="00106587">
        <w:t xml:space="preserve"> and that the challenges to upfront have not all been foreseen</w:t>
      </w:r>
      <w:bookmarkStart w:id="3" w:name="_GoBack"/>
      <w:bookmarkEnd w:id="3"/>
      <w:r w:rsidRPr="00106587">
        <w:t>. Only if all challenges are identified and tackled by ESMA,</w:t>
      </w:r>
      <w:r w:rsidR="00416873" w:rsidRPr="00106587">
        <w:t xml:space="preserve"> and all the burdens considered,</w:t>
      </w:r>
      <w:r w:rsidRPr="00106587">
        <w:t xml:space="preserve"> will the TRs be able to carry out the transfer of data</w:t>
      </w:r>
      <w:r w:rsidR="00474655" w:rsidRPr="00106587">
        <w:t xml:space="preserve"> according to it</w:t>
      </w:r>
      <w:r w:rsidRPr="00106587">
        <w:t xml:space="preserve">. </w:t>
      </w:r>
    </w:p>
    <w:p w:rsidR="00230E16" w:rsidRPr="00106587" w:rsidRDefault="00230E16" w:rsidP="00B327E9"/>
    <w:p w:rsidR="00672F0B" w:rsidRDefault="00FA1237" w:rsidP="00B327E9">
      <w:r w:rsidRPr="00106587">
        <w:t>One of these challenges is for example the liability of such a process. Even if it is the TRs who should carry out the transfer, the participant will still be playing a very significant role.</w:t>
      </w:r>
      <w:r w:rsidR="00416873" w:rsidRPr="00106587">
        <w:t xml:space="preserve"> </w:t>
      </w:r>
      <w:r w:rsidR="00672F0B" w:rsidRPr="00106587">
        <w:t>Therefore, t</w:t>
      </w:r>
      <w:r w:rsidR="00416873" w:rsidRPr="00106587">
        <w:t>he guidance provided should very clearly state the role of each stakeholder, more precisely, what is exactly expected from the clients</w:t>
      </w:r>
      <w:r w:rsidR="004C3802" w:rsidRPr="00106587">
        <w:t xml:space="preserve"> and their liability in the process. </w:t>
      </w:r>
    </w:p>
    <w:p w:rsidR="00230E16" w:rsidRPr="00106587" w:rsidRDefault="00230E16" w:rsidP="00B327E9"/>
    <w:p w:rsidR="00474655" w:rsidRDefault="00672F0B" w:rsidP="00B327E9">
      <w:r w:rsidRPr="00106587">
        <w:t>As for t</w:t>
      </w:r>
      <w:r w:rsidR="004C3802" w:rsidRPr="00106587">
        <w:t xml:space="preserve">he </w:t>
      </w:r>
      <w:r w:rsidRPr="00106587">
        <w:t>burdens</w:t>
      </w:r>
      <w:r w:rsidR="004C3802" w:rsidRPr="00106587">
        <w:t xml:space="preserve">, </w:t>
      </w:r>
      <w:r w:rsidRPr="00106587">
        <w:t xml:space="preserve">these </w:t>
      </w:r>
      <w:r w:rsidR="004C3802" w:rsidRPr="00106587">
        <w:t xml:space="preserve">relate to the storage and processing costs and </w:t>
      </w:r>
      <w:r w:rsidRPr="00106587">
        <w:t xml:space="preserve">the resources </w:t>
      </w:r>
      <w:r w:rsidR="004C26B6" w:rsidRPr="00106587">
        <w:t xml:space="preserve">that TRs </w:t>
      </w:r>
      <w:r w:rsidRPr="00106587">
        <w:t>will have to dedicate to carry out such process.</w:t>
      </w:r>
    </w:p>
    <w:p w:rsidR="00230E16" w:rsidRPr="00106587" w:rsidRDefault="00230E16" w:rsidP="00B327E9"/>
    <w:p w:rsidR="004C26B6" w:rsidRPr="00106587" w:rsidRDefault="00474655" w:rsidP="00B327E9">
      <w:r w:rsidRPr="00106587">
        <w:t>Having said this, REGIS-TR will provide its answer to the remaining questions of this consultation paper under the premise that the transfer of data will be managed only by the TRs as proposed by ESMA.</w:t>
      </w:r>
      <w:r w:rsidR="004C26B6" w:rsidRPr="00106587">
        <w:t xml:space="preserve"> </w:t>
      </w:r>
    </w:p>
    <w:permEnd w:id="760184207"/>
    <w:p w:rsidR="00B327E9" w:rsidRDefault="00B327E9" w:rsidP="00B327E9">
      <w:r>
        <w:t>&lt;ESMA_QUESTION_TRP_4&gt;</w:t>
      </w:r>
    </w:p>
    <w:p w:rsidR="00B327E9" w:rsidRDefault="00B327E9" w:rsidP="00B327E9"/>
    <w:p w:rsidR="00B327E9" w:rsidRPr="000B5AC3" w:rsidRDefault="00AC16A4" w:rsidP="00B327E9">
      <w:pPr>
        <w:pStyle w:val="Questionstyle"/>
        <w:numPr>
          <w:ilvl w:val="0"/>
          <w:numId w:val="53"/>
        </w:numPr>
      </w:pPr>
      <w:hyperlink w:anchor="_Toc471395661" w:history="1">
        <w:r w:rsidR="00B327E9" w:rsidRPr="000B5AC3">
          <w:t>Do you agree with the proposed approach regarding migration plan? Please elaborate on the reason for your response.</w:t>
        </w:r>
      </w:hyperlink>
    </w:p>
    <w:p w:rsidR="00B327E9" w:rsidRDefault="00B327E9" w:rsidP="00B327E9">
      <w:r>
        <w:t>&lt;ESMA_QUESTION_TRP_5&gt;</w:t>
      </w:r>
    </w:p>
    <w:p w:rsidR="00230E16" w:rsidRDefault="00672F0B" w:rsidP="00B327E9">
      <w:permStart w:id="2036164470" w:edGrp="everyone"/>
      <w:r w:rsidRPr="002F46D2">
        <w:t xml:space="preserve">Guideline 2 states that the transfer of data should be carried out by the TRs in accordance with a mutually agreed plan. REGIS-TR understands that all parties involved must participate and agree with the </w:t>
      </w:r>
      <w:r w:rsidR="00595761" w:rsidRPr="002F46D2">
        <w:t xml:space="preserve">definition of a </w:t>
      </w:r>
      <w:r w:rsidRPr="002F46D2">
        <w:t xml:space="preserve">migration plan. However, it is not clear which TR, the old or the new, is in fact responsible for the </w:t>
      </w:r>
      <w:r w:rsidR="00595761" w:rsidRPr="002F46D2">
        <w:t xml:space="preserve">migration </w:t>
      </w:r>
      <w:r w:rsidRPr="002F46D2">
        <w:t xml:space="preserve">plan. </w:t>
      </w:r>
      <w:r w:rsidR="00595761" w:rsidRPr="002F46D2">
        <w:t>Since there might be conflicting interests, it is important that the role and responsibility of each party involved is clearly defined by ESMA.</w:t>
      </w:r>
    </w:p>
    <w:p w:rsidR="004D4BEF" w:rsidRPr="002F46D2" w:rsidRDefault="00595761" w:rsidP="00B327E9">
      <w:r w:rsidRPr="002F46D2">
        <w:t xml:space="preserve"> </w:t>
      </w:r>
    </w:p>
    <w:p w:rsidR="004D4BEF" w:rsidRDefault="00595761" w:rsidP="00B327E9">
      <w:r w:rsidRPr="002F46D2">
        <w:t xml:space="preserve">As an example, what is a reasonable </w:t>
      </w:r>
      <w:r w:rsidR="004D4BEF" w:rsidRPr="002F46D2">
        <w:t>timeframe</w:t>
      </w:r>
      <w:r w:rsidRPr="002F46D2">
        <w:t xml:space="preserve"> for the TRs to define the migration plan? The old TR will most probably be interested in delaying this process as much as possible, whil</w:t>
      </w:r>
      <w:r w:rsidR="004D4BEF" w:rsidRPr="002F46D2">
        <w:t>st</w:t>
      </w:r>
      <w:r w:rsidRPr="002F46D2">
        <w:t xml:space="preserve"> the new TR will most probably be interested in speeding up the process as much as possible. E</w:t>
      </w:r>
      <w:r w:rsidR="004D4BEF" w:rsidRPr="002F46D2">
        <w:t>SMA should therefore say</w:t>
      </w:r>
      <w:r w:rsidRPr="002F46D2">
        <w:t xml:space="preserve"> what a reasonable deadline to </w:t>
      </w:r>
      <w:r w:rsidR="004D4BEF" w:rsidRPr="002F46D2">
        <w:t xml:space="preserve">prepare the </w:t>
      </w:r>
      <w:r w:rsidRPr="002F46D2">
        <w:t>migration plan</w:t>
      </w:r>
      <w:r w:rsidR="004D4BEF" w:rsidRPr="002F46D2">
        <w:t xml:space="preserve"> is,</w:t>
      </w:r>
      <w:r w:rsidRPr="002F46D2">
        <w:t xml:space="preserve"> </w:t>
      </w:r>
      <w:r w:rsidR="004D4BEF" w:rsidRPr="002F46D2">
        <w:t xml:space="preserve">or what a reasonable deadline to have the migration plan revised and approved by all involved parties is. </w:t>
      </w:r>
    </w:p>
    <w:p w:rsidR="00230E16" w:rsidRPr="002F46D2" w:rsidRDefault="00230E16" w:rsidP="00B327E9"/>
    <w:p w:rsidR="004D4BEF" w:rsidRDefault="004D4BEF" w:rsidP="00B327E9">
      <w:r w:rsidRPr="002F46D2">
        <w:t xml:space="preserve">There should also be </w:t>
      </w:r>
      <w:r w:rsidR="00E85289" w:rsidRPr="002F46D2">
        <w:t xml:space="preserve">a </w:t>
      </w:r>
      <w:r w:rsidRPr="002F46D2">
        <w:t>clear guidance on the checks and controls to be defined in the plan</w:t>
      </w:r>
      <w:r w:rsidR="00E85289" w:rsidRPr="002F46D2">
        <w:t>.</w:t>
      </w:r>
    </w:p>
    <w:p w:rsidR="00230E16" w:rsidRPr="002F46D2" w:rsidRDefault="00230E16" w:rsidP="00B327E9"/>
    <w:p w:rsidR="00230E16" w:rsidRDefault="004D4BEF" w:rsidP="00B327E9">
      <w:r w:rsidRPr="002F46D2">
        <w:t>On another hand, how should TRs proceed in case there is no consent among the parties regarding the migration plan?</w:t>
      </w:r>
    </w:p>
    <w:p w:rsidR="00230E16" w:rsidRPr="002F46D2" w:rsidRDefault="00230E16" w:rsidP="00B327E9"/>
    <w:p w:rsidR="004D1211" w:rsidRPr="002F46D2" w:rsidRDefault="004D1211" w:rsidP="004D1211">
      <w:r w:rsidRPr="002F46D2">
        <w:t xml:space="preserve">Even though some parts of the plan may be defined in ad hoc fashion, from a technical perspective it is worth noting that the lack of standardization could make this process error prone. In this regard, it is recommended that despite the fact that this is a bilateral process, a standardized data flow ingestion should be put in place and homogeneously implemented across the TRs. This approach will promote a competitive framework, will reduce operational risk and also the risk of delaying a portability process will be minimized. This data flow ingestion should be based on the principle that the communication between TRs will be done through standard messages and a set of validations and automated controls and processes will have to be in place in order to preserve the integrity of the new TR dataset when the new records are added. Furthermore, it is important to mention that based on the fact that each TR can have mandatory </w:t>
      </w:r>
      <w:r w:rsidRPr="002F46D2">
        <w:lastRenderedPageBreak/>
        <w:t>proprietary fields, the calculation of such fields will have to be done within the above mentioned processes. Furthermore, a standardized data ingestion process should include an error handling process for those cases in which the data is not correctly transformed, or cannot be processed by the new TR.</w:t>
      </w:r>
    </w:p>
    <w:permEnd w:id="2036164470"/>
    <w:p w:rsidR="00B327E9" w:rsidRDefault="00B327E9" w:rsidP="00B327E9">
      <w:r>
        <w:t>&lt;ESMA_QUESTION_TRP_5&gt;</w:t>
      </w:r>
    </w:p>
    <w:p w:rsidR="00B327E9" w:rsidRDefault="00B327E9" w:rsidP="00B327E9"/>
    <w:p w:rsidR="00B327E9" w:rsidRPr="000B5AC3" w:rsidRDefault="00AC16A4" w:rsidP="00B327E9">
      <w:pPr>
        <w:pStyle w:val="Questionstyle"/>
        <w:numPr>
          <w:ilvl w:val="0"/>
          <w:numId w:val="53"/>
        </w:numPr>
      </w:pPr>
      <w:hyperlink w:anchor="_Toc471395662" w:history="1">
        <w:r w:rsidR="00B327E9" w:rsidRPr="000B5AC3">
          <w:t>Do you agree with the information to be included in the migration plan? What other aspects need to be taken into account? Please elaborate on the reasons for your response.</w:t>
        </w:r>
      </w:hyperlink>
    </w:p>
    <w:p w:rsidR="00B327E9" w:rsidRDefault="00B327E9" w:rsidP="00B327E9">
      <w:r>
        <w:t>&lt;ESMA_QUESTION_TRP_6&gt;</w:t>
      </w:r>
    </w:p>
    <w:p w:rsidR="00B327E9" w:rsidRDefault="006A3F05" w:rsidP="00B327E9">
      <w:permStart w:id="1914711692" w:edGrp="everyone"/>
      <w:r>
        <w:t>REG</w:t>
      </w:r>
      <w:r w:rsidR="006A6C4E">
        <w:t>I</w:t>
      </w:r>
      <w:r>
        <w:t>S</w:t>
      </w:r>
      <w:r w:rsidR="006A6C4E">
        <w:t>-TR agrees with the information to be included in the migration plan.</w:t>
      </w:r>
      <w:r w:rsidR="008008CD">
        <w:t xml:space="preserve"> However, Point (</w:t>
      </w:r>
      <w:proofErr w:type="spellStart"/>
      <w:r w:rsidR="008008CD">
        <w:t>i</w:t>
      </w:r>
      <w:proofErr w:type="spellEnd"/>
      <w:r w:rsidR="008008CD">
        <w:t>) of Guideline 3 refers to the scope of the data transfer. It should be noted that at the time of writing</w:t>
      </w:r>
      <w:r w:rsidR="00B91937">
        <w:t xml:space="preserve"> the migration plan, an estimation</w:t>
      </w:r>
      <w:r w:rsidR="008008CD">
        <w:t xml:space="preserve"> of the number of trades subject to the portabi</w:t>
      </w:r>
      <w:r w:rsidR="00B91937">
        <w:t>lity can be provided, but not a final</w:t>
      </w:r>
      <w:r w:rsidR="008008CD">
        <w:t xml:space="preserve"> accurate number</w:t>
      </w:r>
      <w:r w:rsidR="00B91937">
        <w:t xml:space="preserve"> of trades to be migrated,</w:t>
      </w:r>
      <w:r w:rsidR="008008CD">
        <w:t xml:space="preserve"> as the volume of outstanding trades varies from one day to another.</w:t>
      </w:r>
      <w:r w:rsidR="006A6C4E">
        <w:t xml:space="preserve"> </w:t>
      </w:r>
    </w:p>
    <w:permEnd w:id="1914711692"/>
    <w:p w:rsidR="00B327E9" w:rsidRDefault="00B327E9" w:rsidP="00B327E9">
      <w:r>
        <w:t>&lt;ESMA_QUESTION_TRP_6&gt;</w:t>
      </w:r>
    </w:p>
    <w:p w:rsidR="00B327E9" w:rsidRDefault="00B327E9" w:rsidP="00B327E9"/>
    <w:p w:rsidR="00B327E9" w:rsidRPr="000B5AC3" w:rsidRDefault="00AC16A4" w:rsidP="00B327E9">
      <w:pPr>
        <w:pStyle w:val="Questionstyle"/>
        <w:numPr>
          <w:ilvl w:val="0"/>
          <w:numId w:val="53"/>
        </w:numPr>
      </w:pPr>
      <w:hyperlink w:anchor="_Toc471395663" w:history="1">
        <w:r w:rsidR="00B327E9" w:rsidRPr="000B5AC3">
          <w:t>Do you agree with the use of xml format and a template developed in accordance with ISO 20022 methodology as the one already used to provide access to data to authorities? Please elaborate on the reasons for your response.</w:t>
        </w:r>
      </w:hyperlink>
    </w:p>
    <w:p w:rsidR="00B327E9" w:rsidRDefault="00B327E9" w:rsidP="00B327E9">
      <w:r>
        <w:t>&lt;ESMA_QUESTION_TRP_7&gt;</w:t>
      </w:r>
    </w:p>
    <w:p w:rsidR="00230E16" w:rsidRPr="002F46D2" w:rsidRDefault="002F65FA" w:rsidP="00B327E9">
      <w:pPr>
        <w:rPr>
          <w:szCs w:val="20"/>
        </w:rPr>
      </w:pPr>
      <w:permStart w:id="228095180" w:edGrp="everyone"/>
      <w:r w:rsidRPr="002F46D2">
        <w:rPr>
          <w:szCs w:val="20"/>
        </w:rPr>
        <w:t>Yes, REGIS-TR agrees with the use of xml format and a template developed in accordance with ISO 20022 methodology. However, there are some key points that REGIS-TR would like to point out:</w:t>
      </w:r>
    </w:p>
    <w:p w:rsidR="002F65FA" w:rsidRPr="002F46D2" w:rsidRDefault="002F65FA" w:rsidP="002F65FA">
      <w:pPr>
        <w:pStyle w:val="Prrafodelista"/>
        <w:numPr>
          <w:ilvl w:val="0"/>
          <w:numId w:val="54"/>
        </w:numPr>
        <w:rPr>
          <w:szCs w:val="20"/>
        </w:rPr>
      </w:pPr>
      <w:r w:rsidRPr="002F46D2">
        <w:rPr>
          <w:szCs w:val="20"/>
        </w:rPr>
        <w:t>Cur</w:t>
      </w:r>
      <w:r w:rsidR="00B91937" w:rsidRPr="002F46D2">
        <w:rPr>
          <w:szCs w:val="20"/>
        </w:rPr>
        <w:t>rently for the access to data by</w:t>
      </w:r>
      <w:r w:rsidRPr="002F46D2">
        <w:rPr>
          <w:szCs w:val="20"/>
        </w:rPr>
        <w:t xml:space="preserve"> authorities, three different schemas are in place. It would be more convenient to have one flexible schema instead of three different ones.</w:t>
      </w:r>
      <w:r w:rsidR="00CA7A5F" w:rsidRPr="002F46D2">
        <w:rPr>
          <w:szCs w:val="20"/>
        </w:rPr>
        <w:t xml:space="preserve"> This schema should also be flexible enough to receive data from the different reporting periods, i.e. pre Level 1 validations, pre Level 2 validations, pre revised RTS, and post revised RTS. If this is not the case, there will be rejections and the portability will become unmanageable.</w:t>
      </w:r>
    </w:p>
    <w:p w:rsidR="003364D8" w:rsidRPr="002F46D2" w:rsidRDefault="002F65FA" w:rsidP="00253C01">
      <w:pPr>
        <w:pStyle w:val="Prrafodelista"/>
        <w:numPr>
          <w:ilvl w:val="0"/>
          <w:numId w:val="54"/>
        </w:numPr>
        <w:rPr>
          <w:szCs w:val="20"/>
        </w:rPr>
      </w:pPr>
      <w:r w:rsidRPr="002F46D2">
        <w:rPr>
          <w:szCs w:val="20"/>
        </w:rPr>
        <w:t xml:space="preserve">TRs are now capable </w:t>
      </w:r>
      <w:r w:rsidR="00CA7A5F" w:rsidRPr="002F46D2">
        <w:rPr>
          <w:szCs w:val="20"/>
        </w:rPr>
        <w:t>of</w:t>
      </w:r>
      <w:r w:rsidRPr="002F46D2">
        <w:rPr>
          <w:szCs w:val="20"/>
        </w:rPr>
        <w:t xml:space="preserve"> transform</w:t>
      </w:r>
      <w:r w:rsidR="00CA7A5F" w:rsidRPr="002F46D2">
        <w:rPr>
          <w:szCs w:val="20"/>
        </w:rPr>
        <w:t>ing</w:t>
      </w:r>
      <w:r w:rsidRPr="002F46D2">
        <w:rPr>
          <w:szCs w:val="20"/>
        </w:rPr>
        <w:t xml:space="preserve"> their data into</w:t>
      </w:r>
      <w:r w:rsidR="00CA7A5F" w:rsidRPr="002F46D2">
        <w:rPr>
          <w:szCs w:val="20"/>
        </w:rPr>
        <w:t xml:space="preserve"> ISO 20022 format, but the ingestion of data from ISO 20022 format has not been done yet and this will imply certain challenges. As an example, since TRs might have proprietary mandatory fields that are not foreseen in the EMIR RTS, the content of these fields will have to be auto-generated by the TR receiving the data. </w:t>
      </w:r>
      <w:r w:rsidR="00253C01" w:rsidRPr="002F46D2">
        <w:rPr>
          <w:rStyle w:val="Refdecomentario"/>
          <w:sz w:val="20"/>
          <w:szCs w:val="20"/>
        </w:rPr>
        <w:t>T</w:t>
      </w:r>
      <w:r w:rsidR="003364D8" w:rsidRPr="002F46D2">
        <w:rPr>
          <w:szCs w:val="20"/>
        </w:rPr>
        <w:t>he fact that proprietary fields are not common across all TRs and that some of these fields are mandatory for validating the data</w:t>
      </w:r>
      <w:r w:rsidR="00253C01" w:rsidRPr="002F46D2">
        <w:rPr>
          <w:szCs w:val="20"/>
        </w:rPr>
        <w:t>,</w:t>
      </w:r>
      <w:r w:rsidR="003364D8" w:rsidRPr="002F46D2">
        <w:rPr>
          <w:szCs w:val="20"/>
        </w:rPr>
        <w:t xml:space="preserve"> imply that if a standard is implemented, the TR would have to process the messages and calculate those proprietary messages in order to integrate the new dataset to the complete database.</w:t>
      </w:r>
    </w:p>
    <w:p w:rsidR="008D4BBE" w:rsidRPr="002F46D2" w:rsidRDefault="008D4BBE" w:rsidP="003364D8">
      <w:pPr>
        <w:pStyle w:val="Textocomentario"/>
        <w:numPr>
          <w:ilvl w:val="0"/>
          <w:numId w:val="54"/>
        </w:numPr>
      </w:pPr>
      <w:r w:rsidRPr="002F46D2">
        <w:t>There is the risk that exceptions may arise during the dataset integration process</w:t>
      </w:r>
      <w:r w:rsidR="00A56F7E" w:rsidRPr="002F46D2">
        <w:t>, if this occurs not only will the process become unmanageable but i</w:t>
      </w:r>
      <w:r w:rsidRPr="002F46D2">
        <w:t>n addition to that, if the standard is not strict enough, there is a risk that one TR might erroneously transform the former data set into erroneous objects in the standard that might produce errors and exceptions on the new TR. Therefore it is necessary that the standard considers a strict set of validation rules that guarantee the reliability and accuracy of the ported data.</w:t>
      </w:r>
    </w:p>
    <w:permEnd w:id="228095180"/>
    <w:p w:rsidR="00B327E9" w:rsidRDefault="00B327E9" w:rsidP="00B327E9">
      <w:r>
        <w:t>&lt;ESMA_QUESTION_TRP_7&gt;</w:t>
      </w:r>
    </w:p>
    <w:p w:rsidR="00B327E9" w:rsidRDefault="00B327E9" w:rsidP="00B327E9"/>
    <w:p w:rsidR="00B327E9" w:rsidRPr="000B5AC3" w:rsidRDefault="00AC16A4" w:rsidP="00B327E9">
      <w:pPr>
        <w:pStyle w:val="Questionstyle"/>
        <w:numPr>
          <w:ilvl w:val="0"/>
          <w:numId w:val="53"/>
        </w:numPr>
      </w:pPr>
      <w:hyperlink w:anchor="_Toc471395664" w:history="1">
        <w:r w:rsidR="00B327E9" w:rsidRPr="000B5AC3">
          <w:t>Do you agree with the proposed transfer protocol? What additional aspects need to be taken into account? Please elaborate on the reasons for your response.</w:t>
        </w:r>
      </w:hyperlink>
    </w:p>
    <w:p w:rsidR="00B327E9" w:rsidRDefault="00B327E9" w:rsidP="00B327E9">
      <w:r>
        <w:t>&lt;ESMA_QUESTION_TRP_8&gt;</w:t>
      </w:r>
    </w:p>
    <w:p w:rsidR="00B327E9" w:rsidRPr="00A913F9" w:rsidRDefault="00CA7A5F" w:rsidP="00B327E9">
      <w:permStart w:id="595993729" w:edGrp="everyone"/>
      <w:r>
        <w:t>REGIS-TR agrees with the proposed transfer protocol</w:t>
      </w:r>
      <w:r w:rsidR="00A913F9">
        <w:t xml:space="preserve"> and we believe that the Inter-TR reconciliation channels should be the one used for this purpose</w:t>
      </w:r>
      <w:r>
        <w:t xml:space="preserve">. </w:t>
      </w:r>
      <w:r w:rsidRPr="00A913F9">
        <w:t xml:space="preserve">An additional aspect to consider is the volume of data that might be subject to a portability, especially in those cases in which historic data </w:t>
      </w:r>
      <w:r w:rsidR="00A913F9">
        <w:t xml:space="preserve">of all participants </w:t>
      </w:r>
      <w:r w:rsidRPr="00A913F9">
        <w:t>will have to be ported</w:t>
      </w:r>
      <w:r w:rsidR="00A913F9">
        <w:t xml:space="preserve"> (if a TR stops its activity)</w:t>
      </w:r>
      <w:r w:rsidR="00514453" w:rsidRPr="00A913F9">
        <w:t>.</w:t>
      </w:r>
      <w:r w:rsidR="00A913F9">
        <w:t xml:space="preserve"> </w:t>
      </w:r>
    </w:p>
    <w:permEnd w:id="595993729"/>
    <w:p w:rsidR="00B327E9" w:rsidRDefault="00B327E9" w:rsidP="00B327E9">
      <w:r>
        <w:t>&lt;ESMA_QUESTION_TRP_8&gt;</w:t>
      </w:r>
    </w:p>
    <w:p w:rsidR="00B327E9" w:rsidRDefault="00B327E9" w:rsidP="00B327E9"/>
    <w:p w:rsidR="00B327E9" w:rsidRPr="000B5AC3" w:rsidRDefault="00AC16A4" w:rsidP="00B327E9">
      <w:pPr>
        <w:pStyle w:val="Questionstyle"/>
        <w:numPr>
          <w:ilvl w:val="0"/>
          <w:numId w:val="53"/>
        </w:numPr>
      </w:pPr>
      <w:hyperlink w:anchor="_Toc471395665" w:history="1">
        <w:r w:rsidR="00B327E9" w:rsidRPr="000B5AC3">
          <w:t>Do you agree with the proposed encryption process? What additional aspects need to be taken into account? Please elaborate on the reasons for your response.</w:t>
        </w:r>
      </w:hyperlink>
    </w:p>
    <w:p w:rsidR="00B327E9" w:rsidRDefault="00B327E9" w:rsidP="00B327E9">
      <w:r>
        <w:t>&lt;ESMA_QUESTION_TRP_9&gt;</w:t>
      </w:r>
    </w:p>
    <w:p w:rsidR="00CA7A5F" w:rsidRDefault="00CA7A5F" w:rsidP="00B327E9">
      <w:permStart w:id="826673843" w:edGrp="everyone"/>
      <w:r>
        <w:t>REGIS-TR agrees with the proposed encryption process and no additional aspects are foreseen.</w:t>
      </w:r>
    </w:p>
    <w:permEnd w:id="826673843"/>
    <w:p w:rsidR="00B327E9" w:rsidRDefault="00B327E9" w:rsidP="00B327E9">
      <w:r>
        <w:t>&lt;ESMA_QUESTION_TRP_9&gt;</w:t>
      </w:r>
    </w:p>
    <w:p w:rsidR="00B327E9" w:rsidRDefault="00B327E9" w:rsidP="00B327E9"/>
    <w:p w:rsidR="00B327E9" w:rsidRPr="000B5AC3" w:rsidRDefault="00AC16A4" w:rsidP="00B327E9">
      <w:pPr>
        <w:pStyle w:val="Questionstyle"/>
        <w:numPr>
          <w:ilvl w:val="0"/>
          <w:numId w:val="53"/>
        </w:numPr>
      </w:pPr>
      <w:hyperlink w:anchor="_Toc471395666" w:history="1">
        <w:r w:rsidR="00B327E9" w:rsidRPr="000B5AC3">
          <w:t>Do you agree with the proposal to ensure completeness of the data subject to transfer? Please elaborate on the reasons for your response.</w:t>
        </w:r>
      </w:hyperlink>
    </w:p>
    <w:p w:rsidR="00B327E9" w:rsidRDefault="00B327E9" w:rsidP="00B327E9">
      <w:r>
        <w:t>&lt;ESMA_QUESTION_TRP_10&gt;</w:t>
      </w:r>
    </w:p>
    <w:p w:rsidR="00667666" w:rsidRDefault="002D66D7" w:rsidP="00B327E9">
      <w:permStart w:id="1044842540" w:edGrp="everyone"/>
      <w:r>
        <w:t xml:space="preserve">Paragraph 48 states that </w:t>
      </w:r>
      <w:r w:rsidR="009D63A1" w:rsidRPr="009D63A1">
        <w:rPr>
          <w:i/>
        </w:rPr>
        <w:t>“</w:t>
      </w:r>
      <w:r w:rsidRPr="002D66D7">
        <w:rPr>
          <w:i/>
        </w:rPr>
        <w:t>All three entities should agree on the number of derivatives a</w:t>
      </w:r>
      <w:r w:rsidR="009D63A1">
        <w:rPr>
          <w:i/>
        </w:rPr>
        <w:t xml:space="preserve">nd of records to be transferred”. </w:t>
      </w:r>
      <w:r w:rsidR="009D63A1">
        <w:t>Although this would in fact be the optimal scenario, it is worth noting that only the old TR will be in a position to exactly identify all trades to be transferred.</w:t>
      </w:r>
      <w:r w:rsidR="00667666">
        <w:t xml:space="preserve"> The complexity of identifying outstanding trades has already been pointed out by REGIS-TR in its response to ESMA’s Consultation Paper </w:t>
      </w:r>
      <w:r w:rsidR="004512DF" w:rsidRPr="004512DF">
        <w:t>on fees for TRs under SFTR and on certain amendments of for fees under EMIR</w:t>
      </w:r>
      <w:r w:rsidR="00667666">
        <w:t>. E</w:t>
      </w:r>
      <w:r w:rsidR="009D63A1">
        <w:t xml:space="preserve">ven if the </w:t>
      </w:r>
      <w:r w:rsidR="00667666">
        <w:t xml:space="preserve">TR </w:t>
      </w:r>
      <w:r w:rsidR="009D63A1">
        <w:t>participant has received the appropriate related information from the TR, there might be discrepancies on what the TR and what the participant consider outstanding</w:t>
      </w:r>
      <w:r w:rsidR="004512DF">
        <w:t xml:space="preserve"> and what lifecycle event refer to these trades</w:t>
      </w:r>
      <w:r w:rsidR="009D63A1">
        <w:t xml:space="preserve">. </w:t>
      </w:r>
      <w:r w:rsidR="00667666">
        <w:t>Not to mention that</w:t>
      </w:r>
      <w:r w:rsidR="009D63A1">
        <w:t xml:space="preserve"> the new TR does not actually hav</w:t>
      </w:r>
      <w:r w:rsidR="004512DF">
        <w:t xml:space="preserve">e information on the </w:t>
      </w:r>
      <w:r w:rsidR="009D63A1">
        <w:t>trades of the</w:t>
      </w:r>
      <w:r w:rsidR="004512DF">
        <w:t xml:space="preserve"> </w:t>
      </w:r>
      <w:r w:rsidR="001D534C">
        <w:t>participant held at the old TR, therefore</w:t>
      </w:r>
      <w:r w:rsidR="00667666">
        <w:t xml:space="preserve"> </w:t>
      </w:r>
      <w:r w:rsidR="009D63A1">
        <w:t xml:space="preserve">the sign off by the new TR </w:t>
      </w:r>
      <w:r w:rsidR="001D534C">
        <w:t>should</w:t>
      </w:r>
      <w:r w:rsidR="009D63A1">
        <w:t xml:space="preserve"> not</w:t>
      </w:r>
      <w:r w:rsidR="001D534C">
        <w:t xml:space="preserve"> be</w:t>
      </w:r>
      <w:r w:rsidR="009D63A1">
        <w:t xml:space="preserve"> </w:t>
      </w:r>
      <w:r w:rsidR="00667666">
        <w:t>required.</w:t>
      </w:r>
      <w:r w:rsidR="009D63A1">
        <w:t xml:space="preserve"> </w:t>
      </w:r>
    </w:p>
    <w:p w:rsidR="00230E16" w:rsidRDefault="00230E16" w:rsidP="00B327E9"/>
    <w:p w:rsidR="00BF3547" w:rsidRDefault="004512DF" w:rsidP="00B327E9">
      <w:r>
        <w:t>In any case</w:t>
      </w:r>
      <w:r w:rsidR="00667666">
        <w:t>, ESMA should clarify that in case of discrepancy, the number calculated by the old TR should prevail</w:t>
      </w:r>
      <w:r>
        <w:t xml:space="preserve"> and that the TR participant will have to accept this number, whereas the role of the new TR will only be to check that the number provided by the old TR matches the number of trades that are finally transferred</w:t>
      </w:r>
      <w:r w:rsidR="00667666">
        <w:t>.</w:t>
      </w:r>
    </w:p>
    <w:permEnd w:id="1044842540"/>
    <w:p w:rsidR="00B327E9" w:rsidRDefault="00B327E9" w:rsidP="00B327E9">
      <w:r>
        <w:t>&lt;ESMA_QUESTION_TRP_10&gt;</w:t>
      </w:r>
    </w:p>
    <w:p w:rsidR="00B327E9" w:rsidRDefault="00B327E9" w:rsidP="00B327E9"/>
    <w:p w:rsidR="00B327E9" w:rsidRPr="000B5AC3" w:rsidRDefault="00AC16A4" w:rsidP="00B327E9">
      <w:pPr>
        <w:pStyle w:val="Questionstyle"/>
        <w:numPr>
          <w:ilvl w:val="0"/>
          <w:numId w:val="53"/>
        </w:numPr>
      </w:pPr>
      <w:hyperlink w:anchor="_Toc471395667" w:history="1">
        <w:r w:rsidR="00B327E9" w:rsidRPr="000B5AC3">
          <w:t>Do you agree with the proposal to identify the data subject to transfer? Please elaborate on the reasons for your response.</w:t>
        </w:r>
      </w:hyperlink>
    </w:p>
    <w:p w:rsidR="00B327E9" w:rsidRDefault="00B327E9" w:rsidP="00B327E9">
      <w:r>
        <w:t>&lt;ESMA_QUESTION_TRP_11&gt;</w:t>
      </w:r>
    </w:p>
    <w:p w:rsidR="00860F9F" w:rsidRPr="00510734" w:rsidRDefault="00510734" w:rsidP="00B327E9">
      <w:permStart w:id="402024902" w:edGrp="everyone"/>
      <w:r>
        <w:t xml:space="preserve">Guideline 8 states that the </w:t>
      </w:r>
      <w:r w:rsidRPr="00510734">
        <w:rPr>
          <w:i/>
        </w:rPr>
        <w:t>“TR participant should identify the derivatives subject to transfer only with the IDs of the two counterparties and the Trade ID”</w:t>
      </w:r>
      <w:r>
        <w:rPr>
          <w:i/>
        </w:rPr>
        <w:t xml:space="preserve">, </w:t>
      </w:r>
      <w:r>
        <w:t xml:space="preserve">while guideline 7 states that the </w:t>
      </w:r>
      <w:r w:rsidRPr="00510734">
        <w:rPr>
          <w:i/>
        </w:rPr>
        <w:t>“TR participant should sign off the numbers”</w:t>
      </w:r>
      <w:r w:rsidR="00860F9F">
        <w:rPr>
          <w:i/>
        </w:rPr>
        <w:t xml:space="preserve"> </w:t>
      </w:r>
      <w:r w:rsidR="00860F9F">
        <w:t>calculated by the old TR</w:t>
      </w:r>
      <w:r>
        <w:rPr>
          <w:i/>
        </w:rPr>
        <w:t xml:space="preserve">. </w:t>
      </w:r>
      <w:r>
        <w:t xml:space="preserve">REGIS-TR believes </w:t>
      </w:r>
      <w:r w:rsidR="00860F9F">
        <w:t xml:space="preserve">that these two statements are confusing </w:t>
      </w:r>
      <w:r w:rsidR="00B03801">
        <w:t>and</w:t>
      </w:r>
      <w:r w:rsidR="00860F9F">
        <w:t xml:space="preserve"> might result contradicting and </w:t>
      </w:r>
      <w:r w:rsidR="00B03801">
        <w:t>therefore would appreciate</w:t>
      </w:r>
      <w:r w:rsidR="00860F9F">
        <w:t xml:space="preserve"> ESMA</w:t>
      </w:r>
      <w:r w:rsidR="00B03801">
        <w:t xml:space="preserve"> </w:t>
      </w:r>
      <w:r w:rsidR="00860F9F">
        <w:t>clarify</w:t>
      </w:r>
      <w:r w:rsidR="00B03801">
        <w:t>ing</w:t>
      </w:r>
      <w:r w:rsidR="00860F9F">
        <w:t xml:space="preserve"> if it is the old TR or the TR participant that should identify the trades to be transferred. In line with answer 10, REGIS-TR believes that it should be the old TR identifying the scope of the data subject to be transferred and the client </w:t>
      </w:r>
      <w:r w:rsidR="00B03801">
        <w:t xml:space="preserve">only </w:t>
      </w:r>
      <w:r w:rsidR="00860F9F">
        <w:t xml:space="preserve">acknowledging it, and in case there is discrepancy, it will be the old TR’s position </w:t>
      </w:r>
      <w:r w:rsidR="00B03801">
        <w:t>that will prevail</w:t>
      </w:r>
      <w:r w:rsidR="00860F9F">
        <w:t>.</w:t>
      </w:r>
    </w:p>
    <w:permEnd w:id="402024902"/>
    <w:p w:rsidR="00B327E9" w:rsidRDefault="00B327E9" w:rsidP="00B327E9">
      <w:r>
        <w:t>&lt;ESMA_QUESTION_TRP_11&gt;</w:t>
      </w:r>
    </w:p>
    <w:p w:rsidR="00B327E9" w:rsidRDefault="00B327E9" w:rsidP="00B327E9"/>
    <w:p w:rsidR="00B327E9" w:rsidRPr="000B5AC3" w:rsidRDefault="00AC16A4" w:rsidP="00B327E9">
      <w:pPr>
        <w:pStyle w:val="Questionstyle"/>
        <w:numPr>
          <w:ilvl w:val="0"/>
          <w:numId w:val="53"/>
        </w:numPr>
      </w:pPr>
      <w:hyperlink w:anchor="_Toc471395668" w:history="1">
        <w:r w:rsidR="00B327E9" w:rsidRPr="000B5AC3">
          <w:t>Do you agree with the aforementioned proposal to ensure the integrity of data? What additional aspects need to be taken into account? Please elaborate on the reasons for your response.</w:t>
        </w:r>
      </w:hyperlink>
    </w:p>
    <w:p w:rsidR="00B327E9" w:rsidRDefault="00B327E9" w:rsidP="00B327E9">
      <w:r>
        <w:t>&lt;ESMA_QUESTION_TRP_12&gt;</w:t>
      </w:r>
    </w:p>
    <w:p w:rsidR="00B327E9" w:rsidRDefault="00C664AF" w:rsidP="00B327E9">
      <w:permStart w:id="977952732" w:edGrp="everyone"/>
      <w:r>
        <w:t>REGIS-TR agrees with the aforementioned proposal to ensure the integrity of the data.</w:t>
      </w:r>
    </w:p>
    <w:permEnd w:id="977952732"/>
    <w:p w:rsidR="00B327E9" w:rsidRDefault="00B327E9" w:rsidP="00B327E9">
      <w:r>
        <w:t>&lt;ESMA_QUESTION_TRP_12&gt;</w:t>
      </w:r>
    </w:p>
    <w:p w:rsidR="00B327E9" w:rsidRDefault="00B327E9" w:rsidP="00B327E9"/>
    <w:p w:rsidR="00B327E9" w:rsidRPr="000B5AC3" w:rsidRDefault="00AC16A4" w:rsidP="00B327E9">
      <w:pPr>
        <w:pStyle w:val="Questionstyle"/>
        <w:numPr>
          <w:ilvl w:val="0"/>
          <w:numId w:val="53"/>
        </w:numPr>
      </w:pPr>
      <w:hyperlink w:anchor="_Toc471395669" w:history="1">
        <w:r w:rsidR="00B327E9" w:rsidRPr="000B5AC3">
          <w:t>Do you agree with the proposed approach on data availability? What other aspects should be taken into account? Please elaborate on the reasons for your response.</w:t>
        </w:r>
      </w:hyperlink>
    </w:p>
    <w:p w:rsidR="00B327E9" w:rsidRDefault="00B327E9" w:rsidP="00B327E9">
      <w:r>
        <w:t>&lt;ESMA_QUESTION_TRP_13&gt;</w:t>
      </w:r>
    </w:p>
    <w:p w:rsidR="00D00D75" w:rsidRDefault="00C664AF" w:rsidP="00B327E9">
      <w:permStart w:id="514940457" w:edGrp="everyone"/>
      <w:r w:rsidRPr="002F46D2">
        <w:lastRenderedPageBreak/>
        <w:t xml:space="preserve">REGIS-TR agrees with </w:t>
      </w:r>
      <w:r w:rsidR="00D00D75" w:rsidRPr="002F46D2">
        <w:t>the proposed approach on data availability.</w:t>
      </w:r>
    </w:p>
    <w:p w:rsidR="00230E16" w:rsidRPr="002F46D2" w:rsidRDefault="00230E16" w:rsidP="00B327E9"/>
    <w:p w:rsidR="00253C01" w:rsidRDefault="00D00D75" w:rsidP="00B327E9">
      <w:r w:rsidRPr="002F46D2">
        <w:t xml:space="preserve">However, Guideline 10 states that </w:t>
      </w:r>
      <w:r w:rsidRPr="002F46D2">
        <w:rPr>
          <w:i/>
        </w:rPr>
        <w:t>“Until the transfer of all the relevant files subject to the transfer is completed, the data on outstanding derivatives should be reported to the old TR”</w:t>
      </w:r>
      <w:r w:rsidRPr="002F46D2">
        <w:t xml:space="preserve"> and REGIS-TR does not see how this can be dealt with in practice. It is understood from this statement that only after the complete data transfer is finalised, the TR participant will not start reporting to the new TR. But technically, the TR participant will only be able to report lifecycle events and modifications to a trade to the TR in which that trade is actually stored. I</w:t>
      </w:r>
      <w:r w:rsidR="00C664AF" w:rsidRPr="002F46D2">
        <w:t>t may happen that the outstanding position of a given TR participant cannot be completely transferred in one day.</w:t>
      </w:r>
      <w:r w:rsidR="003C6EE6" w:rsidRPr="002F46D2">
        <w:t xml:space="preserve"> Depending on the volumes to be ported, portability might take several days. The rationale behind this is based on the fact that, not only the transformation of a standard has to take place, but also there is the risk that exceptions may arise during the dataset integration process.</w:t>
      </w:r>
    </w:p>
    <w:p w:rsidR="00230E16" w:rsidRPr="002F46D2" w:rsidRDefault="00230E16" w:rsidP="00B327E9"/>
    <w:p w:rsidR="00B327E9" w:rsidRDefault="00C664AF" w:rsidP="00B327E9">
      <w:r w:rsidRPr="002F46D2">
        <w:t xml:space="preserve">If this is the case, the TR participant will have to maintain two different reporting flows, one with the old TR and one with the new TR until all outstanding trades are transferred, and any lifecycle event or modification relating to those outstanding will have to be submitted to either one or the other TR. </w:t>
      </w:r>
      <w:r w:rsidR="005E046B" w:rsidRPr="002F46D2">
        <w:t>Any minor unexpected issue or delay in the transfer of outstanding trades from one TR to another, may also</w:t>
      </w:r>
      <w:r w:rsidR="00DF1DB3" w:rsidRPr="002F46D2">
        <w:t xml:space="preserve"> </w:t>
      </w:r>
      <w:r w:rsidR="005E046B" w:rsidRPr="002F46D2">
        <w:t>cause</w:t>
      </w:r>
      <w:r w:rsidR="00DF1DB3" w:rsidRPr="002F46D2">
        <w:t xml:space="preserve"> a delay in the fulfilment of the reporting obligation deadline of T+1 by the porting participant</w:t>
      </w:r>
      <w:r w:rsidR="005E046B" w:rsidRPr="002F46D2">
        <w:t>, as they might have problems to report valuation or collateral updates on a daily basis</w:t>
      </w:r>
      <w:r w:rsidR="00DF1DB3" w:rsidRPr="002F46D2">
        <w:t xml:space="preserve">. </w:t>
      </w:r>
      <w:r w:rsidRPr="002F46D2">
        <w:t xml:space="preserve">Not only will this situation be difficult to handle by the TR participant, but it will also impact the authorities, as they will no longer have the </w:t>
      </w:r>
      <w:r>
        <w:t>information of the TR participant in one TR’s report, but in two TRs’ reports.</w:t>
      </w:r>
      <w:r w:rsidR="005E046B">
        <w:t xml:space="preserve"> For all these reasons, it would be reasonable that authorities apply a certain “grace period” to the porting participant.</w:t>
      </w:r>
    </w:p>
    <w:permEnd w:id="514940457"/>
    <w:p w:rsidR="00B327E9" w:rsidRDefault="00B327E9" w:rsidP="00B327E9">
      <w:r>
        <w:t>&lt;ESMA_QUESTION_TRP_13&gt;</w:t>
      </w:r>
    </w:p>
    <w:p w:rsidR="00B327E9" w:rsidRDefault="00B327E9" w:rsidP="00B327E9"/>
    <w:p w:rsidR="00B327E9" w:rsidRPr="000B5AC3" w:rsidRDefault="00AC16A4" w:rsidP="00B327E9">
      <w:pPr>
        <w:pStyle w:val="Questionstyle"/>
        <w:numPr>
          <w:ilvl w:val="0"/>
          <w:numId w:val="53"/>
        </w:numPr>
      </w:pPr>
      <w:hyperlink w:anchor="_Toc471395670" w:history="1">
        <w:r w:rsidR="00B327E9" w:rsidRPr="000B5AC3">
          <w:t>Do you agree with the proposed approach regarding fees for to non-outstanding derivatives? Please elaborate on the reasons for your response.</w:t>
        </w:r>
      </w:hyperlink>
    </w:p>
    <w:p w:rsidR="00B327E9" w:rsidRDefault="00B327E9" w:rsidP="00B327E9">
      <w:r>
        <w:t>&lt;ESMA_QUESTION_TRP_14&gt;</w:t>
      </w:r>
    </w:p>
    <w:p w:rsidR="00FD0CAC" w:rsidRDefault="00C710B5" w:rsidP="00A56F7E">
      <w:pPr>
        <w:pStyle w:val="Textocomentario"/>
      </w:pPr>
      <w:permStart w:id="1967266216" w:edGrp="everyone"/>
      <w:r w:rsidRPr="002F46D2">
        <w:t>REGIS-TR does not agree with the proposed approach regarding fees for non-outstanding derivatives as these may imply a cost for the TR</w:t>
      </w:r>
      <w:r w:rsidR="00A56F7E" w:rsidRPr="002F46D2">
        <w:t>. All the records reported to a TR consume resources such as storage, backup, online availability in the transactional processes and availability in the reconciliation and the reports to the authorities as well. The only difference from a resource consuming perspective between outstanding and not outstanding trades is the inclusion/exclusion in specific TR functionalities like position calculation processes, generation of certain reports to authorities, and participants, etc</w:t>
      </w:r>
      <w:r w:rsidR="00543AF7" w:rsidRPr="002F46D2">
        <w:t>.</w:t>
      </w:r>
    </w:p>
    <w:p w:rsidR="00230E16" w:rsidRPr="002F46D2" w:rsidRDefault="00230E16" w:rsidP="00A56F7E">
      <w:pPr>
        <w:pStyle w:val="Textocomentario"/>
      </w:pPr>
    </w:p>
    <w:p w:rsidR="00B327E9" w:rsidRPr="002F46D2" w:rsidRDefault="00A56F7E" w:rsidP="00B327E9">
      <w:r w:rsidRPr="002F46D2">
        <w:t>The fact that</w:t>
      </w:r>
      <w:r w:rsidR="00C710B5" w:rsidRPr="002F46D2">
        <w:t xml:space="preserve"> historic trades are</w:t>
      </w:r>
      <w:r w:rsidR="001D534C" w:rsidRPr="002F46D2">
        <w:t xml:space="preserve"> currently</w:t>
      </w:r>
      <w:r w:rsidR="00C710B5" w:rsidRPr="002F46D2">
        <w:t xml:space="preserve"> also subject to reconciliation, </w:t>
      </w:r>
      <w:r w:rsidRPr="002F46D2">
        <w:t xml:space="preserve">implies that </w:t>
      </w:r>
      <w:r w:rsidR="00C710B5" w:rsidRPr="002F46D2">
        <w:t xml:space="preserve">the old TR cannot simply limit itself to store </w:t>
      </w:r>
      <w:r w:rsidR="00A3260D" w:rsidRPr="002F46D2">
        <w:t>them</w:t>
      </w:r>
      <w:r w:rsidR="00C710B5" w:rsidRPr="002F46D2">
        <w:t xml:space="preserve"> in accordance with the recordkeeping obligation. It will also have to allow this data to be modified</w:t>
      </w:r>
      <w:r w:rsidRPr="002F46D2">
        <w:t>, besides of</w:t>
      </w:r>
      <w:r w:rsidR="00C710B5" w:rsidRPr="002F46D2">
        <w:t xml:space="preserve"> consider</w:t>
      </w:r>
      <w:r w:rsidRPr="002F46D2">
        <w:t>ing</w:t>
      </w:r>
      <w:r w:rsidR="00C710B5" w:rsidRPr="002F46D2">
        <w:t xml:space="preserve"> it in its daily reconciliation processes. In line with this, REGIS-TR would like to know </w:t>
      </w:r>
      <w:r w:rsidR="00A3260D" w:rsidRPr="002F46D2">
        <w:t>how this situation can be handled, i.e. how can historic trades that are kept in the old TR, still be subject to reconciliation if there is no way in which they can be modified by the participant, as the latter no longer has access to the TR in which they are stored?</w:t>
      </w:r>
    </w:p>
    <w:permEnd w:id="1967266216"/>
    <w:p w:rsidR="00B327E9" w:rsidRDefault="00B327E9" w:rsidP="00B327E9">
      <w:r>
        <w:t>&lt;ESMA_QUESTION_TRP_14&gt;</w:t>
      </w:r>
    </w:p>
    <w:p w:rsidR="00B327E9" w:rsidRDefault="00B327E9" w:rsidP="00B327E9"/>
    <w:p w:rsidR="00B327E9" w:rsidRPr="000B5AC3" w:rsidRDefault="00AC16A4" w:rsidP="00B327E9">
      <w:pPr>
        <w:pStyle w:val="Questionstyle"/>
        <w:numPr>
          <w:ilvl w:val="0"/>
          <w:numId w:val="53"/>
        </w:numPr>
      </w:pPr>
      <w:hyperlink w:anchor="_Toc471395671" w:history="1">
        <w:r w:rsidR="00B327E9" w:rsidRPr="000B5AC3">
          <w:t>Do you agree with the proposed waterfall approach? What additional aspects need to be taken into account? Please elaborate on the reason for your response.</w:t>
        </w:r>
      </w:hyperlink>
    </w:p>
    <w:p w:rsidR="00B327E9" w:rsidRDefault="00B327E9" w:rsidP="00B327E9">
      <w:r>
        <w:t>&lt;ESMA_QUESTION_TRP_15&gt;</w:t>
      </w:r>
    </w:p>
    <w:p w:rsidR="000E30E3" w:rsidRDefault="00CB71C3" w:rsidP="00B327E9">
      <w:permStart w:id="222176975" w:edGrp="everyone"/>
      <w:r>
        <w:t xml:space="preserve">REGIS-TR agrees with the proposed waterfall approach. </w:t>
      </w:r>
      <w:r w:rsidR="005E046B">
        <w:t>T</w:t>
      </w:r>
      <w:r>
        <w:t xml:space="preserve">he transfer of data may be done during working days, but the actual ingestion of data will have to be done in non-working days and it might be the case due to the </w:t>
      </w:r>
      <w:r w:rsidR="001A2177">
        <w:t xml:space="preserve">volume of </w:t>
      </w:r>
      <w:r>
        <w:t>data to be transferred, that this cannot all be done over a weekend</w:t>
      </w:r>
      <w:r w:rsidR="001A2177">
        <w:t>.</w:t>
      </w:r>
      <w:r w:rsidR="005E046B">
        <w:t xml:space="preserve"> The implications of this have already been described in REGIS-TR’s answer to Question 13.</w:t>
      </w:r>
      <w:r w:rsidR="000E30E3">
        <w:t xml:space="preserve"> In any case, REGIS-TR believes that a standard ingestion process should be put in place by the TR receiving the data.</w:t>
      </w:r>
    </w:p>
    <w:permEnd w:id="222176975"/>
    <w:p w:rsidR="00B327E9" w:rsidRDefault="00B327E9" w:rsidP="00B327E9">
      <w:r>
        <w:t>&lt;ESMA_QUESTION_TRP_15&gt;</w:t>
      </w:r>
    </w:p>
    <w:p w:rsidR="00B327E9" w:rsidRDefault="00B327E9" w:rsidP="00B327E9"/>
    <w:p w:rsidR="00B327E9" w:rsidRPr="000B5AC3" w:rsidRDefault="00AC16A4" w:rsidP="00B327E9">
      <w:pPr>
        <w:pStyle w:val="Questionstyle"/>
        <w:numPr>
          <w:ilvl w:val="0"/>
          <w:numId w:val="53"/>
        </w:numPr>
      </w:pPr>
      <w:hyperlink w:anchor="_Toc471395672" w:history="1">
        <w:r w:rsidR="00B327E9" w:rsidRPr="000B5AC3">
          <w:t>Do you agree with the scope of the data subject to transfer in the general case? Please elaborate on the reasons for your response.</w:t>
        </w:r>
      </w:hyperlink>
    </w:p>
    <w:p w:rsidR="00B327E9" w:rsidRDefault="00B327E9" w:rsidP="00B327E9">
      <w:r>
        <w:t>&lt;ESMA_QUESTION_TRP_16&gt;</w:t>
      </w:r>
    </w:p>
    <w:p w:rsidR="00E07B86" w:rsidRDefault="00E07B86" w:rsidP="00B327E9">
      <w:permStart w:id="290995397" w:edGrp="everyone"/>
      <w:r w:rsidRPr="002F46D2">
        <w:t>REGIS-TR agrees with the fact that all outstanding trades and any lifecycle events pertaining to them should be subject t</w:t>
      </w:r>
      <w:r w:rsidR="001D534C" w:rsidRPr="002F46D2">
        <w:t>o transfer in the general case, but strongly believes that historic data should be also transferred from the old TR to the new TR.</w:t>
      </w:r>
      <w:r w:rsidR="00E91EBF" w:rsidRPr="002F46D2">
        <w:t xml:space="preserve"> As already mentioned in Q3, not porting historical data has an impact in the reconciliation process, which requires the interaction of the counterparties with the past dataset, especially in the cases where mismatches have to be managed. Not porting historical data will produce issues in the reconciliation process because the ported counterparty does not have access to the old TR (technically speaking) and a significant number of records will remain with the latest reconciliation status reached before the portability.</w:t>
      </w:r>
    </w:p>
    <w:p w:rsidR="00230E16" w:rsidRPr="002F46D2" w:rsidRDefault="00230E16" w:rsidP="00B327E9"/>
    <w:p w:rsidR="00B327E9" w:rsidRDefault="00E07B86" w:rsidP="00B327E9">
      <w:r w:rsidRPr="002F46D2">
        <w:t xml:space="preserve">REGIS-TR would </w:t>
      </w:r>
      <w:r w:rsidR="00E91EBF" w:rsidRPr="002F46D2">
        <w:t xml:space="preserve">also </w:t>
      </w:r>
      <w:r w:rsidRPr="002F46D2">
        <w:t>like to point out, that the application of Guideline 13 will not be possible in all cases, but only in those in which the non-reporting participant has changed its status or delegated in another TR participant before the transfer actually takes place. Only if the given non-reporting participant’s outstanding trades have been allocated to another TR participant account prior to the data transfer, will these be stripped from those being transferred.</w:t>
      </w:r>
    </w:p>
    <w:p w:rsidR="00230E16" w:rsidRPr="002F46D2" w:rsidRDefault="00230E16" w:rsidP="00B327E9"/>
    <w:p w:rsidR="00541DD2" w:rsidRDefault="00E07B86" w:rsidP="00B327E9">
      <w:r w:rsidRPr="00106587">
        <w:t xml:space="preserve">Furthermore, REGIS-TR </w:t>
      </w:r>
      <w:r w:rsidR="00B65B9C" w:rsidRPr="00106587">
        <w:t>has concerns with the idea set out in Guideline 14 that refers to</w:t>
      </w:r>
      <w:r w:rsidRPr="00106587">
        <w:t xml:space="preserve"> </w:t>
      </w:r>
      <w:r w:rsidR="00B65B9C" w:rsidRPr="00106587">
        <w:rPr>
          <w:i/>
        </w:rPr>
        <w:t xml:space="preserve">“the trades of the clients of the TR participant that have confirmed their acceptance to transfer trades”. </w:t>
      </w:r>
      <w:r w:rsidR="00B65B9C" w:rsidRPr="00106587">
        <w:t>Could ESMA clarify if it is expecting the old TR to ask every single underlying client of the TR participant that is porting to provide explicit consent of the transfer? If this is the case, REGIS-TR strongly discourages the idea. Not only because of the enormous effort that reaching out to every underlying client by the TR implies, but also because in case the underlying client is a non-member, the TR has no way of reaching out to it whatsoever.</w:t>
      </w:r>
      <w:r w:rsidR="00541DD2" w:rsidRPr="00106587">
        <w:t xml:space="preserve"> REGIS-TR does not hold any contact or detail of clients behind reporting third parties who are non-members, it would be impossible to reach them unless the reporting third party provides the TR with the contact details of all those clients. </w:t>
      </w:r>
    </w:p>
    <w:p w:rsidR="00230E16" w:rsidRPr="00106587" w:rsidRDefault="00230E16" w:rsidP="00B327E9"/>
    <w:p w:rsidR="00B65B9C" w:rsidRPr="00106587" w:rsidRDefault="00B65B9C" w:rsidP="00B327E9">
      <w:r w:rsidRPr="00106587">
        <w:t xml:space="preserve">As an alternative, REGIS-TR proposes that it should be the TR participant that wants to transfer the data from one TR to another, who should </w:t>
      </w:r>
      <w:r w:rsidR="007A582B" w:rsidRPr="00106587">
        <w:t>confirm</w:t>
      </w:r>
      <w:r w:rsidRPr="00106587">
        <w:t xml:space="preserve"> that all its underlying clien</w:t>
      </w:r>
      <w:r w:rsidR="007A582B" w:rsidRPr="00106587">
        <w:t xml:space="preserve">ts agree, or not, with the change of TR. The TR participant should not only be obliged to inform its underlying clients of its intention to </w:t>
      </w:r>
      <w:r w:rsidR="00C13804" w:rsidRPr="00106587">
        <w:t>switch</w:t>
      </w:r>
      <w:r w:rsidR="007A582B" w:rsidRPr="00106587">
        <w:t xml:space="preserve"> TR, but should also ensure that this is done enough time in advance as to enable its underlying clients to look for another entity to report on its behalf or to become a member of the old</w:t>
      </w:r>
      <w:r w:rsidR="004833BF" w:rsidRPr="00106587">
        <w:t xml:space="preserve"> or other</w:t>
      </w:r>
      <w:r w:rsidR="007A582B" w:rsidRPr="00106587">
        <w:t xml:space="preserve"> TR before the portability takes place. ESMA should clearly state in its guidance, that it is the TR participant, and not the old TR, who should be held liable for this part of the portability process.</w:t>
      </w:r>
    </w:p>
    <w:permEnd w:id="290995397"/>
    <w:p w:rsidR="00B327E9" w:rsidRDefault="00B327E9" w:rsidP="00B327E9">
      <w:r>
        <w:t>&lt;ESMA_QUESTION_TRP_16&gt;</w:t>
      </w:r>
    </w:p>
    <w:p w:rsidR="00B327E9" w:rsidRDefault="00B327E9" w:rsidP="00B327E9"/>
    <w:p w:rsidR="00B327E9" w:rsidRPr="000B5AC3" w:rsidRDefault="00AC16A4" w:rsidP="00B327E9">
      <w:pPr>
        <w:pStyle w:val="Questionstyle"/>
        <w:numPr>
          <w:ilvl w:val="0"/>
          <w:numId w:val="53"/>
        </w:numPr>
      </w:pPr>
      <w:hyperlink w:anchor="_Toc471395673" w:history="1">
        <w:r w:rsidR="00B327E9" w:rsidRPr="000B5AC3">
          <w:t>Do you agree with the proposed sequence relating to the transfer in the general case? Please elaborate on the reasons for your response.</w:t>
        </w:r>
      </w:hyperlink>
    </w:p>
    <w:p w:rsidR="00B327E9" w:rsidRDefault="00B327E9" w:rsidP="00B327E9">
      <w:r>
        <w:t>&lt;ESMA_QUESTION_TRP_17&gt;</w:t>
      </w:r>
    </w:p>
    <w:p w:rsidR="00B327E9" w:rsidRDefault="00C13804" w:rsidP="00B327E9">
      <w:permStart w:id="1680541451" w:edGrp="everyone"/>
      <w:r>
        <w:t>REGIS-TR agrees with the proposed sequence.</w:t>
      </w:r>
    </w:p>
    <w:permEnd w:id="1680541451"/>
    <w:p w:rsidR="00B327E9" w:rsidRDefault="00B327E9" w:rsidP="00B327E9">
      <w:r>
        <w:t>&lt;ESMA_QUESTION_TRP_17&gt;</w:t>
      </w:r>
    </w:p>
    <w:p w:rsidR="00B327E9" w:rsidRDefault="00B327E9" w:rsidP="00B327E9"/>
    <w:p w:rsidR="00B327E9" w:rsidRPr="000B5AC3" w:rsidRDefault="00AC16A4" w:rsidP="00B327E9">
      <w:pPr>
        <w:pStyle w:val="Questionstyle"/>
        <w:numPr>
          <w:ilvl w:val="0"/>
          <w:numId w:val="53"/>
        </w:numPr>
      </w:pPr>
      <w:hyperlink w:anchor="_Toc471395674" w:history="1">
        <w:r w:rsidR="00B327E9" w:rsidRPr="000B5AC3">
          <w:t>Do you agree with the communications in the case of transfer requested by the TR participant? Please elaborate on the reason for your response</w:t>
        </w:r>
      </w:hyperlink>
    </w:p>
    <w:p w:rsidR="00B327E9" w:rsidRDefault="00B327E9" w:rsidP="00B327E9">
      <w:r>
        <w:t>&lt;ESMA_QUESTION_TRP_18&gt;</w:t>
      </w:r>
    </w:p>
    <w:p w:rsidR="00CF7BFC" w:rsidRDefault="00C13804" w:rsidP="00B327E9">
      <w:permStart w:id="960305468" w:edGrp="everyone"/>
      <w:r>
        <w:t>A TR participant may be under the scope of several authorities’ mandates or jurisdictions</w:t>
      </w:r>
      <w:r w:rsidR="00CF7BFC">
        <w:t xml:space="preserve"> at the same time</w:t>
      </w:r>
      <w:r>
        <w:t xml:space="preserve">. The same happens with the reporting counterparties on whose behalf the TR participant who is switching TR is reporting. </w:t>
      </w:r>
    </w:p>
    <w:p w:rsidR="00230E16" w:rsidRDefault="00230E16" w:rsidP="00B327E9"/>
    <w:p w:rsidR="00B327E9" w:rsidRDefault="00C13804" w:rsidP="00B327E9">
      <w:r>
        <w:lastRenderedPageBreak/>
        <w:t xml:space="preserve">On another hand, there are several fields by which trades are filtered and provided to authorities, some of these filtering fields refer to the Counterparty Dataset, while other belong to the Common Dataset. This </w:t>
      </w:r>
      <w:r w:rsidR="00CF7BFC">
        <w:t>implies that part of the criteria used to filter the data is static, while other might depend on the derivative being reported, and so the trades reported by, or on behalf of, a given counterparty, will in some cases be provided to certain authorities, and in other cases to other authorities, e.g. depending on the product.</w:t>
      </w:r>
      <w:r>
        <w:t xml:space="preserve"> </w:t>
      </w:r>
    </w:p>
    <w:p w:rsidR="00230E16" w:rsidRDefault="00CF7BFC" w:rsidP="00B327E9">
      <w:r>
        <w:t>For all this, it is impossible for the old, or the new TR, to identify what authorities are exactly entitled to view the participant’s trades.</w:t>
      </w:r>
    </w:p>
    <w:p w:rsidR="00CF7BFC" w:rsidRDefault="00CF7BFC" w:rsidP="00B327E9"/>
    <w:p w:rsidR="00CF7BFC" w:rsidRDefault="00CF7BFC" w:rsidP="00B327E9">
      <w:r>
        <w:t>REGIS-TR therefore suggests notifying all authorities that access the TR instead.</w:t>
      </w:r>
    </w:p>
    <w:permEnd w:id="960305468"/>
    <w:p w:rsidR="00B327E9" w:rsidRDefault="00B327E9" w:rsidP="00B327E9">
      <w:r>
        <w:t>&lt;ESMA_QUESTION_TRP_18&gt;</w:t>
      </w:r>
    </w:p>
    <w:p w:rsidR="00B327E9" w:rsidRDefault="00B327E9" w:rsidP="00B327E9"/>
    <w:p w:rsidR="00B327E9" w:rsidRPr="000B5AC3" w:rsidRDefault="00AC16A4" w:rsidP="00B327E9">
      <w:pPr>
        <w:pStyle w:val="Questionstyle"/>
        <w:numPr>
          <w:ilvl w:val="0"/>
          <w:numId w:val="53"/>
        </w:numPr>
      </w:pPr>
      <w:hyperlink w:anchor="_Toc471395675" w:history="1">
        <w:r w:rsidR="00B327E9" w:rsidRPr="000B5AC3">
          <w:t>Do you agree with the proposed recordkeeping of transferred data? What additional aspects need to be taken into account? Please elaborate on the reasons for your response.</w:t>
        </w:r>
      </w:hyperlink>
    </w:p>
    <w:p w:rsidR="00B327E9" w:rsidRDefault="00B327E9" w:rsidP="00B327E9">
      <w:r>
        <w:t>&lt;ESMA_QUESTION_TRP_19&gt;</w:t>
      </w:r>
    </w:p>
    <w:p w:rsidR="00B327E9" w:rsidRDefault="00E00AAE" w:rsidP="00B327E9">
      <w:permStart w:id="605817296" w:edGrp="everyone"/>
      <w:r w:rsidRPr="002F46D2">
        <w:t>REGIS-TR agrees with the proposed recordkeeping of transferred data.</w:t>
      </w:r>
    </w:p>
    <w:p w:rsidR="00230E16" w:rsidRPr="002F46D2" w:rsidRDefault="00230E16" w:rsidP="00B327E9"/>
    <w:p w:rsidR="00E00AAE" w:rsidRPr="002F46D2" w:rsidRDefault="00E00AAE" w:rsidP="00B327E9">
      <w:r w:rsidRPr="002F46D2">
        <w:t xml:space="preserve">However, REGIS-TR disagrees with the part of Guideline 19 that states the old TR </w:t>
      </w:r>
      <w:r w:rsidRPr="002F46D2">
        <w:rPr>
          <w:i/>
        </w:rPr>
        <w:t xml:space="preserve">“should ensure the timely retrieval of data in no more than seven calendar days” </w:t>
      </w:r>
      <w:r w:rsidRPr="002F46D2">
        <w:t>as this is beyond the control of the old TR. It should be the new TR that ensures the retrieval of the data once this has been transferred.</w:t>
      </w:r>
      <w:r w:rsidR="00F13636" w:rsidRPr="002F46D2">
        <w:t xml:space="preserve"> While the old TR should keep the transferred data for three months, it should be clearly stated that the old TR has no further record-keeping-obligation in this context.</w:t>
      </w:r>
    </w:p>
    <w:permEnd w:id="605817296"/>
    <w:p w:rsidR="00B327E9" w:rsidRDefault="00B327E9" w:rsidP="00B327E9">
      <w:r>
        <w:t>&lt;ESMA_QUESTION_TRP_19&gt;</w:t>
      </w:r>
    </w:p>
    <w:p w:rsidR="00B327E9" w:rsidRDefault="00B327E9" w:rsidP="00B327E9"/>
    <w:p w:rsidR="00B327E9" w:rsidRPr="000B5AC3" w:rsidRDefault="00AC16A4" w:rsidP="00B327E9">
      <w:pPr>
        <w:pStyle w:val="Questionstyle"/>
        <w:numPr>
          <w:ilvl w:val="0"/>
          <w:numId w:val="53"/>
        </w:numPr>
      </w:pPr>
      <w:hyperlink w:anchor="_Toc471395676" w:history="1">
        <w:r w:rsidR="00B327E9" w:rsidRPr="000B5AC3">
          <w:t>Do you agree with the proposed approach for fees in the case of transfer of data at the request of a TR participant? What additional aspects need to be taken into account? Please elaborate on the reasons for your response.</w:t>
        </w:r>
      </w:hyperlink>
    </w:p>
    <w:p w:rsidR="00B327E9" w:rsidRDefault="00B327E9" w:rsidP="00B327E9">
      <w:r>
        <w:t>&lt;ESMA_QUESTION_TRP_20&gt;</w:t>
      </w:r>
    </w:p>
    <w:p w:rsidR="004833BF" w:rsidRDefault="004353B0" w:rsidP="00B327E9">
      <w:permStart w:id="198930396" w:edGrp="everyone"/>
      <w:r w:rsidRPr="00106587">
        <w:t>REGIS-TR agrees with the proposed approach for fees</w:t>
      </w:r>
      <w:r w:rsidR="004833BF" w:rsidRPr="00106587">
        <w:t xml:space="preserve">, although </w:t>
      </w:r>
      <w:r w:rsidR="0049251D" w:rsidRPr="00106587">
        <w:t xml:space="preserve">Guideline 20 should also explicitly mention that fees may be variable depending on the volumes transferred. </w:t>
      </w:r>
    </w:p>
    <w:p w:rsidR="00230E16" w:rsidRPr="00106587" w:rsidRDefault="00230E16" w:rsidP="00B327E9"/>
    <w:p w:rsidR="0049251D" w:rsidRDefault="0049251D" w:rsidP="00B327E9">
      <w:r w:rsidRPr="00106587">
        <w:t>In addition,</w:t>
      </w:r>
      <w:r w:rsidR="004353B0" w:rsidRPr="00106587">
        <w:t xml:space="preserve"> as already mentioned above, ESMA should consider the cost that the old TRs will incur in for maintaining h</w:t>
      </w:r>
      <w:r w:rsidR="00541DD2" w:rsidRPr="00106587">
        <w:t xml:space="preserve">istoric trades in their systems, </w:t>
      </w:r>
      <w:r w:rsidR="004353B0" w:rsidRPr="00106587">
        <w:t>due to the fact that they will remain as part of the TR’s daily processes as long as they are subject to reconciliation.</w:t>
      </w:r>
    </w:p>
    <w:p w:rsidR="00230E16" w:rsidRPr="00106587" w:rsidRDefault="00230E16" w:rsidP="00B327E9"/>
    <w:p w:rsidR="00B327E9" w:rsidRPr="00106587" w:rsidRDefault="0049251D" w:rsidP="00B327E9">
      <w:r w:rsidRPr="00106587">
        <w:t xml:space="preserve">On the other hand, REGIS-TR does not agree with the possibility granted to TRs to offer discounts to attract customers. </w:t>
      </w:r>
      <w:r w:rsidR="004353B0" w:rsidRPr="00106587">
        <w:t xml:space="preserve"> </w:t>
      </w:r>
    </w:p>
    <w:permEnd w:id="198930396"/>
    <w:p w:rsidR="00B327E9" w:rsidRDefault="00B327E9" w:rsidP="00B327E9">
      <w:r>
        <w:t>&lt;ESMA_QUESTION_TRP_20&gt;</w:t>
      </w:r>
    </w:p>
    <w:p w:rsidR="00B327E9" w:rsidRDefault="00B327E9" w:rsidP="00B327E9"/>
    <w:p w:rsidR="00B327E9" w:rsidRPr="000B5AC3" w:rsidRDefault="00AC16A4" w:rsidP="00B327E9">
      <w:pPr>
        <w:pStyle w:val="Questionstyle"/>
        <w:numPr>
          <w:ilvl w:val="0"/>
          <w:numId w:val="53"/>
        </w:numPr>
      </w:pPr>
      <w:hyperlink w:anchor="_Toc471395677" w:history="1">
        <w:r w:rsidR="00B327E9" w:rsidRPr="000B5AC3">
          <w:t>Do you agree with the scope of the data subject to transfer in the case of withdrawal of registration? Please elaborate on the reasons for your response.</w:t>
        </w:r>
      </w:hyperlink>
    </w:p>
    <w:p w:rsidR="00B327E9" w:rsidRDefault="00B327E9" w:rsidP="00B327E9">
      <w:r>
        <w:t>&lt;ESMA_QUESTION_TRP_21&gt;</w:t>
      </w:r>
    </w:p>
    <w:p w:rsidR="00B327E9" w:rsidRDefault="004353B0" w:rsidP="00B327E9">
      <w:permStart w:id="144380201" w:edGrp="everyone"/>
      <w:r>
        <w:t>Yes, REGIS-TR agrees with the scope of the data subject to transfer.</w:t>
      </w:r>
    </w:p>
    <w:permEnd w:id="144380201"/>
    <w:p w:rsidR="00B327E9" w:rsidRDefault="00B327E9" w:rsidP="00B327E9">
      <w:r>
        <w:t>&lt;ESMA_QUESTION_TRP_21&gt;</w:t>
      </w:r>
    </w:p>
    <w:p w:rsidR="00B327E9" w:rsidRDefault="00B327E9" w:rsidP="00B327E9"/>
    <w:p w:rsidR="00B327E9" w:rsidRPr="000B5AC3" w:rsidRDefault="00AC16A4" w:rsidP="00B327E9">
      <w:pPr>
        <w:pStyle w:val="Questionstyle"/>
        <w:numPr>
          <w:ilvl w:val="0"/>
          <w:numId w:val="53"/>
        </w:numPr>
      </w:pPr>
      <w:hyperlink w:anchor="_Toc471395678" w:history="1">
        <w:r w:rsidR="00B327E9" w:rsidRPr="000B5AC3">
          <w:t>In the case of transfer of data due to withdrawal of registration, do you agree with the proposal to include the migration plans as parts of the wind-down plan? Please elaborate on the reasons for your response.</w:t>
        </w:r>
      </w:hyperlink>
    </w:p>
    <w:p w:rsidR="00B327E9" w:rsidRDefault="00B327E9" w:rsidP="00B327E9">
      <w:r>
        <w:t>&lt;ESMA_QUESTION_TRP_22&gt;</w:t>
      </w:r>
    </w:p>
    <w:p w:rsidR="00FD6EFC" w:rsidRDefault="00FD6EFC" w:rsidP="00B327E9">
      <w:permStart w:id="199183298" w:edGrp="everyone"/>
      <w:r>
        <w:t xml:space="preserve">Yes, REGIS-TR agrees with the proposal. </w:t>
      </w:r>
    </w:p>
    <w:permEnd w:id="199183298"/>
    <w:p w:rsidR="00B327E9" w:rsidRDefault="00B327E9" w:rsidP="00B327E9">
      <w:r>
        <w:lastRenderedPageBreak/>
        <w:t>&lt;ESMA_QUESTION_TRP_22&gt;</w:t>
      </w:r>
    </w:p>
    <w:p w:rsidR="00B327E9" w:rsidRDefault="00B327E9" w:rsidP="00B327E9"/>
    <w:p w:rsidR="00B327E9" w:rsidRPr="000B5AC3" w:rsidRDefault="00AC16A4" w:rsidP="00B327E9">
      <w:pPr>
        <w:pStyle w:val="Questionstyle"/>
        <w:numPr>
          <w:ilvl w:val="0"/>
          <w:numId w:val="53"/>
        </w:numPr>
      </w:pPr>
      <w:hyperlink w:anchor="_Toc471395679" w:history="1">
        <w:r w:rsidR="00B327E9" w:rsidRPr="000B5AC3">
          <w:t>Do you agree with the proposed sequence relating to the transfer of data in both situations related to withdrawal of registration of a TR? Please elaborate on the reasons for your response.</w:t>
        </w:r>
      </w:hyperlink>
    </w:p>
    <w:p w:rsidR="00B327E9" w:rsidRDefault="00B327E9" w:rsidP="00B327E9">
      <w:r>
        <w:t>&lt;ESMA_QUESTION_TRP_23&gt;</w:t>
      </w:r>
    </w:p>
    <w:p w:rsidR="00FD6EFC" w:rsidRDefault="00FD6EFC" w:rsidP="00B327E9">
      <w:permStart w:id="656287970" w:edGrp="everyone"/>
      <w:r>
        <w:t>REGIS-TR has strong concerns regarding the following statements:</w:t>
      </w:r>
    </w:p>
    <w:p w:rsidR="00230E16" w:rsidRDefault="00230E16" w:rsidP="00B327E9"/>
    <w:p w:rsidR="00B327E9" w:rsidRDefault="00FD6EFC" w:rsidP="00B327E9">
      <w:pPr>
        <w:rPr>
          <w:i/>
        </w:rPr>
      </w:pPr>
      <w:r>
        <w:t xml:space="preserve">Paragraph 80 </w:t>
      </w:r>
      <w:r w:rsidRPr="00FD6EFC">
        <w:rPr>
          <w:i/>
        </w:rPr>
        <w:t>“the old TR should present a wind-down plan that includes the new TR or TRs to which the reports referred to in section 9.1 would be transferred”.</w:t>
      </w:r>
    </w:p>
    <w:p w:rsidR="00230E16" w:rsidRDefault="00230E16" w:rsidP="00B327E9"/>
    <w:p w:rsidR="00FD6EFC" w:rsidRDefault="00FD6EFC" w:rsidP="00B327E9">
      <w:pPr>
        <w:rPr>
          <w:i/>
        </w:rPr>
      </w:pPr>
      <w:r>
        <w:t xml:space="preserve">Paragraph 81 </w:t>
      </w:r>
      <w:r w:rsidRPr="00FD6EFC">
        <w:rPr>
          <w:i/>
        </w:rPr>
        <w:t>“Where the TR participants, e.g. RSE, the counterparties or CCPs request to move to different TRs, the TR should seek to accommodate each specific request for transfer, including the ones made by non-reporting TR participants”.</w:t>
      </w:r>
    </w:p>
    <w:p w:rsidR="00230E16" w:rsidRDefault="00230E16" w:rsidP="00B327E9"/>
    <w:p w:rsidR="00FD6EFC" w:rsidRDefault="00FD6EFC" w:rsidP="00B327E9">
      <w:pPr>
        <w:rPr>
          <w:i/>
        </w:rPr>
      </w:pPr>
      <w:r>
        <w:t>Paragraph 85 “</w:t>
      </w:r>
      <w:r w:rsidRPr="00FD6EFC">
        <w:rPr>
          <w:i/>
        </w:rPr>
        <w:t>ESMA will require the TR to present a wind-down plan that includes the new TR or TRs to which the data referred to in paragraph 76 is proposed to be transferred”.</w:t>
      </w:r>
    </w:p>
    <w:p w:rsidR="00230E16" w:rsidRPr="00FD6EFC" w:rsidRDefault="00230E16" w:rsidP="00B327E9">
      <w:pPr>
        <w:rPr>
          <w:i/>
        </w:rPr>
      </w:pPr>
    </w:p>
    <w:p w:rsidR="00FD6EFC" w:rsidRDefault="00FD6EFC" w:rsidP="00B327E9">
      <w:pPr>
        <w:rPr>
          <w:i/>
        </w:rPr>
      </w:pPr>
      <w:r>
        <w:t>Paragraph 87 “</w:t>
      </w:r>
      <w:r w:rsidRPr="00FD6EFC">
        <w:rPr>
          <w:i/>
        </w:rPr>
        <w:t>In case either (</w:t>
      </w:r>
      <w:proofErr w:type="spellStart"/>
      <w:r w:rsidRPr="00FD6EFC">
        <w:rPr>
          <w:i/>
        </w:rPr>
        <w:t>i</w:t>
      </w:r>
      <w:proofErr w:type="spellEnd"/>
      <w:r w:rsidRPr="00FD6EFC">
        <w:rPr>
          <w:i/>
        </w:rPr>
        <w:t>) the old TR does not provide to ESMA the TR or TRs to which the data will be transferred or (ii) the TR or TRs which are contacted by the old TR refuse to accept the data and the subsequent data flow, ESMA should determine the TR or TRs that would receive the data. It is worth mentioning that a similar approach, i.e. appointment of an entity, is envisaged in the EC proposal for Recovery and resolution of CCPs.”</w:t>
      </w:r>
    </w:p>
    <w:p w:rsidR="00230E16" w:rsidRDefault="00230E16" w:rsidP="00B327E9">
      <w:pPr>
        <w:rPr>
          <w:i/>
        </w:rPr>
      </w:pPr>
    </w:p>
    <w:p w:rsidR="00993A29" w:rsidRDefault="004B6EEC" w:rsidP="00B327E9">
      <w:r>
        <w:t>Even if carrying out the transfer of data fast and with certainty is a priority, i</w:t>
      </w:r>
      <w:r w:rsidR="00FD6EFC">
        <w:t>t should be the TR participants who should decide to which TR they want to transfer their activity and a transparent procedure should be therefore put in place to ensure that this happens. It is against all level playing field principles</w:t>
      </w:r>
      <w:r>
        <w:t>, and it would imply limiting the freedom of participants to contract,</w:t>
      </w:r>
      <w:r w:rsidR="00FD6EFC">
        <w:t xml:space="preserve"> that anyone else other than the client itself decides to what TR they want to </w:t>
      </w:r>
      <w:r>
        <w:t>switch</w:t>
      </w:r>
      <w:r w:rsidR="00FD6EFC">
        <w:t xml:space="preserve">. </w:t>
      </w:r>
    </w:p>
    <w:p w:rsidR="00230E16" w:rsidRDefault="00230E16" w:rsidP="00B327E9"/>
    <w:p w:rsidR="00993A29" w:rsidRDefault="00993A29" w:rsidP="00B327E9">
      <w:r>
        <w:t>As for the role of the new TR in such scenarios, since historic data is also included in the transfer, it is worth noting that the receiving TR might face issues to ingest the data due to the potentially high volumes.</w:t>
      </w:r>
    </w:p>
    <w:permEnd w:id="656287970"/>
    <w:p w:rsidR="00B327E9" w:rsidRDefault="00B327E9" w:rsidP="00B327E9">
      <w:r>
        <w:t>&lt;ESMA_QUESTION_TRP_23&gt;</w:t>
      </w:r>
    </w:p>
    <w:p w:rsidR="00B327E9" w:rsidRDefault="00B327E9" w:rsidP="00B327E9"/>
    <w:p w:rsidR="00B327E9" w:rsidRPr="000B5AC3" w:rsidRDefault="00AC16A4" w:rsidP="00B327E9">
      <w:pPr>
        <w:pStyle w:val="Questionstyle"/>
        <w:numPr>
          <w:ilvl w:val="0"/>
          <w:numId w:val="53"/>
        </w:numPr>
      </w:pPr>
      <w:hyperlink w:anchor="_Toc471395680" w:history="1">
        <w:r w:rsidR="00B327E9" w:rsidRPr="000B5AC3">
          <w:t>Do you agree with the proposed notifications in those cases related to withdrawal of registration of a TR? Please elaborate on the reasons for your response.</w:t>
        </w:r>
      </w:hyperlink>
    </w:p>
    <w:p w:rsidR="00B327E9" w:rsidRDefault="00B327E9" w:rsidP="00B327E9">
      <w:r>
        <w:t>&lt;ESMA_QUESTION_TRP_24&gt;</w:t>
      </w:r>
    </w:p>
    <w:p w:rsidR="00B327E9" w:rsidRDefault="00993A29" w:rsidP="00B327E9">
      <w:permStart w:id="338324574" w:edGrp="everyone"/>
      <w:r>
        <w:t>Yes, REGIS-TR agrees with the proposed notifications.</w:t>
      </w:r>
    </w:p>
    <w:permEnd w:id="338324574"/>
    <w:p w:rsidR="00B327E9" w:rsidRDefault="00B327E9" w:rsidP="00B327E9">
      <w:r>
        <w:t>&lt;ESMA_QUESTION_TRP_24&gt;</w:t>
      </w:r>
    </w:p>
    <w:p w:rsidR="00B327E9" w:rsidRDefault="00B327E9" w:rsidP="00B327E9"/>
    <w:p w:rsidR="00B327E9" w:rsidRPr="000B5AC3" w:rsidRDefault="00AC16A4" w:rsidP="00B327E9">
      <w:pPr>
        <w:pStyle w:val="Questionstyle"/>
        <w:numPr>
          <w:ilvl w:val="0"/>
          <w:numId w:val="53"/>
        </w:numPr>
      </w:pPr>
      <w:hyperlink w:anchor="_Toc471395681" w:history="1">
        <w:r w:rsidR="00B327E9" w:rsidRPr="000B5AC3">
          <w:t>Do you agree with the proposal regarding the recordkeeping of transferred records by the old TR in the case of withdrawal of registration?  Please elaborate on the reasons for your response.</w:t>
        </w:r>
      </w:hyperlink>
    </w:p>
    <w:p w:rsidR="00B327E9" w:rsidRDefault="00B327E9" w:rsidP="00B327E9">
      <w:r>
        <w:t>&lt;ESMA_QUESTION_TRP_25&gt;</w:t>
      </w:r>
    </w:p>
    <w:p w:rsidR="00B327E9" w:rsidRDefault="00993A29" w:rsidP="00B327E9">
      <w:permStart w:id="1012290600" w:edGrp="everyone"/>
      <w:r>
        <w:t>Yes, REGIS-TR agrees with the proposal regarding the recordkeeping of transferred records.</w:t>
      </w:r>
    </w:p>
    <w:p w:rsidR="00230E16" w:rsidRDefault="00230E16" w:rsidP="00B327E9"/>
    <w:p w:rsidR="0076648E" w:rsidRDefault="00993A29" w:rsidP="00B327E9">
      <w:r>
        <w:t xml:space="preserve">REGIS-TR does not agree with Guideline 26 where it is stated that the old TR </w:t>
      </w:r>
      <w:r w:rsidRPr="0076648E">
        <w:rPr>
          <w:i/>
        </w:rPr>
        <w:t>“should ensure the timely retrieval of data in no more than seven calendar days</w:t>
      </w:r>
      <w:r w:rsidR="0076648E" w:rsidRPr="0076648E">
        <w:rPr>
          <w:i/>
        </w:rPr>
        <w:t>”</w:t>
      </w:r>
      <w:r w:rsidR="0076648E">
        <w:rPr>
          <w:i/>
        </w:rPr>
        <w:t xml:space="preserve">, </w:t>
      </w:r>
      <w:r w:rsidR="0076648E">
        <w:t xml:space="preserve">as this is beyond the control of the old TR. It should be the new TR that ensures the retrieval of the data once this has been transferred. Moreover, </w:t>
      </w:r>
      <w:r w:rsidR="0076648E">
        <w:lastRenderedPageBreak/>
        <w:t>considering the potentially high volumes of data to be transferred, REGIS-TR thinks that although seven days might be sufficient to transfer the data, it might not be enough time to ingest the data by the new TR.</w:t>
      </w:r>
    </w:p>
    <w:permEnd w:id="1012290600"/>
    <w:p w:rsidR="00B327E9" w:rsidRDefault="00B327E9" w:rsidP="00B327E9">
      <w:r>
        <w:t>&lt;ESMA_QUESTION_TRP_25&gt;</w:t>
      </w:r>
    </w:p>
    <w:p w:rsidR="00B327E9" w:rsidRDefault="00B327E9" w:rsidP="00B327E9"/>
    <w:p w:rsidR="00B327E9" w:rsidRPr="000B5AC3" w:rsidRDefault="00AC16A4" w:rsidP="00B327E9">
      <w:pPr>
        <w:pStyle w:val="Questionstyle"/>
        <w:numPr>
          <w:ilvl w:val="0"/>
          <w:numId w:val="53"/>
        </w:numPr>
      </w:pPr>
      <w:hyperlink w:anchor="_Toc471395682" w:history="1">
        <w:r w:rsidR="00B327E9" w:rsidRPr="000B5AC3">
          <w:t>Do you agree with the proposed approach for fees in the case of transfer of data due to withdrawal of registration of a TR? What additional aspects need to be taken into account? Please elaborate on the reasons for your response.</w:t>
        </w:r>
      </w:hyperlink>
    </w:p>
    <w:p w:rsidR="00B327E9" w:rsidRDefault="00B327E9" w:rsidP="00B327E9">
      <w:r>
        <w:t>&lt;ESMA_QUESTION_TRP_26&gt;</w:t>
      </w:r>
    </w:p>
    <w:p w:rsidR="00B327E9" w:rsidRPr="00106587" w:rsidRDefault="007E50E9" w:rsidP="00B327E9">
      <w:permStart w:id="342778596" w:edGrp="everyone"/>
      <w:r w:rsidRPr="00106587">
        <w:t xml:space="preserve">REGIS-TR </w:t>
      </w:r>
      <w:r w:rsidR="00813AAE" w:rsidRPr="00106587">
        <w:t>dis</w:t>
      </w:r>
      <w:r w:rsidRPr="00106587">
        <w:t>agrees with the proposed approach.</w:t>
      </w:r>
      <w:r w:rsidR="00813AAE" w:rsidRPr="00106587">
        <w:t xml:space="preserve"> Regardless of the fact that registration of a TR has been withdrawn, or that it has been the TR participant’s decision to switch TRs, planning a migration and carrying it out has a cost, the new TR must ingest the data and the old TR will have additional expenses</w:t>
      </w:r>
      <w:r w:rsidR="00F75934" w:rsidRPr="00106587">
        <w:t xml:space="preserve"> which will</w:t>
      </w:r>
      <w:r w:rsidR="00813AAE" w:rsidRPr="00106587">
        <w:t xml:space="preserve"> depend</w:t>
      </w:r>
      <w:r w:rsidR="00F75934" w:rsidRPr="00106587">
        <w:t xml:space="preserve"> on</w:t>
      </w:r>
      <w:r w:rsidR="00813AAE" w:rsidRPr="00106587">
        <w:t xml:space="preserve"> the approach agreed between the TR participant and the old TR.</w:t>
      </w:r>
    </w:p>
    <w:permEnd w:id="342778596"/>
    <w:p w:rsidR="00B327E9" w:rsidRDefault="00B327E9" w:rsidP="00B327E9">
      <w:r>
        <w:t>&lt;ESMA_QUESTION_TRP_26&gt;</w:t>
      </w:r>
    </w:p>
    <w:p w:rsidR="00B327E9" w:rsidRDefault="00B327E9" w:rsidP="00B327E9"/>
    <w:p w:rsidR="00B327E9" w:rsidRPr="000B5AC3" w:rsidRDefault="00AC16A4" w:rsidP="00B327E9">
      <w:pPr>
        <w:pStyle w:val="Questionstyle"/>
        <w:numPr>
          <w:ilvl w:val="0"/>
          <w:numId w:val="53"/>
        </w:numPr>
      </w:pPr>
      <w:hyperlink w:anchor="_Toc471395683" w:history="1">
        <w:r w:rsidR="00B327E9" w:rsidRPr="000B5AC3">
          <w:t>Do you agree with the sequence of the process of transfer of data in the general case? What other aspects and milestones need to be included? Please elaborate on the reasons for your response.</w:t>
        </w:r>
      </w:hyperlink>
    </w:p>
    <w:p w:rsidR="00B327E9" w:rsidRDefault="00B327E9" w:rsidP="00B327E9">
      <w:r>
        <w:t>&lt;ESMA_QUESTION_TRP_27&gt;</w:t>
      </w:r>
    </w:p>
    <w:p w:rsidR="00543AF7" w:rsidRPr="002F46D2" w:rsidRDefault="00543AF7" w:rsidP="00543AF7">
      <w:permStart w:id="698837653" w:edGrp="everyone"/>
      <w:r w:rsidRPr="002F46D2">
        <w:t>REGIS-TR agrees with the sequence of the process of transfer of data in the general case, but does not completely agree with all the actions mentioned in the procedure, considers that certain points require further clarification and that some other points have not been included. All these issues have already been mentioned throughout the consultation paper, i.e. the fact that it is only the old TR that is really in a position to confirm what trades are actually outstanding, the impossibility to carry out the migration of outstanding trades in one day or weekend if the volumes are too high or if rejections occur, etc. On another hand, the procedure does not mention the requirement</w:t>
      </w:r>
      <w:r w:rsidR="000A3705" w:rsidRPr="002F46D2">
        <w:t xml:space="preserve"> defined</w:t>
      </w:r>
      <w:r w:rsidRPr="002F46D2">
        <w:t xml:space="preserve"> in the consultation paper of informing underlying clients of the participant migrating.</w:t>
      </w:r>
    </w:p>
    <w:permEnd w:id="698837653"/>
    <w:p w:rsidR="00B327E9" w:rsidRDefault="00B327E9" w:rsidP="00B327E9">
      <w:r>
        <w:t>&lt;ESMA_QUESTION_TRP_27&gt;</w:t>
      </w:r>
    </w:p>
    <w:p w:rsidR="00B327E9" w:rsidRDefault="00B327E9" w:rsidP="00B327E9"/>
    <w:p w:rsidR="00B327E9" w:rsidRPr="000B5AC3" w:rsidRDefault="00AC16A4" w:rsidP="00B327E9">
      <w:pPr>
        <w:pStyle w:val="Questionstyle"/>
        <w:numPr>
          <w:ilvl w:val="0"/>
          <w:numId w:val="53"/>
        </w:numPr>
      </w:pPr>
      <w:hyperlink w:anchor="_Toc471395684" w:history="1">
        <w:r w:rsidR="00B327E9" w:rsidRPr="000B5AC3">
          <w:t>Do you agree with the sequence of the process of transfer of data in case of withdrawal of registration? What other aspects and milestones need to be included? Please elaborate on the reasons for your response.</w:t>
        </w:r>
      </w:hyperlink>
    </w:p>
    <w:p w:rsidR="00B327E9" w:rsidRDefault="00B327E9" w:rsidP="00B327E9">
      <w:r>
        <w:t>&lt;ESMA_QUESTION_TRP_28&gt;</w:t>
      </w:r>
    </w:p>
    <w:p w:rsidR="00543AF7" w:rsidRPr="002F46D2" w:rsidRDefault="00543AF7" w:rsidP="00543AF7">
      <w:permStart w:id="232072107" w:edGrp="everyone"/>
      <w:r w:rsidRPr="002F46D2">
        <w:t xml:space="preserve">Although REGIS-TR agrees with the sequence of the process of transfer of data in case of withdrawal of registration, it does not agree with all the actions mentioned in the procedure, considers that certain points require further clarification and that some other points have not been included. All these issues have already been mentioned throughout the consultation paper. REGIS-TR would like to emphasize its strong disagreement with the lack of transparency in the selection process of the new TR in case of non-voluntary withdrawal, as pointed out in Question 23. </w:t>
      </w:r>
    </w:p>
    <w:permEnd w:id="232072107"/>
    <w:p w:rsidR="00B327E9" w:rsidRDefault="00B327E9" w:rsidP="00B327E9">
      <w:r>
        <w:t>&lt;ESMA_QUESTION_TRP_28&gt;</w:t>
      </w:r>
    </w:p>
    <w:p w:rsidR="00B327E9" w:rsidRDefault="00B327E9" w:rsidP="00B327E9"/>
    <w:p w:rsidR="00B327E9" w:rsidRDefault="00B327E9" w:rsidP="00B327E9"/>
    <w:p w:rsidR="002E7113" w:rsidRDefault="00B327E9" w:rsidP="00B327E9">
      <w:pPr>
        <w:pStyle w:val="Questionstyle"/>
      </w:pPr>
      <w:r>
        <w:t xml:space="preserve"> </w:t>
      </w:r>
    </w:p>
    <w:p w:rsidR="002E7113" w:rsidRDefault="002E7113" w:rsidP="002E7113"/>
    <w:p w:rsidR="000321C9" w:rsidRDefault="002E7113" w:rsidP="002E7113">
      <w:pPr>
        <w:pStyle w:val="Questionstyle"/>
      </w:pPr>
      <w:r>
        <w:t xml:space="preserve"> </w:t>
      </w:r>
    </w:p>
    <w:p w:rsidR="008701E5" w:rsidRDefault="008701E5" w:rsidP="00835B01">
      <w:pPr>
        <w:pStyle w:val="Questionstyle"/>
        <w:rPr>
          <w:b w:val="0"/>
        </w:rPr>
      </w:pPr>
    </w:p>
    <w:sectPr w:rsidR="008701E5"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D55" w:rsidRDefault="00E17D55">
      <w:r>
        <w:separator/>
      </w:r>
    </w:p>
    <w:p w:rsidR="00E17D55" w:rsidRDefault="00E17D55"/>
  </w:endnote>
  <w:endnote w:type="continuationSeparator" w:id="0">
    <w:p w:rsidR="00E17D55" w:rsidRDefault="00E17D55">
      <w:r>
        <w:continuationSeparator/>
      </w:r>
    </w:p>
    <w:p w:rsidR="00E17D55" w:rsidRDefault="00E17D55"/>
  </w:endnote>
  <w:endnote w:type="continuationNotice" w:id="1">
    <w:p w:rsidR="00E17D55" w:rsidRDefault="00E17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D6EFC" w:rsidRPr="00616B9B" w:rsidTr="00315E96">
      <w:trPr>
        <w:trHeight w:val="284"/>
      </w:trPr>
      <w:tc>
        <w:tcPr>
          <w:tcW w:w="8460" w:type="dxa"/>
        </w:tcPr>
        <w:p w:rsidR="00FD6EFC" w:rsidRPr="00315E96" w:rsidRDefault="00FD6EFC" w:rsidP="00315E96">
          <w:pPr>
            <w:pStyle w:val="00Footer"/>
            <w:rPr>
              <w:lang w:val="fr-FR"/>
            </w:rPr>
          </w:pPr>
        </w:p>
      </w:tc>
      <w:tc>
        <w:tcPr>
          <w:tcW w:w="952" w:type="dxa"/>
        </w:tcPr>
        <w:p w:rsidR="00FD6EFC" w:rsidRPr="00616B9B" w:rsidRDefault="00FD6EFC"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C16A4">
            <w:rPr>
              <w:rFonts w:cs="Arial"/>
              <w:noProof/>
              <w:sz w:val="22"/>
              <w:szCs w:val="22"/>
            </w:rPr>
            <w:t>14</w:t>
          </w:r>
          <w:r w:rsidRPr="00616B9B">
            <w:rPr>
              <w:rFonts w:cs="Arial"/>
              <w:noProof/>
              <w:sz w:val="22"/>
              <w:szCs w:val="22"/>
            </w:rPr>
            <w:fldChar w:fldCharType="end"/>
          </w:r>
        </w:p>
      </w:tc>
    </w:tr>
  </w:tbl>
  <w:p w:rsidR="00FD6EFC" w:rsidRDefault="00FD6E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FC" w:rsidRDefault="00FD6E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D55" w:rsidRDefault="00E17D55">
      <w:r>
        <w:separator/>
      </w:r>
    </w:p>
    <w:p w:rsidR="00E17D55" w:rsidRDefault="00E17D55"/>
  </w:footnote>
  <w:footnote w:type="continuationSeparator" w:id="0">
    <w:p w:rsidR="00E17D55" w:rsidRDefault="00E17D55">
      <w:r>
        <w:continuationSeparator/>
      </w:r>
    </w:p>
    <w:p w:rsidR="00E17D55" w:rsidRDefault="00E17D55"/>
  </w:footnote>
  <w:footnote w:type="continuationNotice" w:id="1">
    <w:p w:rsidR="00E17D55" w:rsidRDefault="00E17D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FC" w:rsidRDefault="00FD6EFC">
    <w:pPr>
      <w:pStyle w:val="Encabezado"/>
    </w:pPr>
    <w:r>
      <w:rPr>
        <w:noProof/>
        <w:lang w:val="es-ES" w:eastAsia="es-ES"/>
      </w:rPr>
      <w:drawing>
        <wp:anchor distT="0" distB="0" distL="114300" distR="114300" simplePos="0" relativeHeight="251658240" behindDoc="0" locked="0" layoutInCell="1" allowOverlap="1" wp14:anchorId="0EF1DBD4" wp14:editId="6F8B0CBC">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295" distR="114295" simplePos="0" relativeHeight="251656192" behindDoc="0" locked="0" layoutInCell="1" allowOverlap="1" wp14:anchorId="44747564" wp14:editId="42C86926">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857C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FC" w:rsidRDefault="00FD6EFC" w:rsidP="00013CCE">
    <w:pPr>
      <w:pStyle w:val="Encabezado"/>
      <w:jc w:val="right"/>
    </w:pPr>
    <w:r>
      <w:rPr>
        <w:noProof/>
        <w:lang w:val="es-ES" w:eastAsia="es-ES"/>
      </w:rPr>
      <w:drawing>
        <wp:anchor distT="0" distB="0" distL="114300" distR="114300" simplePos="0" relativeHeight="251657216" behindDoc="0" locked="0" layoutInCell="1" allowOverlap="1" wp14:anchorId="1D76BF42" wp14:editId="6F94026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5168" behindDoc="1" locked="0" layoutInCell="1" allowOverlap="1" wp14:anchorId="1C2CB81B" wp14:editId="7A9FAE5C">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EFC" w:rsidRDefault="00FD6EF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D6EFC" w:rsidRPr="002F4496" w:rsidTr="000C06C9">
      <w:trPr>
        <w:trHeight w:val="284"/>
      </w:trPr>
      <w:tc>
        <w:tcPr>
          <w:tcW w:w="8460" w:type="dxa"/>
        </w:tcPr>
        <w:p w:rsidR="00FD6EFC" w:rsidRPr="000C3B6D" w:rsidRDefault="00FD6EFC" w:rsidP="000C06C9">
          <w:pPr>
            <w:pStyle w:val="00Footer"/>
            <w:rPr>
              <w:lang w:val="fr-FR"/>
            </w:rPr>
          </w:pPr>
        </w:p>
      </w:tc>
      <w:tc>
        <w:tcPr>
          <w:tcW w:w="952" w:type="dxa"/>
        </w:tcPr>
        <w:p w:rsidR="00FD6EFC" w:rsidRPr="00146B34" w:rsidRDefault="00FD6EFC" w:rsidP="000C06C9">
          <w:pPr>
            <w:pStyle w:val="00aPagenumber"/>
            <w:rPr>
              <w:lang w:val="fr-FR"/>
            </w:rPr>
          </w:pPr>
        </w:p>
      </w:tc>
    </w:tr>
  </w:tbl>
  <w:p w:rsidR="00FD6EFC" w:rsidRPr="00DB46C3" w:rsidRDefault="00FD6EFC">
    <w:pPr>
      <w:rPr>
        <w:lang w:val="fr-FR"/>
      </w:rPr>
    </w:pPr>
  </w:p>
  <w:p w:rsidR="00FD6EFC" w:rsidRPr="002F4496" w:rsidRDefault="00FD6EFC">
    <w:pPr>
      <w:pStyle w:val="Encabezado"/>
      <w:rPr>
        <w:lang w:val="fr-FR"/>
      </w:rPr>
    </w:pPr>
  </w:p>
  <w:p w:rsidR="00FD6EFC" w:rsidRPr="002F4496" w:rsidRDefault="00FD6EFC" w:rsidP="000C06C9">
    <w:pPr>
      <w:pStyle w:val="Encabezado"/>
      <w:tabs>
        <w:tab w:val="clear" w:pos="4536"/>
        <w:tab w:val="clear" w:pos="9072"/>
        <w:tab w:val="left" w:pos="8227"/>
      </w:tabs>
      <w:rPr>
        <w:lang w:val="fr-FR"/>
      </w:rPr>
    </w:pPr>
  </w:p>
  <w:p w:rsidR="00FD6EFC" w:rsidRPr="002F4496" w:rsidRDefault="00FD6EFC" w:rsidP="000C06C9">
    <w:pPr>
      <w:pStyle w:val="Encabezado"/>
      <w:tabs>
        <w:tab w:val="clear" w:pos="4536"/>
        <w:tab w:val="clear" w:pos="9072"/>
        <w:tab w:val="left" w:pos="8227"/>
      </w:tabs>
      <w:rPr>
        <w:lang w:val="fr-FR"/>
      </w:rPr>
    </w:pPr>
  </w:p>
  <w:p w:rsidR="00FD6EFC" w:rsidRPr="002F4496" w:rsidRDefault="00FD6EFC">
    <w:pPr>
      <w:pStyle w:val="Encabezado"/>
      <w:rPr>
        <w:lang w:val="fr-FR"/>
      </w:rPr>
    </w:pPr>
  </w:p>
  <w:p w:rsidR="00FD6EFC" w:rsidRPr="002F4496" w:rsidRDefault="00FD6EFC">
    <w:pPr>
      <w:pStyle w:val="Encabezado"/>
      <w:rPr>
        <w:lang w:val="fr-FR"/>
      </w:rPr>
    </w:pPr>
  </w:p>
  <w:p w:rsidR="00FD6EFC" w:rsidRPr="002F4496" w:rsidRDefault="00FD6EFC">
    <w:pPr>
      <w:pStyle w:val="Encabezado"/>
      <w:rPr>
        <w:lang w:val="fr-FR"/>
      </w:rPr>
    </w:pPr>
  </w:p>
  <w:p w:rsidR="00FD6EFC" w:rsidRPr="002F4496" w:rsidRDefault="00FD6EFC">
    <w:pPr>
      <w:pStyle w:val="Encabezado"/>
      <w:rPr>
        <w:lang w:val="fr-FR"/>
      </w:rPr>
    </w:pPr>
  </w:p>
  <w:p w:rsidR="00FD6EFC" w:rsidRPr="002F4496" w:rsidRDefault="00FD6EFC">
    <w:pPr>
      <w:pStyle w:val="Encabezado"/>
      <w:rPr>
        <w:highlight w:val="yellow"/>
        <w:lang w:val="fr-FR"/>
      </w:rPr>
    </w:pPr>
  </w:p>
  <w:p w:rsidR="00FD6EFC" w:rsidRDefault="00FD6EFC">
    <w:pPr>
      <w:pStyle w:val="Encabezado"/>
    </w:pPr>
    <w:r>
      <w:rPr>
        <w:noProof/>
        <w:lang w:val="es-ES" w:eastAsia="es-ES"/>
      </w:rPr>
      <mc:AlternateContent>
        <mc:Choice Requires="wps">
          <w:drawing>
            <wp:anchor distT="0" distB="0" distL="114299" distR="114299" simplePos="0" relativeHeight="251660288" behindDoc="0" locked="0" layoutInCell="1" allowOverlap="1" wp14:anchorId="5AF0F55C" wp14:editId="6901A0A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4FEA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s-ES" w:eastAsia="es-ES"/>
      </w:rPr>
      <w:drawing>
        <wp:anchor distT="0" distB="0" distL="114300" distR="114300" simplePos="0" relativeHeight="251659264" behindDoc="0" locked="0" layoutInCell="1" allowOverlap="1" wp14:anchorId="7E7D7637" wp14:editId="2E2D21BB">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129F5"/>
    <w:multiLevelType w:val="hybridMultilevel"/>
    <w:tmpl w:val="A9F83FEE"/>
    <w:lvl w:ilvl="0" w:tplc="D0608E8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3F1030"/>
    <w:multiLevelType w:val="hybridMultilevel"/>
    <w:tmpl w:val="3A20362C"/>
    <w:lvl w:ilvl="0" w:tplc="E13A212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6"/>
  </w:num>
  <w:num w:numId="5">
    <w:abstractNumId w:val="28"/>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2"/>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11"/>
  </w:num>
  <w:num w:numId="24">
    <w:abstractNumId w:val="34"/>
  </w:num>
  <w:num w:numId="25">
    <w:abstractNumId w:val="33"/>
  </w:num>
  <w:num w:numId="26">
    <w:abstractNumId w:val="21"/>
  </w:num>
  <w:num w:numId="27">
    <w:abstractNumId w:val="37"/>
  </w:num>
  <w:num w:numId="28">
    <w:abstractNumId w:val="42"/>
  </w:num>
  <w:num w:numId="29">
    <w:abstractNumId w:val="9"/>
  </w:num>
  <w:num w:numId="30">
    <w:abstractNumId w:val="4"/>
  </w:num>
  <w:num w:numId="31">
    <w:abstractNumId w:val="24"/>
  </w:num>
  <w:num w:numId="32">
    <w:abstractNumId w:val="2"/>
  </w:num>
  <w:num w:numId="33">
    <w:abstractNumId w:val="8"/>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6"/>
  </w:num>
  <w:num w:numId="53">
    <w:abstractNumId w:val="32"/>
  </w:num>
  <w:num w:numId="54">
    <w:abstractNumId w:val="22"/>
  </w:num>
  <w:num w:numId="55">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arxrE8Cx+Kjzpamnlc7LBG5BwnJAwGoocfE8TRKAQezzam9ppdMqjsHhBrCaHzEeA1HNZ6XbLHytkQpUf9Ccg==" w:salt="ZkMiGYg1BohnTGk2U0YkoA=="/>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550"/>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3705"/>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0E3"/>
    <w:rsid w:val="000E3937"/>
    <w:rsid w:val="000E4926"/>
    <w:rsid w:val="000E5F7F"/>
    <w:rsid w:val="000E7086"/>
    <w:rsid w:val="000E7C65"/>
    <w:rsid w:val="000F04D2"/>
    <w:rsid w:val="000F55B7"/>
    <w:rsid w:val="000F604F"/>
    <w:rsid w:val="000F7399"/>
    <w:rsid w:val="001027F1"/>
    <w:rsid w:val="00104F2E"/>
    <w:rsid w:val="00106587"/>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22A7"/>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4A55"/>
    <w:rsid w:val="00175754"/>
    <w:rsid w:val="00176982"/>
    <w:rsid w:val="0017701C"/>
    <w:rsid w:val="00181264"/>
    <w:rsid w:val="00181BD1"/>
    <w:rsid w:val="0018204A"/>
    <w:rsid w:val="00182F7C"/>
    <w:rsid w:val="001843B5"/>
    <w:rsid w:val="00184494"/>
    <w:rsid w:val="00186829"/>
    <w:rsid w:val="001868CA"/>
    <w:rsid w:val="00187304"/>
    <w:rsid w:val="001875BE"/>
    <w:rsid w:val="0019017A"/>
    <w:rsid w:val="00190B8C"/>
    <w:rsid w:val="00190FF8"/>
    <w:rsid w:val="0019311A"/>
    <w:rsid w:val="0019508A"/>
    <w:rsid w:val="001960D8"/>
    <w:rsid w:val="001A1642"/>
    <w:rsid w:val="001A2177"/>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4C"/>
    <w:rsid w:val="001D5498"/>
    <w:rsid w:val="001D5BAF"/>
    <w:rsid w:val="001D6401"/>
    <w:rsid w:val="001D66C9"/>
    <w:rsid w:val="001D722A"/>
    <w:rsid w:val="001E04FC"/>
    <w:rsid w:val="001E407D"/>
    <w:rsid w:val="001E40FB"/>
    <w:rsid w:val="001E66EC"/>
    <w:rsid w:val="001E68C5"/>
    <w:rsid w:val="001E7D8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1E2F"/>
    <w:rsid w:val="00222D9B"/>
    <w:rsid w:val="00223788"/>
    <w:rsid w:val="00223D11"/>
    <w:rsid w:val="002242D3"/>
    <w:rsid w:val="002301E6"/>
    <w:rsid w:val="00230E1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3C01"/>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6D7"/>
    <w:rsid w:val="002D6E1A"/>
    <w:rsid w:val="002E036D"/>
    <w:rsid w:val="002E1517"/>
    <w:rsid w:val="002E1B22"/>
    <w:rsid w:val="002E387F"/>
    <w:rsid w:val="002E7113"/>
    <w:rsid w:val="002E7F4B"/>
    <w:rsid w:val="002F0C91"/>
    <w:rsid w:val="002F0E3E"/>
    <w:rsid w:val="002F1B19"/>
    <w:rsid w:val="002F1FBF"/>
    <w:rsid w:val="002F4139"/>
    <w:rsid w:val="002F46D2"/>
    <w:rsid w:val="002F65FA"/>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4D8"/>
    <w:rsid w:val="00336B56"/>
    <w:rsid w:val="00341B25"/>
    <w:rsid w:val="00341EC0"/>
    <w:rsid w:val="0034240C"/>
    <w:rsid w:val="00344496"/>
    <w:rsid w:val="00345968"/>
    <w:rsid w:val="00347667"/>
    <w:rsid w:val="003507E2"/>
    <w:rsid w:val="003522B2"/>
    <w:rsid w:val="0035346A"/>
    <w:rsid w:val="0035455E"/>
    <w:rsid w:val="00354A6F"/>
    <w:rsid w:val="00354B48"/>
    <w:rsid w:val="00355789"/>
    <w:rsid w:val="003609B6"/>
    <w:rsid w:val="00361119"/>
    <w:rsid w:val="00362B7E"/>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35D1"/>
    <w:rsid w:val="00394D12"/>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6EE6"/>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6873"/>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53B0"/>
    <w:rsid w:val="00437929"/>
    <w:rsid w:val="00437A4A"/>
    <w:rsid w:val="00440541"/>
    <w:rsid w:val="0044162D"/>
    <w:rsid w:val="0044277A"/>
    <w:rsid w:val="004456DC"/>
    <w:rsid w:val="00447FBE"/>
    <w:rsid w:val="0045035E"/>
    <w:rsid w:val="004512DF"/>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4655"/>
    <w:rsid w:val="00475B8E"/>
    <w:rsid w:val="0048104E"/>
    <w:rsid w:val="004814BB"/>
    <w:rsid w:val="004815DA"/>
    <w:rsid w:val="00482458"/>
    <w:rsid w:val="004833BF"/>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51D"/>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EEC"/>
    <w:rsid w:val="004B71C7"/>
    <w:rsid w:val="004C03AA"/>
    <w:rsid w:val="004C0B9A"/>
    <w:rsid w:val="004C14E7"/>
    <w:rsid w:val="004C1D89"/>
    <w:rsid w:val="004C26B6"/>
    <w:rsid w:val="004C2A94"/>
    <w:rsid w:val="004C3802"/>
    <w:rsid w:val="004C3DAB"/>
    <w:rsid w:val="004C5766"/>
    <w:rsid w:val="004C5F54"/>
    <w:rsid w:val="004C6E76"/>
    <w:rsid w:val="004C77DD"/>
    <w:rsid w:val="004C7826"/>
    <w:rsid w:val="004C7B33"/>
    <w:rsid w:val="004D1211"/>
    <w:rsid w:val="004D1410"/>
    <w:rsid w:val="004D1478"/>
    <w:rsid w:val="004D19EE"/>
    <w:rsid w:val="004D1CF2"/>
    <w:rsid w:val="004D2D3A"/>
    <w:rsid w:val="004D374D"/>
    <w:rsid w:val="004D3DEC"/>
    <w:rsid w:val="004D42C8"/>
    <w:rsid w:val="004D4BEF"/>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734"/>
    <w:rsid w:val="005109B7"/>
    <w:rsid w:val="00510A19"/>
    <w:rsid w:val="00511AAB"/>
    <w:rsid w:val="00514453"/>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DD2"/>
    <w:rsid w:val="00541F27"/>
    <w:rsid w:val="00542297"/>
    <w:rsid w:val="005424BC"/>
    <w:rsid w:val="00542A28"/>
    <w:rsid w:val="00543AF7"/>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5867"/>
    <w:rsid w:val="005765C0"/>
    <w:rsid w:val="005778DE"/>
    <w:rsid w:val="00580B3F"/>
    <w:rsid w:val="005825F2"/>
    <w:rsid w:val="005860AF"/>
    <w:rsid w:val="00587F1D"/>
    <w:rsid w:val="00590348"/>
    <w:rsid w:val="00591161"/>
    <w:rsid w:val="00592318"/>
    <w:rsid w:val="00593133"/>
    <w:rsid w:val="0059575D"/>
    <w:rsid w:val="00595761"/>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6B"/>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5A8A"/>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1FF9"/>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666"/>
    <w:rsid w:val="00667FEA"/>
    <w:rsid w:val="006710D2"/>
    <w:rsid w:val="00671A8B"/>
    <w:rsid w:val="00671F53"/>
    <w:rsid w:val="006725A0"/>
    <w:rsid w:val="00672F0B"/>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A3F05"/>
    <w:rsid w:val="006A6C4E"/>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467C"/>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48E"/>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82B"/>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0292"/>
    <w:rsid w:val="007D10EE"/>
    <w:rsid w:val="007D1193"/>
    <w:rsid w:val="007D21D5"/>
    <w:rsid w:val="007D3E8D"/>
    <w:rsid w:val="007D5915"/>
    <w:rsid w:val="007D5B4F"/>
    <w:rsid w:val="007D5C30"/>
    <w:rsid w:val="007E0660"/>
    <w:rsid w:val="007E0A6A"/>
    <w:rsid w:val="007E1411"/>
    <w:rsid w:val="007E1882"/>
    <w:rsid w:val="007E1BB4"/>
    <w:rsid w:val="007E3514"/>
    <w:rsid w:val="007E4AAA"/>
    <w:rsid w:val="007E4BD2"/>
    <w:rsid w:val="007E4C29"/>
    <w:rsid w:val="007E50E9"/>
    <w:rsid w:val="007E5E44"/>
    <w:rsid w:val="007F0DDA"/>
    <w:rsid w:val="007F1939"/>
    <w:rsid w:val="007F365C"/>
    <w:rsid w:val="007F4A2A"/>
    <w:rsid w:val="007F5066"/>
    <w:rsid w:val="007F621C"/>
    <w:rsid w:val="007F7155"/>
    <w:rsid w:val="008008CD"/>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3AAE"/>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37B31"/>
    <w:rsid w:val="00840477"/>
    <w:rsid w:val="0084121D"/>
    <w:rsid w:val="008419C1"/>
    <w:rsid w:val="00844515"/>
    <w:rsid w:val="0084465A"/>
    <w:rsid w:val="00844DFF"/>
    <w:rsid w:val="00845D87"/>
    <w:rsid w:val="00846C3A"/>
    <w:rsid w:val="008477BF"/>
    <w:rsid w:val="008503DA"/>
    <w:rsid w:val="00850B68"/>
    <w:rsid w:val="00850E82"/>
    <w:rsid w:val="0085122D"/>
    <w:rsid w:val="008516B6"/>
    <w:rsid w:val="008519E8"/>
    <w:rsid w:val="008525FF"/>
    <w:rsid w:val="00852C03"/>
    <w:rsid w:val="0085590C"/>
    <w:rsid w:val="008575EB"/>
    <w:rsid w:val="00860F9F"/>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1B9"/>
    <w:rsid w:val="0089442C"/>
    <w:rsid w:val="00895818"/>
    <w:rsid w:val="00896699"/>
    <w:rsid w:val="008970C1"/>
    <w:rsid w:val="008A2585"/>
    <w:rsid w:val="008A2718"/>
    <w:rsid w:val="008A4CF6"/>
    <w:rsid w:val="008A4E42"/>
    <w:rsid w:val="008A51AA"/>
    <w:rsid w:val="008A6A12"/>
    <w:rsid w:val="008B0DC6"/>
    <w:rsid w:val="008B2B9E"/>
    <w:rsid w:val="008B31F5"/>
    <w:rsid w:val="008B4C79"/>
    <w:rsid w:val="008B5D2D"/>
    <w:rsid w:val="008B6361"/>
    <w:rsid w:val="008C0320"/>
    <w:rsid w:val="008C167D"/>
    <w:rsid w:val="008C2A81"/>
    <w:rsid w:val="008C3863"/>
    <w:rsid w:val="008C4BDC"/>
    <w:rsid w:val="008C50FF"/>
    <w:rsid w:val="008C5435"/>
    <w:rsid w:val="008C6BD1"/>
    <w:rsid w:val="008D2DB5"/>
    <w:rsid w:val="008D3F10"/>
    <w:rsid w:val="008D4BBE"/>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B6F"/>
    <w:rsid w:val="00991276"/>
    <w:rsid w:val="00991708"/>
    <w:rsid w:val="009923E7"/>
    <w:rsid w:val="00992697"/>
    <w:rsid w:val="00992D4E"/>
    <w:rsid w:val="00993A29"/>
    <w:rsid w:val="00994621"/>
    <w:rsid w:val="009947FF"/>
    <w:rsid w:val="0099544B"/>
    <w:rsid w:val="009A053D"/>
    <w:rsid w:val="009A07A6"/>
    <w:rsid w:val="009A0D56"/>
    <w:rsid w:val="009A31B9"/>
    <w:rsid w:val="009A4D4F"/>
    <w:rsid w:val="009A53D8"/>
    <w:rsid w:val="009A597F"/>
    <w:rsid w:val="009A6183"/>
    <w:rsid w:val="009A7B72"/>
    <w:rsid w:val="009A7F49"/>
    <w:rsid w:val="009B03C4"/>
    <w:rsid w:val="009B0AA2"/>
    <w:rsid w:val="009B1D02"/>
    <w:rsid w:val="009B2AF9"/>
    <w:rsid w:val="009B7133"/>
    <w:rsid w:val="009B7658"/>
    <w:rsid w:val="009B7CD1"/>
    <w:rsid w:val="009B7E22"/>
    <w:rsid w:val="009B7E78"/>
    <w:rsid w:val="009C10FE"/>
    <w:rsid w:val="009C13BC"/>
    <w:rsid w:val="009C1CA4"/>
    <w:rsid w:val="009C2532"/>
    <w:rsid w:val="009C2BA4"/>
    <w:rsid w:val="009C34B2"/>
    <w:rsid w:val="009C6091"/>
    <w:rsid w:val="009C634F"/>
    <w:rsid w:val="009C6C20"/>
    <w:rsid w:val="009D0219"/>
    <w:rsid w:val="009D0D55"/>
    <w:rsid w:val="009D2295"/>
    <w:rsid w:val="009D2511"/>
    <w:rsid w:val="009D3E7C"/>
    <w:rsid w:val="009D55CA"/>
    <w:rsid w:val="009D5EF0"/>
    <w:rsid w:val="009D63A1"/>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60D"/>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56F7E"/>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3F9"/>
    <w:rsid w:val="00A91682"/>
    <w:rsid w:val="00A92E4A"/>
    <w:rsid w:val="00A958CA"/>
    <w:rsid w:val="00A966B6"/>
    <w:rsid w:val="00A96B46"/>
    <w:rsid w:val="00AA003B"/>
    <w:rsid w:val="00AA016B"/>
    <w:rsid w:val="00AA0ECA"/>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16A4"/>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801"/>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4F1C"/>
    <w:rsid w:val="00B6517B"/>
    <w:rsid w:val="00B65B9C"/>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937"/>
    <w:rsid w:val="00B91B86"/>
    <w:rsid w:val="00B927CA"/>
    <w:rsid w:val="00B928AE"/>
    <w:rsid w:val="00B93CDA"/>
    <w:rsid w:val="00B942E9"/>
    <w:rsid w:val="00B9433A"/>
    <w:rsid w:val="00B948EE"/>
    <w:rsid w:val="00B94BF3"/>
    <w:rsid w:val="00B94F90"/>
    <w:rsid w:val="00B95DC5"/>
    <w:rsid w:val="00B96172"/>
    <w:rsid w:val="00B97E34"/>
    <w:rsid w:val="00B97FEF"/>
    <w:rsid w:val="00BA1354"/>
    <w:rsid w:val="00BA24F8"/>
    <w:rsid w:val="00BA31AA"/>
    <w:rsid w:val="00BA45D8"/>
    <w:rsid w:val="00BA5828"/>
    <w:rsid w:val="00BA64B3"/>
    <w:rsid w:val="00BA754A"/>
    <w:rsid w:val="00BA7820"/>
    <w:rsid w:val="00BA794C"/>
    <w:rsid w:val="00BB09FB"/>
    <w:rsid w:val="00BB15A2"/>
    <w:rsid w:val="00BB238D"/>
    <w:rsid w:val="00BB37CC"/>
    <w:rsid w:val="00BB48C4"/>
    <w:rsid w:val="00BB6907"/>
    <w:rsid w:val="00BB7A12"/>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547"/>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804"/>
    <w:rsid w:val="00C13ED7"/>
    <w:rsid w:val="00C14615"/>
    <w:rsid w:val="00C14F48"/>
    <w:rsid w:val="00C15296"/>
    <w:rsid w:val="00C17750"/>
    <w:rsid w:val="00C2094B"/>
    <w:rsid w:val="00C20DC5"/>
    <w:rsid w:val="00C2106A"/>
    <w:rsid w:val="00C2294E"/>
    <w:rsid w:val="00C22A5B"/>
    <w:rsid w:val="00C23412"/>
    <w:rsid w:val="00C264C7"/>
    <w:rsid w:val="00C26A04"/>
    <w:rsid w:val="00C271C4"/>
    <w:rsid w:val="00C274F3"/>
    <w:rsid w:val="00C30A54"/>
    <w:rsid w:val="00C316F7"/>
    <w:rsid w:val="00C31DF0"/>
    <w:rsid w:val="00C32578"/>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52C4"/>
    <w:rsid w:val="00C664AF"/>
    <w:rsid w:val="00C6669E"/>
    <w:rsid w:val="00C672B0"/>
    <w:rsid w:val="00C710B5"/>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A5F"/>
    <w:rsid w:val="00CA7BA2"/>
    <w:rsid w:val="00CB0B78"/>
    <w:rsid w:val="00CB12A5"/>
    <w:rsid w:val="00CB17FA"/>
    <w:rsid w:val="00CB23D8"/>
    <w:rsid w:val="00CB2ED9"/>
    <w:rsid w:val="00CB36A5"/>
    <w:rsid w:val="00CB56B4"/>
    <w:rsid w:val="00CB71C3"/>
    <w:rsid w:val="00CB7286"/>
    <w:rsid w:val="00CB7947"/>
    <w:rsid w:val="00CC1783"/>
    <w:rsid w:val="00CC3B46"/>
    <w:rsid w:val="00CC3D8B"/>
    <w:rsid w:val="00CC4E27"/>
    <w:rsid w:val="00CC570C"/>
    <w:rsid w:val="00CC62B6"/>
    <w:rsid w:val="00CC76AA"/>
    <w:rsid w:val="00CC7CD2"/>
    <w:rsid w:val="00CD05CF"/>
    <w:rsid w:val="00CD1FAE"/>
    <w:rsid w:val="00CD214B"/>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3947"/>
    <w:rsid w:val="00CE4386"/>
    <w:rsid w:val="00CE5FB3"/>
    <w:rsid w:val="00CE6FC6"/>
    <w:rsid w:val="00CF2056"/>
    <w:rsid w:val="00CF4471"/>
    <w:rsid w:val="00CF51C0"/>
    <w:rsid w:val="00CF5B2A"/>
    <w:rsid w:val="00CF5F57"/>
    <w:rsid w:val="00CF64A7"/>
    <w:rsid w:val="00CF6730"/>
    <w:rsid w:val="00CF70E5"/>
    <w:rsid w:val="00CF7BFC"/>
    <w:rsid w:val="00CF7CEC"/>
    <w:rsid w:val="00D00B0F"/>
    <w:rsid w:val="00D00D75"/>
    <w:rsid w:val="00D01BF4"/>
    <w:rsid w:val="00D0272C"/>
    <w:rsid w:val="00D045CE"/>
    <w:rsid w:val="00D05082"/>
    <w:rsid w:val="00D06163"/>
    <w:rsid w:val="00D07AFD"/>
    <w:rsid w:val="00D11749"/>
    <w:rsid w:val="00D123F1"/>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49DC"/>
    <w:rsid w:val="00D366B1"/>
    <w:rsid w:val="00D37AE0"/>
    <w:rsid w:val="00D416A8"/>
    <w:rsid w:val="00D4217D"/>
    <w:rsid w:val="00D4257C"/>
    <w:rsid w:val="00D425AC"/>
    <w:rsid w:val="00D42823"/>
    <w:rsid w:val="00D42D5E"/>
    <w:rsid w:val="00D43F14"/>
    <w:rsid w:val="00D44C18"/>
    <w:rsid w:val="00D4556D"/>
    <w:rsid w:val="00D50DEA"/>
    <w:rsid w:val="00D511C6"/>
    <w:rsid w:val="00D5121D"/>
    <w:rsid w:val="00D516AC"/>
    <w:rsid w:val="00D521BB"/>
    <w:rsid w:val="00D52875"/>
    <w:rsid w:val="00D54050"/>
    <w:rsid w:val="00D568DC"/>
    <w:rsid w:val="00D56AC0"/>
    <w:rsid w:val="00D6081B"/>
    <w:rsid w:val="00D61A37"/>
    <w:rsid w:val="00D6240A"/>
    <w:rsid w:val="00D63093"/>
    <w:rsid w:val="00D63599"/>
    <w:rsid w:val="00D63EBD"/>
    <w:rsid w:val="00D67101"/>
    <w:rsid w:val="00D7106D"/>
    <w:rsid w:val="00D71B45"/>
    <w:rsid w:val="00D71CBB"/>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1FB3"/>
    <w:rsid w:val="00DB2BDD"/>
    <w:rsid w:val="00DB4121"/>
    <w:rsid w:val="00DB46C3"/>
    <w:rsid w:val="00DB5742"/>
    <w:rsid w:val="00DB5EDF"/>
    <w:rsid w:val="00DB6C46"/>
    <w:rsid w:val="00DB72B8"/>
    <w:rsid w:val="00DC16AF"/>
    <w:rsid w:val="00DC1AE2"/>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DB3"/>
    <w:rsid w:val="00DF3F1D"/>
    <w:rsid w:val="00DF595C"/>
    <w:rsid w:val="00DF7EA7"/>
    <w:rsid w:val="00E00AAE"/>
    <w:rsid w:val="00E04548"/>
    <w:rsid w:val="00E0484E"/>
    <w:rsid w:val="00E063F8"/>
    <w:rsid w:val="00E07B86"/>
    <w:rsid w:val="00E114D6"/>
    <w:rsid w:val="00E1166E"/>
    <w:rsid w:val="00E11DBD"/>
    <w:rsid w:val="00E13211"/>
    <w:rsid w:val="00E16FB5"/>
    <w:rsid w:val="00E179D6"/>
    <w:rsid w:val="00E17D55"/>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578"/>
    <w:rsid w:val="00E7494A"/>
    <w:rsid w:val="00E74BE2"/>
    <w:rsid w:val="00E74C66"/>
    <w:rsid w:val="00E75933"/>
    <w:rsid w:val="00E77A1B"/>
    <w:rsid w:val="00E808BE"/>
    <w:rsid w:val="00E81E36"/>
    <w:rsid w:val="00E81E40"/>
    <w:rsid w:val="00E82ECE"/>
    <w:rsid w:val="00E842E9"/>
    <w:rsid w:val="00E85289"/>
    <w:rsid w:val="00E8713B"/>
    <w:rsid w:val="00E87D31"/>
    <w:rsid w:val="00E90C61"/>
    <w:rsid w:val="00E91EBF"/>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3CE6"/>
    <w:rsid w:val="00EB4763"/>
    <w:rsid w:val="00EB6CB7"/>
    <w:rsid w:val="00EC078B"/>
    <w:rsid w:val="00EC07A0"/>
    <w:rsid w:val="00EC08E4"/>
    <w:rsid w:val="00EC3CB4"/>
    <w:rsid w:val="00EC443E"/>
    <w:rsid w:val="00EC4D83"/>
    <w:rsid w:val="00EC4EEE"/>
    <w:rsid w:val="00EC634F"/>
    <w:rsid w:val="00EC7B97"/>
    <w:rsid w:val="00ED002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BB1"/>
    <w:rsid w:val="00EF61C1"/>
    <w:rsid w:val="00EF6E68"/>
    <w:rsid w:val="00EF76DB"/>
    <w:rsid w:val="00F005FD"/>
    <w:rsid w:val="00F02C04"/>
    <w:rsid w:val="00F03AF1"/>
    <w:rsid w:val="00F04BCD"/>
    <w:rsid w:val="00F05A8C"/>
    <w:rsid w:val="00F06211"/>
    <w:rsid w:val="00F10A54"/>
    <w:rsid w:val="00F123D0"/>
    <w:rsid w:val="00F13200"/>
    <w:rsid w:val="00F13411"/>
    <w:rsid w:val="00F13636"/>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1CDB"/>
    <w:rsid w:val="00F52221"/>
    <w:rsid w:val="00F52B28"/>
    <w:rsid w:val="00F536BB"/>
    <w:rsid w:val="00F53755"/>
    <w:rsid w:val="00F53E59"/>
    <w:rsid w:val="00F5475B"/>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5934"/>
    <w:rsid w:val="00F769C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1237"/>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0CAC"/>
    <w:rsid w:val="00FD13EA"/>
    <w:rsid w:val="00FD5EC4"/>
    <w:rsid w:val="00FD6EFC"/>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uiPriority w:val="99"/>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escripci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escripci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Georgia" w:hAnsi="Georgia"/>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Puesto">
    <w:name w:val="Title"/>
    <w:basedOn w:val="Normal"/>
    <w:next w:val="Normal"/>
    <w:link w:val="Puest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PuestoCar">
    <w:name w:val="Puesto Car"/>
    <w:link w:val="Puest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Fuentedeprrafopredeter"/>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Fuentedeprrafopredeter"/>
    <w:link w:val="Questionstyle"/>
    <w:rsid w:val="008701E5"/>
    <w:rPr>
      <w:rFonts w:asciiTheme="minorHAnsi" w:eastAsiaTheme="minorEastAsia" w:hAnsiTheme="minorHAnsi" w:cstheme="minorBidi"/>
      <w:b/>
      <w:sz w:val="22"/>
      <w:lang w:eastAsia="en-US"/>
    </w:rPr>
  </w:style>
  <w:style w:type="paragraph" w:styleId="Subttulo">
    <w:name w:val="Subtitle"/>
    <w:basedOn w:val="Normal"/>
    <w:next w:val="Normal"/>
    <w:link w:val="Subttulo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tuloCar">
    <w:name w:val="Subtítulo Car"/>
    <w:basedOn w:val="Fuentedeprrafopredeter"/>
    <w:link w:val="Subttulo"/>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00764481">
      <w:bodyDiv w:val="1"/>
      <w:marLeft w:val="0"/>
      <w:marRight w:val="0"/>
      <w:marTop w:val="0"/>
      <w:marBottom w:val="0"/>
      <w:divBdr>
        <w:top w:val="none" w:sz="0" w:space="0" w:color="auto"/>
        <w:left w:val="none" w:sz="0" w:space="0" w:color="auto"/>
        <w:bottom w:val="none" w:sz="0" w:space="0" w:color="auto"/>
        <w:right w:val="none" w:sz="0" w:space="0" w:color="auto"/>
      </w:divBdr>
    </w:div>
    <w:div w:id="1358391523">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0941061">
      <w:bodyDiv w:val="1"/>
      <w:marLeft w:val="0"/>
      <w:marRight w:val="0"/>
      <w:marTop w:val="0"/>
      <w:marBottom w:val="0"/>
      <w:divBdr>
        <w:top w:val="none" w:sz="0" w:space="0" w:color="auto"/>
        <w:left w:val="none" w:sz="0" w:space="0" w:color="auto"/>
        <w:bottom w:val="none" w:sz="0" w:space="0" w:color="auto"/>
        <w:right w:val="none" w:sz="0" w:space="0" w:color="auto"/>
      </w:divBdr>
      <w:divsChild>
        <w:div w:id="496654493">
          <w:marLeft w:val="0"/>
          <w:marRight w:val="0"/>
          <w:marTop w:val="0"/>
          <w:marBottom w:val="0"/>
          <w:divBdr>
            <w:top w:val="none" w:sz="0" w:space="0" w:color="auto"/>
            <w:left w:val="none" w:sz="0" w:space="0" w:color="auto"/>
            <w:bottom w:val="none" w:sz="0" w:space="0" w:color="auto"/>
            <w:right w:val="none" w:sz="0" w:space="0" w:color="auto"/>
          </w:divBdr>
        </w:div>
        <w:div w:id="1113019615">
          <w:marLeft w:val="0"/>
          <w:marRight w:val="0"/>
          <w:marTop w:val="0"/>
          <w:marBottom w:val="0"/>
          <w:divBdr>
            <w:top w:val="none" w:sz="0" w:space="0" w:color="auto"/>
            <w:left w:val="none" w:sz="0" w:space="0" w:color="auto"/>
            <w:bottom w:val="none" w:sz="0" w:space="0" w:color="auto"/>
            <w:right w:val="none" w:sz="0" w:space="0" w:color="auto"/>
          </w:divBdr>
        </w:div>
      </w:divsChild>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20fbe147-bbda-4e53-b6b1-7e8bbff3fe19"/>
    <ds:schemaRef ds:uri="http://purl.org/dc/terms/"/>
  </ds:schemaRefs>
</ds:datastoreItem>
</file>

<file path=customXml/itemProps5.xml><?xml version="1.0" encoding="utf-8"?>
<ds:datastoreItem xmlns:ds="http://schemas.openxmlformats.org/officeDocument/2006/customXml" ds:itemID="{C525FF29-1891-439A-B923-9D1052DC0D96}">
  <ds:schemaRefs>
    <ds:schemaRef ds:uri="http://schemas.openxmlformats.org/officeDocument/2006/bibliography"/>
  </ds:schemaRefs>
</ds:datastoreItem>
</file>

<file path=customXml/itemProps6.xml><?xml version="1.0" encoding="utf-8"?>
<ds:datastoreItem xmlns:ds="http://schemas.openxmlformats.org/officeDocument/2006/customXml" ds:itemID="{6FC9DBD4-D9CD-4C66-B39B-5387FB2C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6281</Words>
  <Characters>33242</Characters>
  <Application>Microsoft Office Word</Application>
  <DocSecurity>8</DocSecurity>
  <Lines>277</Lines>
  <Paragraphs>78</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39445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Blanca Martinez de Campos</cp:lastModifiedBy>
  <cp:revision>4</cp:revision>
  <cp:lastPrinted>2017-03-15T10:57:00Z</cp:lastPrinted>
  <dcterms:created xsi:type="dcterms:W3CDTF">2017-03-31T11:15:00Z</dcterms:created>
  <dcterms:modified xsi:type="dcterms:W3CDTF">2017-03-31T11:47:00Z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