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C7ECC" w:rsidRPr="003077BD" w:rsidRDefault="00BC7ECC" w:rsidP="003077BD">
      <w:pPr>
        <w:spacing w:after="250"/>
        <w:jc w:val="right"/>
        <w:outlineLvl w:val="4"/>
        <w:rPr>
          <w:rFonts w:ascii="Georgia" w:eastAsia="Times New Roman" w:hAnsi="Georgia"/>
          <w:b/>
          <w:lang w:eastAsia="de-DE"/>
        </w:rPr>
      </w:pPr>
      <w:bookmarkStart w:id="0" w:name="_Toc398029983"/>
      <w:r w:rsidRPr="003077BD">
        <w:rPr>
          <w:rFonts w:ascii="Georgia" w:eastAsia="Times New Roman" w:hAnsi="Georgia"/>
          <w:b/>
          <w:lang w:eastAsia="de-DE"/>
        </w:rPr>
        <w:t xml:space="preserve">ADEPO </w:t>
      </w:r>
      <w:r w:rsidR="003077BD">
        <w:rPr>
          <w:rFonts w:ascii="Georgia" w:eastAsia="Times New Roman" w:hAnsi="Georgia"/>
          <w:b/>
          <w:lang w:eastAsia="de-DE"/>
        </w:rPr>
        <w:t>15/2014</w:t>
      </w:r>
      <w:r w:rsidRPr="003077BD">
        <w:rPr>
          <w:rFonts w:ascii="Georgia" w:eastAsia="Times New Roman" w:hAnsi="Georgia"/>
          <w:b/>
          <w:lang w:eastAsia="de-DE"/>
        </w:rPr>
        <w:t xml:space="preserve"> </w:t>
      </w:r>
    </w:p>
    <w:p w:rsidR="00BC7ECC" w:rsidRPr="003077BD" w:rsidRDefault="00BC7ECC" w:rsidP="00F04D63">
      <w:pPr>
        <w:spacing w:after="250"/>
        <w:jc w:val="both"/>
        <w:outlineLvl w:val="4"/>
        <w:rPr>
          <w:rFonts w:ascii="Georgia" w:eastAsia="Times New Roman" w:hAnsi="Georgia"/>
          <w:b/>
          <w:lang w:eastAsia="de-DE"/>
        </w:rPr>
      </w:pPr>
    </w:p>
    <w:p w:rsidR="00BC7ECC" w:rsidRPr="003077BD" w:rsidRDefault="00BC7ECC" w:rsidP="003034E1">
      <w:pPr>
        <w:spacing w:after="250"/>
        <w:jc w:val="both"/>
        <w:outlineLvl w:val="4"/>
        <w:rPr>
          <w:rFonts w:ascii="Georgia" w:eastAsia="Times New Roman" w:hAnsi="Georgia"/>
          <w:b/>
          <w:lang w:eastAsia="de-DE"/>
        </w:rPr>
      </w:pPr>
      <w:r w:rsidRPr="003077BD">
        <w:rPr>
          <w:rFonts w:ascii="Georgia" w:eastAsia="Times New Roman" w:hAnsi="Georgia"/>
          <w:b/>
          <w:lang w:eastAsia="de-DE"/>
        </w:rPr>
        <w:t>III. Advice on the insolvency protection of UCITS assets when delegating safekeeping (Art. 22a(3)(e)</w:t>
      </w:r>
      <w:r w:rsidRPr="003077BD">
        <w:rPr>
          <w:rFonts w:ascii="Georgia" w:eastAsia="Times New Roman" w:hAnsi="Georgia"/>
          <w:b/>
          <w:vertAlign w:val="superscript"/>
          <w:lang w:eastAsia="de-DE"/>
        </w:rPr>
        <w:footnoteReference w:id="2"/>
      </w:r>
      <w:r w:rsidRPr="003077BD">
        <w:rPr>
          <w:rFonts w:ascii="Georgia" w:eastAsia="Times New Roman" w:hAnsi="Georgia"/>
          <w:b/>
          <w:lang w:eastAsia="de-DE"/>
        </w:rPr>
        <w:t xml:space="preserve"> and 26b(e) UCITS V)</w:t>
      </w:r>
      <w:bookmarkEnd w:id="0"/>
    </w:p>
    <w:p w:rsidR="00BC7ECC" w:rsidRPr="003077BD" w:rsidRDefault="00BC7ECC" w:rsidP="003077BD">
      <w:pPr>
        <w:numPr>
          <w:ilvl w:val="0"/>
          <w:numId w:val="1"/>
        </w:numPr>
        <w:spacing w:after="250"/>
        <w:jc w:val="both"/>
        <w:outlineLvl w:val="4"/>
        <w:rPr>
          <w:rFonts w:ascii="Georgia" w:eastAsia="Times New Roman" w:hAnsi="Georgia"/>
          <w:b/>
          <w:lang w:eastAsia="de-DE"/>
        </w:rPr>
      </w:pPr>
      <w:r w:rsidRPr="003077BD">
        <w:rPr>
          <w:rFonts w:ascii="Georgia" w:eastAsia="Times New Roman" w:hAnsi="Georgia"/>
          <w:b/>
          <w:lang w:eastAsia="de-DE"/>
        </w:rPr>
        <w:t>Do you agree that the steps to be taken by the third party are ultimately intended to ensure that the level of segregation foreseen under 22a(3)(d) of the UCITS Directive is recognised in the context of an insolvency proceeding involving the third party?</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&lt;ESMA_UCITS_QUESTION_1&gt;</w:t>
      </w:r>
    </w:p>
    <w:p w:rsidR="00BC7ECC" w:rsidRPr="003077BD" w:rsidRDefault="00BC7ECC" w:rsidP="003077BD">
      <w:pPr>
        <w:jc w:val="both"/>
        <w:rPr>
          <w:rFonts w:ascii="Georgia" w:eastAsia="Times New Roman" w:hAnsi="Georgia"/>
          <w:lang w:eastAsia="de-DE"/>
        </w:rPr>
      </w:pPr>
    </w:p>
    <w:p w:rsidR="00BC7ECC" w:rsidRPr="003077BD" w:rsidRDefault="00653A61" w:rsidP="003077BD">
      <w:pPr>
        <w:ind w:firstLine="720"/>
        <w:jc w:val="both"/>
        <w:rPr>
          <w:rFonts w:ascii="Georgia" w:hAnsi="Georgia" w:cs="Arial"/>
          <w:bCs/>
          <w:iCs/>
        </w:rPr>
      </w:pPr>
      <w:r w:rsidRPr="003077BD">
        <w:rPr>
          <w:rFonts w:ascii="Georgia" w:hAnsi="Georgia" w:cs="Arial"/>
          <w:bCs/>
          <w:iCs/>
        </w:rPr>
        <w:t>ADEPO welcomes and</w:t>
      </w:r>
      <w:r w:rsidR="00BC7ECC" w:rsidRPr="003077BD">
        <w:rPr>
          <w:rFonts w:ascii="Georgia" w:hAnsi="Georgia" w:cs="Arial"/>
          <w:bCs/>
          <w:iCs/>
        </w:rPr>
        <w:t xml:space="preserve"> takes a positive view of the opportunity and specific content of the document and appreciates the usefulness of this </w:t>
      </w:r>
      <w:r w:rsidR="00D7196A" w:rsidRPr="003077BD">
        <w:rPr>
          <w:rFonts w:ascii="Georgia" w:hAnsi="Georgia" w:cs="Arial"/>
          <w:bCs/>
          <w:iCs/>
        </w:rPr>
        <w:t>Consultation Paper</w:t>
      </w:r>
      <w:r w:rsidR="00BC7ECC" w:rsidRPr="003077BD">
        <w:rPr>
          <w:rFonts w:ascii="Georgia" w:hAnsi="Georgia" w:cs="Arial"/>
          <w:bCs/>
          <w:iCs/>
        </w:rPr>
        <w:t>.</w:t>
      </w:r>
      <w:r w:rsidR="00A30CC5">
        <w:rPr>
          <w:rFonts w:ascii="Georgia" w:hAnsi="Georgia" w:cs="Arial"/>
          <w:bCs/>
          <w:iCs/>
        </w:rPr>
        <w:t xml:space="preserve"> ADEPO is a Spanish association of </w:t>
      </w:r>
      <w:r w:rsidR="00BC7ECC" w:rsidRPr="003077BD">
        <w:rPr>
          <w:rFonts w:ascii="Georgia" w:hAnsi="Georgia" w:cs="Arial"/>
          <w:bCs/>
          <w:iCs/>
        </w:rPr>
        <w:t>mutual and pension funds depositaries, currently formed by BBVA, BANCO SABADELL,</w:t>
      </w:r>
      <w:r w:rsidR="002D4715" w:rsidRPr="003077BD">
        <w:rPr>
          <w:rFonts w:ascii="Georgia" w:hAnsi="Georgia" w:cs="Arial"/>
          <w:bCs/>
          <w:iCs/>
        </w:rPr>
        <w:t xml:space="preserve"> </w:t>
      </w:r>
      <w:r w:rsidR="00BC7ECC" w:rsidRPr="003077BD">
        <w:rPr>
          <w:rFonts w:ascii="Georgia" w:hAnsi="Georgia" w:cs="Arial"/>
          <w:bCs/>
          <w:iCs/>
        </w:rPr>
        <w:t>BANCO SANTANDER</w:t>
      </w:r>
      <w:proofErr w:type="gramStart"/>
      <w:r w:rsidR="00A30CC5">
        <w:rPr>
          <w:rFonts w:ascii="Georgia" w:hAnsi="Georgia" w:cs="Arial"/>
          <w:bCs/>
          <w:iCs/>
        </w:rPr>
        <w:t>,BANKIA</w:t>
      </w:r>
      <w:proofErr w:type="gramEnd"/>
      <w:r w:rsidR="00A30CC5">
        <w:rPr>
          <w:rFonts w:ascii="Georgia" w:hAnsi="Georgia" w:cs="Arial"/>
          <w:bCs/>
          <w:iCs/>
        </w:rPr>
        <w:t xml:space="preserve"> </w:t>
      </w:r>
      <w:r w:rsidR="00BC7ECC" w:rsidRPr="003077BD">
        <w:rPr>
          <w:rFonts w:ascii="Georgia" w:hAnsi="Georgia" w:cs="Arial"/>
          <w:bCs/>
          <w:iCs/>
        </w:rPr>
        <w:t>,</w:t>
      </w:r>
      <w:r w:rsidR="002D4715" w:rsidRPr="003077BD">
        <w:rPr>
          <w:rFonts w:ascii="Georgia" w:hAnsi="Georgia" w:cs="Arial"/>
          <w:bCs/>
          <w:iCs/>
        </w:rPr>
        <w:t xml:space="preserve"> </w:t>
      </w:r>
      <w:r w:rsidR="00BC7ECC" w:rsidRPr="003077BD">
        <w:rPr>
          <w:rFonts w:ascii="Georgia" w:hAnsi="Georgia" w:cs="Arial"/>
          <w:bCs/>
          <w:iCs/>
        </w:rPr>
        <w:t>BNP-PARIBAS, CECABANK, ROYAL BANK OF CANADA AND DEUTSCHE BANK.</w:t>
      </w:r>
    </w:p>
    <w:p w:rsidR="00BC7ECC" w:rsidRPr="003077BD" w:rsidRDefault="00BC7ECC" w:rsidP="003077BD">
      <w:pPr>
        <w:jc w:val="both"/>
        <w:rPr>
          <w:rFonts w:ascii="Georgia" w:eastAsia="Times New Roman" w:hAnsi="Georgia"/>
          <w:lang w:eastAsia="de-DE"/>
        </w:rPr>
      </w:pPr>
    </w:p>
    <w:p w:rsidR="00BC7ECC" w:rsidRPr="003077BD" w:rsidRDefault="00BC7ECC" w:rsidP="003077BD">
      <w:pPr>
        <w:jc w:val="both"/>
        <w:rPr>
          <w:rFonts w:ascii="Georgia" w:eastAsia="Times New Roman" w:hAnsi="Georgia"/>
          <w:lang w:eastAsia="de-DE"/>
        </w:rPr>
      </w:pPr>
    </w:p>
    <w:p w:rsidR="00BC7ECC" w:rsidRPr="003077BD" w:rsidRDefault="00BC7ECC" w:rsidP="003077BD">
      <w:pPr>
        <w:jc w:val="both"/>
        <w:rPr>
          <w:rFonts w:ascii="Georgia" w:eastAsia="Times New Roman" w:hAnsi="Georgia"/>
          <w:lang w:eastAsia="de-DE"/>
        </w:rPr>
      </w:pP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Yes</w:t>
      </w:r>
      <w:r w:rsidR="00F04D63">
        <w:rPr>
          <w:rFonts w:ascii="Georgia" w:eastAsia="Times New Roman" w:hAnsi="Georgia"/>
          <w:lang w:eastAsia="de-DE"/>
        </w:rPr>
        <w:t>,</w:t>
      </w:r>
      <w:r w:rsidRPr="003077BD">
        <w:rPr>
          <w:rFonts w:ascii="Georgia" w:eastAsia="Times New Roman" w:hAnsi="Georgia"/>
          <w:lang w:eastAsia="de-DE"/>
        </w:rPr>
        <w:t xml:space="preserve"> ADEPO does.  </w:t>
      </w:r>
    </w:p>
    <w:p w:rsidR="00BC7ECC" w:rsidRPr="003077BD" w:rsidRDefault="00BC7ECC" w:rsidP="003077BD">
      <w:pPr>
        <w:jc w:val="both"/>
        <w:rPr>
          <w:rFonts w:ascii="Georgia" w:eastAsia="Times New Roman" w:hAnsi="Georgia"/>
          <w:lang w:eastAsia="de-DE"/>
        </w:rPr>
      </w:pPr>
    </w:p>
    <w:p w:rsidR="00BC7ECC" w:rsidRPr="003077BD" w:rsidRDefault="00BC7ECC" w:rsidP="003077BD">
      <w:pPr>
        <w:jc w:val="both"/>
        <w:rPr>
          <w:rFonts w:ascii="Georgia" w:eastAsia="Times New Roman" w:hAnsi="Georgia"/>
          <w:lang w:eastAsia="de-DE"/>
        </w:rPr>
      </w:pPr>
    </w:p>
    <w:p w:rsidR="00BC7ECC" w:rsidRPr="003077BD" w:rsidRDefault="00BC7ECC" w:rsidP="003077BD">
      <w:pPr>
        <w:jc w:val="both"/>
        <w:rPr>
          <w:rFonts w:ascii="Georgia" w:eastAsia="Times New Roman" w:hAnsi="Georgia"/>
          <w:lang w:eastAsia="de-DE"/>
        </w:rPr>
      </w:pP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&lt;ESMA_UCITS_QUESTION_1&gt;</w:t>
      </w:r>
    </w:p>
    <w:p w:rsidR="00BC7ECC" w:rsidRPr="003077BD" w:rsidRDefault="00BC7ECC" w:rsidP="003077BD">
      <w:pPr>
        <w:jc w:val="both"/>
        <w:rPr>
          <w:rFonts w:ascii="Georgia" w:eastAsia="Times New Roman" w:hAnsi="Georgia"/>
          <w:lang w:eastAsia="de-DE"/>
        </w:rPr>
      </w:pPr>
    </w:p>
    <w:p w:rsidR="00BC7ECC" w:rsidRPr="003077BD" w:rsidRDefault="00BC7ECC" w:rsidP="003077BD">
      <w:pPr>
        <w:numPr>
          <w:ilvl w:val="0"/>
          <w:numId w:val="1"/>
        </w:numPr>
        <w:spacing w:after="250"/>
        <w:jc w:val="both"/>
        <w:outlineLvl w:val="4"/>
        <w:rPr>
          <w:rFonts w:ascii="Georgia" w:eastAsia="Times New Roman" w:hAnsi="Georgia"/>
          <w:b/>
          <w:lang w:eastAsia="de-DE"/>
        </w:rPr>
      </w:pPr>
      <w:r w:rsidRPr="003077BD">
        <w:rPr>
          <w:rFonts w:ascii="Georgia" w:eastAsia="Times New Roman" w:hAnsi="Georgia"/>
          <w:b/>
          <w:lang w:eastAsia="de-DE"/>
        </w:rPr>
        <w:t>Do you consider that the level of segregation foreseen under Art 22a(3)(d) of the UCITS Directive should protect UCITS assets from claims by creditors of an insolvent third party which had been delegated the safekeeping of the assets by the UCITS' depositary?</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&lt;ESMA_UCITS_QUESTION_2&gt;</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Yes</w:t>
      </w:r>
      <w:r w:rsidR="00863E68" w:rsidRPr="003077BD">
        <w:rPr>
          <w:rFonts w:ascii="Georgia" w:eastAsia="Times New Roman" w:hAnsi="Georgia"/>
          <w:lang w:eastAsia="de-DE"/>
        </w:rPr>
        <w:t>,</w:t>
      </w:r>
      <w:r w:rsidRPr="003077BD">
        <w:rPr>
          <w:rFonts w:ascii="Georgia" w:eastAsia="Times New Roman" w:hAnsi="Georgia"/>
          <w:lang w:eastAsia="de-DE"/>
        </w:rPr>
        <w:t xml:space="preserve"> it should. &lt;ESMA_UCITS_QUESTION_2&gt;</w:t>
      </w:r>
    </w:p>
    <w:p w:rsidR="00BC7ECC" w:rsidRPr="003077BD" w:rsidRDefault="00BC7ECC" w:rsidP="003077BD">
      <w:pPr>
        <w:jc w:val="both"/>
        <w:rPr>
          <w:rFonts w:ascii="Georgia" w:eastAsia="Times New Roman" w:hAnsi="Georgia"/>
          <w:lang w:eastAsia="de-DE"/>
        </w:rPr>
      </w:pPr>
    </w:p>
    <w:p w:rsidR="00BC7ECC" w:rsidRPr="003077BD" w:rsidRDefault="00BC7ECC" w:rsidP="003077BD">
      <w:pPr>
        <w:numPr>
          <w:ilvl w:val="0"/>
          <w:numId w:val="1"/>
        </w:numPr>
        <w:spacing w:after="250"/>
        <w:jc w:val="both"/>
        <w:outlineLvl w:val="4"/>
        <w:rPr>
          <w:rFonts w:ascii="Georgia" w:eastAsia="Times New Roman" w:hAnsi="Georgia"/>
          <w:b/>
          <w:lang w:eastAsia="de-DE"/>
        </w:rPr>
      </w:pPr>
      <w:r w:rsidRPr="003077BD">
        <w:rPr>
          <w:rFonts w:ascii="Georgia" w:eastAsia="Times New Roman" w:hAnsi="Georgia"/>
          <w:b/>
          <w:lang w:eastAsia="de-DE"/>
        </w:rPr>
        <w:t xml:space="preserve">Are there other </w:t>
      </w:r>
      <w:proofErr w:type="gramStart"/>
      <w:r w:rsidRPr="003077BD">
        <w:rPr>
          <w:rFonts w:ascii="Georgia" w:eastAsia="Times New Roman" w:hAnsi="Georgia"/>
          <w:b/>
          <w:lang w:eastAsia="de-DE"/>
        </w:rPr>
        <w:t>measures which</w:t>
      </w:r>
      <w:proofErr w:type="gramEnd"/>
      <w:r w:rsidRPr="003077BD">
        <w:rPr>
          <w:rFonts w:ascii="Georgia" w:eastAsia="Times New Roman" w:hAnsi="Georgia"/>
          <w:b/>
          <w:lang w:eastAsia="de-DE"/>
        </w:rPr>
        <w:t xml:space="preserve"> could also help achieve this objective?</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&lt;ESMA_UCITS_QUESTION_3&gt;</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 xml:space="preserve"> </w:t>
      </w:r>
    </w:p>
    <w:p w:rsidR="00BC7ECC" w:rsidRPr="003077BD" w:rsidRDefault="00BC7ECC" w:rsidP="003077BD">
      <w:pPr>
        <w:jc w:val="both"/>
        <w:rPr>
          <w:rFonts w:ascii="Georgia" w:hAnsi="Georgia" w:cs="Arial"/>
          <w:b/>
          <w:i/>
        </w:rPr>
      </w:pPr>
    </w:p>
    <w:p w:rsidR="001672AA" w:rsidRPr="003077BD" w:rsidRDefault="001672AA" w:rsidP="003077BD">
      <w:pPr>
        <w:jc w:val="both"/>
        <w:rPr>
          <w:rFonts w:ascii="Georgia" w:hAnsi="Georgia" w:cs="Arial"/>
          <w:color w:val="000000"/>
          <w:lang w:val="en-US"/>
        </w:rPr>
      </w:pPr>
      <w:r w:rsidRPr="003077BD">
        <w:rPr>
          <w:rFonts w:ascii="Georgia" w:hAnsi="Georgia" w:cs="Arial"/>
          <w:color w:val="000000"/>
          <w:lang w:val="en-US"/>
        </w:rPr>
        <w:t>Whilst ADEPO agrees with the ESMA advice, it believes the proposed steps are not sufficient. ADEPO strongly recommends that ESMA develops guidelines for Depositaries</w:t>
      </w:r>
      <w:proofErr w:type="gramStart"/>
      <w:r w:rsidRPr="003077BD">
        <w:rPr>
          <w:rFonts w:ascii="Georgia" w:hAnsi="Georgia" w:cs="Arial"/>
          <w:color w:val="000000"/>
          <w:lang w:val="en-US"/>
        </w:rPr>
        <w:t>,   Management</w:t>
      </w:r>
      <w:proofErr w:type="gramEnd"/>
      <w:r w:rsidRPr="003077BD">
        <w:rPr>
          <w:rFonts w:ascii="Georgia" w:hAnsi="Georgia" w:cs="Arial"/>
          <w:color w:val="000000"/>
          <w:lang w:val="en-US"/>
        </w:rPr>
        <w:t xml:space="preserve"> Company/UCITS Board and Competent Authorities on the action that should be taken in the event that the depositary makes a notification that it has becomes aware that the applicable insolvency laws and jurisprudence no longer guarantees the segregation of UCITS assets in the event of the insolvency of the entity holding the financial instruments.  </w:t>
      </w:r>
    </w:p>
    <w:p w:rsidR="001672AA" w:rsidRPr="003077BD" w:rsidRDefault="001672AA" w:rsidP="003077BD">
      <w:pPr>
        <w:jc w:val="both"/>
        <w:rPr>
          <w:rFonts w:ascii="Georgia" w:hAnsi="Georgia" w:cs="Arial"/>
          <w:color w:val="000000"/>
          <w:lang w:val="en-US"/>
        </w:rPr>
      </w:pPr>
    </w:p>
    <w:p w:rsidR="001672AA" w:rsidRPr="003077BD" w:rsidRDefault="001672AA" w:rsidP="003077BD">
      <w:pPr>
        <w:jc w:val="both"/>
        <w:rPr>
          <w:rFonts w:ascii="Georgia" w:hAnsi="Georgia" w:cs="Arial"/>
          <w:color w:val="000000"/>
          <w:lang w:val="en-US"/>
        </w:rPr>
      </w:pPr>
    </w:p>
    <w:p w:rsidR="001672AA" w:rsidRPr="003077BD" w:rsidRDefault="001672AA" w:rsidP="003077BD">
      <w:pPr>
        <w:jc w:val="both"/>
        <w:rPr>
          <w:rFonts w:ascii="Georgia" w:hAnsi="Georgia" w:cs="Arial"/>
          <w:color w:val="000000"/>
          <w:lang w:val="en-US"/>
        </w:rPr>
      </w:pPr>
      <w:r w:rsidRPr="003077BD">
        <w:rPr>
          <w:rFonts w:ascii="Georgia" w:hAnsi="Georgia" w:cs="Arial"/>
          <w:color w:val="000000"/>
          <w:lang w:val="en-US"/>
        </w:rPr>
        <w:t xml:space="preserve">In the event where the local law no longer </w:t>
      </w:r>
      <w:proofErr w:type="spellStart"/>
      <w:r w:rsidRPr="003077BD">
        <w:rPr>
          <w:rFonts w:ascii="Georgia" w:hAnsi="Georgia" w:cs="Arial"/>
          <w:color w:val="000000"/>
          <w:lang w:val="en-US"/>
        </w:rPr>
        <w:t>recognises</w:t>
      </w:r>
      <w:proofErr w:type="spellEnd"/>
      <w:r w:rsidRPr="003077BD">
        <w:rPr>
          <w:rFonts w:ascii="Georgia" w:hAnsi="Georgia" w:cs="Arial"/>
          <w:color w:val="000000"/>
          <w:lang w:val="en-US"/>
        </w:rPr>
        <w:t xml:space="preserve"> segregation on insolvency we would suggest the following:</w:t>
      </w:r>
    </w:p>
    <w:p w:rsidR="001672AA" w:rsidRPr="003077BD" w:rsidRDefault="001672AA" w:rsidP="003077BD">
      <w:pPr>
        <w:jc w:val="both"/>
        <w:rPr>
          <w:rFonts w:ascii="Georgia" w:hAnsi="Georgia" w:cs="Arial"/>
          <w:color w:val="000000"/>
          <w:lang w:val="en-US"/>
        </w:rPr>
      </w:pPr>
    </w:p>
    <w:p w:rsidR="001672AA" w:rsidRPr="003077BD" w:rsidRDefault="001672AA" w:rsidP="003077BD">
      <w:pPr>
        <w:jc w:val="both"/>
        <w:rPr>
          <w:rFonts w:ascii="Georgia" w:hAnsi="Georgia" w:cs="Arial"/>
          <w:color w:val="000000"/>
          <w:lang w:val="en-US"/>
        </w:rPr>
      </w:pPr>
    </w:p>
    <w:p w:rsidR="001672AA" w:rsidRPr="003077BD" w:rsidRDefault="001672AA" w:rsidP="003077BD">
      <w:pPr>
        <w:jc w:val="both"/>
        <w:rPr>
          <w:rFonts w:ascii="Georgia" w:hAnsi="Georgia" w:cs="Arial"/>
          <w:color w:val="000000"/>
          <w:lang w:val="en-US"/>
        </w:rPr>
      </w:pPr>
      <w:proofErr w:type="gramStart"/>
      <w:r w:rsidRPr="003077BD">
        <w:rPr>
          <w:rFonts w:ascii="Georgia" w:hAnsi="Georgia" w:cs="Arial"/>
          <w:color w:val="000000"/>
          <w:lang w:val="en-US"/>
        </w:rPr>
        <w:t>a)        The</w:t>
      </w:r>
      <w:proofErr w:type="gramEnd"/>
      <w:r w:rsidRPr="003077BD">
        <w:rPr>
          <w:rFonts w:ascii="Georgia" w:hAnsi="Georgia" w:cs="Arial"/>
          <w:color w:val="000000"/>
          <w:lang w:val="en-US"/>
        </w:rPr>
        <w:t xml:space="preserve"> depositary shall notify the Management Company or UCITS, if self-managed, and the </w:t>
      </w:r>
      <w:proofErr w:type="spellStart"/>
      <w:r w:rsidRPr="003077BD">
        <w:rPr>
          <w:rFonts w:ascii="Georgia" w:hAnsi="Georgia" w:cs="Arial"/>
          <w:color w:val="000000"/>
          <w:lang w:val="en-US"/>
        </w:rPr>
        <w:t>UCITS’s</w:t>
      </w:r>
      <w:proofErr w:type="spellEnd"/>
      <w:r w:rsidRPr="003077BD">
        <w:rPr>
          <w:rFonts w:ascii="Georgia" w:hAnsi="Georgia" w:cs="Arial"/>
          <w:color w:val="000000"/>
          <w:lang w:val="en-US"/>
        </w:rPr>
        <w:t xml:space="preserve"> Competent Authority as soon as is practicable after it becomes aware of the change in local law.</w:t>
      </w:r>
    </w:p>
    <w:p w:rsidR="001672AA" w:rsidRPr="003077BD" w:rsidRDefault="001672AA" w:rsidP="003077BD">
      <w:pPr>
        <w:jc w:val="both"/>
        <w:rPr>
          <w:rFonts w:ascii="Georgia" w:hAnsi="Georgia" w:cs="Arial"/>
          <w:color w:val="000000"/>
          <w:lang w:val="en-US"/>
        </w:rPr>
      </w:pPr>
      <w:r w:rsidRPr="003077BD">
        <w:rPr>
          <w:rFonts w:ascii="Georgia" w:hAnsi="Georgia" w:cs="Arial"/>
          <w:color w:val="000000"/>
          <w:lang w:val="en-US"/>
        </w:rPr>
        <w:t xml:space="preserve"> </w:t>
      </w:r>
    </w:p>
    <w:p w:rsidR="001672AA" w:rsidRPr="003077BD" w:rsidRDefault="001672AA" w:rsidP="003077BD">
      <w:pPr>
        <w:jc w:val="both"/>
        <w:rPr>
          <w:rFonts w:ascii="Georgia" w:hAnsi="Georgia" w:cs="Arial"/>
          <w:color w:val="000000"/>
          <w:lang w:val="en-US"/>
        </w:rPr>
      </w:pPr>
      <w:proofErr w:type="gramStart"/>
      <w:r w:rsidRPr="003077BD">
        <w:rPr>
          <w:rFonts w:ascii="Georgia" w:hAnsi="Georgia" w:cs="Arial"/>
          <w:color w:val="000000"/>
          <w:lang w:val="en-US"/>
        </w:rPr>
        <w:t>b)        The</w:t>
      </w:r>
      <w:proofErr w:type="gramEnd"/>
      <w:r w:rsidRPr="003077BD">
        <w:rPr>
          <w:rFonts w:ascii="Georgia" w:hAnsi="Georgia" w:cs="Arial"/>
          <w:color w:val="000000"/>
          <w:lang w:val="en-US"/>
        </w:rPr>
        <w:t xml:space="preserve"> relevant Competent Authority shall have measures in place to ensure that the Management Company or UCITS, if self-managed, takes appropriate and prompt action (and for such action to be supervised by the Competent Authority of the UCITS) and where relevant to immediately sell the assets because in most instances it would be impossible for a depositary to locate an alternative sub-custodian or local agent if there is an issue in a particular market.</w:t>
      </w:r>
      <w:r w:rsidR="003077BD">
        <w:rPr>
          <w:rFonts w:ascii="Georgia" w:hAnsi="Georgia" w:cs="Arial"/>
          <w:color w:val="000000"/>
          <w:lang w:val="en-US"/>
        </w:rPr>
        <w:t xml:space="preserve"> </w:t>
      </w:r>
      <w:r w:rsidRPr="003077BD">
        <w:rPr>
          <w:rFonts w:ascii="Georgia" w:hAnsi="Georgia" w:cs="Arial"/>
          <w:color w:val="000000"/>
          <w:lang w:val="en-US"/>
        </w:rPr>
        <w:t xml:space="preserve">Indeed a security is issued by an </w:t>
      </w:r>
      <w:proofErr w:type="gramStart"/>
      <w:r w:rsidRPr="003077BD">
        <w:rPr>
          <w:rFonts w:ascii="Georgia" w:hAnsi="Georgia" w:cs="Arial"/>
          <w:color w:val="000000"/>
          <w:lang w:val="en-US"/>
        </w:rPr>
        <w:t>entity  in</w:t>
      </w:r>
      <w:proofErr w:type="gramEnd"/>
      <w:r w:rsidRPr="003077BD">
        <w:rPr>
          <w:rFonts w:ascii="Georgia" w:hAnsi="Georgia" w:cs="Arial"/>
          <w:color w:val="000000"/>
          <w:lang w:val="en-US"/>
        </w:rPr>
        <w:t xml:space="preserve"> a country where it is  located  and it is not possible for the depositary to select a third party  which is not located in this  country .  A transfer of assets to another </w:t>
      </w:r>
      <w:proofErr w:type="gramStart"/>
      <w:r w:rsidRPr="003077BD">
        <w:rPr>
          <w:rFonts w:ascii="Georgia" w:hAnsi="Georgia" w:cs="Arial"/>
          <w:color w:val="000000"/>
          <w:lang w:val="en-US"/>
        </w:rPr>
        <w:t>country  is</w:t>
      </w:r>
      <w:proofErr w:type="gramEnd"/>
      <w:r w:rsidRPr="003077BD">
        <w:rPr>
          <w:rFonts w:ascii="Georgia" w:hAnsi="Georgia" w:cs="Arial"/>
          <w:color w:val="000000"/>
          <w:lang w:val="en-US"/>
        </w:rPr>
        <w:t xml:space="preserve"> not a realistic protective measure. This will typically not be feasible at all (e.g. the assets are ultimately held by a local CSD of which only local sub-custodians can be members</w:t>
      </w:r>
      <w:proofErr w:type="gramStart"/>
      <w:r w:rsidRPr="003077BD">
        <w:rPr>
          <w:rFonts w:ascii="Georgia" w:hAnsi="Georgia" w:cs="Arial"/>
          <w:color w:val="000000"/>
          <w:lang w:val="en-US"/>
        </w:rPr>
        <w:t>)  as</w:t>
      </w:r>
      <w:proofErr w:type="gramEnd"/>
      <w:r w:rsidRPr="003077BD">
        <w:rPr>
          <w:rFonts w:ascii="Georgia" w:hAnsi="Georgia" w:cs="Arial"/>
          <w:color w:val="000000"/>
          <w:lang w:val="en-US"/>
        </w:rPr>
        <w:t xml:space="preserve">  the assets ultimately are  held in any case in the original jurisdiction because this will be required in order to trade the assets.. Therefore </w:t>
      </w:r>
      <w:r w:rsidR="003077BD">
        <w:rPr>
          <w:rFonts w:ascii="Georgia" w:hAnsi="Georgia" w:cs="Arial"/>
          <w:color w:val="000000"/>
          <w:lang w:val="en-US"/>
        </w:rPr>
        <w:t xml:space="preserve">ADEPO </w:t>
      </w:r>
      <w:proofErr w:type="gramStart"/>
      <w:r w:rsidRPr="003077BD">
        <w:rPr>
          <w:rFonts w:ascii="Georgia" w:hAnsi="Georgia" w:cs="Arial"/>
          <w:color w:val="000000"/>
          <w:lang w:val="en-US"/>
        </w:rPr>
        <w:t>believes  that</w:t>
      </w:r>
      <w:proofErr w:type="gramEnd"/>
      <w:r w:rsidRPr="003077BD">
        <w:rPr>
          <w:rFonts w:ascii="Georgia" w:hAnsi="Georgia" w:cs="Arial"/>
          <w:color w:val="000000"/>
          <w:lang w:val="en-US"/>
        </w:rPr>
        <w:t xml:space="preserve">  there would be only two ways to meet the level 1 text requirement  (i.e. assets held in custody are not entrusted to a third party subject to an insolvency law which does not recognize the effects of segregation ) :</w:t>
      </w:r>
      <w:proofErr w:type="spellStart"/>
      <w:r w:rsidRPr="003077BD">
        <w:rPr>
          <w:rFonts w:ascii="Georgia" w:hAnsi="Georgia" w:cs="Arial"/>
          <w:color w:val="000000"/>
          <w:lang w:val="en-US"/>
        </w:rPr>
        <w:t>i</w:t>
      </w:r>
      <w:proofErr w:type="spellEnd"/>
      <w:r w:rsidRPr="003077BD">
        <w:rPr>
          <w:rFonts w:ascii="Georgia" w:hAnsi="Georgia" w:cs="Arial"/>
          <w:color w:val="000000"/>
          <w:lang w:val="en-US"/>
        </w:rPr>
        <w:t>) to dispose of these securities or , ii) these securities should be converted from  a bearer form  to a registered form (a security that is registered in the books of the issuer in the name of the owner).</w:t>
      </w:r>
    </w:p>
    <w:p w:rsidR="001672AA" w:rsidRPr="003077BD" w:rsidRDefault="001672AA" w:rsidP="003077BD">
      <w:pPr>
        <w:jc w:val="both"/>
        <w:rPr>
          <w:rFonts w:ascii="Georgia" w:hAnsi="Georgia" w:cs="Arial"/>
          <w:color w:val="000000"/>
          <w:lang w:val="en-US"/>
        </w:rPr>
      </w:pPr>
    </w:p>
    <w:p w:rsidR="001672AA" w:rsidRPr="003077BD" w:rsidRDefault="001672AA" w:rsidP="003077BD">
      <w:pPr>
        <w:jc w:val="both"/>
        <w:rPr>
          <w:rFonts w:ascii="Georgia" w:hAnsi="Georgia" w:cs="Arial"/>
          <w:color w:val="000000"/>
          <w:lang w:val="en-US"/>
        </w:rPr>
      </w:pPr>
      <w:r w:rsidRPr="003077BD">
        <w:rPr>
          <w:rFonts w:ascii="Georgia" w:hAnsi="Georgia" w:cs="Arial"/>
          <w:color w:val="000000"/>
          <w:lang w:val="en-US"/>
        </w:rPr>
        <w:t xml:space="preserve">In the event of a loss of a financial instrument due to the local law not </w:t>
      </w:r>
      <w:proofErr w:type="spellStart"/>
      <w:r w:rsidRPr="003077BD">
        <w:rPr>
          <w:rFonts w:ascii="Georgia" w:hAnsi="Georgia" w:cs="Arial"/>
          <w:color w:val="000000"/>
          <w:lang w:val="en-US"/>
        </w:rPr>
        <w:t>recognising</w:t>
      </w:r>
      <w:proofErr w:type="spellEnd"/>
      <w:r w:rsidRPr="003077BD">
        <w:rPr>
          <w:rFonts w:ascii="Georgia" w:hAnsi="Georgia" w:cs="Arial"/>
          <w:color w:val="000000"/>
          <w:lang w:val="en-US"/>
        </w:rPr>
        <w:t xml:space="preserve"> segregation on insolvency, we do not believe the depositary’s liability under Article 24 of Directive 2014/19/EU should be triggered be</w:t>
      </w:r>
      <w:r w:rsidR="003077BD">
        <w:rPr>
          <w:rFonts w:ascii="Georgia" w:hAnsi="Georgia" w:cs="Arial"/>
          <w:color w:val="000000"/>
          <w:lang w:val="en-US"/>
        </w:rPr>
        <w:t>c</w:t>
      </w:r>
      <w:r w:rsidRPr="003077BD">
        <w:rPr>
          <w:rFonts w:ascii="Georgia" w:hAnsi="Georgia" w:cs="Arial"/>
          <w:color w:val="000000"/>
          <w:lang w:val="en-US"/>
        </w:rPr>
        <w:t>ause in line with the wording of Article 101(</w:t>
      </w:r>
      <w:proofErr w:type="spellStart"/>
      <w:r w:rsidRPr="003077BD">
        <w:rPr>
          <w:rFonts w:ascii="Georgia" w:hAnsi="Georgia" w:cs="Arial"/>
          <w:color w:val="000000"/>
          <w:lang w:val="en-US"/>
        </w:rPr>
        <w:t>i</w:t>
      </w:r>
      <w:proofErr w:type="spellEnd"/>
      <w:r w:rsidRPr="003077BD">
        <w:rPr>
          <w:rFonts w:ascii="Georgia" w:hAnsi="Georgia" w:cs="Arial"/>
          <w:color w:val="000000"/>
          <w:lang w:val="en-US"/>
        </w:rPr>
        <w:t>)(c) of AIFMR, we believe that the depositary could not have reasonably prevented the occurrence of the event which led to the loss despite adopting all precautions incumbent on a diligent depositary as reflected in common industry practice.</w:t>
      </w:r>
    </w:p>
    <w:p w:rsidR="001672AA" w:rsidRPr="003077BD" w:rsidRDefault="001672AA" w:rsidP="003077BD">
      <w:pPr>
        <w:jc w:val="both"/>
        <w:rPr>
          <w:rFonts w:ascii="Georgia" w:hAnsi="Georgia" w:cs="Arial"/>
          <w:color w:val="000000"/>
          <w:lang w:val="en-US"/>
        </w:rPr>
      </w:pPr>
    </w:p>
    <w:p w:rsidR="001672AA" w:rsidRPr="003077BD" w:rsidRDefault="001672AA" w:rsidP="003077BD">
      <w:pPr>
        <w:jc w:val="both"/>
        <w:rPr>
          <w:rFonts w:ascii="Georgia" w:hAnsi="Georgia" w:cs="Arial"/>
          <w:color w:val="000000"/>
          <w:lang w:val="en-US"/>
        </w:rPr>
      </w:pPr>
      <w:r w:rsidRPr="003077BD">
        <w:rPr>
          <w:rFonts w:ascii="Georgia" w:hAnsi="Georgia" w:cs="Arial"/>
          <w:color w:val="000000"/>
          <w:lang w:val="en-US"/>
        </w:rPr>
        <w:t>It should not be unreasonable to expect the Competent Authority to have a responsibility to ensure that the Management Company/UCITS Board is acting in a manner that is not going to cause investor detriment or potentially create greater systemic risk.   That would be more consistent with the current arrangements for the roles and responsibilities of public agencies charged with overseeing markets including funds.</w:t>
      </w:r>
    </w:p>
    <w:p w:rsidR="001672AA" w:rsidRPr="003077BD" w:rsidRDefault="001672AA" w:rsidP="003077BD">
      <w:pPr>
        <w:jc w:val="both"/>
        <w:rPr>
          <w:rFonts w:ascii="Georgia" w:hAnsi="Georgia" w:cs="Arial"/>
          <w:color w:val="000000"/>
          <w:lang w:val="en-US"/>
        </w:rPr>
      </w:pPr>
    </w:p>
    <w:p w:rsidR="001672AA" w:rsidRPr="003077BD" w:rsidRDefault="001672AA" w:rsidP="003077BD">
      <w:pPr>
        <w:jc w:val="both"/>
        <w:rPr>
          <w:rFonts w:ascii="Georgia" w:hAnsi="Georgia" w:cs="Arial"/>
          <w:color w:val="000000"/>
          <w:lang w:val="en-US"/>
        </w:rPr>
      </w:pPr>
    </w:p>
    <w:p w:rsidR="001672AA" w:rsidRPr="003077BD" w:rsidRDefault="003077BD" w:rsidP="003077BD">
      <w:pPr>
        <w:jc w:val="both"/>
        <w:rPr>
          <w:rFonts w:ascii="Georgia" w:hAnsi="Georgia" w:cs="Arial"/>
          <w:color w:val="000000"/>
          <w:lang w:val="en-US"/>
        </w:rPr>
      </w:pPr>
      <w:r>
        <w:rPr>
          <w:rFonts w:ascii="Georgia" w:hAnsi="Georgia" w:cs="Arial"/>
          <w:color w:val="000000"/>
          <w:lang w:val="en-US"/>
        </w:rPr>
        <w:t xml:space="preserve">The above approach also </w:t>
      </w:r>
      <w:proofErr w:type="spellStart"/>
      <w:r>
        <w:rPr>
          <w:rFonts w:ascii="Georgia" w:hAnsi="Georgia" w:cs="Arial"/>
          <w:color w:val="000000"/>
          <w:lang w:val="en-US"/>
        </w:rPr>
        <w:t>recognis</w:t>
      </w:r>
      <w:r w:rsidR="001672AA" w:rsidRPr="003077BD">
        <w:rPr>
          <w:rFonts w:ascii="Georgia" w:hAnsi="Georgia" w:cs="Arial"/>
          <w:color w:val="000000"/>
          <w:lang w:val="en-US"/>
        </w:rPr>
        <w:t>es</w:t>
      </w:r>
      <w:proofErr w:type="spellEnd"/>
      <w:r w:rsidR="001672AA" w:rsidRPr="003077BD">
        <w:rPr>
          <w:rFonts w:ascii="Georgia" w:hAnsi="Georgia" w:cs="Arial"/>
          <w:color w:val="000000"/>
          <w:lang w:val="en-US"/>
        </w:rPr>
        <w:t xml:space="preserve"> the fact that it is the Management Company/UCITS Board who has responsibility for portfolio management and who ultimately will make the decision whether or not to act upon the alert from the depositary.  </w:t>
      </w:r>
    </w:p>
    <w:p w:rsidR="001672AA" w:rsidRPr="003077BD" w:rsidRDefault="001672AA" w:rsidP="003077BD">
      <w:pPr>
        <w:jc w:val="both"/>
        <w:rPr>
          <w:rFonts w:ascii="Georgia" w:hAnsi="Georgia" w:cs="Arial"/>
          <w:color w:val="000000"/>
          <w:lang w:val="en-US"/>
        </w:rPr>
      </w:pPr>
    </w:p>
    <w:p w:rsidR="001672AA" w:rsidRPr="003077BD" w:rsidRDefault="001672AA" w:rsidP="003077BD">
      <w:pPr>
        <w:jc w:val="both"/>
        <w:rPr>
          <w:rFonts w:ascii="Georgia" w:hAnsi="Georgia" w:cs="Arial"/>
          <w:color w:val="000000"/>
          <w:lang w:val="en-US"/>
        </w:rPr>
      </w:pPr>
      <w:r w:rsidRPr="003077BD">
        <w:rPr>
          <w:rFonts w:ascii="Georgia" w:hAnsi="Georgia" w:cs="Arial"/>
          <w:color w:val="000000"/>
          <w:lang w:val="en-US"/>
        </w:rPr>
        <w:t>If this is not the case, it leaves a depositary with open-ended liability until such time as it is able to terminate the contract in respect of something it has made all reasonable efforts to address.</w:t>
      </w:r>
    </w:p>
    <w:p w:rsidR="001672AA" w:rsidRPr="003077BD" w:rsidRDefault="001672AA" w:rsidP="003077BD">
      <w:pPr>
        <w:jc w:val="both"/>
        <w:rPr>
          <w:rFonts w:ascii="Georgia" w:hAnsi="Georgia" w:cs="Arial"/>
          <w:color w:val="000000"/>
          <w:lang w:val="en-US"/>
        </w:rPr>
      </w:pPr>
    </w:p>
    <w:p w:rsidR="001672AA" w:rsidRPr="003077BD" w:rsidRDefault="001672AA" w:rsidP="003077BD">
      <w:pPr>
        <w:jc w:val="both"/>
        <w:rPr>
          <w:rFonts w:ascii="Georgia" w:hAnsi="Georgia" w:cs="Arial"/>
          <w:color w:val="000000"/>
          <w:lang w:val="en-US"/>
        </w:rPr>
      </w:pPr>
      <w:r w:rsidRPr="003077BD">
        <w:rPr>
          <w:rFonts w:ascii="Georgia" w:hAnsi="Georgia" w:cs="Arial"/>
          <w:color w:val="000000"/>
          <w:lang w:val="en-US"/>
        </w:rPr>
        <w:t xml:space="preserve">It is important too, to </w:t>
      </w:r>
      <w:proofErr w:type="spellStart"/>
      <w:r w:rsidRPr="003077BD">
        <w:rPr>
          <w:rFonts w:ascii="Georgia" w:hAnsi="Georgia" w:cs="Arial"/>
          <w:color w:val="000000"/>
          <w:lang w:val="en-US"/>
        </w:rPr>
        <w:t>recognise</w:t>
      </w:r>
      <w:proofErr w:type="spellEnd"/>
      <w:r w:rsidRPr="003077BD">
        <w:rPr>
          <w:rFonts w:ascii="Georgia" w:hAnsi="Georgia" w:cs="Arial"/>
          <w:color w:val="000000"/>
          <w:lang w:val="en-US"/>
        </w:rPr>
        <w:t xml:space="preserve"> the fiduciary role of the Management Company/UCITS Board.  It, rather than the depositary, is responsible for making investment decisions for the UCITS and must take swift steps to act upon the information received from the depositary. Immediately upon receipt of such notification, there should be a burden of proof upon the Management Company/UCITS Board to demonstrate that any steps it takes are taken in the best interests of the UCITS. </w:t>
      </w:r>
    </w:p>
    <w:p w:rsidR="001672AA" w:rsidRPr="003077BD" w:rsidRDefault="001672AA" w:rsidP="003077BD">
      <w:pPr>
        <w:jc w:val="both"/>
        <w:rPr>
          <w:rFonts w:ascii="Georgia" w:hAnsi="Georgia" w:cs="Arial"/>
          <w:color w:val="000000"/>
          <w:lang w:val="en-US"/>
        </w:rPr>
      </w:pPr>
    </w:p>
    <w:p w:rsidR="00BC7ECC" w:rsidRPr="003077BD" w:rsidRDefault="00BC7ECC" w:rsidP="003077BD">
      <w:pPr>
        <w:jc w:val="both"/>
        <w:rPr>
          <w:rFonts w:ascii="Georgia" w:eastAsia="Times New Roman" w:hAnsi="Georgia"/>
          <w:lang w:eastAsia="de-DE"/>
        </w:rPr>
      </w:pPr>
    </w:p>
    <w:p w:rsidR="00BC7ECC" w:rsidRPr="003077BD" w:rsidRDefault="00BC7ECC" w:rsidP="003077BD">
      <w:pPr>
        <w:jc w:val="both"/>
        <w:rPr>
          <w:rFonts w:ascii="Georgia" w:hAnsi="Georgia" w:cs="Arial"/>
          <w:b/>
          <w:i/>
        </w:rPr>
      </w:pP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&lt;ESMA_UCITS_QUESTION_3&gt;</w:t>
      </w:r>
    </w:p>
    <w:p w:rsidR="00BC7ECC" w:rsidRPr="003077BD" w:rsidRDefault="00BC7ECC" w:rsidP="003077BD">
      <w:pPr>
        <w:jc w:val="both"/>
        <w:rPr>
          <w:rFonts w:ascii="Georgia" w:eastAsia="Times New Roman" w:hAnsi="Georgia"/>
          <w:lang w:eastAsia="de-DE"/>
        </w:rPr>
      </w:pPr>
    </w:p>
    <w:p w:rsidR="00BC7ECC" w:rsidRPr="003077BD" w:rsidRDefault="00BC7ECC" w:rsidP="003077BD">
      <w:pPr>
        <w:numPr>
          <w:ilvl w:val="0"/>
          <w:numId w:val="1"/>
        </w:numPr>
        <w:spacing w:after="250"/>
        <w:jc w:val="both"/>
        <w:outlineLvl w:val="4"/>
        <w:rPr>
          <w:rFonts w:ascii="Georgia" w:eastAsia="Times New Roman" w:hAnsi="Georgia"/>
          <w:b/>
          <w:lang w:eastAsia="de-DE"/>
        </w:rPr>
      </w:pPr>
      <w:r w:rsidRPr="003077BD">
        <w:rPr>
          <w:rFonts w:ascii="Georgia" w:eastAsia="Times New Roman" w:hAnsi="Georgia"/>
          <w:b/>
          <w:lang w:eastAsia="de-DE"/>
        </w:rPr>
        <w:t>Do you agree with the steps to be taken by the third party as identified above? If not, please explain the reasons.</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&lt;ESMA_UCITS_QUESTION_4&gt;</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Yes</w:t>
      </w:r>
      <w:r w:rsidR="00F04D63">
        <w:rPr>
          <w:rFonts w:ascii="Georgia" w:eastAsia="Times New Roman" w:hAnsi="Georgia"/>
          <w:lang w:eastAsia="de-DE"/>
        </w:rPr>
        <w:t>,</w:t>
      </w:r>
      <w:r w:rsidRPr="003077BD">
        <w:rPr>
          <w:rFonts w:ascii="Georgia" w:eastAsia="Times New Roman" w:hAnsi="Georgia"/>
          <w:lang w:eastAsia="de-DE"/>
        </w:rPr>
        <w:t xml:space="preserve"> ADEPO does. However</w:t>
      </w:r>
      <w:proofErr w:type="gramStart"/>
      <w:r w:rsidR="00F04D63">
        <w:rPr>
          <w:rFonts w:ascii="Georgia" w:eastAsia="Times New Roman" w:hAnsi="Georgia"/>
          <w:lang w:eastAsia="de-DE"/>
        </w:rPr>
        <w:t>,</w:t>
      </w:r>
      <w:r w:rsidRPr="003077BD">
        <w:rPr>
          <w:rFonts w:ascii="Georgia" w:eastAsia="Times New Roman" w:hAnsi="Georgia"/>
          <w:lang w:eastAsia="de-DE"/>
        </w:rPr>
        <w:t xml:space="preserve">  for</w:t>
      </w:r>
      <w:proofErr w:type="gramEnd"/>
      <w:r w:rsidRPr="003077BD">
        <w:rPr>
          <w:rFonts w:ascii="Georgia" w:eastAsia="Times New Roman" w:hAnsi="Georgia"/>
          <w:lang w:eastAsia="de-DE"/>
        </w:rPr>
        <w:t xml:space="preserve"> the</w:t>
      </w:r>
      <w:r w:rsidR="002C1F36">
        <w:rPr>
          <w:rFonts w:ascii="Georgia" w:eastAsia="Times New Roman" w:hAnsi="Georgia"/>
          <w:lang w:eastAsia="de-DE"/>
        </w:rPr>
        <w:t xml:space="preserve"> </w:t>
      </w:r>
      <w:r w:rsidRPr="003077BD">
        <w:rPr>
          <w:rFonts w:ascii="Georgia" w:eastAsia="Times New Roman" w:hAnsi="Georgia"/>
          <w:lang w:eastAsia="de-DE"/>
        </w:rPr>
        <w:t>sake of clarity, ADEPO recommends  that the draft advice includes a paragraph to the effect that if the third party to whom the depositary has delegated functions referred to in Art 22(5), in turn sub-delegates those functions, such sub-delegation is subject to the same requirements (</w:t>
      </w:r>
      <w:proofErr w:type="spellStart"/>
      <w:r w:rsidRPr="003077BD">
        <w:rPr>
          <w:rFonts w:ascii="Georgia" w:eastAsia="Times New Roman" w:hAnsi="Georgia"/>
          <w:lang w:eastAsia="de-DE"/>
        </w:rPr>
        <w:t>ie</w:t>
      </w:r>
      <w:proofErr w:type="spellEnd"/>
      <w:r w:rsidRPr="003077BD">
        <w:rPr>
          <w:rFonts w:ascii="Georgia" w:eastAsia="Times New Roman" w:hAnsi="Georgia"/>
          <w:lang w:eastAsia="de-DE"/>
        </w:rPr>
        <w:t xml:space="preserve"> application mutatis mutandis).  Whilst this is already the case by virtue of the last paragraph of Art 22a(3), it would be helpful for it to be included in L2 measures.  This would also be consistent with the approach taken in AIFMR (</w:t>
      </w:r>
      <w:proofErr w:type="spellStart"/>
      <w:r w:rsidRPr="003077BD">
        <w:rPr>
          <w:rFonts w:ascii="Georgia" w:eastAsia="Times New Roman" w:hAnsi="Georgia"/>
          <w:lang w:eastAsia="de-DE"/>
        </w:rPr>
        <w:t>eg</w:t>
      </w:r>
      <w:proofErr w:type="spellEnd"/>
      <w:r w:rsidRPr="003077BD">
        <w:rPr>
          <w:rFonts w:ascii="Georgia" w:eastAsia="Times New Roman" w:hAnsi="Georgia"/>
          <w:lang w:eastAsia="de-DE"/>
        </w:rPr>
        <w:t xml:space="preserve"> Art 98(4)). </w:t>
      </w:r>
    </w:p>
    <w:p w:rsidR="00BC7ECC" w:rsidRPr="003077BD" w:rsidRDefault="00BC7ECC" w:rsidP="003077BD">
      <w:pPr>
        <w:jc w:val="both"/>
        <w:rPr>
          <w:rFonts w:ascii="Georgia" w:eastAsia="Times New Roman" w:hAnsi="Georgia"/>
          <w:lang w:eastAsia="de-DE"/>
        </w:rPr>
      </w:pP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 xml:space="preserve">It is not uncommon for a depositary to delegate custody to a Global Custodian (the third party) who, in turn, may delegate to other parties. The clarity mentioned regarding a third party sub-delegating, above would therefore be helpful. </w:t>
      </w:r>
    </w:p>
    <w:p w:rsidR="00BC7ECC" w:rsidRPr="003077BD" w:rsidRDefault="00BC7ECC" w:rsidP="003077BD">
      <w:pPr>
        <w:jc w:val="both"/>
        <w:rPr>
          <w:rFonts w:ascii="Georgia" w:hAnsi="Georgia"/>
        </w:rPr>
      </w:pPr>
    </w:p>
    <w:p w:rsidR="00BC7ECC" w:rsidRPr="003077BD" w:rsidRDefault="00BC7ECC" w:rsidP="003077BD">
      <w:pPr>
        <w:jc w:val="both"/>
        <w:rPr>
          <w:rFonts w:ascii="Georgia" w:hAnsi="Georgia"/>
        </w:rPr>
      </w:pPr>
      <w:r w:rsidRPr="003077BD">
        <w:rPr>
          <w:rFonts w:ascii="Georgia" w:hAnsi="Georgia"/>
        </w:rPr>
        <w:t>In additio</w:t>
      </w:r>
      <w:r w:rsidR="002C1F36">
        <w:rPr>
          <w:rFonts w:ascii="Georgia" w:hAnsi="Georgia"/>
        </w:rPr>
        <w:t>n</w:t>
      </w:r>
      <w:r w:rsidRPr="003077BD">
        <w:rPr>
          <w:rFonts w:ascii="Georgia" w:hAnsi="Georgia"/>
        </w:rPr>
        <w:t xml:space="preserve"> specific means such as the obtaining of a legal advice from independent legal counsel should be recommended but not prescribed, where – depending on the circumstances – the assessment of the depositary’s internal legal services may be an alternative. </w:t>
      </w:r>
    </w:p>
    <w:p w:rsidR="00BC7ECC" w:rsidRPr="003077BD" w:rsidRDefault="00BC7ECC" w:rsidP="003077BD">
      <w:pPr>
        <w:jc w:val="both"/>
        <w:rPr>
          <w:rFonts w:ascii="Georgia" w:hAnsi="Georgia"/>
        </w:rPr>
      </w:pP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&lt;ESMA_UCITS_QUESTION_4&gt;</w:t>
      </w:r>
    </w:p>
    <w:p w:rsidR="00BC7ECC" w:rsidRPr="003077BD" w:rsidRDefault="00BC7ECC" w:rsidP="003077BD">
      <w:pPr>
        <w:jc w:val="both"/>
        <w:rPr>
          <w:rFonts w:ascii="Georgia" w:eastAsia="Times New Roman" w:hAnsi="Georgia"/>
          <w:lang w:eastAsia="de-DE"/>
        </w:rPr>
      </w:pPr>
    </w:p>
    <w:p w:rsidR="00BC7ECC" w:rsidRPr="003077BD" w:rsidRDefault="00BC7ECC" w:rsidP="003077BD">
      <w:pPr>
        <w:numPr>
          <w:ilvl w:val="0"/>
          <w:numId w:val="1"/>
        </w:numPr>
        <w:spacing w:after="250"/>
        <w:jc w:val="both"/>
        <w:outlineLvl w:val="4"/>
        <w:rPr>
          <w:rFonts w:ascii="Georgia" w:eastAsia="Times New Roman" w:hAnsi="Georgia"/>
          <w:b/>
          <w:lang w:eastAsia="de-DE"/>
        </w:rPr>
      </w:pPr>
      <w:r w:rsidRPr="003077BD">
        <w:rPr>
          <w:rFonts w:ascii="Georgia" w:eastAsia="Times New Roman" w:hAnsi="Georgia"/>
          <w:b/>
          <w:lang w:eastAsia="de-DE"/>
        </w:rPr>
        <w:t>Do you consider that there are any specific difficulties that may arise in verifying the applicable insolvency regime that makes the proposed rules difficult to be complied with? In particular, do you consider the requirement for the third party located in a jurisdiction outside the Union to obtain independent legal advice could give rise to specific issues?</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&lt;ESMA_UCITS_QUESTION_5&gt;</w:t>
      </w:r>
    </w:p>
    <w:p w:rsidR="00BC7ECC" w:rsidRPr="003077BD" w:rsidRDefault="003077BD" w:rsidP="003077BD">
      <w:pPr>
        <w:jc w:val="both"/>
        <w:rPr>
          <w:rFonts w:ascii="Georgia" w:eastAsia="Times New Roman" w:hAnsi="Georgia"/>
          <w:lang w:eastAsia="de-DE"/>
        </w:rPr>
      </w:pPr>
      <w:r>
        <w:rPr>
          <w:rFonts w:ascii="Georgia" w:eastAsia="Times New Roman" w:hAnsi="Georgia"/>
          <w:lang w:eastAsia="de-DE"/>
        </w:rPr>
        <w:t xml:space="preserve"> Yes ADEPO does.</w:t>
      </w:r>
      <w:r w:rsidR="00BC7ECC" w:rsidRPr="003077BD">
        <w:rPr>
          <w:rFonts w:ascii="Georgia" w:eastAsia="Times New Roman" w:hAnsi="Georgia"/>
          <w:lang w:eastAsia="de-DE"/>
        </w:rPr>
        <w:t xml:space="preserve"> It may depend upon how complex the applicable insolvency regime is, w</w:t>
      </w:r>
      <w:r>
        <w:rPr>
          <w:rFonts w:ascii="Georgia" w:eastAsia="Times New Roman" w:hAnsi="Georgia"/>
          <w:lang w:eastAsia="de-DE"/>
        </w:rPr>
        <w:t xml:space="preserve">hether there </w:t>
      </w:r>
      <w:r w:rsidR="00BC7ECC" w:rsidRPr="003077BD">
        <w:rPr>
          <w:rFonts w:ascii="Georgia" w:eastAsia="Times New Roman" w:hAnsi="Georgia"/>
          <w:lang w:eastAsia="de-DE"/>
        </w:rPr>
        <w:t>is an existing jurisprudence or how certain the legal advice is.</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It is   important to note that the risk of loss of assets in insolvency proceedings by a third party cannot be completely alleviated. As pointed out by IOSCO, ADEPO   would like to remind ESMA that the ultimate regulatory and market risk of each domestic securities market remains and is beyond the control of the depositary. As IOSCO stresses, “where assets are held in foreign jurisdictions, there may be specific country risks that should be taken into account, e.g. the effectiveness of the local regulatory regime, whether a judgement can be enforced effectively and other factors that make it difficult to repatriate CIS assets</w:t>
      </w:r>
      <w:r w:rsidRPr="003077BD">
        <w:rPr>
          <w:rFonts w:ascii="Georgia" w:eastAsia="Times New Roman" w:hAnsi="Georgia"/>
          <w:lang w:eastAsia="de-DE"/>
        </w:rPr>
        <w:footnoteReference w:id="3"/>
      </w:r>
      <w:r w:rsidRPr="003077BD">
        <w:rPr>
          <w:rFonts w:ascii="Georgia" w:eastAsia="Times New Roman" w:hAnsi="Georgia"/>
          <w:lang w:eastAsia="de-DE"/>
        </w:rPr>
        <w:t xml:space="preserve">” – factors for which clearly we believe the depositary as well as any appointed third party have no influence on.  </w:t>
      </w:r>
    </w:p>
    <w:p w:rsidR="00BC7ECC" w:rsidRPr="003077BD" w:rsidRDefault="00BC7ECC" w:rsidP="003077BD">
      <w:pPr>
        <w:jc w:val="both"/>
        <w:rPr>
          <w:rFonts w:ascii="Georgia" w:eastAsia="Times New Roman" w:hAnsi="Georgia"/>
          <w:lang w:eastAsia="de-DE"/>
        </w:rPr>
      </w:pPr>
    </w:p>
    <w:p w:rsidR="00BC7ECC" w:rsidRPr="003077BD" w:rsidRDefault="00BC7ECC" w:rsidP="003077BD">
      <w:pPr>
        <w:jc w:val="both"/>
        <w:rPr>
          <w:rFonts w:ascii="Georgia" w:eastAsia="Times New Roman" w:hAnsi="Georgia"/>
          <w:lang w:eastAsia="de-DE"/>
        </w:rPr>
      </w:pP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It is also important to be clear what entity constitutes the ‘third party’.  As ADEPO re</w:t>
      </w:r>
      <w:r w:rsidR="003077BD">
        <w:rPr>
          <w:rFonts w:ascii="Georgia" w:eastAsia="Times New Roman" w:hAnsi="Georgia"/>
          <w:lang w:eastAsia="de-DE"/>
        </w:rPr>
        <w:t xml:space="preserve">commends in response to Q 4, it recommends </w:t>
      </w:r>
      <w:r w:rsidRPr="003077BD">
        <w:rPr>
          <w:rFonts w:ascii="Georgia" w:eastAsia="Times New Roman" w:hAnsi="Georgia"/>
          <w:lang w:eastAsia="de-DE"/>
        </w:rPr>
        <w:t>that the draft advice includes a paragraph to the effect that if the third party to whom the depositary has delegated functions referred to in Art 22(5), in turn sub-delegates those functions, such sub-delegation is subject to the same requirements.  Whilst this is already the case by virtue of the last paragraph of Art 22a(3), it would be helpful for it to be included in L2 measures.  This would also be consistent with the approach taken in AIFMR (</w:t>
      </w:r>
      <w:proofErr w:type="spellStart"/>
      <w:r w:rsidRPr="003077BD">
        <w:rPr>
          <w:rFonts w:ascii="Georgia" w:eastAsia="Times New Roman" w:hAnsi="Georgia"/>
          <w:lang w:eastAsia="de-DE"/>
        </w:rPr>
        <w:t>eg</w:t>
      </w:r>
      <w:proofErr w:type="spellEnd"/>
      <w:r w:rsidRPr="003077BD">
        <w:rPr>
          <w:rFonts w:ascii="Georgia" w:eastAsia="Times New Roman" w:hAnsi="Georgia"/>
          <w:lang w:eastAsia="de-DE"/>
        </w:rPr>
        <w:t xml:space="preserve"> Art 98(4)). </w:t>
      </w:r>
    </w:p>
    <w:p w:rsidR="00BC7ECC" w:rsidRPr="003077BD" w:rsidRDefault="00BC7ECC" w:rsidP="003077BD">
      <w:pPr>
        <w:jc w:val="both"/>
        <w:rPr>
          <w:rFonts w:ascii="Georgia" w:eastAsia="Times New Roman" w:hAnsi="Georgia"/>
          <w:lang w:eastAsia="de-DE"/>
        </w:rPr>
      </w:pP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&lt;ESMA_UCITS_QUESTION_5&gt;</w:t>
      </w:r>
    </w:p>
    <w:p w:rsidR="00BC7ECC" w:rsidRPr="003077BD" w:rsidRDefault="00BC7ECC" w:rsidP="003077BD">
      <w:pPr>
        <w:jc w:val="both"/>
        <w:rPr>
          <w:rFonts w:ascii="Georgia" w:eastAsia="Times New Roman" w:hAnsi="Georgia"/>
          <w:lang w:eastAsia="de-DE"/>
        </w:rPr>
      </w:pPr>
    </w:p>
    <w:p w:rsidR="00BC7ECC" w:rsidRPr="003077BD" w:rsidRDefault="00BC7ECC" w:rsidP="003077BD">
      <w:pPr>
        <w:numPr>
          <w:ilvl w:val="0"/>
          <w:numId w:val="1"/>
        </w:numPr>
        <w:spacing w:after="250"/>
        <w:jc w:val="both"/>
        <w:outlineLvl w:val="4"/>
        <w:rPr>
          <w:rFonts w:ascii="Georgia" w:eastAsia="Times New Roman" w:hAnsi="Georgia"/>
          <w:b/>
          <w:lang w:eastAsia="de-DE"/>
        </w:rPr>
      </w:pPr>
      <w:r w:rsidRPr="003077BD">
        <w:rPr>
          <w:rFonts w:ascii="Georgia" w:eastAsia="Times New Roman" w:hAnsi="Georgia"/>
          <w:b/>
          <w:lang w:eastAsia="de-DE"/>
        </w:rPr>
        <w:t>Do you expect a significant increase in terms of costs that would be faced by the third party delegated entities located in jurisdictions outside the Union in order to obtain independent legal advice on the applicable insolvency regime? If yes, please provide any available data and/or estimation.</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&lt;ESMA_UCITS_QUESTION_6&gt;</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Yes</w:t>
      </w:r>
      <w:r w:rsidR="00936FEB" w:rsidRPr="003077BD">
        <w:rPr>
          <w:rFonts w:ascii="Georgia" w:eastAsia="Times New Roman" w:hAnsi="Georgia"/>
          <w:lang w:eastAsia="de-DE"/>
        </w:rPr>
        <w:t>,</w:t>
      </w:r>
      <w:r w:rsidRPr="003077BD">
        <w:rPr>
          <w:rFonts w:ascii="Georgia" w:eastAsia="Times New Roman" w:hAnsi="Georgia"/>
          <w:lang w:eastAsia="de-DE"/>
        </w:rPr>
        <w:t xml:space="preserve"> ADEPO does. Costs will increase and could be </w:t>
      </w:r>
      <w:r w:rsidR="00F04D63" w:rsidRPr="00F04D63">
        <w:rPr>
          <w:rFonts w:ascii="Georgia" w:eastAsia="Times New Roman" w:hAnsi="Georgia"/>
          <w:lang w:eastAsia="de-DE"/>
        </w:rPr>
        <w:t xml:space="preserve">substantial, </w:t>
      </w:r>
      <w:proofErr w:type="gramStart"/>
      <w:r w:rsidR="00F04D63" w:rsidRPr="00F04D63">
        <w:rPr>
          <w:rFonts w:ascii="Georgia" w:eastAsia="Times New Roman" w:hAnsi="Georgia"/>
          <w:lang w:eastAsia="de-DE"/>
        </w:rPr>
        <w:t>mainly</w:t>
      </w:r>
      <w:r w:rsidRPr="003077BD">
        <w:rPr>
          <w:rFonts w:ascii="Georgia" w:eastAsia="Times New Roman" w:hAnsi="Georgia"/>
          <w:lang w:eastAsia="de-DE"/>
        </w:rPr>
        <w:t xml:space="preserve">  because</w:t>
      </w:r>
      <w:proofErr w:type="gramEnd"/>
      <w:r w:rsidRPr="003077BD">
        <w:rPr>
          <w:rFonts w:ascii="Georgia" w:eastAsia="Times New Roman" w:hAnsi="Georgia"/>
          <w:lang w:eastAsia="de-DE"/>
        </w:rPr>
        <w:t xml:space="preserve"> the advice is due to be periodically updated.  The legal advice will be needed for any jurisdiction outside the Union where financial instruments are held in custody.  </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&lt;ESMA_UCITS_QUESTION_6&gt;</w:t>
      </w:r>
    </w:p>
    <w:p w:rsidR="00BC7ECC" w:rsidRPr="003077BD" w:rsidRDefault="00BC7ECC" w:rsidP="003077BD">
      <w:pPr>
        <w:jc w:val="both"/>
        <w:rPr>
          <w:rFonts w:ascii="Georgia" w:eastAsia="Times New Roman" w:hAnsi="Georgia"/>
          <w:lang w:eastAsia="de-DE"/>
        </w:rPr>
      </w:pPr>
    </w:p>
    <w:p w:rsidR="00BC7ECC" w:rsidRPr="003077BD" w:rsidRDefault="00BC7ECC" w:rsidP="003077BD">
      <w:pPr>
        <w:numPr>
          <w:ilvl w:val="0"/>
          <w:numId w:val="1"/>
        </w:numPr>
        <w:spacing w:after="250"/>
        <w:jc w:val="both"/>
        <w:outlineLvl w:val="4"/>
        <w:rPr>
          <w:rFonts w:ascii="Georgia" w:eastAsia="Times New Roman" w:hAnsi="Georgia"/>
          <w:b/>
          <w:lang w:eastAsia="de-DE"/>
        </w:rPr>
      </w:pPr>
      <w:r w:rsidRPr="003077BD">
        <w:rPr>
          <w:rFonts w:ascii="Georgia" w:eastAsia="Times New Roman" w:hAnsi="Georgia"/>
          <w:b/>
          <w:lang w:eastAsia="de-DE"/>
        </w:rPr>
        <w:t xml:space="preserve">Would you suggest requiring the third party to take any further </w:t>
      </w:r>
      <w:proofErr w:type="gramStart"/>
      <w:r w:rsidRPr="003077BD">
        <w:rPr>
          <w:rFonts w:ascii="Georgia" w:eastAsia="Times New Roman" w:hAnsi="Georgia"/>
          <w:b/>
          <w:lang w:eastAsia="de-DE"/>
        </w:rPr>
        <w:t>steps which</w:t>
      </w:r>
      <w:proofErr w:type="gramEnd"/>
      <w:r w:rsidRPr="003077BD">
        <w:rPr>
          <w:rFonts w:ascii="Georgia" w:eastAsia="Times New Roman" w:hAnsi="Georgia"/>
          <w:b/>
          <w:lang w:eastAsia="de-DE"/>
        </w:rPr>
        <w:t xml:space="preserve"> are not foreseen in the draft advice?</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&lt;ESMA_UCITS_QUESTION_7&gt;</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No</w:t>
      </w:r>
      <w:r w:rsidR="00936FEB" w:rsidRPr="003077BD">
        <w:rPr>
          <w:rFonts w:ascii="Georgia" w:eastAsia="Times New Roman" w:hAnsi="Georgia"/>
          <w:lang w:eastAsia="de-DE"/>
        </w:rPr>
        <w:t>,</w:t>
      </w:r>
      <w:r w:rsidRPr="003077BD">
        <w:rPr>
          <w:rFonts w:ascii="Georgia" w:eastAsia="Times New Roman" w:hAnsi="Georgia"/>
          <w:lang w:eastAsia="de-DE"/>
        </w:rPr>
        <w:t xml:space="preserve"> </w:t>
      </w:r>
      <w:proofErr w:type="gramStart"/>
      <w:r w:rsidRPr="003077BD">
        <w:rPr>
          <w:rFonts w:ascii="Georgia" w:eastAsia="Times New Roman" w:hAnsi="Georgia"/>
          <w:lang w:eastAsia="de-DE"/>
        </w:rPr>
        <w:t>ADEPO  would</w:t>
      </w:r>
      <w:proofErr w:type="gramEnd"/>
      <w:r w:rsidRPr="003077BD">
        <w:rPr>
          <w:rFonts w:ascii="Georgia" w:eastAsia="Times New Roman" w:hAnsi="Georgia"/>
          <w:lang w:eastAsia="de-DE"/>
        </w:rPr>
        <w:t xml:space="preserve"> not.  </w:t>
      </w:r>
    </w:p>
    <w:p w:rsidR="0001459B" w:rsidRDefault="00BC7ECC" w:rsidP="003077BD">
      <w:pPr>
        <w:jc w:val="both"/>
        <w:rPr>
          <w:rFonts w:ascii="Georgia" w:eastAsia="Times New Roman" w:hAnsi="Georgia"/>
          <w:lang w:val="es-ES" w:eastAsia="de-DE"/>
        </w:rPr>
      </w:pPr>
      <w:r w:rsidRPr="003077BD">
        <w:rPr>
          <w:rFonts w:ascii="Georgia" w:eastAsia="Times New Roman" w:hAnsi="Georgia"/>
          <w:lang w:val="es-ES" w:eastAsia="de-DE"/>
        </w:rPr>
        <w:t>&lt;ESMA_UCITS_QUESTION_7</w:t>
      </w:r>
    </w:p>
    <w:p w:rsidR="00BC7ECC" w:rsidRPr="003077BD" w:rsidRDefault="00BC7ECC" w:rsidP="003077BD">
      <w:pPr>
        <w:jc w:val="both"/>
        <w:rPr>
          <w:rFonts w:ascii="Georgia" w:eastAsia="Times New Roman" w:hAnsi="Georgia"/>
          <w:lang w:val="es-ES" w:eastAsia="de-DE"/>
        </w:rPr>
      </w:pPr>
    </w:p>
    <w:p w:rsidR="00BC7ECC" w:rsidRPr="003077BD" w:rsidRDefault="00BC7ECC" w:rsidP="003077BD">
      <w:pPr>
        <w:numPr>
          <w:ilvl w:val="0"/>
          <w:numId w:val="1"/>
        </w:numPr>
        <w:spacing w:after="250"/>
        <w:jc w:val="both"/>
        <w:outlineLvl w:val="4"/>
        <w:rPr>
          <w:rFonts w:ascii="Georgia" w:eastAsia="Times New Roman" w:hAnsi="Georgia"/>
          <w:b/>
          <w:lang w:eastAsia="de-DE"/>
        </w:rPr>
      </w:pPr>
      <w:r w:rsidRPr="003077BD">
        <w:rPr>
          <w:rFonts w:ascii="Georgia" w:eastAsia="Times New Roman" w:hAnsi="Georgia"/>
          <w:b/>
          <w:lang w:eastAsia="de-DE"/>
        </w:rPr>
        <w:t xml:space="preserve">Should any specific consideration be given to the scenario where the third party further sub-delegates the </w:t>
      </w:r>
      <w:proofErr w:type="gramStart"/>
      <w:r w:rsidRPr="003077BD">
        <w:rPr>
          <w:rFonts w:ascii="Georgia" w:eastAsia="Times New Roman" w:hAnsi="Georgia"/>
          <w:b/>
          <w:lang w:eastAsia="de-DE"/>
        </w:rPr>
        <w:t>safe-keeping</w:t>
      </w:r>
      <w:proofErr w:type="gramEnd"/>
      <w:r w:rsidRPr="003077BD">
        <w:rPr>
          <w:rFonts w:ascii="Georgia" w:eastAsia="Times New Roman" w:hAnsi="Georgia"/>
          <w:b/>
          <w:lang w:eastAsia="de-DE"/>
        </w:rPr>
        <w:t xml:space="preserve"> of the UCITS’ assets in accordance with Article 22a(3), last sub-paragraph of the UCITS Directive (as inserted by UCITS V)? Should the third party take any additional/different steps or measures in this case?</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&lt;ESMA_UCITS_QUESTION_8&gt;</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Yes</w:t>
      </w:r>
      <w:r w:rsidR="00936FEB" w:rsidRPr="003077BD">
        <w:rPr>
          <w:rFonts w:ascii="Georgia" w:eastAsia="Times New Roman" w:hAnsi="Georgia"/>
          <w:lang w:eastAsia="de-DE"/>
        </w:rPr>
        <w:t>,</w:t>
      </w:r>
      <w:r w:rsidRPr="003077BD">
        <w:rPr>
          <w:rFonts w:ascii="Georgia" w:eastAsia="Times New Roman" w:hAnsi="Georgia"/>
          <w:lang w:eastAsia="de-DE"/>
        </w:rPr>
        <w:t xml:space="preserve"> </w:t>
      </w:r>
      <w:proofErr w:type="gramStart"/>
      <w:r w:rsidRPr="003077BD">
        <w:rPr>
          <w:rFonts w:ascii="Georgia" w:eastAsia="Times New Roman" w:hAnsi="Georgia"/>
          <w:lang w:eastAsia="de-DE"/>
        </w:rPr>
        <w:t>ADEPO  does</w:t>
      </w:r>
      <w:proofErr w:type="gramEnd"/>
      <w:r w:rsidRPr="003077BD">
        <w:rPr>
          <w:rFonts w:ascii="Georgia" w:eastAsia="Times New Roman" w:hAnsi="Georgia"/>
          <w:lang w:eastAsia="de-DE"/>
        </w:rPr>
        <w:t xml:space="preserve">. Please see answers to questions 4,5 and 7.   ADEPO   </w:t>
      </w:r>
      <w:r w:rsidR="00936FEB" w:rsidRPr="003077BD">
        <w:rPr>
          <w:rFonts w:ascii="Georgia" w:eastAsia="Times New Roman" w:hAnsi="Georgia"/>
          <w:lang w:eastAsia="de-DE"/>
        </w:rPr>
        <w:t>recommends that</w:t>
      </w:r>
      <w:r w:rsidRPr="003077BD">
        <w:rPr>
          <w:rFonts w:ascii="Georgia" w:eastAsia="Times New Roman" w:hAnsi="Georgia"/>
          <w:lang w:eastAsia="de-DE"/>
        </w:rPr>
        <w:t xml:space="preserve"> the draft advice includes a paragraph to the effect that if the third party to whom the depositary has delegated functions referred to in Art 22(5), in tur</w:t>
      </w:r>
      <w:r w:rsidR="003077BD">
        <w:rPr>
          <w:rFonts w:ascii="Georgia" w:eastAsia="Times New Roman" w:hAnsi="Georgia"/>
          <w:lang w:eastAsia="de-DE"/>
        </w:rPr>
        <w:t xml:space="preserve">n sub-delegates those </w:t>
      </w:r>
      <w:proofErr w:type="gramStart"/>
      <w:r w:rsidR="003077BD">
        <w:rPr>
          <w:rFonts w:ascii="Georgia" w:eastAsia="Times New Roman" w:hAnsi="Georgia"/>
          <w:lang w:eastAsia="de-DE"/>
        </w:rPr>
        <w:t>functions,</w:t>
      </w:r>
      <w:proofErr w:type="gramEnd"/>
      <w:r w:rsidRPr="003077BD">
        <w:rPr>
          <w:rFonts w:ascii="Georgia" w:eastAsia="Times New Roman" w:hAnsi="Georgia"/>
          <w:lang w:eastAsia="de-DE"/>
        </w:rPr>
        <w:t xml:space="preserve"> such sub-delegation is subject to the same requirements.  Whilst this is already the case by virtue of the last paragraph of Art 22a(3), it would be helpful for it to be included in L2 measures.  This would also be consistent with the approach taken in AIFMR (</w:t>
      </w:r>
      <w:proofErr w:type="spellStart"/>
      <w:r w:rsidRPr="003077BD">
        <w:rPr>
          <w:rFonts w:ascii="Georgia" w:eastAsia="Times New Roman" w:hAnsi="Georgia"/>
          <w:lang w:eastAsia="de-DE"/>
        </w:rPr>
        <w:t>eg</w:t>
      </w:r>
      <w:proofErr w:type="spellEnd"/>
      <w:r w:rsidRPr="003077BD">
        <w:rPr>
          <w:rFonts w:ascii="Georgia" w:eastAsia="Times New Roman" w:hAnsi="Georgia"/>
          <w:lang w:eastAsia="de-DE"/>
        </w:rPr>
        <w:t xml:space="preserve"> Art 98(4)). </w:t>
      </w:r>
    </w:p>
    <w:p w:rsidR="00BC7ECC" w:rsidRPr="003077BD" w:rsidRDefault="00BC7ECC" w:rsidP="003077BD">
      <w:pPr>
        <w:jc w:val="both"/>
        <w:rPr>
          <w:rFonts w:ascii="Georgia" w:eastAsia="Times New Roman" w:hAnsi="Georgia"/>
          <w:lang w:eastAsia="de-DE"/>
        </w:rPr>
      </w:pP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&lt;ESMA_UCITS_QUESTION_8&gt;</w:t>
      </w:r>
    </w:p>
    <w:p w:rsidR="00BC7ECC" w:rsidRPr="003077BD" w:rsidRDefault="00BC7ECC" w:rsidP="003077BD">
      <w:pPr>
        <w:jc w:val="both"/>
        <w:rPr>
          <w:rFonts w:ascii="Georgia" w:eastAsia="Times New Roman" w:hAnsi="Georgia"/>
          <w:lang w:eastAsia="de-DE"/>
        </w:rPr>
      </w:pPr>
    </w:p>
    <w:p w:rsidR="00BC7ECC" w:rsidRPr="003077BD" w:rsidRDefault="00BC7ECC" w:rsidP="003077BD">
      <w:pPr>
        <w:numPr>
          <w:ilvl w:val="0"/>
          <w:numId w:val="1"/>
        </w:numPr>
        <w:spacing w:after="250"/>
        <w:jc w:val="both"/>
        <w:outlineLvl w:val="4"/>
        <w:rPr>
          <w:rFonts w:ascii="Georgia" w:eastAsia="Times New Roman" w:hAnsi="Georgia"/>
          <w:b/>
          <w:lang w:eastAsia="de-DE"/>
        </w:rPr>
      </w:pPr>
      <w:r w:rsidRPr="003077BD">
        <w:rPr>
          <w:rFonts w:ascii="Georgia" w:eastAsia="Times New Roman" w:hAnsi="Georgia"/>
          <w:b/>
          <w:lang w:eastAsia="de-DE"/>
        </w:rPr>
        <w:t>Do you agree with the steps to be taken by the depositary as identified above? If not, please explain the reasons.</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&lt;ESMA_UCITS_QUESTION_9&gt;</w:t>
      </w:r>
    </w:p>
    <w:p w:rsidR="00BC7ECC" w:rsidRPr="003077BD" w:rsidRDefault="00BC7ECC" w:rsidP="003077BD">
      <w:pPr>
        <w:jc w:val="both"/>
        <w:rPr>
          <w:rFonts w:ascii="Georgia" w:eastAsia="Times New Roman" w:hAnsi="Georgia"/>
          <w:lang w:eastAsia="de-DE"/>
        </w:rPr>
      </w:pPr>
    </w:p>
    <w:p w:rsidR="00BC7ECC" w:rsidRPr="003077BD" w:rsidRDefault="00BC7ECC" w:rsidP="003077BD">
      <w:pPr>
        <w:jc w:val="both"/>
        <w:rPr>
          <w:rFonts w:ascii="Georgia" w:eastAsia="Times New Roman" w:hAnsi="Georgia"/>
          <w:lang w:eastAsia="de-DE"/>
        </w:rPr>
      </w:pPr>
    </w:p>
    <w:p w:rsidR="00BC7ECC" w:rsidRPr="003077BD" w:rsidRDefault="003077BD" w:rsidP="00307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Georgia" w:hAnsi="Georgia" w:cs="Arial"/>
          <w:color w:val="000000"/>
          <w:lang w:val="en-US"/>
        </w:rPr>
      </w:pPr>
      <w:r>
        <w:rPr>
          <w:rFonts w:ascii="Georgia" w:hAnsi="Georgia" w:cs="Arial"/>
          <w:color w:val="000000"/>
          <w:lang w:val="en-US"/>
        </w:rPr>
        <w:t xml:space="preserve">ADEPO believes </w:t>
      </w:r>
      <w:r w:rsidR="00BC7ECC" w:rsidRPr="003077BD">
        <w:rPr>
          <w:rFonts w:ascii="Georgia" w:hAnsi="Georgia" w:cs="Arial"/>
          <w:color w:val="000000"/>
          <w:lang w:val="en-US"/>
        </w:rPr>
        <w:t>the proposed steps in the advice are n</w:t>
      </w:r>
      <w:r>
        <w:rPr>
          <w:rFonts w:ascii="Georgia" w:hAnsi="Georgia" w:cs="Arial"/>
          <w:color w:val="000000"/>
          <w:lang w:val="en-US"/>
        </w:rPr>
        <w:t>ot sufficient</w:t>
      </w:r>
      <w:r w:rsidR="00BC7ECC" w:rsidRPr="003077BD">
        <w:rPr>
          <w:rFonts w:ascii="Georgia" w:hAnsi="Georgia" w:cs="Arial"/>
          <w:color w:val="000000"/>
          <w:lang w:val="en-US"/>
        </w:rPr>
        <w:t xml:space="preserve">. ADEPO </w:t>
      </w:r>
      <w:r>
        <w:rPr>
          <w:rFonts w:ascii="Georgia" w:hAnsi="Georgia" w:cs="Arial"/>
          <w:color w:val="000000"/>
          <w:lang w:val="en-US"/>
        </w:rPr>
        <w:t>recommends</w:t>
      </w:r>
      <w:r w:rsidR="00BC7ECC" w:rsidRPr="003077BD">
        <w:rPr>
          <w:rFonts w:ascii="Georgia" w:hAnsi="Georgia" w:cs="Arial"/>
          <w:color w:val="000000"/>
          <w:lang w:val="en-US"/>
        </w:rPr>
        <w:t xml:space="preserve"> that ESMA develop</w:t>
      </w:r>
      <w:r>
        <w:rPr>
          <w:rFonts w:ascii="Georgia" w:hAnsi="Georgia" w:cs="Arial"/>
          <w:color w:val="000000"/>
          <w:lang w:val="en-US"/>
        </w:rPr>
        <w:t>s guidelines for Depositaries</w:t>
      </w:r>
      <w:r w:rsidR="00BC7ECC" w:rsidRPr="003077BD">
        <w:rPr>
          <w:rFonts w:ascii="Georgia" w:hAnsi="Georgia" w:cs="Arial"/>
          <w:color w:val="000000"/>
          <w:lang w:val="en-US"/>
        </w:rPr>
        <w:t xml:space="preserve"> Management Company/UCITS Board and Competent Authorities on the action that should be taken in the event that the depositary makes a notification that it has becomes aware that the applicable insolvency laws and jurisprudence no longer guarantees the segregation of UCITS assets in the event of the insolvency of the entity holding the financial instruments.  </w:t>
      </w:r>
    </w:p>
    <w:p w:rsidR="00BC7ECC" w:rsidRPr="003077BD" w:rsidRDefault="00BC7ECC" w:rsidP="00307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Georgia" w:hAnsi="Georgia" w:cs="Arial"/>
          <w:color w:val="000000"/>
          <w:lang w:val="en-US"/>
        </w:rPr>
      </w:pPr>
    </w:p>
    <w:p w:rsidR="00BC7ECC" w:rsidRPr="003077BD" w:rsidRDefault="003077BD" w:rsidP="00307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Georgia" w:hAnsi="Georgia" w:cs="Arial"/>
          <w:color w:val="000000"/>
          <w:lang w:val="en-US"/>
        </w:rPr>
      </w:pPr>
      <w:r>
        <w:rPr>
          <w:rFonts w:ascii="Georgia" w:hAnsi="Georgia" w:cs="Arial"/>
          <w:color w:val="000000"/>
          <w:lang w:val="en-US"/>
        </w:rPr>
        <w:t>ADEPO believes that</w:t>
      </w:r>
      <w:r w:rsidR="00BC7ECC" w:rsidRPr="003077BD">
        <w:rPr>
          <w:rFonts w:ascii="Georgia" w:hAnsi="Georgia" w:cs="Arial"/>
          <w:color w:val="000000"/>
          <w:lang w:val="en-US"/>
        </w:rPr>
        <w:t xml:space="preserve"> there would be only two ways to me</w:t>
      </w:r>
      <w:r>
        <w:rPr>
          <w:rFonts w:ascii="Georgia" w:hAnsi="Georgia" w:cs="Arial"/>
          <w:color w:val="000000"/>
          <w:lang w:val="en-US"/>
        </w:rPr>
        <w:t>et the level 1 text requirement</w:t>
      </w:r>
      <w:r w:rsidR="00BC7ECC" w:rsidRPr="003077BD">
        <w:rPr>
          <w:rFonts w:ascii="Georgia" w:hAnsi="Georgia" w:cs="Arial"/>
          <w:color w:val="000000"/>
          <w:lang w:val="en-US"/>
        </w:rPr>
        <w:t xml:space="preserve"> (i.e. assets held in custody are not entrusted to a third party subject to an insolvency law which does not recognize the effects of segregation)</w:t>
      </w:r>
      <w:proofErr w:type="gramStart"/>
      <w:r w:rsidR="00BC7ECC" w:rsidRPr="003077BD">
        <w:rPr>
          <w:rFonts w:ascii="Georgia" w:hAnsi="Georgia" w:cs="Arial"/>
          <w:color w:val="000000"/>
          <w:lang w:val="en-US"/>
        </w:rPr>
        <w:t>:</w:t>
      </w:r>
      <w:proofErr w:type="spellStart"/>
      <w:r w:rsidR="00BC7ECC" w:rsidRPr="003077BD">
        <w:rPr>
          <w:rFonts w:ascii="Georgia" w:hAnsi="Georgia" w:cs="Arial"/>
          <w:color w:val="000000"/>
          <w:lang w:val="en-US"/>
        </w:rPr>
        <w:t>i</w:t>
      </w:r>
      <w:proofErr w:type="spellEnd"/>
      <w:proofErr w:type="gramEnd"/>
      <w:r w:rsidR="00BC7ECC" w:rsidRPr="003077BD">
        <w:rPr>
          <w:rFonts w:ascii="Georgia" w:hAnsi="Georgia" w:cs="Arial"/>
          <w:color w:val="000000"/>
          <w:lang w:val="en-US"/>
        </w:rPr>
        <w:t>) to dispose of these securities or , ii) these securities should be converted from  a bearer form  to a registered form (a security that is registered in the books of the issuer in the name of the owner).</w:t>
      </w:r>
      <w:r w:rsidR="00BC7ECC" w:rsidRPr="003077BD">
        <w:rPr>
          <w:rFonts w:ascii="Georgia" w:hAnsi="Georgia" w:cs="Arial"/>
          <w:color w:val="808080"/>
          <w:lang w:val="en-US"/>
        </w:rPr>
        <w:t xml:space="preserve"> </w:t>
      </w:r>
      <w:r w:rsidR="00BC7ECC" w:rsidRPr="003077BD">
        <w:rPr>
          <w:rFonts w:ascii="Georgia" w:hAnsi="Georgia" w:cs="Arial"/>
          <w:color w:val="000000"/>
          <w:lang w:val="en-US"/>
        </w:rPr>
        <w:t xml:space="preserve">Indeed a </w:t>
      </w:r>
      <w:r>
        <w:rPr>
          <w:rFonts w:ascii="Georgia" w:hAnsi="Georgia" w:cs="Arial"/>
          <w:color w:val="000000"/>
          <w:lang w:val="en-US"/>
        </w:rPr>
        <w:t>security is issued by an entity in a country where it is located</w:t>
      </w:r>
      <w:r w:rsidR="00BC7ECC" w:rsidRPr="003077BD">
        <w:rPr>
          <w:rFonts w:ascii="Georgia" w:hAnsi="Georgia" w:cs="Arial"/>
          <w:color w:val="000000"/>
          <w:lang w:val="en-US"/>
        </w:rPr>
        <w:t xml:space="preserve"> and it is not possible for the depo</w:t>
      </w:r>
      <w:r>
        <w:rPr>
          <w:rFonts w:ascii="Georgia" w:hAnsi="Georgia" w:cs="Arial"/>
          <w:color w:val="000000"/>
          <w:lang w:val="en-US"/>
        </w:rPr>
        <w:t xml:space="preserve">sitary to select a third </w:t>
      </w:r>
      <w:proofErr w:type="gramStart"/>
      <w:r>
        <w:rPr>
          <w:rFonts w:ascii="Georgia" w:hAnsi="Georgia" w:cs="Arial"/>
          <w:color w:val="000000"/>
          <w:lang w:val="en-US"/>
        </w:rPr>
        <w:t>party which</w:t>
      </w:r>
      <w:proofErr w:type="gramEnd"/>
      <w:r>
        <w:rPr>
          <w:rFonts w:ascii="Georgia" w:hAnsi="Georgia" w:cs="Arial"/>
          <w:color w:val="000000"/>
          <w:lang w:val="en-US"/>
        </w:rPr>
        <w:t xml:space="preserve"> is not located in this country</w:t>
      </w:r>
      <w:r w:rsidR="00BC7ECC" w:rsidRPr="003077BD">
        <w:rPr>
          <w:rFonts w:ascii="Georgia" w:hAnsi="Georgia" w:cs="Arial"/>
          <w:color w:val="000000"/>
          <w:lang w:val="en-US"/>
        </w:rPr>
        <w:t>.  A transfe</w:t>
      </w:r>
      <w:r>
        <w:rPr>
          <w:rFonts w:ascii="Georgia" w:hAnsi="Georgia" w:cs="Arial"/>
          <w:color w:val="000000"/>
          <w:lang w:val="en-US"/>
        </w:rPr>
        <w:t xml:space="preserve">r of assets to another country </w:t>
      </w:r>
      <w:r w:rsidR="00BC7ECC" w:rsidRPr="003077BD">
        <w:rPr>
          <w:rFonts w:ascii="Georgia" w:hAnsi="Georgia" w:cs="Arial"/>
          <w:color w:val="000000"/>
          <w:lang w:val="en-US"/>
        </w:rPr>
        <w:t xml:space="preserve">is not a realistic protective measure. This will typically not be feasible at all (e.g. the assets are ultimately held by a local CSD of which only local </w:t>
      </w:r>
      <w:r>
        <w:rPr>
          <w:rFonts w:ascii="Georgia" w:hAnsi="Georgia" w:cs="Arial"/>
          <w:color w:val="000000"/>
          <w:lang w:val="en-US"/>
        </w:rPr>
        <w:t xml:space="preserve">sub-custodians can be members) as the assets ultimately are </w:t>
      </w:r>
      <w:r w:rsidR="00BC7ECC" w:rsidRPr="003077BD">
        <w:rPr>
          <w:rFonts w:ascii="Georgia" w:hAnsi="Georgia" w:cs="Arial"/>
          <w:color w:val="000000"/>
          <w:lang w:val="en-US"/>
        </w:rPr>
        <w:t xml:space="preserve">held in any case in the original jurisdiction because this will be required in order to trade the assets. The sub-custodian in the other jurisdiction will simply not be able to safe-keep assets of another jurisdiction. </w:t>
      </w:r>
    </w:p>
    <w:p w:rsidR="00BC7ECC" w:rsidRPr="003077BD" w:rsidRDefault="00BC7ECC" w:rsidP="00307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Georgia" w:hAnsi="Georgia" w:cs="Arial"/>
          <w:color w:val="000000"/>
          <w:lang w:val="en-US"/>
        </w:rPr>
      </w:pPr>
    </w:p>
    <w:p w:rsidR="00BC7ECC" w:rsidRPr="003077BD" w:rsidRDefault="00BC7ECC" w:rsidP="00307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Georgia" w:hAnsi="Georgia" w:cs="Arial"/>
          <w:color w:val="000000"/>
          <w:lang w:val="en-US"/>
        </w:rPr>
      </w:pPr>
      <w:r w:rsidRPr="003077BD">
        <w:rPr>
          <w:rFonts w:ascii="Georgia" w:hAnsi="Georgia" w:cs="Arial"/>
          <w:color w:val="000000"/>
          <w:lang w:val="en-US"/>
        </w:rPr>
        <w:t xml:space="preserve">Therefore </w:t>
      </w:r>
      <w:r w:rsidR="00F04D63" w:rsidRPr="00F04D63">
        <w:rPr>
          <w:rFonts w:ascii="Georgia" w:hAnsi="Georgia" w:cs="Arial"/>
          <w:color w:val="000000"/>
          <w:lang w:val="en-US"/>
        </w:rPr>
        <w:t>ADEPO suggests</w:t>
      </w:r>
      <w:r w:rsidR="003077BD">
        <w:rPr>
          <w:rFonts w:ascii="Georgia" w:hAnsi="Georgia" w:cs="Arial"/>
          <w:color w:val="000000"/>
          <w:lang w:val="en-US"/>
        </w:rPr>
        <w:t xml:space="preserve"> the following steps</w:t>
      </w:r>
      <w:r w:rsidRPr="003077BD">
        <w:rPr>
          <w:rFonts w:ascii="Georgia" w:hAnsi="Georgia" w:cs="Arial"/>
          <w:color w:val="000000"/>
          <w:lang w:val="en-US"/>
        </w:rPr>
        <w:t xml:space="preserve">: </w:t>
      </w:r>
    </w:p>
    <w:p w:rsidR="00BC7ECC" w:rsidRPr="003077BD" w:rsidRDefault="00BC7ECC" w:rsidP="00307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Georgia" w:hAnsi="Georgia" w:cs="Arial"/>
          <w:color w:val="000000"/>
          <w:lang w:val="en-US"/>
        </w:rPr>
      </w:pPr>
    </w:p>
    <w:p w:rsidR="00BC7ECC" w:rsidRPr="003077BD" w:rsidRDefault="00BC7ECC" w:rsidP="003077BD">
      <w:pPr>
        <w:numPr>
          <w:ilvl w:val="0"/>
          <w:numId w:val="9"/>
        </w:numPr>
        <w:jc w:val="both"/>
        <w:rPr>
          <w:rFonts w:ascii="Georgia" w:eastAsia="Times New Roman" w:hAnsi="Georgia"/>
          <w:lang w:eastAsia="de-DE"/>
        </w:rPr>
      </w:pPr>
      <w:r w:rsidRPr="003077BD">
        <w:rPr>
          <w:rFonts w:ascii="Georgia" w:hAnsi="Georgia" w:cs="Arial"/>
          <w:color w:val="000000"/>
          <w:lang w:val="en-US"/>
        </w:rPr>
        <w:t>The depositary should inform the Management Company or U</w:t>
      </w:r>
      <w:r w:rsidR="003077BD">
        <w:rPr>
          <w:rFonts w:ascii="Georgia" w:hAnsi="Georgia" w:cs="Arial"/>
          <w:color w:val="000000"/>
          <w:lang w:val="en-US"/>
        </w:rPr>
        <w:t>CITS if self-managed management</w:t>
      </w:r>
      <w:r w:rsidRPr="003077BD">
        <w:rPr>
          <w:rFonts w:ascii="Georgia" w:hAnsi="Georgia" w:cs="Arial"/>
          <w:color w:val="000000"/>
          <w:lang w:val="en-US"/>
        </w:rPr>
        <w:t xml:space="preserve"> and notify the </w:t>
      </w:r>
      <w:proofErr w:type="spellStart"/>
      <w:r w:rsidRPr="003077BD">
        <w:rPr>
          <w:rFonts w:ascii="Georgia" w:hAnsi="Georgia" w:cs="Arial"/>
          <w:color w:val="000000"/>
          <w:lang w:val="en-US"/>
        </w:rPr>
        <w:t>UCITS’s</w:t>
      </w:r>
      <w:proofErr w:type="spellEnd"/>
      <w:r w:rsidRPr="003077BD">
        <w:rPr>
          <w:rFonts w:ascii="Georgia" w:hAnsi="Georgia" w:cs="Arial"/>
          <w:color w:val="000000"/>
          <w:lang w:val="en-US"/>
        </w:rPr>
        <w:t xml:space="preserve"> Competent Author</w:t>
      </w:r>
      <w:r w:rsidR="003077BD">
        <w:rPr>
          <w:rFonts w:ascii="Georgia" w:hAnsi="Georgia" w:cs="Arial"/>
          <w:color w:val="000000"/>
          <w:lang w:val="en-US"/>
        </w:rPr>
        <w:t>ity</w:t>
      </w:r>
      <w:r w:rsidRPr="003077BD">
        <w:rPr>
          <w:rFonts w:ascii="Georgia" w:hAnsi="Georgia" w:cs="Arial"/>
          <w:color w:val="000000"/>
          <w:lang w:val="en-US"/>
        </w:rPr>
        <w:t>. S</w:t>
      </w:r>
      <w:proofErr w:type="spellStart"/>
      <w:r w:rsidRPr="003077BD">
        <w:rPr>
          <w:rFonts w:ascii="Georgia" w:eastAsia="Times New Roman" w:hAnsi="Georgia"/>
          <w:lang w:eastAsia="de-DE"/>
        </w:rPr>
        <w:t>uch</w:t>
      </w:r>
      <w:proofErr w:type="spellEnd"/>
      <w:r w:rsidRPr="003077BD">
        <w:rPr>
          <w:rFonts w:ascii="Georgia" w:eastAsia="Times New Roman" w:hAnsi="Georgia"/>
          <w:lang w:eastAsia="de-DE"/>
        </w:rPr>
        <w:t xml:space="preserve"> notification to the </w:t>
      </w:r>
      <w:proofErr w:type="spellStart"/>
      <w:r w:rsidRPr="003077BD">
        <w:rPr>
          <w:rFonts w:ascii="Georgia" w:eastAsia="Times New Roman" w:hAnsi="Georgia"/>
          <w:lang w:eastAsia="de-DE"/>
        </w:rPr>
        <w:t>UCITS’s</w:t>
      </w:r>
      <w:proofErr w:type="spellEnd"/>
      <w:r w:rsidRPr="003077BD">
        <w:rPr>
          <w:rFonts w:ascii="Georgia" w:eastAsia="Times New Roman" w:hAnsi="Georgia"/>
          <w:lang w:eastAsia="de-DE"/>
        </w:rPr>
        <w:t xml:space="preserve"> Competent Authority should be sufficient to discharge the depositary of its </w:t>
      </w:r>
      <w:proofErr w:type="gramStart"/>
      <w:r w:rsidRPr="003077BD">
        <w:rPr>
          <w:rFonts w:ascii="Georgia" w:eastAsia="Times New Roman" w:hAnsi="Georgia"/>
          <w:lang w:eastAsia="de-DE"/>
        </w:rPr>
        <w:t>liability</w:t>
      </w:r>
      <w:proofErr w:type="gramEnd"/>
      <w:r w:rsidRPr="003077BD">
        <w:rPr>
          <w:rFonts w:ascii="Georgia" w:eastAsia="Times New Roman" w:hAnsi="Georgia"/>
          <w:lang w:eastAsia="de-DE"/>
        </w:rPr>
        <w:t xml:space="preserve"> as it will have made all reasonable efforts. </w:t>
      </w:r>
    </w:p>
    <w:p w:rsidR="00BC7ECC" w:rsidRPr="003077BD" w:rsidRDefault="00BC7ECC" w:rsidP="00307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Georgia" w:hAnsi="Georgia" w:cs="Arial"/>
          <w:color w:val="000000"/>
        </w:rPr>
      </w:pPr>
    </w:p>
    <w:p w:rsidR="00BC7ECC" w:rsidRDefault="00BC7ECC" w:rsidP="003077BD">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Georgia" w:hAnsi="Georgia" w:cs="Arial"/>
          <w:color w:val="000000"/>
          <w:lang w:val="en-US"/>
        </w:rPr>
      </w:pPr>
      <w:proofErr w:type="gramStart"/>
      <w:r w:rsidRPr="003077BD">
        <w:rPr>
          <w:rFonts w:ascii="Georgia" w:hAnsi="Georgia" w:cs="Arial"/>
          <w:color w:val="000000"/>
          <w:lang w:val="en-US"/>
        </w:rPr>
        <w:t>the</w:t>
      </w:r>
      <w:proofErr w:type="gramEnd"/>
      <w:r w:rsidRPr="003077BD">
        <w:rPr>
          <w:rFonts w:ascii="Georgia" w:hAnsi="Georgia" w:cs="Arial"/>
          <w:color w:val="000000"/>
          <w:lang w:val="en-US"/>
        </w:rPr>
        <w:t xml:space="preserve"> management company or the board of the UCITS  should decide on  the steps </w:t>
      </w:r>
      <w:r w:rsidR="00F04D63">
        <w:rPr>
          <w:rFonts w:ascii="Georgia" w:hAnsi="Georgia" w:cs="Arial"/>
          <w:color w:val="000000"/>
          <w:lang w:val="en-US"/>
        </w:rPr>
        <w:t>.</w:t>
      </w:r>
    </w:p>
    <w:p w:rsidR="00F04D63" w:rsidRDefault="00F04D63" w:rsidP="003077BD">
      <w:pPr>
        <w:pStyle w:val="ListParagraph"/>
        <w:rPr>
          <w:rFonts w:ascii="Georgia" w:hAnsi="Georgia" w:cs="Arial"/>
          <w:color w:val="000000"/>
          <w:lang w:val="en-US"/>
        </w:rPr>
      </w:pPr>
    </w:p>
    <w:p w:rsidR="00BC7ECC" w:rsidRDefault="00BC7ECC" w:rsidP="003077BD">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Georgia" w:hAnsi="Georgia" w:cs="Arial"/>
          <w:color w:val="000000"/>
          <w:lang w:val="en-US"/>
        </w:rPr>
      </w:pPr>
      <w:proofErr w:type="gramStart"/>
      <w:r w:rsidRPr="003077BD">
        <w:rPr>
          <w:rFonts w:ascii="Georgia" w:hAnsi="Georgia" w:cs="Arial"/>
          <w:color w:val="000000"/>
          <w:lang w:val="en-US"/>
        </w:rPr>
        <w:t>the</w:t>
      </w:r>
      <w:proofErr w:type="gramEnd"/>
      <w:r w:rsidRPr="003077BD">
        <w:rPr>
          <w:rFonts w:ascii="Georgia" w:hAnsi="Georgia" w:cs="Arial"/>
          <w:color w:val="000000"/>
          <w:lang w:val="en-US"/>
        </w:rPr>
        <w:t xml:space="preserve"> outcome of the above should then be communicated to the Competent Authority of the UCITS  and to the depositary by the management company or the board of  the UCITS and an action plan agreed. </w:t>
      </w:r>
    </w:p>
    <w:p w:rsidR="00F04D63" w:rsidRPr="003077BD" w:rsidRDefault="00F04D63" w:rsidP="00307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0"/>
        <w:jc w:val="both"/>
        <w:rPr>
          <w:rFonts w:ascii="Georgia" w:hAnsi="Georgia" w:cs="Arial"/>
          <w:color w:val="000000"/>
          <w:lang w:val="en-US"/>
        </w:rPr>
      </w:pPr>
    </w:p>
    <w:p w:rsidR="00BC7ECC" w:rsidRPr="003077BD" w:rsidRDefault="00BC7ECC" w:rsidP="003077BD">
      <w:pPr>
        <w:jc w:val="both"/>
        <w:rPr>
          <w:rFonts w:ascii="Georgia" w:eastAsia="Times New Roman" w:hAnsi="Georgia"/>
          <w:lang w:eastAsia="de-DE"/>
        </w:rPr>
      </w:pPr>
    </w:p>
    <w:p w:rsidR="00BC7ECC" w:rsidRPr="003077BD" w:rsidRDefault="00BC7ECC" w:rsidP="003077BD">
      <w:pPr>
        <w:jc w:val="both"/>
        <w:rPr>
          <w:rFonts w:ascii="Georgia" w:eastAsia="Times New Roman" w:hAnsi="Georgia"/>
          <w:lang w:eastAsia="de-DE"/>
        </w:rPr>
      </w:pPr>
    </w:p>
    <w:p w:rsidR="00BC7ECC" w:rsidRPr="003077BD" w:rsidRDefault="00BC7ECC" w:rsidP="003077BD">
      <w:pPr>
        <w:jc w:val="both"/>
        <w:rPr>
          <w:rFonts w:ascii="Georgia" w:eastAsia="Times New Roman" w:hAnsi="Georgia"/>
          <w:b/>
          <w:lang w:eastAsia="de-DE"/>
        </w:rPr>
      </w:pPr>
    </w:p>
    <w:p w:rsidR="00BC7ECC" w:rsidRPr="003077BD" w:rsidRDefault="00BC7ECC" w:rsidP="003077BD">
      <w:pPr>
        <w:jc w:val="both"/>
        <w:rPr>
          <w:rFonts w:ascii="Georgia" w:eastAsia="Times New Roman" w:hAnsi="Georgia"/>
          <w:b/>
          <w:lang w:eastAsia="de-DE"/>
        </w:rPr>
      </w:pPr>
    </w:p>
    <w:p w:rsidR="00BC7ECC" w:rsidRPr="003077BD" w:rsidRDefault="00BC7ECC" w:rsidP="003077BD">
      <w:pPr>
        <w:jc w:val="both"/>
        <w:rPr>
          <w:rFonts w:ascii="Georgia" w:eastAsia="Times New Roman" w:hAnsi="Georgia"/>
          <w:b/>
          <w:lang w:eastAsia="de-DE"/>
        </w:rPr>
      </w:pPr>
    </w:p>
    <w:p w:rsidR="00BC7ECC" w:rsidRPr="003077BD" w:rsidRDefault="00BC7ECC" w:rsidP="003077BD">
      <w:pPr>
        <w:jc w:val="both"/>
        <w:rPr>
          <w:rFonts w:ascii="Georgia" w:eastAsia="Times New Roman" w:hAnsi="Georgia"/>
          <w:lang w:eastAsia="de-DE"/>
        </w:rPr>
      </w:pP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 xml:space="preserve"> </w:t>
      </w:r>
    </w:p>
    <w:p w:rsidR="00BC7ECC" w:rsidRPr="003077BD" w:rsidRDefault="00BC7ECC" w:rsidP="003077BD">
      <w:pPr>
        <w:jc w:val="both"/>
        <w:rPr>
          <w:rFonts w:ascii="Georgia" w:eastAsia="Times New Roman" w:hAnsi="Georgia"/>
          <w:lang w:eastAsia="de-DE"/>
        </w:rPr>
      </w:pP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It is important too, to recognise the fiduciary role of the Management Company/UCITS Board.  It, rather than the depositary, is responsible for making investment decisions for the UCITS and must take swift steps to act upon th</w:t>
      </w:r>
      <w:r w:rsidR="003077BD">
        <w:rPr>
          <w:rFonts w:ascii="Georgia" w:eastAsia="Times New Roman" w:hAnsi="Georgia"/>
          <w:lang w:eastAsia="de-DE"/>
        </w:rPr>
        <w:t>e information received from the</w:t>
      </w:r>
      <w:r w:rsidRPr="003077BD">
        <w:rPr>
          <w:rFonts w:ascii="Georgia" w:eastAsia="Times New Roman" w:hAnsi="Georgia"/>
          <w:lang w:eastAsia="de-DE"/>
        </w:rPr>
        <w:t xml:space="preserve"> depositary.   Immediately upon receipt of such notification, there should be a burden of proof upon the Management Company/UCITS Board to demonstrate that any steps it takes are taken in the best interests of the UCITS. </w:t>
      </w:r>
    </w:p>
    <w:p w:rsidR="00BC7ECC" w:rsidRPr="003077BD" w:rsidRDefault="00BC7ECC" w:rsidP="003077BD">
      <w:pPr>
        <w:jc w:val="both"/>
        <w:rPr>
          <w:rFonts w:ascii="Georgia" w:eastAsia="Times New Roman" w:hAnsi="Georgia"/>
          <w:lang w:eastAsia="de-DE"/>
        </w:rPr>
      </w:pPr>
    </w:p>
    <w:p w:rsidR="00BC7ECC" w:rsidRPr="003077BD" w:rsidRDefault="00BC7ECC" w:rsidP="003077BD">
      <w:pPr>
        <w:jc w:val="both"/>
        <w:rPr>
          <w:rFonts w:ascii="Georgia" w:eastAsia="Times New Roman" w:hAnsi="Georgia"/>
          <w:lang w:eastAsia="de-DE"/>
        </w:rPr>
      </w:pPr>
    </w:p>
    <w:p w:rsidR="00BC7ECC" w:rsidRPr="003077BD" w:rsidRDefault="00BC7ECC" w:rsidP="003077BD">
      <w:pPr>
        <w:pStyle w:val="CommentText"/>
        <w:spacing w:line="276" w:lineRule="auto"/>
        <w:jc w:val="both"/>
        <w:rPr>
          <w:sz w:val="22"/>
          <w:szCs w:val="22"/>
        </w:rPr>
      </w:pPr>
    </w:p>
    <w:p w:rsidR="00BC7ECC" w:rsidRPr="003077BD" w:rsidRDefault="00BC7ECC" w:rsidP="003077BD">
      <w:pPr>
        <w:jc w:val="both"/>
        <w:rPr>
          <w:rFonts w:ascii="Georgia" w:eastAsia="Times New Roman" w:hAnsi="Georgia"/>
          <w:lang w:eastAsia="de-DE"/>
        </w:rPr>
      </w:pPr>
    </w:p>
    <w:p w:rsidR="00BC7ECC" w:rsidRPr="003077BD" w:rsidRDefault="00BC7ECC" w:rsidP="003077BD">
      <w:pPr>
        <w:jc w:val="both"/>
        <w:rPr>
          <w:rFonts w:ascii="Georgia" w:eastAsia="Times New Roman" w:hAnsi="Georgia"/>
          <w:lang w:eastAsia="de-DE"/>
        </w:rPr>
      </w:pP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&lt;ESMA_UCITS_QUESTION_9&gt;</w:t>
      </w:r>
    </w:p>
    <w:p w:rsidR="00BC7ECC" w:rsidRPr="003077BD" w:rsidRDefault="00BC7ECC" w:rsidP="003077BD">
      <w:pPr>
        <w:jc w:val="both"/>
        <w:rPr>
          <w:rFonts w:ascii="Georgia" w:eastAsia="Times New Roman" w:hAnsi="Georgia"/>
          <w:lang w:eastAsia="de-DE"/>
        </w:rPr>
      </w:pPr>
    </w:p>
    <w:p w:rsidR="00BC7ECC" w:rsidRPr="003077BD" w:rsidRDefault="00BC7ECC" w:rsidP="003077BD">
      <w:pPr>
        <w:numPr>
          <w:ilvl w:val="0"/>
          <w:numId w:val="1"/>
        </w:numPr>
        <w:spacing w:after="250"/>
        <w:jc w:val="both"/>
        <w:outlineLvl w:val="4"/>
        <w:rPr>
          <w:rFonts w:ascii="Georgia" w:eastAsia="Times New Roman" w:hAnsi="Georgia"/>
          <w:b/>
          <w:lang w:eastAsia="de-DE"/>
        </w:rPr>
      </w:pPr>
      <w:r w:rsidRPr="003077BD">
        <w:rPr>
          <w:rFonts w:ascii="Georgia" w:eastAsia="Times New Roman" w:hAnsi="Georgia"/>
          <w:b/>
          <w:lang w:eastAsia="de-DE"/>
        </w:rPr>
        <w:t>Do you expect any significant one-off and ongoing compliance costs for depositaries in order to take the steps identified above? If yes, please provide any available data and/or estimation.</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&lt;ESMA_UCITS_QUESTION_10&gt;</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Yes</w:t>
      </w:r>
      <w:r w:rsidR="005128FB" w:rsidRPr="003077BD">
        <w:rPr>
          <w:rFonts w:ascii="Georgia" w:eastAsia="Times New Roman" w:hAnsi="Georgia"/>
          <w:lang w:eastAsia="de-DE"/>
        </w:rPr>
        <w:t>,</w:t>
      </w:r>
      <w:r w:rsidRPr="003077BD">
        <w:rPr>
          <w:rFonts w:ascii="Georgia" w:eastAsia="Times New Roman" w:hAnsi="Georgia"/>
          <w:lang w:eastAsia="de-DE"/>
        </w:rPr>
        <w:t xml:space="preserve"> ADEPO   does</w:t>
      </w:r>
      <w:r w:rsidR="003034E1" w:rsidRPr="003034E1">
        <w:rPr>
          <w:rFonts w:ascii="Georgia" w:eastAsia="Times New Roman" w:hAnsi="Georgia"/>
          <w:lang w:eastAsia="de-DE"/>
        </w:rPr>
        <w:t>, as</w:t>
      </w:r>
      <w:r w:rsidRPr="003077BD">
        <w:rPr>
          <w:rFonts w:ascii="Georgia" w:eastAsia="Times New Roman" w:hAnsi="Georgia"/>
          <w:lang w:eastAsia="de-DE"/>
        </w:rPr>
        <w:t xml:space="preserve"> there is a resultant need to review and change contracts-both as between the depositary and the third party, and between the third and any entity to which it delegates custody.</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&lt;ESMA_UCITS_QUESTION_10&gt;</w:t>
      </w:r>
    </w:p>
    <w:p w:rsidR="00BC7ECC" w:rsidRPr="003077BD" w:rsidRDefault="00BC7ECC" w:rsidP="003077BD">
      <w:pPr>
        <w:jc w:val="both"/>
        <w:rPr>
          <w:rFonts w:ascii="Georgia" w:eastAsia="Times New Roman" w:hAnsi="Georgia"/>
          <w:lang w:eastAsia="de-DE"/>
        </w:rPr>
      </w:pPr>
    </w:p>
    <w:p w:rsidR="00BC7ECC" w:rsidRPr="003077BD" w:rsidRDefault="00BC7ECC" w:rsidP="003077BD">
      <w:pPr>
        <w:numPr>
          <w:ilvl w:val="0"/>
          <w:numId w:val="1"/>
        </w:numPr>
        <w:spacing w:after="250"/>
        <w:jc w:val="both"/>
        <w:outlineLvl w:val="4"/>
        <w:rPr>
          <w:rFonts w:ascii="Georgia" w:eastAsia="Times New Roman" w:hAnsi="Georgia"/>
          <w:b/>
          <w:lang w:eastAsia="de-DE"/>
        </w:rPr>
      </w:pPr>
      <w:r w:rsidRPr="003077BD">
        <w:rPr>
          <w:rFonts w:ascii="Georgia" w:eastAsia="Times New Roman" w:hAnsi="Georgia"/>
          <w:b/>
          <w:lang w:eastAsia="de-DE"/>
        </w:rPr>
        <w:t xml:space="preserve">Would you suggest requiring the depositary to take any further </w:t>
      </w:r>
      <w:proofErr w:type="gramStart"/>
      <w:r w:rsidRPr="003077BD">
        <w:rPr>
          <w:rFonts w:ascii="Georgia" w:eastAsia="Times New Roman" w:hAnsi="Georgia"/>
          <w:b/>
          <w:lang w:eastAsia="de-DE"/>
        </w:rPr>
        <w:t>steps which</w:t>
      </w:r>
      <w:proofErr w:type="gramEnd"/>
      <w:r w:rsidRPr="003077BD">
        <w:rPr>
          <w:rFonts w:ascii="Georgia" w:eastAsia="Times New Roman" w:hAnsi="Georgia"/>
          <w:b/>
          <w:lang w:eastAsia="de-DE"/>
        </w:rPr>
        <w:t xml:space="preserve"> are not foreseen in the draft advice?</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&lt;ESMA_UCITS_QUESTION_11&gt;</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 xml:space="preserve"> Yes</w:t>
      </w:r>
      <w:r w:rsidR="005128FB" w:rsidRPr="003077BD">
        <w:rPr>
          <w:rFonts w:ascii="Georgia" w:eastAsia="Times New Roman" w:hAnsi="Georgia"/>
          <w:lang w:eastAsia="de-DE"/>
        </w:rPr>
        <w:t>,</w:t>
      </w:r>
      <w:r w:rsidRPr="003077BD">
        <w:rPr>
          <w:rFonts w:ascii="Georgia" w:eastAsia="Times New Roman" w:hAnsi="Georgia"/>
          <w:lang w:eastAsia="de-DE"/>
        </w:rPr>
        <w:t xml:space="preserve"> ADEPO does.  Please see answers to questions 3 and 9. </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&lt;ESMA_UCITS_QUESTION_11&gt;</w:t>
      </w:r>
    </w:p>
    <w:p w:rsidR="00BC7ECC" w:rsidRPr="003077BD" w:rsidRDefault="00BC7ECC" w:rsidP="003077BD">
      <w:pPr>
        <w:jc w:val="both"/>
        <w:rPr>
          <w:rFonts w:ascii="Georgia" w:eastAsia="Times New Roman" w:hAnsi="Georgia"/>
          <w:lang w:eastAsia="de-DE"/>
        </w:rPr>
      </w:pPr>
    </w:p>
    <w:p w:rsidR="00BC7ECC" w:rsidRPr="003077BD" w:rsidRDefault="00BC7ECC" w:rsidP="003077BD">
      <w:pPr>
        <w:numPr>
          <w:ilvl w:val="0"/>
          <w:numId w:val="1"/>
        </w:numPr>
        <w:spacing w:after="250"/>
        <w:jc w:val="both"/>
        <w:outlineLvl w:val="4"/>
        <w:rPr>
          <w:rFonts w:ascii="Georgia" w:eastAsia="Times New Roman" w:hAnsi="Georgia"/>
          <w:b/>
          <w:lang w:eastAsia="de-DE"/>
        </w:rPr>
      </w:pPr>
      <w:r w:rsidRPr="003077BD">
        <w:rPr>
          <w:rFonts w:ascii="Georgia" w:eastAsia="Times New Roman" w:hAnsi="Georgia"/>
          <w:b/>
          <w:lang w:eastAsia="de-DE"/>
        </w:rPr>
        <w:t xml:space="preserve">Which measures do you think should be taken by the depositary and/or the investment company/management company in the best interest of the investors once the depositary has informed the investment company or the management company on behalf of the UCITS that the segregation of the UCITS’ assets in the event of insolvency of the third party is no longer guaranteed in a given jurisdiction located outside the Union? Would the transfer of the relevant UCITS’ assets held by the third party in a non-EU jurisdiction to another (EU or non-EU) </w:t>
      </w:r>
      <w:proofErr w:type="gramStart"/>
      <w:r w:rsidRPr="003077BD">
        <w:rPr>
          <w:rFonts w:ascii="Georgia" w:eastAsia="Times New Roman" w:hAnsi="Georgia"/>
          <w:b/>
          <w:lang w:eastAsia="de-DE"/>
        </w:rPr>
        <w:t>jurisdiction which recognises the segregation of the UCITS’ assets in the event of insolvency of the third party/depositary</w:t>
      </w:r>
      <w:proofErr w:type="gramEnd"/>
      <w:r w:rsidRPr="003077BD">
        <w:rPr>
          <w:rFonts w:ascii="Georgia" w:eastAsia="Times New Roman" w:hAnsi="Georgia"/>
          <w:b/>
          <w:lang w:eastAsia="de-DE"/>
        </w:rPr>
        <w:t xml:space="preserve"> be a possible measure?</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&lt;ESMA_UCITS_QUESTION_12&gt;</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 xml:space="preserve"> The measures that should be taken by the depositary and the investment company/management company in the best interest of the investors once the depositary has informed the investment company or the management company on behalf of the UCITS that the segregation of the UCITS’ assets in the event of insolvency of the third party is no longer guaranteed in a given jurisdiction located outside the Union are described in our answer to Q 3 and Q9.</w:t>
      </w:r>
    </w:p>
    <w:p w:rsidR="00BC7ECC" w:rsidRPr="003077BD" w:rsidRDefault="00BC7ECC" w:rsidP="003077BD">
      <w:pPr>
        <w:jc w:val="both"/>
        <w:rPr>
          <w:rFonts w:ascii="Georgia" w:eastAsia="Times New Roman" w:hAnsi="Georgia"/>
          <w:lang w:eastAsia="de-DE"/>
        </w:rPr>
      </w:pPr>
    </w:p>
    <w:p w:rsidR="00BC7ECC" w:rsidRPr="003077BD" w:rsidRDefault="00BC7ECC" w:rsidP="003077BD">
      <w:pPr>
        <w:pStyle w:val="CommentText"/>
        <w:spacing w:line="276" w:lineRule="auto"/>
        <w:jc w:val="both"/>
        <w:rPr>
          <w:sz w:val="22"/>
          <w:szCs w:val="22"/>
        </w:rPr>
      </w:pPr>
      <w:r w:rsidRPr="003077BD">
        <w:rPr>
          <w:sz w:val="22"/>
          <w:szCs w:val="22"/>
        </w:rPr>
        <w:t xml:space="preserve">ESMA asks whether the transfer of the relevant UCITS’ assets held by the third party in a non-EU jurisdiction to another (EU or non-EU) </w:t>
      </w:r>
      <w:proofErr w:type="gramStart"/>
      <w:r w:rsidRPr="003077BD">
        <w:rPr>
          <w:sz w:val="22"/>
          <w:szCs w:val="22"/>
        </w:rPr>
        <w:t>jurisdiction which recognises the segregation of the UCITS’ assets in the event of insolvency of the third party/depositary</w:t>
      </w:r>
      <w:proofErr w:type="gramEnd"/>
      <w:r w:rsidRPr="003077BD">
        <w:rPr>
          <w:sz w:val="22"/>
          <w:szCs w:val="22"/>
        </w:rPr>
        <w:t xml:space="preserve"> be a possible measure. </w:t>
      </w:r>
      <w:r w:rsidR="003077BD">
        <w:rPr>
          <w:sz w:val="22"/>
          <w:szCs w:val="22"/>
        </w:rPr>
        <w:t>ADEPO is</w:t>
      </w:r>
      <w:r w:rsidRPr="003077BD">
        <w:rPr>
          <w:sz w:val="22"/>
          <w:szCs w:val="22"/>
        </w:rPr>
        <w:t xml:space="preserve"> not certain that this would be possible.</w:t>
      </w:r>
      <w:r w:rsidRPr="003077BD">
        <w:rPr>
          <w:rFonts w:cs="Arial"/>
          <w:b/>
          <w:sz w:val="22"/>
          <w:szCs w:val="22"/>
          <w:lang w:val="en-US"/>
        </w:rPr>
        <w:t xml:space="preserve"> </w:t>
      </w:r>
      <w:r w:rsidRPr="003077BD">
        <w:rPr>
          <w:rFonts w:cs="Arial"/>
          <w:sz w:val="22"/>
          <w:szCs w:val="22"/>
          <w:lang w:val="en-US"/>
        </w:rPr>
        <w:t>A</w:t>
      </w:r>
      <w:r w:rsidRPr="003077BD">
        <w:rPr>
          <w:rFonts w:cs="Arial"/>
          <w:sz w:val="22"/>
          <w:szCs w:val="22"/>
        </w:rPr>
        <w:t xml:space="preserve"> </w:t>
      </w:r>
      <w:r w:rsidR="003077BD">
        <w:rPr>
          <w:rFonts w:cs="Arial"/>
          <w:sz w:val="22"/>
          <w:szCs w:val="22"/>
        </w:rPr>
        <w:t>security is issued by an entity in a country where it is</w:t>
      </w:r>
      <w:r w:rsidRPr="003077BD">
        <w:rPr>
          <w:rFonts w:cs="Arial"/>
          <w:sz w:val="22"/>
          <w:szCs w:val="22"/>
        </w:rPr>
        <w:t xml:space="preserve"> located   and </w:t>
      </w:r>
      <w:r w:rsidRPr="003077BD">
        <w:rPr>
          <w:rFonts w:cs="Arial"/>
          <w:sz w:val="22"/>
          <w:szCs w:val="22"/>
          <w:lang w:val="en-US"/>
        </w:rPr>
        <w:t xml:space="preserve">it is not possible for the depositary to select a third </w:t>
      </w:r>
      <w:proofErr w:type="gramStart"/>
      <w:r w:rsidRPr="003077BD">
        <w:rPr>
          <w:rFonts w:cs="Arial"/>
          <w:sz w:val="22"/>
          <w:szCs w:val="22"/>
          <w:lang w:val="en-US"/>
        </w:rPr>
        <w:t>party which</w:t>
      </w:r>
      <w:proofErr w:type="gramEnd"/>
      <w:r w:rsidR="003077BD">
        <w:rPr>
          <w:rFonts w:cs="Arial"/>
          <w:sz w:val="22"/>
          <w:szCs w:val="22"/>
          <w:lang w:val="en-US"/>
        </w:rPr>
        <w:t xml:space="preserve"> is not located in this country</w:t>
      </w:r>
      <w:r w:rsidRPr="003077BD">
        <w:rPr>
          <w:rFonts w:cs="Arial"/>
          <w:sz w:val="22"/>
          <w:szCs w:val="22"/>
          <w:lang w:val="en-US"/>
        </w:rPr>
        <w:t xml:space="preserve">. </w:t>
      </w:r>
      <w:r w:rsidRPr="003077BD">
        <w:rPr>
          <w:sz w:val="22"/>
          <w:szCs w:val="22"/>
        </w:rPr>
        <w:t>A transfer of assets to another jurisdiction as suggested above is not a realistic protective measure. This will typically not be feasible at all (e.g. the assets are ultimately held by a local CSD of which only local</w:t>
      </w:r>
      <w:r w:rsidR="003077BD">
        <w:rPr>
          <w:sz w:val="22"/>
          <w:szCs w:val="22"/>
        </w:rPr>
        <w:t xml:space="preserve"> sub-custodians can be members) as </w:t>
      </w:r>
      <w:r w:rsidRPr="003077BD">
        <w:rPr>
          <w:sz w:val="22"/>
          <w:szCs w:val="22"/>
        </w:rPr>
        <w:t xml:space="preserve">the assets ultimately held in any case in the original jurisdiction because this will be required in order to trade the assets. </w:t>
      </w:r>
      <w:proofErr w:type="gramStart"/>
      <w:r w:rsidRPr="003077BD">
        <w:rPr>
          <w:sz w:val="22"/>
          <w:szCs w:val="22"/>
        </w:rPr>
        <w:t>the</w:t>
      </w:r>
      <w:proofErr w:type="gramEnd"/>
      <w:r w:rsidRPr="003077BD">
        <w:rPr>
          <w:sz w:val="22"/>
          <w:szCs w:val="22"/>
        </w:rPr>
        <w:t xml:space="preserve"> sub-custodian in the other jurisdiction will simply not be able to safe-keep assets of another jurisdiction. </w:t>
      </w:r>
    </w:p>
    <w:p w:rsidR="00BC7ECC" w:rsidRPr="003077BD" w:rsidRDefault="00BC7ECC" w:rsidP="003077BD">
      <w:pPr>
        <w:pStyle w:val="CommentText"/>
        <w:spacing w:line="276" w:lineRule="auto"/>
        <w:jc w:val="both"/>
        <w:rPr>
          <w:sz w:val="22"/>
          <w:szCs w:val="22"/>
        </w:rPr>
      </w:pPr>
    </w:p>
    <w:p w:rsidR="00BC7ECC" w:rsidRPr="003077BD" w:rsidRDefault="00BC7ECC" w:rsidP="003077BD">
      <w:pPr>
        <w:pStyle w:val="CommentText"/>
        <w:spacing w:line="276" w:lineRule="auto"/>
        <w:jc w:val="both"/>
        <w:rPr>
          <w:rFonts w:cs="Arial"/>
          <w:b/>
          <w:sz w:val="22"/>
          <w:szCs w:val="22"/>
          <w:lang w:val="en-US"/>
        </w:rPr>
      </w:pPr>
      <w:r w:rsidRPr="003077BD">
        <w:rPr>
          <w:sz w:val="22"/>
          <w:szCs w:val="22"/>
        </w:rPr>
        <w:t>In fact the measures the depositary can take are limited to the escalation procedure whereby the depositary would bring the issue to the attention of the management company / sel</w:t>
      </w:r>
      <w:r w:rsidR="003077BD">
        <w:rPr>
          <w:sz w:val="22"/>
          <w:szCs w:val="22"/>
        </w:rPr>
        <w:t xml:space="preserve">f managed investment company and </w:t>
      </w:r>
      <w:proofErr w:type="gramStart"/>
      <w:r w:rsidR="003077BD">
        <w:rPr>
          <w:sz w:val="22"/>
          <w:szCs w:val="22"/>
        </w:rPr>
        <w:t>of</w:t>
      </w:r>
      <w:proofErr w:type="gramEnd"/>
      <w:r w:rsidR="003077BD">
        <w:rPr>
          <w:sz w:val="22"/>
          <w:szCs w:val="22"/>
        </w:rPr>
        <w:t xml:space="preserve"> the competent regulator</w:t>
      </w:r>
      <w:r w:rsidRPr="003077BD">
        <w:rPr>
          <w:sz w:val="22"/>
          <w:szCs w:val="22"/>
        </w:rPr>
        <w:t xml:space="preserve">. </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&lt;ESMA_UCITS_QUESTION_12&gt;</w:t>
      </w:r>
    </w:p>
    <w:p w:rsidR="00BC7ECC" w:rsidRPr="003077BD" w:rsidRDefault="00BC7ECC" w:rsidP="003077BD">
      <w:pPr>
        <w:jc w:val="both"/>
        <w:rPr>
          <w:rFonts w:ascii="Georgia" w:eastAsia="Times New Roman" w:hAnsi="Georgia"/>
          <w:lang w:eastAsia="de-DE"/>
        </w:rPr>
      </w:pPr>
    </w:p>
    <w:p w:rsidR="00BC7ECC" w:rsidRPr="003077BD" w:rsidRDefault="00BC7ECC" w:rsidP="003077BD">
      <w:pPr>
        <w:keepNext/>
        <w:tabs>
          <w:tab w:val="left" w:pos="284"/>
          <w:tab w:val="left" w:pos="397"/>
        </w:tabs>
        <w:spacing w:after="280"/>
        <w:ind w:left="284" w:hanging="284"/>
        <w:jc w:val="both"/>
        <w:rPr>
          <w:rFonts w:ascii="Georgia" w:eastAsia="Times New Roman" w:hAnsi="Georgia"/>
          <w:b/>
          <w:lang w:eastAsia="de-DE"/>
        </w:rPr>
      </w:pPr>
      <w:bookmarkStart w:id="1" w:name="_Toc398029991"/>
      <w:r w:rsidRPr="003077BD">
        <w:rPr>
          <w:rFonts w:ascii="Georgia" w:eastAsia="Times New Roman" w:hAnsi="Georgia"/>
          <w:b/>
          <w:lang w:eastAsia="de-DE"/>
        </w:rPr>
        <w:t>IV. Advice on the independence requirement (Art. 25(2) and 26(b)(h) UCITS V)</w:t>
      </w:r>
      <w:bookmarkEnd w:id="1"/>
    </w:p>
    <w:p w:rsidR="00BC7ECC" w:rsidRPr="003077BD" w:rsidRDefault="00BC7ECC" w:rsidP="003077BD">
      <w:pPr>
        <w:numPr>
          <w:ilvl w:val="0"/>
          <w:numId w:val="1"/>
        </w:numPr>
        <w:spacing w:after="250"/>
        <w:jc w:val="both"/>
        <w:outlineLvl w:val="4"/>
        <w:rPr>
          <w:rFonts w:ascii="Georgia" w:eastAsia="Times New Roman" w:hAnsi="Georgia"/>
          <w:b/>
          <w:lang w:eastAsia="de-DE"/>
        </w:rPr>
      </w:pPr>
      <w:r w:rsidRPr="003077BD">
        <w:rPr>
          <w:rFonts w:ascii="Georgia" w:eastAsia="Times New Roman" w:hAnsi="Georgia"/>
          <w:b/>
          <w:lang w:eastAsia="de-DE"/>
        </w:rPr>
        <w:t>Do you agree with the identified links that may jeopardise the independence of the Relevant Entities? If not, please explain the reasons.</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&lt;ESMA_UCITS_QUESTION_13&gt;</w:t>
      </w:r>
    </w:p>
    <w:p w:rsidR="00BC7ECC" w:rsidRPr="003077BD" w:rsidRDefault="00BC7ECC" w:rsidP="003077BD">
      <w:pPr>
        <w:autoSpaceDE w:val="0"/>
        <w:autoSpaceDN w:val="0"/>
        <w:adjustRightInd w:val="0"/>
        <w:jc w:val="both"/>
        <w:rPr>
          <w:rFonts w:ascii="Georgia" w:eastAsia="Times New Roman" w:hAnsi="Georgia" w:cs="Arial"/>
          <w:lang w:val="en-US" w:eastAsia="de-DE"/>
        </w:rPr>
      </w:pPr>
      <w:r w:rsidRPr="003077BD">
        <w:rPr>
          <w:rFonts w:ascii="Georgia" w:eastAsia="Times New Roman" w:hAnsi="Georgia" w:cs="Arial"/>
          <w:lang w:val="en-US" w:eastAsia="de-DE"/>
        </w:rPr>
        <w:t xml:space="preserve"> </w:t>
      </w:r>
    </w:p>
    <w:p w:rsidR="00BC7ECC" w:rsidRPr="003077BD" w:rsidRDefault="00BC7ECC" w:rsidP="003077BD">
      <w:pPr>
        <w:autoSpaceDE w:val="0"/>
        <w:autoSpaceDN w:val="0"/>
        <w:adjustRightInd w:val="0"/>
        <w:jc w:val="both"/>
        <w:rPr>
          <w:rFonts w:ascii="Georgia" w:eastAsia="Times New Roman" w:hAnsi="Georgia" w:cs="Arial"/>
          <w:lang w:val="en-US" w:eastAsia="de-DE"/>
        </w:rPr>
      </w:pPr>
    </w:p>
    <w:p w:rsidR="00BC7ECC" w:rsidRPr="003077BD" w:rsidRDefault="00BC7ECC" w:rsidP="003077BD">
      <w:pPr>
        <w:autoSpaceDE w:val="0"/>
        <w:autoSpaceDN w:val="0"/>
        <w:adjustRightInd w:val="0"/>
        <w:jc w:val="both"/>
        <w:rPr>
          <w:rFonts w:ascii="Georgia" w:eastAsia="Times New Roman" w:hAnsi="Georgia" w:cs="Arial"/>
          <w:lang w:val="en-US" w:eastAsia="de-DE"/>
        </w:rPr>
      </w:pPr>
      <w:r w:rsidRPr="003077BD">
        <w:rPr>
          <w:rFonts w:ascii="Georgia" w:eastAsia="Times New Roman" w:hAnsi="Georgia" w:cs="Arial"/>
          <w:lang w:val="en-US" w:eastAsia="de-DE"/>
        </w:rPr>
        <w:t xml:space="preserve">ADEPO </w:t>
      </w:r>
      <w:r w:rsidR="003077BD">
        <w:rPr>
          <w:rFonts w:ascii="Georgia" w:eastAsia="Times New Roman" w:hAnsi="Georgia" w:cs="Arial"/>
          <w:lang w:val="en-US" w:eastAsia="de-DE"/>
        </w:rPr>
        <w:t>is</w:t>
      </w:r>
      <w:r w:rsidRPr="003077BD">
        <w:rPr>
          <w:rFonts w:ascii="Georgia" w:eastAsia="Times New Roman" w:hAnsi="Georgia" w:cs="Arial"/>
          <w:lang w:val="en-US" w:eastAsia="de-DE"/>
        </w:rPr>
        <w:t xml:space="preserve"> concerned that the </w:t>
      </w:r>
      <w:proofErr w:type="gramStart"/>
      <w:r w:rsidRPr="003077BD">
        <w:rPr>
          <w:rFonts w:ascii="Georgia" w:eastAsia="Times New Roman" w:hAnsi="Georgia" w:cs="Arial"/>
          <w:lang w:val="en-US" w:eastAsia="de-DE"/>
        </w:rPr>
        <w:t>outright  prohibition</w:t>
      </w:r>
      <w:proofErr w:type="gramEnd"/>
      <w:r w:rsidRPr="003077BD">
        <w:rPr>
          <w:rFonts w:ascii="Georgia" w:eastAsia="Times New Roman" w:hAnsi="Georgia" w:cs="Arial"/>
          <w:lang w:val="en-US" w:eastAsia="de-DE"/>
        </w:rPr>
        <w:t xml:space="preserve"> of  cross-shareholdings/group inclusion, goes  far beyond the objectives set out in the level 1 of the UCITS V directive, and  ADEPO  is  convinced that proposing recommendations based only on  this will not achieve the final objective of higher investor protection but will rather lead to disproportionate costs and have a substantive impact on the existing shareholding structures of management companies and depositaries in Europe (see ADEPO   answer to Q22).</w:t>
      </w:r>
    </w:p>
    <w:p w:rsidR="00BC7ECC" w:rsidRPr="003077BD" w:rsidRDefault="00BC7ECC" w:rsidP="003077BD">
      <w:pPr>
        <w:autoSpaceDE w:val="0"/>
        <w:autoSpaceDN w:val="0"/>
        <w:adjustRightInd w:val="0"/>
        <w:jc w:val="both"/>
        <w:rPr>
          <w:rFonts w:ascii="Georgia" w:eastAsia="Times New Roman" w:hAnsi="Georgia" w:cs="Arial"/>
          <w:lang w:val="en-US" w:eastAsia="de-DE"/>
        </w:rPr>
      </w:pPr>
    </w:p>
    <w:p w:rsidR="00BC7ECC" w:rsidRPr="003077BD" w:rsidRDefault="00BC7ECC" w:rsidP="003077BD">
      <w:pPr>
        <w:jc w:val="both"/>
        <w:rPr>
          <w:rFonts w:ascii="Georgia" w:hAnsi="Georgia"/>
          <w:lang w:val="en-US"/>
        </w:rPr>
      </w:pPr>
      <w:r w:rsidRPr="003077BD">
        <w:rPr>
          <w:rFonts w:ascii="Georgia" w:hAnsi="Georgia"/>
          <w:lang w:val="en-US"/>
        </w:rPr>
        <w:t xml:space="preserve">In the light of Level 1 provisions, ESMA should bear in mind that the requirement to act independently does not coincide with requiring the “structural” independence of the Relevant </w:t>
      </w:r>
      <w:r w:rsidR="003D4435" w:rsidRPr="003D4435">
        <w:rPr>
          <w:rFonts w:ascii="Georgia" w:hAnsi="Georgia"/>
          <w:lang w:val="en-US"/>
        </w:rPr>
        <w:t>Entities, being</w:t>
      </w:r>
      <w:r w:rsidR="003077BD">
        <w:rPr>
          <w:rFonts w:ascii="Georgia" w:hAnsi="Georgia"/>
          <w:lang w:val="en-US"/>
        </w:rPr>
        <w:t xml:space="preserve"> enough to be</w:t>
      </w:r>
      <w:r w:rsidRPr="003077BD">
        <w:rPr>
          <w:rFonts w:ascii="Georgia" w:hAnsi="Georgia"/>
          <w:lang w:val="en-US"/>
        </w:rPr>
        <w:t xml:space="preserve"> it in a “functional” fashion</w:t>
      </w:r>
    </w:p>
    <w:p w:rsidR="00BC7ECC" w:rsidRPr="003077BD" w:rsidRDefault="00BC7ECC" w:rsidP="003077BD">
      <w:pPr>
        <w:autoSpaceDE w:val="0"/>
        <w:autoSpaceDN w:val="0"/>
        <w:adjustRightInd w:val="0"/>
        <w:jc w:val="both"/>
        <w:rPr>
          <w:rFonts w:ascii="Georgia" w:eastAsia="Times New Roman" w:hAnsi="Georgia" w:cs="Arial"/>
          <w:lang w:val="en-US" w:eastAsia="de-DE"/>
        </w:rPr>
      </w:pPr>
    </w:p>
    <w:p w:rsidR="00BC7ECC" w:rsidRPr="003077BD" w:rsidRDefault="00BC7ECC" w:rsidP="003077BD">
      <w:pPr>
        <w:autoSpaceDE w:val="0"/>
        <w:autoSpaceDN w:val="0"/>
        <w:adjustRightInd w:val="0"/>
        <w:jc w:val="both"/>
        <w:rPr>
          <w:rFonts w:ascii="Georgia" w:eastAsia="Times New Roman" w:hAnsi="Georgia" w:cs="Arial"/>
          <w:lang w:eastAsia="de-DE"/>
        </w:rPr>
      </w:pPr>
      <w:r w:rsidRPr="003077BD">
        <w:rPr>
          <w:rFonts w:ascii="Georgia" w:eastAsia="Times New Roman" w:hAnsi="Georgia" w:cs="Arial"/>
          <w:lang w:val="en-US" w:eastAsia="de-DE"/>
        </w:rPr>
        <w:t xml:space="preserve">Thus ADEPO   </w:t>
      </w:r>
      <w:r w:rsidR="003D4435" w:rsidRPr="003D4435">
        <w:rPr>
          <w:rFonts w:ascii="Georgia" w:eastAsia="Times New Roman" w:hAnsi="Georgia" w:cs="Arial"/>
          <w:lang w:val="en-US" w:eastAsia="de-DE"/>
        </w:rPr>
        <w:t>urges ESMA</w:t>
      </w:r>
      <w:r w:rsidRPr="003077BD">
        <w:rPr>
          <w:rFonts w:ascii="Georgia" w:eastAsia="Times New Roman" w:hAnsi="Georgia" w:cs="Arial"/>
          <w:lang w:val="en-US" w:eastAsia="de-DE"/>
        </w:rPr>
        <w:t xml:space="preserve"> to propose final recommendations that are strictly proportionate to the objectives to be achieved.</w:t>
      </w:r>
      <w:r w:rsidRPr="003077BD">
        <w:rPr>
          <w:rFonts w:ascii="Georgia" w:eastAsia="Times New Roman" w:hAnsi="Georgia" w:cs="Arial"/>
          <w:lang w:eastAsia="de-DE"/>
        </w:rPr>
        <w:t xml:space="preserve"> Indeed, the principle of proportionality is intended to ensure that regulatory measures go no further than is required to achieve a set objective, which is to ensure that both the management company and the depositary have specific safeguards against conflicts of interest to allow for the independent performance of their activities</w:t>
      </w:r>
      <w:r w:rsidRPr="003077BD">
        <w:rPr>
          <w:rFonts w:ascii="Georgia" w:eastAsia="Times New Roman" w:hAnsi="Georgia" w:cs="Arial"/>
          <w:bCs/>
          <w:lang w:val="en-US" w:eastAsia="de-DE"/>
        </w:rPr>
        <w:t>Many financial groups, amongst</w:t>
      </w:r>
      <w:r w:rsidRPr="003077BD">
        <w:rPr>
          <w:rFonts w:ascii="Georgia" w:eastAsia="Times New Roman" w:hAnsi="Georgia" w:cs="Arial"/>
          <w:b/>
          <w:bCs/>
          <w:lang w:val="en-US" w:eastAsia="de-DE"/>
        </w:rPr>
        <w:t xml:space="preserve"> </w:t>
      </w:r>
      <w:r w:rsidRPr="003077BD">
        <w:rPr>
          <w:rFonts w:ascii="Georgia" w:eastAsia="Times New Roman" w:hAnsi="Georgia" w:cs="Arial"/>
          <w:bCs/>
          <w:lang w:val="en-US" w:eastAsia="de-DE"/>
        </w:rPr>
        <w:t>them the largest, have developed asset management and depositary businesses which represent</w:t>
      </w:r>
      <w:r w:rsidR="003077BD">
        <w:rPr>
          <w:rFonts w:ascii="Georgia" w:eastAsia="Times New Roman" w:hAnsi="Georgia" w:cs="Arial"/>
          <w:bCs/>
          <w:lang w:val="en-US" w:eastAsia="de-DE"/>
        </w:rPr>
        <w:t>s</w:t>
      </w:r>
      <w:r w:rsidRPr="003077BD">
        <w:rPr>
          <w:rFonts w:ascii="Georgia" w:eastAsia="Times New Roman" w:hAnsi="Georgia" w:cs="Arial"/>
          <w:b/>
          <w:bCs/>
          <w:lang w:val="en-US" w:eastAsia="de-DE"/>
        </w:rPr>
        <w:t xml:space="preserve"> </w:t>
      </w:r>
      <w:r w:rsidR="003077BD">
        <w:rPr>
          <w:rFonts w:ascii="Georgia" w:eastAsia="Times New Roman" w:hAnsi="Georgia" w:cs="Arial"/>
          <w:bCs/>
          <w:lang w:val="en-US" w:eastAsia="de-DE"/>
        </w:rPr>
        <w:t>a</w:t>
      </w:r>
      <w:r w:rsidRPr="003077BD">
        <w:rPr>
          <w:rFonts w:ascii="Georgia" w:eastAsia="Times New Roman" w:hAnsi="Georgia" w:cs="Arial"/>
          <w:bCs/>
          <w:lang w:val="en-US" w:eastAsia="de-DE"/>
        </w:rPr>
        <w:t xml:space="preserve"> significant share of the global market of depositaries of UCITS. This is indeed a common</w:t>
      </w:r>
      <w:r w:rsidRPr="003077BD">
        <w:rPr>
          <w:rFonts w:ascii="Georgia" w:eastAsia="Times New Roman" w:hAnsi="Georgia" w:cs="Arial"/>
          <w:lang w:eastAsia="de-DE"/>
        </w:rPr>
        <w:t xml:space="preserve"> practice in many European Member States, where financial groups are active both in asset management and depositary activities, providing a full range of services to UCITS funds. The prohibition of cross-shareholding (1</w:t>
      </w:r>
      <w:r w:rsidRPr="003077BD">
        <w:rPr>
          <w:rFonts w:ascii="Georgia" w:eastAsia="Times New Roman" w:hAnsi="Georgia" w:cs="Arial"/>
          <w:vertAlign w:val="superscript"/>
          <w:lang w:eastAsia="de-DE"/>
        </w:rPr>
        <w:t>st</w:t>
      </w:r>
      <w:r w:rsidRPr="003077BD">
        <w:rPr>
          <w:rFonts w:ascii="Georgia" w:eastAsia="Times New Roman" w:hAnsi="Georgia" w:cs="Arial"/>
          <w:lang w:eastAsia="de-DE"/>
        </w:rPr>
        <w:t xml:space="preserve"> option) would lead to substantive additional costs as it would imply the separation of a large number </w:t>
      </w:r>
      <w:proofErr w:type="gramStart"/>
      <w:r w:rsidRPr="003077BD">
        <w:rPr>
          <w:rFonts w:ascii="Georgia" w:eastAsia="Times New Roman" w:hAnsi="Georgia" w:cs="Arial"/>
          <w:lang w:eastAsia="de-DE"/>
        </w:rPr>
        <w:t>of  Spanish</w:t>
      </w:r>
      <w:proofErr w:type="gramEnd"/>
      <w:r w:rsidRPr="003077BD">
        <w:rPr>
          <w:rFonts w:ascii="Georgia" w:eastAsia="Times New Roman" w:hAnsi="Georgia" w:cs="Arial"/>
          <w:lang w:eastAsia="de-DE"/>
        </w:rPr>
        <w:t xml:space="preserve"> entities. </w:t>
      </w:r>
    </w:p>
    <w:p w:rsidR="00BC7ECC" w:rsidRDefault="00BC7ECC" w:rsidP="003077BD">
      <w:pPr>
        <w:contextualSpacing/>
        <w:jc w:val="both"/>
        <w:rPr>
          <w:rFonts w:ascii="Georgia" w:eastAsia="Times New Roman" w:hAnsi="Georgia" w:cs="Arial"/>
          <w:lang w:eastAsia="de-DE"/>
        </w:rPr>
      </w:pPr>
      <w:r w:rsidRPr="003077BD">
        <w:rPr>
          <w:rFonts w:ascii="Georgia" w:eastAsia="Times New Roman" w:hAnsi="Georgia" w:cs="Arial"/>
          <w:lang w:eastAsia="de-DE"/>
        </w:rPr>
        <w:t xml:space="preserve">ADEPO   strongly </w:t>
      </w:r>
      <w:r w:rsidR="003D4435" w:rsidRPr="003D4435">
        <w:rPr>
          <w:rFonts w:ascii="Georgia" w:eastAsia="Times New Roman" w:hAnsi="Georgia" w:cs="Arial"/>
          <w:lang w:eastAsia="de-DE"/>
        </w:rPr>
        <w:t>believes that</w:t>
      </w:r>
      <w:r w:rsidRPr="003077BD">
        <w:rPr>
          <w:rFonts w:ascii="Georgia" w:eastAsia="Times New Roman" w:hAnsi="Georgia" w:cs="Arial"/>
          <w:lang w:eastAsia="de-DE"/>
        </w:rPr>
        <w:t xml:space="preserve"> this long established market practice should not be restricted by any level – 2 measures for the following reasons:</w:t>
      </w:r>
    </w:p>
    <w:p w:rsidR="003D4435" w:rsidRPr="003077BD" w:rsidRDefault="003D4435" w:rsidP="003077BD">
      <w:pPr>
        <w:contextualSpacing/>
        <w:jc w:val="both"/>
        <w:rPr>
          <w:rFonts w:ascii="Georgia" w:eastAsia="Times New Roman" w:hAnsi="Georgia" w:cs="Arial"/>
          <w:lang w:eastAsia="de-DE"/>
        </w:rPr>
      </w:pPr>
    </w:p>
    <w:p w:rsidR="00BC7ECC" w:rsidRPr="003077BD" w:rsidRDefault="00BC7ECC" w:rsidP="003077BD">
      <w:pPr>
        <w:contextualSpacing/>
        <w:jc w:val="both"/>
        <w:rPr>
          <w:rFonts w:ascii="Georgia" w:eastAsia="Times New Roman" w:hAnsi="Georgia" w:cs="Arial"/>
          <w:lang w:eastAsia="de-DE"/>
        </w:rPr>
      </w:pPr>
    </w:p>
    <w:p w:rsidR="00BC7ECC" w:rsidRPr="003077BD" w:rsidRDefault="00BC7ECC" w:rsidP="003077BD">
      <w:pPr>
        <w:numPr>
          <w:ilvl w:val="0"/>
          <w:numId w:val="3"/>
        </w:numPr>
        <w:ind w:left="357" w:hanging="215"/>
        <w:contextualSpacing/>
        <w:jc w:val="both"/>
        <w:rPr>
          <w:rFonts w:ascii="Georgia" w:eastAsia="Times New Roman" w:hAnsi="Georgia" w:cs="Arial"/>
          <w:lang w:val="en-US" w:eastAsia="de-DE"/>
        </w:rPr>
      </w:pPr>
      <w:r w:rsidRPr="003077BD">
        <w:rPr>
          <w:rFonts w:ascii="Georgia" w:eastAsia="Times New Roman" w:hAnsi="Georgia" w:cs="Arial"/>
          <w:lang w:eastAsia="de-DE"/>
        </w:rPr>
        <w:t>The absence of evidenced market failure: r</w:t>
      </w:r>
      <w:proofErr w:type="spellStart"/>
      <w:r w:rsidRPr="003077BD">
        <w:rPr>
          <w:rFonts w:ascii="Georgia" w:eastAsia="Times New Roman" w:hAnsi="Georgia" w:cs="Arial"/>
          <w:lang w:val="en-US" w:eastAsia="de-DE"/>
        </w:rPr>
        <w:t>ecent</w:t>
      </w:r>
      <w:proofErr w:type="spellEnd"/>
      <w:r w:rsidRPr="003077BD">
        <w:rPr>
          <w:rFonts w:ascii="Georgia" w:eastAsia="Times New Roman" w:hAnsi="Georgia" w:cs="Arial"/>
          <w:lang w:val="en-US" w:eastAsia="de-DE"/>
        </w:rPr>
        <w:t xml:space="preserve"> events affecting UCITS, such as the </w:t>
      </w:r>
      <w:proofErr w:type="spellStart"/>
      <w:r w:rsidRPr="003077BD">
        <w:rPr>
          <w:rFonts w:ascii="Georgia" w:eastAsia="Times New Roman" w:hAnsi="Georgia" w:cs="Arial"/>
          <w:lang w:val="en-US" w:eastAsia="de-DE"/>
        </w:rPr>
        <w:t>Madoff</w:t>
      </w:r>
      <w:proofErr w:type="spellEnd"/>
      <w:r w:rsidRPr="003077BD">
        <w:rPr>
          <w:rFonts w:ascii="Georgia" w:eastAsia="Times New Roman" w:hAnsi="Georgia" w:cs="Arial"/>
          <w:lang w:val="en-US" w:eastAsia="de-DE"/>
        </w:rPr>
        <w:t xml:space="preserve"> </w:t>
      </w:r>
      <w:proofErr w:type="gramStart"/>
      <w:r w:rsidRPr="003077BD">
        <w:rPr>
          <w:rFonts w:ascii="Georgia" w:eastAsia="Times New Roman" w:hAnsi="Georgia" w:cs="Arial"/>
          <w:lang w:val="en-US" w:eastAsia="de-DE"/>
        </w:rPr>
        <w:t>fraud were</w:t>
      </w:r>
      <w:proofErr w:type="gramEnd"/>
      <w:r w:rsidRPr="003077BD">
        <w:rPr>
          <w:rFonts w:ascii="Georgia" w:eastAsia="Times New Roman" w:hAnsi="Georgia" w:cs="Arial"/>
          <w:lang w:val="en-US" w:eastAsia="de-DE"/>
        </w:rPr>
        <w:t xml:space="preserve"> not connected to circumstances where the asset management companies and funds depositaries belonged to the same financial group. However, it was </w:t>
      </w:r>
      <w:proofErr w:type="spellStart"/>
      <w:r w:rsidRPr="003077BD">
        <w:rPr>
          <w:rFonts w:ascii="Georgia" w:eastAsia="Times New Roman" w:hAnsi="Georgia" w:cs="Arial"/>
          <w:lang w:val="en-US" w:eastAsia="de-DE"/>
        </w:rPr>
        <w:t>recognised</w:t>
      </w:r>
      <w:proofErr w:type="spellEnd"/>
      <w:r w:rsidRPr="003077BD">
        <w:rPr>
          <w:rFonts w:ascii="Georgia" w:eastAsia="Times New Roman" w:hAnsi="Georgia" w:cs="Arial"/>
          <w:lang w:val="en-US" w:eastAsia="de-DE"/>
        </w:rPr>
        <w:t xml:space="preserve"> that a b</w:t>
      </w:r>
      <w:r w:rsidR="003077BD">
        <w:rPr>
          <w:rFonts w:ascii="Georgia" w:eastAsia="Times New Roman" w:hAnsi="Georgia" w:cs="Arial"/>
          <w:lang w:val="en-US" w:eastAsia="de-DE"/>
        </w:rPr>
        <w:t>etter clarification and harmoniz</w:t>
      </w:r>
      <w:r w:rsidRPr="003077BD">
        <w:rPr>
          <w:rFonts w:ascii="Georgia" w:eastAsia="Times New Roman" w:hAnsi="Georgia" w:cs="Arial"/>
          <w:lang w:val="en-US" w:eastAsia="de-DE"/>
        </w:rPr>
        <w:t>ation of depositary duties and liability regime was necessary. These issues were adequately addressed in the AIFMD. The AIFM lev</w:t>
      </w:r>
      <w:r w:rsidR="003077BD">
        <w:rPr>
          <w:rFonts w:ascii="Georgia" w:eastAsia="Times New Roman" w:hAnsi="Georgia" w:cs="Arial"/>
          <w:lang w:val="en-US" w:eastAsia="de-DE"/>
        </w:rPr>
        <w:t>el1 and level 2 establish</w:t>
      </w:r>
      <w:r w:rsidRPr="003077BD">
        <w:rPr>
          <w:rFonts w:ascii="Georgia" w:eastAsia="Times New Roman" w:hAnsi="Georgia" w:cs="Arial"/>
          <w:lang w:val="en-US" w:eastAsia="de-DE"/>
        </w:rPr>
        <w:t xml:space="preserve"> strict requirements with regard to oversight duties, asset segregation, due diligence</w:t>
      </w:r>
      <w:r w:rsidR="003077BD">
        <w:rPr>
          <w:rFonts w:ascii="Georgia" w:eastAsia="Times New Roman" w:hAnsi="Georgia" w:cs="Arial"/>
          <w:lang w:val="en-US" w:eastAsia="de-DE"/>
        </w:rPr>
        <w:t xml:space="preserve">, and the liability regime for </w:t>
      </w:r>
      <w:r w:rsidRPr="003077BD">
        <w:rPr>
          <w:rFonts w:ascii="Georgia" w:eastAsia="Times New Roman" w:hAnsi="Georgia" w:cs="Arial"/>
          <w:lang w:val="en-US" w:eastAsia="de-DE"/>
        </w:rPr>
        <w:t>depositaries. In addition</w:t>
      </w:r>
      <w:r w:rsidR="00651755" w:rsidRPr="00651755">
        <w:rPr>
          <w:rFonts w:ascii="Georgia" w:eastAsia="Times New Roman" w:hAnsi="Georgia" w:cs="Arial"/>
          <w:lang w:val="en-US" w:eastAsia="de-DE"/>
        </w:rPr>
        <w:t>, AIFMD</w:t>
      </w:r>
      <w:r w:rsidRPr="003077BD">
        <w:rPr>
          <w:rFonts w:ascii="Georgia" w:eastAsia="Times New Roman" w:hAnsi="Georgia" w:cs="Arial"/>
          <w:lang w:val="en-US" w:eastAsia="de-DE"/>
        </w:rPr>
        <w:t xml:space="preserve"> Article 21 4 (a) provides that an AIFM shall not act as a </w:t>
      </w:r>
      <w:proofErr w:type="gramStart"/>
      <w:r w:rsidRPr="003077BD">
        <w:rPr>
          <w:rFonts w:ascii="Georgia" w:eastAsia="Times New Roman" w:hAnsi="Georgia" w:cs="Arial"/>
          <w:lang w:val="en-US" w:eastAsia="de-DE"/>
        </w:rPr>
        <w:t>depositary..</w:t>
      </w:r>
      <w:proofErr w:type="gramEnd"/>
    </w:p>
    <w:p w:rsidR="00BC7ECC" w:rsidRPr="003077BD" w:rsidRDefault="00BC7ECC" w:rsidP="003077BD">
      <w:pPr>
        <w:ind w:left="360"/>
        <w:contextualSpacing/>
        <w:jc w:val="both"/>
        <w:rPr>
          <w:rFonts w:ascii="Georgia" w:eastAsia="Times New Roman" w:hAnsi="Georgia" w:cs="Arial"/>
          <w:lang w:val="en-US" w:eastAsia="de-DE"/>
        </w:rPr>
      </w:pPr>
    </w:p>
    <w:p w:rsidR="00BC7ECC" w:rsidRPr="003077BD" w:rsidRDefault="003077BD" w:rsidP="003077BD">
      <w:pPr>
        <w:numPr>
          <w:ilvl w:val="0"/>
          <w:numId w:val="3"/>
        </w:numPr>
        <w:shd w:val="clear" w:color="auto" w:fill="FFFFFF"/>
        <w:ind w:left="426" w:hanging="284"/>
        <w:contextualSpacing/>
        <w:jc w:val="both"/>
        <w:rPr>
          <w:rFonts w:ascii="Georgia" w:eastAsia="Times New Roman" w:hAnsi="Georgia" w:cs="Arial"/>
          <w:lang w:val="en-US" w:eastAsia="de-DE"/>
        </w:rPr>
      </w:pPr>
      <w:r>
        <w:rPr>
          <w:rFonts w:ascii="Georgia" w:eastAsia="Times New Roman" w:hAnsi="Georgia" w:cs="Arial"/>
          <w:lang w:val="en-US" w:eastAsia="de-DE"/>
        </w:rPr>
        <w:t xml:space="preserve">The new UCITS regulatory framework </w:t>
      </w:r>
      <w:r w:rsidR="00BC7ECC" w:rsidRPr="003077BD">
        <w:rPr>
          <w:rFonts w:ascii="Georgia" w:eastAsia="Times New Roman" w:hAnsi="Georgia" w:cs="Arial"/>
          <w:lang w:val="en-US" w:eastAsia="de-DE"/>
        </w:rPr>
        <w:t>will provide investors with a greater level of protection:</w:t>
      </w:r>
    </w:p>
    <w:p w:rsidR="00BC7ECC" w:rsidRPr="003077BD" w:rsidRDefault="00BC7ECC" w:rsidP="003077BD">
      <w:pPr>
        <w:numPr>
          <w:ilvl w:val="0"/>
          <w:numId w:val="2"/>
        </w:numPr>
        <w:shd w:val="clear" w:color="auto" w:fill="FFFFFF"/>
        <w:contextualSpacing/>
        <w:jc w:val="both"/>
        <w:rPr>
          <w:rFonts w:ascii="Georgia" w:eastAsia="Times New Roman" w:hAnsi="Georgia" w:cs="Arial"/>
          <w:i/>
          <w:color w:val="000000"/>
          <w:lang w:val="en-US" w:eastAsia="en-GB"/>
        </w:rPr>
      </w:pPr>
      <w:r w:rsidRPr="003077BD">
        <w:rPr>
          <w:rFonts w:ascii="Georgia" w:eastAsia="Times New Roman" w:hAnsi="Georgia" w:cs="Arial"/>
          <w:color w:val="000000"/>
          <w:lang w:val="en-US" w:eastAsia="en-GB"/>
        </w:rPr>
        <w:t xml:space="preserve">The strict liability regime of the depositary in UCITS V goes even further than AIFMD as the depositary’s liability can, in no circumstances, be contractually waived. Depositaries are regulated entities, must comply with </w:t>
      </w:r>
      <w:r w:rsidR="003077BD">
        <w:rPr>
          <w:rFonts w:ascii="Georgia" w:eastAsia="Times New Roman" w:hAnsi="Georgia" w:cs="Arial"/>
          <w:color w:val="000000"/>
          <w:lang w:val="en-US" w:eastAsia="en-GB"/>
        </w:rPr>
        <w:t xml:space="preserve">stringent eligibility criteria </w:t>
      </w:r>
      <w:r w:rsidRPr="003077BD">
        <w:rPr>
          <w:rFonts w:ascii="Georgia" w:eastAsia="Times New Roman" w:hAnsi="Georgia" w:cs="Arial"/>
          <w:color w:val="000000"/>
          <w:lang w:val="en-US" w:eastAsia="en-GB"/>
        </w:rPr>
        <w:t xml:space="preserve">and are subject to ongoing supervision. Article 5 of the current UCITS IV Directive, requires that </w:t>
      </w:r>
      <w:r w:rsidRPr="003077BD">
        <w:rPr>
          <w:rFonts w:ascii="Georgia" w:eastAsia="Times New Roman" w:hAnsi="Georgia" w:cs="Arial"/>
          <w:i/>
          <w:color w:val="000000"/>
          <w:lang w:val="en-US" w:eastAsia="en-GB"/>
        </w:rPr>
        <w:t>“The competent authorities of the UCITS home Member State shall</w:t>
      </w:r>
      <w:r w:rsidR="003077BD">
        <w:rPr>
          <w:rFonts w:ascii="Georgia" w:eastAsia="Times New Roman" w:hAnsi="Georgia" w:cs="Arial"/>
          <w:i/>
          <w:color w:val="000000"/>
          <w:lang w:val="en-US" w:eastAsia="en-GB"/>
        </w:rPr>
        <w:t xml:space="preserve"> not authoriz</w:t>
      </w:r>
      <w:r w:rsidRPr="003077BD">
        <w:rPr>
          <w:rFonts w:ascii="Georgia" w:eastAsia="Times New Roman" w:hAnsi="Georgia" w:cs="Arial"/>
          <w:i/>
          <w:color w:val="000000"/>
          <w:lang w:val="en-US" w:eastAsia="en-GB"/>
        </w:rPr>
        <w:t xml:space="preserve">e a UCITS if the directors of the depositary are not of sufficiently good repute or are not sufficiently experienced also in relation to the type of UCITS to be managed </w:t>
      </w:r>
      <w:proofErr w:type="gramStart"/>
      <w:r w:rsidRPr="003077BD">
        <w:rPr>
          <w:rFonts w:ascii="Georgia" w:eastAsia="Times New Roman" w:hAnsi="Georgia" w:cs="Arial"/>
          <w:i/>
          <w:color w:val="000000"/>
          <w:lang w:val="en-US" w:eastAsia="en-GB"/>
        </w:rPr>
        <w:t>(…….)</w:t>
      </w:r>
      <w:proofErr w:type="gramEnd"/>
      <w:r w:rsidRPr="003077BD">
        <w:rPr>
          <w:rFonts w:ascii="Georgia" w:eastAsia="Times New Roman" w:hAnsi="Georgia" w:cs="Arial"/>
          <w:i/>
          <w:color w:val="000000"/>
          <w:lang w:val="en-US" w:eastAsia="en-GB"/>
        </w:rPr>
        <w:t xml:space="preserve"> . Directors shall mean those persons who, under the law or the instruments of incorporation, represent the depositary, or who effectively determine the policy of the depositary.” </w:t>
      </w:r>
    </w:p>
    <w:p w:rsidR="00BC7ECC" w:rsidRPr="003077BD" w:rsidRDefault="00BC7ECC" w:rsidP="003077BD">
      <w:pPr>
        <w:numPr>
          <w:ilvl w:val="0"/>
          <w:numId w:val="2"/>
        </w:numPr>
        <w:shd w:val="clear" w:color="auto" w:fill="FFFFFF"/>
        <w:autoSpaceDE w:val="0"/>
        <w:autoSpaceDN w:val="0"/>
        <w:adjustRightInd w:val="0"/>
        <w:jc w:val="both"/>
        <w:rPr>
          <w:rFonts w:ascii="Georgia" w:eastAsia="Times New Roman" w:hAnsi="Georgia" w:cs="Arial"/>
          <w:color w:val="000000"/>
          <w:lang w:val="en-US" w:eastAsia="en-GB"/>
        </w:rPr>
      </w:pPr>
      <w:r w:rsidRPr="003077BD">
        <w:rPr>
          <w:rFonts w:ascii="Georgia" w:eastAsia="Times New Roman" w:hAnsi="Georgia" w:cs="Arial"/>
          <w:color w:val="000000"/>
          <w:lang w:val="en-US" w:eastAsia="en-GB"/>
        </w:rPr>
        <w:t xml:space="preserve">Depositaries are required to have in place and implement strict and detailed internal procedures for the prevention of conflicts of interest. They are also subject to a regular internal control process for the adequacy of resources and competences. </w:t>
      </w:r>
    </w:p>
    <w:p w:rsidR="00BC7ECC" w:rsidRPr="003077BD" w:rsidRDefault="00BC7ECC" w:rsidP="003077BD">
      <w:pPr>
        <w:numPr>
          <w:ilvl w:val="0"/>
          <w:numId w:val="2"/>
        </w:numPr>
        <w:shd w:val="clear" w:color="auto" w:fill="FFFFFF"/>
        <w:autoSpaceDE w:val="0"/>
        <w:autoSpaceDN w:val="0"/>
        <w:adjustRightInd w:val="0"/>
        <w:jc w:val="both"/>
        <w:rPr>
          <w:rFonts w:ascii="Georgia" w:eastAsia="Times New Roman" w:hAnsi="Georgia" w:cs="Arial"/>
          <w:color w:val="000000"/>
          <w:lang w:val="en-US" w:eastAsia="en-GB"/>
        </w:rPr>
      </w:pPr>
      <w:r w:rsidRPr="003077BD">
        <w:rPr>
          <w:rFonts w:ascii="Georgia" w:eastAsia="Times New Roman" w:hAnsi="Georgia" w:cs="Arial"/>
          <w:color w:val="000000"/>
          <w:lang w:val="en-US" w:eastAsia="en-GB"/>
        </w:rPr>
        <w:t>In addition, for d</w:t>
      </w:r>
      <w:r w:rsidR="003077BD">
        <w:rPr>
          <w:rFonts w:ascii="Georgia" w:eastAsia="Times New Roman" w:hAnsi="Georgia" w:cs="Arial"/>
          <w:color w:val="000000"/>
          <w:lang w:val="en-US" w:eastAsia="en-GB"/>
        </w:rPr>
        <w:t xml:space="preserve">epositaries subject to MIFID, </w:t>
      </w:r>
      <w:r w:rsidRPr="003077BD">
        <w:rPr>
          <w:rFonts w:ascii="Georgia" w:eastAsia="Times New Roman" w:hAnsi="Georgia" w:cs="Arial"/>
          <w:color w:val="000000"/>
          <w:lang w:val="en-US" w:eastAsia="en-GB"/>
        </w:rPr>
        <w:t xml:space="preserve">MIFID reporting obligations include; on an annual basis, specific reporting on the safeguard of </w:t>
      </w:r>
      <w:r w:rsidR="00651755" w:rsidRPr="00651755">
        <w:rPr>
          <w:rFonts w:ascii="Georgia" w:eastAsia="Times New Roman" w:hAnsi="Georgia" w:cs="Arial"/>
          <w:color w:val="000000"/>
          <w:lang w:val="en-US" w:eastAsia="en-GB"/>
        </w:rPr>
        <w:t>assets performed</w:t>
      </w:r>
      <w:r w:rsidRPr="003077BD">
        <w:rPr>
          <w:rFonts w:ascii="Georgia" w:eastAsia="Times New Roman" w:hAnsi="Georgia" w:cs="Arial"/>
          <w:color w:val="000000"/>
          <w:lang w:val="en-US" w:eastAsia="en-GB"/>
        </w:rPr>
        <w:t xml:space="preserve"> by an independent audit firm.</w:t>
      </w:r>
    </w:p>
    <w:p w:rsidR="00BC7ECC" w:rsidRPr="003077BD" w:rsidRDefault="00BC7ECC" w:rsidP="003077BD">
      <w:pPr>
        <w:shd w:val="clear" w:color="auto" w:fill="FFFFFF"/>
        <w:autoSpaceDE w:val="0"/>
        <w:autoSpaceDN w:val="0"/>
        <w:adjustRightInd w:val="0"/>
        <w:ind w:left="1776"/>
        <w:jc w:val="both"/>
        <w:rPr>
          <w:rFonts w:ascii="Georgia" w:eastAsia="Times New Roman" w:hAnsi="Georgia" w:cs="Arial"/>
          <w:color w:val="000000"/>
          <w:lang w:val="en-US" w:eastAsia="en-GB"/>
        </w:rPr>
      </w:pPr>
    </w:p>
    <w:p w:rsidR="00BC7ECC" w:rsidRPr="003077BD" w:rsidRDefault="00BC7ECC" w:rsidP="003077BD">
      <w:pPr>
        <w:shd w:val="clear" w:color="auto" w:fill="FFFFFF"/>
        <w:autoSpaceDE w:val="0"/>
        <w:autoSpaceDN w:val="0"/>
        <w:adjustRightInd w:val="0"/>
        <w:ind w:left="1776"/>
        <w:jc w:val="both"/>
        <w:rPr>
          <w:rFonts w:ascii="Georgia" w:eastAsia="Times New Roman" w:hAnsi="Georgia" w:cs="Arial"/>
          <w:color w:val="000000"/>
          <w:lang w:val="en-US" w:eastAsia="en-GB"/>
        </w:rPr>
      </w:pPr>
    </w:p>
    <w:p w:rsidR="00BC7ECC" w:rsidRPr="003077BD" w:rsidRDefault="00BC7ECC" w:rsidP="003077BD">
      <w:pPr>
        <w:shd w:val="clear" w:color="auto" w:fill="FFFFFF"/>
        <w:jc w:val="both"/>
        <w:rPr>
          <w:rFonts w:ascii="Georgia" w:eastAsia="Times New Roman" w:hAnsi="Georgia" w:cs="Arial"/>
          <w:lang w:val="en-US" w:eastAsia="de-DE"/>
        </w:rPr>
      </w:pPr>
      <w:r w:rsidRPr="003077BD">
        <w:rPr>
          <w:rFonts w:ascii="Georgia" w:eastAsia="Times New Roman" w:hAnsi="Georgia" w:cs="Arial"/>
          <w:lang w:val="en-US" w:eastAsia="de-DE"/>
        </w:rPr>
        <w:t>On the other hand ADEPO agrees   that some common management/supervision may to a certain extent,</w:t>
      </w:r>
      <w:r w:rsidRPr="003077BD">
        <w:rPr>
          <w:rFonts w:ascii="Georgia" w:eastAsia="Times New Roman" w:hAnsi="Georgia" w:cs="Arial"/>
          <w:bCs/>
          <w:lang w:val="en-US" w:eastAsia="de-DE"/>
        </w:rPr>
        <w:t xml:space="preserve"> interfere with the independence of the Relevant Entities</w:t>
      </w:r>
      <w:r w:rsidRPr="003077BD">
        <w:rPr>
          <w:rFonts w:ascii="Georgia" w:eastAsia="Times New Roman" w:hAnsi="Georgia" w:cs="Arial"/>
          <w:lang w:val="en-US" w:eastAsia="de-DE"/>
        </w:rPr>
        <w:t xml:space="preserve">. Please see </w:t>
      </w:r>
      <w:proofErr w:type="spellStart"/>
      <w:proofErr w:type="gramStart"/>
      <w:r w:rsidRPr="003077BD">
        <w:rPr>
          <w:rFonts w:ascii="Georgia" w:eastAsia="Times New Roman" w:hAnsi="Georgia" w:cs="Arial"/>
          <w:lang w:val="en-US" w:eastAsia="de-DE"/>
        </w:rPr>
        <w:t>ADEPO‘s</w:t>
      </w:r>
      <w:proofErr w:type="spellEnd"/>
      <w:r w:rsidRPr="003077BD">
        <w:rPr>
          <w:rFonts w:ascii="Georgia" w:eastAsia="Times New Roman" w:hAnsi="Georgia" w:cs="Arial"/>
          <w:lang w:val="en-US" w:eastAsia="de-DE"/>
        </w:rPr>
        <w:t xml:space="preserve">  answer</w:t>
      </w:r>
      <w:proofErr w:type="gramEnd"/>
      <w:r w:rsidRPr="003077BD">
        <w:rPr>
          <w:rFonts w:ascii="Georgia" w:eastAsia="Times New Roman" w:hAnsi="Georgia" w:cs="Arial"/>
          <w:lang w:val="en-US" w:eastAsia="de-DE"/>
        </w:rPr>
        <w:t xml:space="preserve"> to Q15. </w:t>
      </w:r>
    </w:p>
    <w:p w:rsidR="00BC7ECC" w:rsidRPr="003077BD" w:rsidRDefault="00BC7ECC" w:rsidP="003077BD">
      <w:pPr>
        <w:autoSpaceDE w:val="0"/>
        <w:autoSpaceDN w:val="0"/>
        <w:adjustRightInd w:val="0"/>
        <w:jc w:val="both"/>
        <w:rPr>
          <w:rFonts w:ascii="Georgia" w:eastAsia="Times New Roman" w:hAnsi="Georgia" w:cs="Arial"/>
          <w:b/>
          <w:bCs/>
          <w:lang w:val="en-US" w:eastAsia="de-DE"/>
        </w:rPr>
      </w:pP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&lt;ESMA_UCITS_QUESTION_13&gt;</w:t>
      </w:r>
    </w:p>
    <w:p w:rsidR="00BC7ECC" w:rsidRPr="003077BD" w:rsidRDefault="00BC7ECC" w:rsidP="003077BD">
      <w:pPr>
        <w:jc w:val="both"/>
        <w:rPr>
          <w:rFonts w:ascii="Georgia" w:eastAsia="Times New Roman" w:hAnsi="Georgia"/>
          <w:lang w:eastAsia="de-DE"/>
        </w:rPr>
      </w:pPr>
    </w:p>
    <w:p w:rsidR="00BC7ECC" w:rsidRPr="003077BD" w:rsidRDefault="00BC7ECC" w:rsidP="003077BD">
      <w:pPr>
        <w:numPr>
          <w:ilvl w:val="0"/>
          <w:numId w:val="1"/>
        </w:numPr>
        <w:spacing w:after="250"/>
        <w:jc w:val="both"/>
        <w:outlineLvl w:val="4"/>
        <w:rPr>
          <w:rFonts w:ascii="Georgia" w:eastAsia="Times New Roman" w:hAnsi="Georgia"/>
          <w:b/>
          <w:lang w:eastAsia="de-DE"/>
        </w:rPr>
      </w:pPr>
      <w:r w:rsidRPr="003077BD">
        <w:rPr>
          <w:rFonts w:ascii="Georgia" w:eastAsia="Times New Roman" w:hAnsi="Georgia"/>
          <w:b/>
          <w:lang w:eastAsia="de-DE"/>
        </w:rPr>
        <w:t xml:space="preserve">Do you consider that any additional links should be taken into account such as, for instance, the existence of any contractual commitment or other </w:t>
      </w:r>
      <w:proofErr w:type="gramStart"/>
      <w:r w:rsidRPr="003077BD">
        <w:rPr>
          <w:rFonts w:ascii="Georgia" w:eastAsia="Times New Roman" w:hAnsi="Georgia"/>
          <w:b/>
          <w:lang w:eastAsia="de-DE"/>
        </w:rPr>
        <w:t>relationship which</w:t>
      </w:r>
      <w:proofErr w:type="gramEnd"/>
      <w:r w:rsidRPr="003077BD">
        <w:rPr>
          <w:rFonts w:ascii="Georgia" w:eastAsia="Times New Roman" w:hAnsi="Georgia"/>
          <w:b/>
          <w:lang w:eastAsia="de-DE"/>
        </w:rPr>
        <w:t xml:space="preserve"> would affect the independence of the Relevant Entities? If yes, please provide details.</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&lt;ESMA_UCITS_QUESTION_14&gt;</w:t>
      </w:r>
    </w:p>
    <w:p w:rsidR="00BC7ECC" w:rsidRPr="00B6034D" w:rsidRDefault="00BC7ECC" w:rsidP="003077BD">
      <w:pPr>
        <w:pStyle w:val="CommentText"/>
        <w:spacing w:line="276" w:lineRule="auto"/>
        <w:jc w:val="both"/>
        <w:rPr>
          <w:sz w:val="22"/>
          <w:szCs w:val="22"/>
        </w:rPr>
      </w:pPr>
      <w:r w:rsidRPr="00B6034D">
        <w:rPr>
          <w:sz w:val="22"/>
          <w:szCs w:val="22"/>
        </w:rPr>
        <w:t>ADEPO does not consider any additional links to be contemplated.</w:t>
      </w:r>
    </w:p>
    <w:p w:rsidR="00BC7ECC" w:rsidRPr="00B6034D" w:rsidRDefault="00BC7ECC" w:rsidP="003077BD">
      <w:pPr>
        <w:pStyle w:val="CommentText"/>
        <w:spacing w:line="276" w:lineRule="auto"/>
        <w:jc w:val="both"/>
        <w:rPr>
          <w:sz w:val="22"/>
          <w:szCs w:val="22"/>
        </w:rPr>
      </w:pP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&lt;ESMA_UCITS_QUESTION_14&gt;</w:t>
      </w:r>
    </w:p>
    <w:p w:rsidR="00BC7ECC" w:rsidRPr="003077BD" w:rsidRDefault="00BC7ECC" w:rsidP="003077BD">
      <w:pPr>
        <w:jc w:val="both"/>
        <w:rPr>
          <w:rFonts w:ascii="Georgia" w:eastAsia="Times New Roman" w:hAnsi="Georgia"/>
          <w:lang w:eastAsia="de-DE"/>
        </w:rPr>
      </w:pPr>
    </w:p>
    <w:p w:rsidR="00BC7ECC" w:rsidRPr="003077BD" w:rsidRDefault="00BC7ECC" w:rsidP="003077BD">
      <w:pPr>
        <w:numPr>
          <w:ilvl w:val="0"/>
          <w:numId w:val="1"/>
        </w:numPr>
        <w:spacing w:after="250"/>
        <w:jc w:val="both"/>
        <w:outlineLvl w:val="4"/>
        <w:rPr>
          <w:rFonts w:ascii="Georgia" w:eastAsia="Times New Roman" w:hAnsi="Georgia"/>
          <w:b/>
          <w:lang w:eastAsia="de-DE"/>
        </w:rPr>
      </w:pPr>
      <w:r w:rsidRPr="003077BD">
        <w:rPr>
          <w:rFonts w:ascii="Georgia" w:eastAsia="Times New Roman" w:hAnsi="Georgia"/>
          <w:b/>
          <w:lang w:eastAsia="de-DE"/>
        </w:rPr>
        <w:t>Do you consider that the cumulative presence of all or some of the identified links is necessary to jeopardise the independence of the Relevant Entities or the presence of any of these links is sufficient to determine a lack of independence?</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&lt;ESMA_UCITS_QUESTION_15&gt;</w:t>
      </w:r>
    </w:p>
    <w:p w:rsidR="00651755" w:rsidRPr="00B6034D" w:rsidRDefault="00BC7ECC" w:rsidP="003077BD">
      <w:pPr>
        <w:jc w:val="both"/>
        <w:rPr>
          <w:rFonts w:ascii="Georgia" w:hAnsi="Georgia" w:cs="Arial"/>
          <w:b/>
          <w:bCs/>
          <w:color w:val="FF0000"/>
        </w:rPr>
      </w:pPr>
      <w:r w:rsidRPr="003077BD">
        <w:rPr>
          <w:rFonts w:ascii="Georgia" w:eastAsia="Times New Roman" w:hAnsi="Georgia" w:cs="Arial"/>
          <w:lang w:val="en-US" w:eastAsia="de-DE"/>
        </w:rPr>
        <w:t xml:space="preserve">ADEPO thinks that a certain level of common management/supervision, may to a certain extent, </w:t>
      </w:r>
      <w:r w:rsidRPr="003077BD">
        <w:rPr>
          <w:rFonts w:ascii="Georgia" w:eastAsia="Times New Roman" w:hAnsi="Georgia" w:cs="Arial"/>
          <w:bCs/>
          <w:lang w:val="en-US" w:eastAsia="de-DE"/>
        </w:rPr>
        <w:t xml:space="preserve">interfere with the independence of the Relevant Entities. </w:t>
      </w:r>
      <w:r w:rsidR="00FD42E7" w:rsidRPr="003077BD">
        <w:rPr>
          <w:rFonts w:ascii="Georgia" w:hAnsi="Georgia" w:cs="Arial"/>
          <w:bCs/>
        </w:rPr>
        <w:t>However</w:t>
      </w:r>
      <w:proofErr w:type="gramStart"/>
      <w:r w:rsidR="00B6034D">
        <w:rPr>
          <w:rFonts w:ascii="Georgia" w:hAnsi="Georgia" w:cs="Arial"/>
          <w:bCs/>
        </w:rPr>
        <w:t>,</w:t>
      </w:r>
      <w:r w:rsidR="00FD42E7" w:rsidRPr="003077BD">
        <w:rPr>
          <w:rFonts w:ascii="Georgia" w:hAnsi="Georgia" w:cs="Arial"/>
          <w:bCs/>
        </w:rPr>
        <w:t xml:space="preserve">  the</w:t>
      </w:r>
      <w:proofErr w:type="gramEnd"/>
      <w:r w:rsidR="00FD42E7" w:rsidRPr="003077BD">
        <w:rPr>
          <w:rFonts w:ascii="Georgia" w:hAnsi="Georgia" w:cs="Arial"/>
          <w:bCs/>
        </w:rPr>
        <w:t xml:space="preserve"> conflict </w:t>
      </w:r>
      <w:r w:rsidR="00FD42E7" w:rsidRPr="003077BD">
        <w:rPr>
          <w:rFonts w:ascii="Georgia" w:hAnsi="Georgia" w:cs="Arial"/>
          <w:bCs/>
          <w:color w:val="FF0000"/>
        </w:rPr>
        <w:t> </w:t>
      </w:r>
      <w:r w:rsidR="00FD42E7" w:rsidRPr="003077BD">
        <w:rPr>
          <w:rFonts w:ascii="Georgia" w:hAnsi="Georgia" w:cs="Arial"/>
          <w:bCs/>
        </w:rPr>
        <w:t>with other legislative provisions (corporate governance measures provided by national, and with Art. 91 (4) of CRD IV Directive)  will have to be addressed</w:t>
      </w:r>
      <w:r w:rsidR="00651755" w:rsidRPr="003077BD">
        <w:rPr>
          <w:rFonts w:ascii="Georgia" w:hAnsi="Georgia" w:cs="Arial"/>
          <w:b/>
          <w:bCs/>
        </w:rPr>
        <w:t>.</w:t>
      </w:r>
    </w:p>
    <w:p w:rsidR="00FD42E7" w:rsidRPr="003077BD" w:rsidRDefault="00FD42E7" w:rsidP="003077BD">
      <w:pPr>
        <w:jc w:val="both"/>
        <w:rPr>
          <w:rFonts w:ascii="Georgia" w:hAnsi="Georgia" w:cs="Arial"/>
          <w:b/>
          <w:bCs/>
          <w:color w:val="FF0000"/>
        </w:rPr>
      </w:pPr>
      <w:r w:rsidRPr="003077BD">
        <w:rPr>
          <w:rFonts w:ascii="Georgia" w:hAnsi="Georgia" w:cs="Arial"/>
          <w:b/>
          <w:bCs/>
          <w:color w:val="FF0000"/>
        </w:rPr>
        <w:t xml:space="preserve"> </w:t>
      </w:r>
    </w:p>
    <w:p w:rsidR="00BC7ECC" w:rsidRDefault="00BC7ECC" w:rsidP="003077BD">
      <w:pPr>
        <w:jc w:val="both"/>
        <w:rPr>
          <w:rFonts w:ascii="Georgia" w:hAnsi="Georgia"/>
          <w:bCs/>
          <w:lang w:val="en-US"/>
        </w:rPr>
      </w:pPr>
      <w:r w:rsidRPr="003077BD">
        <w:rPr>
          <w:rFonts w:ascii="Georgia" w:eastAsia="Times New Roman" w:hAnsi="Georgia" w:cs="Arial"/>
          <w:bCs/>
          <w:lang w:val="en-US" w:eastAsia="de-DE"/>
        </w:rPr>
        <w:t>In contrast</w:t>
      </w:r>
      <w:r w:rsidR="00651755" w:rsidRPr="00B6034D">
        <w:rPr>
          <w:rFonts w:ascii="Georgia" w:eastAsia="Times New Roman" w:hAnsi="Georgia" w:cs="Arial"/>
          <w:bCs/>
          <w:lang w:val="en-US" w:eastAsia="de-DE"/>
        </w:rPr>
        <w:t>,</w:t>
      </w:r>
      <w:r w:rsidR="003077BD">
        <w:rPr>
          <w:rFonts w:ascii="Georgia" w:eastAsia="Times New Roman" w:hAnsi="Georgia" w:cs="Arial"/>
          <w:bCs/>
          <w:lang w:val="en-US" w:eastAsia="de-DE"/>
        </w:rPr>
        <w:t xml:space="preserve"> ADEPO </w:t>
      </w:r>
      <w:r w:rsidRPr="003077BD">
        <w:rPr>
          <w:rFonts w:ascii="Georgia" w:hAnsi="Georgia"/>
          <w:bCs/>
          <w:lang w:val="en-US"/>
        </w:rPr>
        <w:t xml:space="preserve">believes the </w:t>
      </w:r>
      <w:r w:rsidRPr="003077BD">
        <w:rPr>
          <w:rFonts w:ascii="Georgia" w:hAnsi="Georgia"/>
          <w:lang w:val="en-US"/>
        </w:rPr>
        <w:t xml:space="preserve">cross-shareholdings/group inclusion </w:t>
      </w:r>
      <w:r w:rsidRPr="003077BD">
        <w:rPr>
          <w:rFonts w:ascii="Georgia" w:hAnsi="Georgia"/>
          <w:bCs/>
          <w:lang w:val="en-US"/>
        </w:rPr>
        <w:t>links cannot pre determine a lack of independence of the Relevant Entities.</w:t>
      </w:r>
      <w:r w:rsidRPr="003077BD">
        <w:rPr>
          <w:rFonts w:ascii="Georgia" w:hAnsi="Georgia"/>
          <w:b/>
          <w:bCs/>
          <w:lang w:val="en-US"/>
        </w:rPr>
        <w:t xml:space="preserve"> </w:t>
      </w:r>
      <w:r w:rsidRPr="003077BD">
        <w:rPr>
          <w:rFonts w:ascii="Georgia" w:hAnsi="Georgia"/>
          <w:bCs/>
          <w:lang w:val="en-US"/>
        </w:rPr>
        <w:t xml:space="preserve">Potential conflicts are mitigated </w:t>
      </w:r>
      <w:r w:rsidRPr="003077BD">
        <w:rPr>
          <w:rFonts w:ascii="Georgia" w:hAnsi="Georgia"/>
          <w:bCs/>
        </w:rPr>
        <w:t xml:space="preserve">by means of </w:t>
      </w:r>
      <w:r w:rsidRPr="003077BD">
        <w:rPr>
          <w:rFonts w:ascii="Georgia" w:hAnsi="Georgia"/>
          <w:bCs/>
          <w:lang w:val="en-US"/>
        </w:rPr>
        <w:t xml:space="preserve">functional and hierarchical separation of performance of the depositary function (tasks) from other potential conflicting tasks. Furthermore, whenever potential conflicts of interests are identified they are managed, monitored and adequately disclosed to </w:t>
      </w:r>
      <w:proofErr w:type="spellStart"/>
      <w:r w:rsidRPr="003077BD">
        <w:rPr>
          <w:rFonts w:ascii="Georgia" w:hAnsi="Georgia"/>
          <w:bCs/>
          <w:lang w:val="en-US"/>
        </w:rPr>
        <w:t>unitholders</w:t>
      </w:r>
      <w:proofErr w:type="spellEnd"/>
      <w:r w:rsidRPr="003077BD">
        <w:rPr>
          <w:rFonts w:ascii="Georgia" w:hAnsi="Georgia"/>
          <w:bCs/>
          <w:lang w:val="en-US"/>
        </w:rPr>
        <w:t xml:space="preserve"> via the prospectus of the UCITS or by other means.</w:t>
      </w:r>
    </w:p>
    <w:p w:rsidR="00651755" w:rsidRPr="003077BD" w:rsidRDefault="00651755" w:rsidP="003077BD">
      <w:pPr>
        <w:jc w:val="both"/>
        <w:rPr>
          <w:rFonts w:ascii="Georgia" w:hAnsi="Georgia" w:cs="Arial"/>
          <w:b/>
          <w:bCs/>
          <w:color w:val="FF0000"/>
        </w:rPr>
      </w:pP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&lt;ESMA_UCITS_QUESTION_15&gt;</w:t>
      </w:r>
    </w:p>
    <w:p w:rsidR="00BC7ECC" w:rsidRPr="003077BD" w:rsidRDefault="00BC7ECC" w:rsidP="003077BD">
      <w:pPr>
        <w:jc w:val="both"/>
        <w:rPr>
          <w:rFonts w:ascii="Georgia" w:eastAsia="Times New Roman" w:hAnsi="Georgia"/>
          <w:lang w:eastAsia="de-DE"/>
        </w:rPr>
      </w:pPr>
    </w:p>
    <w:p w:rsidR="00BC7ECC" w:rsidRPr="003077BD" w:rsidRDefault="00BC7ECC" w:rsidP="003077BD">
      <w:pPr>
        <w:numPr>
          <w:ilvl w:val="0"/>
          <w:numId w:val="1"/>
        </w:numPr>
        <w:spacing w:after="250"/>
        <w:jc w:val="both"/>
        <w:outlineLvl w:val="4"/>
        <w:rPr>
          <w:rFonts w:ascii="Georgia" w:eastAsia="Times New Roman" w:hAnsi="Georgia"/>
          <w:b/>
          <w:lang w:eastAsia="de-DE"/>
        </w:rPr>
      </w:pPr>
      <w:r w:rsidRPr="003077BD">
        <w:rPr>
          <w:rFonts w:ascii="Georgia" w:eastAsia="Times New Roman" w:hAnsi="Georgia"/>
          <w:b/>
          <w:lang w:eastAsia="de-DE"/>
        </w:rPr>
        <w:t xml:space="preserve">Do you agree with the proposed option to ensure the separation of the management bodies/bodies in charge of the supervisory functions of the Relevant Entities? </w:t>
      </w:r>
    </w:p>
    <w:p w:rsidR="00BC7ECC" w:rsidRPr="003077BD" w:rsidRDefault="00BC7ECC" w:rsidP="00FD42E7">
      <w:pPr>
        <w:spacing w:after="250"/>
        <w:jc w:val="both"/>
        <w:outlineLvl w:val="4"/>
        <w:rPr>
          <w:rFonts w:ascii="Georgia" w:eastAsia="Times New Roman" w:hAnsi="Georgia"/>
          <w:b/>
          <w:lang w:eastAsia="de-DE"/>
        </w:rPr>
      </w:pPr>
      <w:r w:rsidRPr="003077BD">
        <w:rPr>
          <w:rFonts w:ascii="Georgia" w:eastAsia="Times New Roman" w:hAnsi="Georgia"/>
          <w:b/>
          <w:lang w:eastAsia="de-DE"/>
        </w:rPr>
        <w:t>Do you have any alternative options to suggest, taking into account those identified under paragraph 47?</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&lt;ESMA_UCITS_QUESTION_16&gt;</w:t>
      </w:r>
    </w:p>
    <w:p w:rsidR="00BC7ECC" w:rsidRPr="003077BD" w:rsidRDefault="00BC7ECC" w:rsidP="003077BD">
      <w:pPr>
        <w:autoSpaceDE w:val="0"/>
        <w:autoSpaceDN w:val="0"/>
        <w:adjustRightInd w:val="0"/>
        <w:jc w:val="both"/>
        <w:rPr>
          <w:rFonts w:ascii="Georgia" w:eastAsia="Times New Roman" w:hAnsi="Georgia" w:cs="Arial"/>
          <w:lang w:val="en-US" w:eastAsia="de-DE"/>
        </w:rPr>
      </w:pPr>
      <w:r w:rsidRPr="003077BD">
        <w:rPr>
          <w:rFonts w:ascii="Georgia" w:eastAsia="Times New Roman" w:hAnsi="Georgia" w:cs="Arial"/>
          <w:lang w:val="en-US" w:eastAsia="de-DE"/>
        </w:rPr>
        <w:t xml:space="preserve">ADEPO </w:t>
      </w:r>
      <w:r w:rsidR="00651755" w:rsidRPr="00651755">
        <w:rPr>
          <w:rFonts w:ascii="Georgia" w:eastAsia="Times New Roman" w:hAnsi="Georgia" w:cs="Arial"/>
          <w:lang w:val="en-US" w:eastAsia="de-DE"/>
        </w:rPr>
        <w:t>agrees with</w:t>
      </w:r>
      <w:r w:rsidRPr="003077BD">
        <w:rPr>
          <w:rFonts w:ascii="Georgia" w:eastAsia="Times New Roman" w:hAnsi="Georgia" w:cs="Arial"/>
          <w:lang w:val="en-US" w:eastAsia="de-DE"/>
        </w:rPr>
        <w:t xml:space="preserve"> the proposed option </w:t>
      </w:r>
      <w:r w:rsidR="000E2AF6">
        <w:rPr>
          <w:rFonts w:ascii="Georgia" w:eastAsia="Times New Roman" w:hAnsi="Georgia" w:cs="Arial"/>
          <w:lang w:val="en-US" w:eastAsia="de-DE"/>
        </w:rPr>
        <w:t xml:space="preserve">in order </w:t>
      </w:r>
      <w:r w:rsidRPr="003077BD">
        <w:rPr>
          <w:rFonts w:ascii="Georgia" w:eastAsia="Times New Roman" w:hAnsi="Georgia" w:cs="Arial"/>
          <w:lang w:val="en-US" w:eastAsia="de-DE"/>
        </w:rPr>
        <w:t>to ensure the separation of the management bodies/bodies in charge of the supervisory functions of each entity by prohibiting any member of the management body of one of the relevant entities from also being a member of the management body or employee of the other relevant entity.</w:t>
      </w:r>
      <w:r w:rsidR="003077BD">
        <w:rPr>
          <w:rFonts w:ascii="Georgia" w:eastAsia="Times New Roman" w:hAnsi="Georgia" w:cs="Arial"/>
          <w:lang w:val="en-US" w:eastAsia="de-DE"/>
        </w:rPr>
        <w:t xml:space="preserve"> In addition ADEPO</w:t>
      </w:r>
      <w:r w:rsidR="00FD42E7" w:rsidRPr="00FD42E7">
        <w:rPr>
          <w:rFonts w:ascii="Georgia" w:eastAsia="Times New Roman" w:hAnsi="Georgia" w:cs="Arial"/>
          <w:lang w:val="en-US" w:eastAsia="de-DE"/>
        </w:rPr>
        <w:t xml:space="preserve"> believes that ESMA should avoid to fix any percentage which could result in contrast with other existing legislative regulation on corporate governance </w:t>
      </w:r>
      <w:proofErr w:type="gramStart"/>
      <w:r w:rsidR="00FD42E7" w:rsidRPr="00FD42E7">
        <w:rPr>
          <w:rFonts w:ascii="Georgia" w:eastAsia="Times New Roman" w:hAnsi="Georgia" w:cs="Arial"/>
          <w:lang w:val="en-US" w:eastAsia="de-DE"/>
        </w:rPr>
        <w:t>( included</w:t>
      </w:r>
      <w:proofErr w:type="gramEnd"/>
      <w:r w:rsidR="00FD42E7" w:rsidRPr="00FD42E7">
        <w:rPr>
          <w:rFonts w:ascii="Georgia" w:eastAsia="Times New Roman" w:hAnsi="Georgia" w:cs="Arial"/>
          <w:lang w:val="en-US" w:eastAsia="de-DE"/>
        </w:rPr>
        <w:t xml:space="preserve"> Art. 91 (4) of CRD IV Directive).</w:t>
      </w:r>
    </w:p>
    <w:p w:rsidR="00BC7ECC" w:rsidRPr="003077BD" w:rsidRDefault="00BC7ECC" w:rsidP="003077BD">
      <w:pPr>
        <w:autoSpaceDE w:val="0"/>
        <w:autoSpaceDN w:val="0"/>
        <w:adjustRightInd w:val="0"/>
        <w:jc w:val="both"/>
        <w:rPr>
          <w:rFonts w:ascii="Georgia" w:eastAsia="Times New Roman" w:hAnsi="Georgia" w:cs="Arial"/>
          <w:lang w:val="en-US" w:eastAsia="de-DE"/>
        </w:rPr>
      </w:pP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&lt;ESMA_UCITS_QUESTION_16&gt;</w:t>
      </w:r>
    </w:p>
    <w:p w:rsidR="00BC7ECC" w:rsidRPr="003077BD" w:rsidRDefault="00BC7ECC" w:rsidP="003077BD">
      <w:pPr>
        <w:jc w:val="both"/>
        <w:rPr>
          <w:rFonts w:ascii="Georgia" w:eastAsia="Times New Roman" w:hAnsi="Georgia"/>
          <w:lang w:eastAsia="de-DE"/>
        </w:rPr>
      </w:pPr>
    </w:p>
    <w:p w:rsidR="00BC7ECC" w:rsidRPr="003077BD" w:rsidRDefault="00BC7ECC" w:rsidP="003077BD">
      <w:pPr>
        <w:numPr>
          <w:ilvl w:val="0"/>
          <w:numId w:val="1"/>
        </w:numPr>
        <w:spacing w:after="250"/>
        <w:jc w:val="both"/>
        <w:outlineLvl w:val="4"/>
        <w:rPr>
          <w:rFonts w:ascii="Georgia" w:eastAsia="Times New Roman" w:hAnsi="Georgia"/>
          <w:b/>
          <w:lang w:eastAsia="de-DE"/>
        </w:rPr>
      </w:pPr>
      <w:r w:rsidRPr="003077BD">
        <w:rPr>
          <w:rFonts w:ascii="Georgia" w:eastAsia="Times New Roman" w:hAnsi="Georgia"/>
          <w:b/>
          <w:lang w:eastAsia="de-DE"/>
        </w:rPr>
        <w:t>Do you consider that the cap of one third of members of the body in charge of the supervisory functions of one of the Relevant Entities to also be members of the management body, the body in charge of the supervisory functions or employees of the other Relevant Entity is appropriate?</w:t>
      </w:r>
      <w:r w:rsidRPr="00FD42E7">
        <w:rPr>
          <w:rFonts w:ascii="Georgia" w:eastAsia="Times New Roman" w:hAnsi="Georgia"/>
          <w:b/>
          <w:lang w:eastAsia="de-DE"/>
        </w:rPr>
        <w:t xml:space="preserve"> </w:t>
      </w:r>
      <w:r w:rsidRPr="003077BD">
        <w:rPr>
          <w:rFonts w:ascii="Georgia" w:eastAsia="Times New Roman" w:hAnsi="Georgia"/>
          <w:b/>
          <w:lang w:eastAsia="de-DE"/>
        </w:rPr>
        <w:t>Would you suggest any alternative percentage? If yes, please provide the reasons why.</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&lt;ESMA_UCITS_QUESTION_17&gt;</w:t>
      </w:r>
    </w:p>
    <w:p w:rsidR="00BC7ECC" w:rsidRPr="003077BD" w:rsidRDefault="003077BD" w:rsidP="003077BD">
      <w:pPr>
        <w:autoSpaceDE w:val="0"/>
        <w:autoSpaceDN w:val="0"/>
        <w:adjustRightInd w:val="0"/>
        <w:jc w:val="both"/>
        <w:rPr>
          <w:rFonts w:ascii="Georgia" w:eastAsia="Times New Roman" w:hAnsi="Georgia" w:cs="Arial"/>
          <w:b/>
          <w:bCs/>
          <w:color w:val="FF0000"/>
          <w:lang w:val="en-US" w:eastAsia="de-DE"/>
        </w:rPr>
      </w:pPr>
      <w:r>
        <w:rPr>
          <w:rFonts w:ascii="Georgia" w:eastAsia="Times New Roman" w:hAnsi="Georgia" w:cs="Arial"/>
          <w:lang w:val="en-US" w:eastAsia="de-DE"/>
        </w:rPr>
        <w:t>ADEPO believes</w:t>
      </w:r>
      <w:r w:rsidR="00BC7ECC" w:rsidRPr="003077BD">
        <w:rPr>
          <w:rFonts w:ascii="Georgia" w:eastAsia="Times New Roman" w:hAnsi="Georgia" w:cs="Arial"/>
          <w:lang w:val="en-US" w:eastAsia="de-DE"/>
        </w:rPr>
        <w:t xml:space="preserve"> that –although as set out below Spanish</w:t>
      </w:r>
      <w:r>
        <w:rPr>
          <w:rFonts w:ascii="Georgia" w:eastAsia="Times New Roman" w:hAnsi="Georgia" w:cs="Arial"/>
          <w:lang w:val="en-US" w:eastAsia="de-DE"/>
        </w:rPr>
        <w:t xml:space="preserve"> binding</w:t>
      </w:r>
      <w:r w:rsidR="00BC7ECC" w:rsidRPr="003077BD">
        <w:rPr>
          <w:rFonts w:ascii="Georgia" w:eastAsia="Times New Roman" w:hAnsi="Georgia" w:cs="Arial"/>
          <w:lang w:val="en-US" w:eastAsia="de-DE"/>
        </w:rPr>
        <w:t xml:space="preserve"> regime is far more demanding-there should be a cap which should not be higher than the</w:t>
      </w:r>
      <w:r w:rsidR="00BC7ECC" w:rsidRPr="003077BD">
        <w:rPr>
          <w:rFonts w:ascii="Georgia" w:eastAsia="Times New Roman" w:hAnsi="Georgia" w:cs="Arial"/>
          <w:bCs/>
          <w:lang w:val="en-US" w:eastAsia="de-DE"/>
        </w:rPr>
        <w:t xml:space="preserve"> cap of one third of members of the body in charge of the supervisory functions of one of the Relevant Entities to also be members of the management body, the body in charge of the supervisory functions or employees of the other Relevant entity. </w:t>
      </w:r>
    </w:p>
    <w:p w:rsidR="00BC7ECC" w:rsidRPr="003077BD" w:rsidRDefault="00BC7ECC" w:rsidP="003077BD">
      <w:pPr>
        <w:autoSpaceDE w:val="0"/>
        <w:autoSpaceDN w:val="0"/>
        <w:adjustRightInd w:val="0"/>
        <w:jc w:val="both"/>
        <w:rPr>
          <w:rFonts w:ascii="Georgia" w:eastAsia="Times New Roman" w:hAnsi="Georgia" w:cs="Arial"/>
          <w:lang w:val="en-US" w:eastAsia="de-DE"/>
        </w:rPr>
      </w:pPr>
      <w:r w:rsidRPr="003077BD">
        <w:rPr>
          <w:rFonts w:ascii="Georgia" w:eastAsia="Times New Roman" w:hAnsi="Georgia" w:cs="Arial"/>
          <w:lang w:val="en-US" w:eastAsia="de-DE"/>
        </w:rPr>
        <w:t xml:space="preserve"> </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&lt;ESMA_UCITS_QUESTION_17&gt;</w:t>
      </w:r>
    </w:p>
    <w:p w:rsidR="00BC7ECC" w:rsidRPr="003077BD" w:rsidRDefault="00BC7ECC" w:rsidP="003077BD">
      <w:pPr>
        <w:jc w:val="both"/>
        <w:rPr>
          <w:rFonts w:ascii="Georgia" w:eastAsia="Times New Roman" w:hAnsi="Georgia"/>
          <w:lang w:eastAsia="de-DE"/>
        </w:rPr>
      </w:pPr>
    </w:p>
    <w:p w:rsidR="00BC7ECC" w:rsidRPr="003077BD" w:rsidRDefault="00BC7ECC" w:rsidP="003077BD">
      <w:pPr>
        <w:numPr>
          <w:ilvl w:val="0"/>
          <w:numId w:val="1"/>
        </w:numPr>
        <w:spacing w:after="250"/>
        <w:jc w:val="both"/>
        <w:outlineLvl w:val="4"/>
        <w:rPr>
          <w:rFonts w:ascii="Georgia" w:eastAsia="Times New Roman" w:hAnsi="Georgia"/>
          <w:b/>
          <w:lang w:eastAsia="de-DE"/>
        </w:rPr>
      </w:pPr>
      <w:r w:rsidRPr="003077BD">
        <w:rPr>
          <w:rFonts w:ascii="Georgia" w:eastAsia="Times New Roman" w:hAnsi="Georgia"/>
          <w:b/>
          <w:lang w:eastAsia="de-DE"/>
        </w:rPr>
        <w:t>Do you have knowledge of any restructuring in the composition of the management bodies/bodies in charge of the supervisory functions of any Relevant Entities that would be triggered by the identified option? If yes, please provide data and an estimation of the one-off and ongoing costs that would be incurred.</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&lt;ESMA_UCITS_QUESTION_18&gt;</w:t>
      </w:r>
    </w:p>
    <w:p w:rsidR="00BC7ECC" w:rsidRPr="003077BD" w:rsidRDefault="00BC7ECC" w:rsidP="003077BD">
      <w:pPr>
        <w:autoSpaceDE w:val="0"/>
        <w:autoSpaceDN w:val="0"/>
        <w:adjustRightInd w:val="0"/>
        <w:jc w:val="both"/>
        <w:rPr>
          <w:rFonts w:ascii="Georgia" w:eastAsia="Times New Roman" w:hAnsi="Georgia" w:cs="Arial"/>
          <w:b/>
          <w:bCs/>
          <w:color w:val="FF0000"/>
          <w:lang w:val="en-US" w:eastAsia="de-DE"/>
        </w:rPr>
      </w:pPr>
      <w:r w:rsidRPr="003077BD">
        <w:rPr>
          <w:rFonts w:ascii="Georgia" w:eastAsia="Times New Roman" w:hAnsi="Georgia" w:cs="Arial"/>
          <w:bCs/>
          <w:lang w:val="en-US" w:eastAsia="de-DE"/>
        </w:rPr>
        <w:t xml:space="preserve">ADEPO has no </w:t>
      </w:r>
      <w:r w:rsidR="00150827" w:rsidRPr="00150827">
        <w:rPr>
          <w:rFonts w:ascii="Georgia" w:eastAsia="Times New Roman" w:hAnsi="Georgia" w:cs="Arial"/>
          <w:bCs/>
          <w:lang w:val="en-US" w:eastAsia="de-DE"/>
        </w:rPr>
        <w:t>knowledge</w:t>
      </w:r>
      <w:r w:rsidR="00150827">
        <w:rPr>
          <w:rFonts w:ascii="Georgia" w:eastAsia="Times New Roman" w:hAnsi="Georgia" w:cs="Arial"/>
          <w:bCs/>
          <w:lang w:val="en-US" w:eastAsia="de-DE"/>
        </w:rPr>
        <w:t xml:space="preserve"> about this</w:t>
      </w:r>
      <w:r w:rsidR="00150827" w:rsidRPr="00150827">
        <w:rPr>
          <w:rFonts w:ascii="Georgia" w:eastAsia="Times New Roman" w:hAnsi="Georgia" w:cs="Arial"/>
          <w:bCs/>
          <w:lang w:val="en-US" w:eastAsia="de-DE"/>
        </w:rPr>
        <w:t>.</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&lt;ESMA_UCITS_QUESTION_18&gt;</w:t>
      </w:r>
    </w:p>
    <w:p w:rsidR="00BC7ECC" w:rsidRPr="003077BD" w:rsidRDefault="00BC7ECC" w:rsidP="003077BD">
      <w:pPr>
        <w:jc w:val="both"/>
        <w:rPr>
          <w:rFonts w:ascii="Georgia" w:eastAsia="Times New Roman" w:hAnsi="Georgia"/>
          <w:lang w:eastAsia="de-DE"/>
        </w:rPr>
      </w:pPr>
    </w:p>
    <w:p w:rsidR="00BC7ECC" w:rsidRPr="003077BD" w:rsidRDefault="00BC7ECC" w:rsidP="003077BD">
      <w:pPr>
        <w:numPr>
          <w:ilvl w:val="0"/>
          <w:numId w:val="1"/>
        </w:numPr>
        <w:spacing w:after="250"/>
        <w:jc w:val="both"/>
        <w:outlineLvl w:val="4"/>
        <w:rPr>
          <w:rFonts w:ascii="Georgia" w:eastAsia="Times New Roman" w:hAnsi="Georgia"/>
          <w:b/>
          <w:lang w:eastAsia="de-DE"/>
        </w:rPr>
      </w:pPr>
      <w:r w:rsidRPr="003077BD">
        <w:rPr>
          <w:rFonts w:ascii="Georgia" w:eastAsia="Times New Roman" w:hAnsi="Georgia"/>
          <w:b/>
          <w:lang w:eastAsia="de-DE"/>
        </w:rPr>
        <w:t>Which of the two identified options do you prefer? Would you suggest any alternative option? If yes, please provide details.</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&lt;ESMA_UCITS_QUESTION_19&gt;</w:t>
      </w:r>
    </w:p>
    <w:p w:rsidR="00BC7ECC" w:rsidRPr="003077BD" w:rsidRDefault="00BC7ECC" w:rsidP="003077BD">
      <w:pPr>
        <w:autoSpaceDE w:val="0"/>
        <w:autoSpaceDN w:val="0"/>
        <w:adjustRightInd w:val="0"/>
        <w:jc w:val="both"/>
        <w:rPr>
          <w:rFonts w:ascii="Georgia" w:eastAsia="Times New Roman" w:hAnsi="Georgia" w:cs="Arial"/>
          <w:lang w:val="en-US" w:eastAsia="de-DE"/>
        </w:rPr>
      </w:pPr>
      <w:r w:rsidRPr="003077BD">
        <w:rPr>
          <w:rFonts w:ascii="Georgia" w:eastAsia="Times New Roman" w:hAnsi="Georgia" w:cs="Arial"/>
          <w:lang w:val="en-US" w:eastAsia="de-DE"/>
        </w:rPr>
        <w:t xml:space="preserve">ADEPO </w:t>
      </w:r>
      <w:r w:rsidR="003077BD">
        <w:rPr>
          <w:rFonts w:ascii="Georgia" w:eastAsia="Times New Roman" w:hAnsi="Georgia" w:cs="Arial"/>
          <w:lang w:val="en-US" w:eastAsia="de-DE"/>
        </w:rPr>
        <w:t xml:space="preserve">  finds </w:t>
      </w:r>
      <w:r w:rsidRPr="003077BD">
        <w:rPr>
          <w:rFonts w:ascii="Georgia" w:eastAsia="Times New Roman" w:hAnsi="Georgia" w:cs="Arial"/>
          <w:lang w:val="en-US" w:eastAsia="de-DE"/>
        </w:rPr>
        <w:t>option 1 unaccep</w:t>
      </w:r>
      <w:r w:rsidR="003077BD">
        <w:rPr>
          <w:rFonts w:ascii="Georgia" w:eastAsia="Times New Roman" w:hAnsi="Georgia" w:cs="Arial"/>
          <w:lang w:val="en-US" w:eastAsia="de-DE"/>
        </w:rPr>
        <w:t>table and potentially destabiliz</w:t>
      </w:r>
      <w:r w:rsidRPr="003077BD">
        <w:rPr>
          <w:rFonts w:ascii="Georgia" w:eastAsia="Times New Roman" w:hAnsi="Georgia" w:cs="Arial"/>
          <w:lang w:val="en-US" w:eastAsia="de-DE"/>
        </w:rPr>
        <w:t xml:space="preserve">ing for the banking industry in the EU and </w:t>
      </w:r>
      <w:r w:rsidR="00150827" w:rsidRPr="00150827">
        <w:rPr>
          <w:rFonts w:ascii="Georgia" w:eastAsia="Times New Roman" w:hAnsi="Georgia" w:cs="Arial"/>
          <w:lang w:val="en-US" w:eastAsia="de-DE"/>
        </w:rPr>
        <w:t>particularly</w:t>
      </w:r>
      <w:r w:rsidRPr="003077BD">
        <w:rPr>
          <w:rFonts w:ascii="Georgia" w:eastAsia="Times New Roman" w:hAnsi="Georgia" w:cs="Arial"/>
          <w:lang w:val="en-US" w:eastAsia="de-DE"/>
        </w:rPr>
        <w:t xml:space="preserve"> in Spain. </w:t>
      </w:r>
      <w:r w:rsidRPr="003077BD">
        <w:rPr>
          <w:rFonts w:ascii="Georgia" w:eastAsia="Times New Roman" w:hAnsi="Georgia" w:cs="Arial"/>
          <w:lang w:eastAsia="de-DE"/>
        </w:rPr>
        <w:t>The principle of proportionality is intended to ensure that regulatory measures go no further than is required to achieve a set objective, which is to ensure that both the management company and the depositary have specific safeguards against conflicts of interest to allow for the independent performance of their activities.</w:t>
      </w:r>
    </w:p>
    <w:p w:rsidR="00BC7ECC" w:rsidRPr="003077BD" w:rsidRDefault="00BC7ECC" w:rsidP="003077BD">
      <w:pPr>
        <w:autoSpaceDE w:val="0"/>
        <w:autoSpaceDN w:val="0"/>
        <w:adjustRightInd w:val="0"/>
        <w:jc w:val="both"/>
        <w:rPr>
          <w:rFonts w:ascii="Georgia" w:eastAsia="Times New Roman" w:hAnsi="Georgia" w:cs="Arial"/>
          <w:lang w:val="en-US" w:eastAsia="de-DE"/>
        </w:rPr>
      </w:pPr>
    </w:p>
    <w:p w:rsidR="00BC7ECC" w:rsidRPr="003077BD" w:rsidRDefault="00BC7ECC" w:rsidP="003077BD">
      <w:pPr>
        <w:jc w:val="both"/>
        <w:rPr>
          <w:rFonts w:ascii="Georgia" w:eastAsia="Times New Roman" w:hAnsi="Georgia" w:cs="Arial"/>
          <w:lang w:val="en-US" w:eastAsia="de-DE"/>
        </w:rPr>
      </w:pPr>
    </w:p>
    <w:p w:rsidR="00150827" w:rsidRDefault="00150827" w:rsidP="003077BD">
      <w:pPr>
        <w:jc w:val="both"/>
        <w:rPr>
          <w:rFonts w:ascii="Georgia" w:eastAsia="Times New Roman" w:hAnsi="Georgia" w:cs="Arial"/>
          <w:lang w:val="en-US" w:eastAsia="de-DE"/>
        </w:rPr>
      </w:pPr>
    </w:p>
    <w:p w:rsidR="00BC7ECC" w:rsidRPr="003077BD" w:rsidRDefault="00BC7ECC" w:rsidP="003077BD">
      <w:pPr>
        <w:jc w:val="both"/>
        <w:rPr>
          <w:rFonts w:ascii="Georgia" w:hAnsi="Georgia" w:cs="Calibri"/>
          <w:color w:val="343434"/>
          <w:lang w:val="en-US"/>
        </w:rPr>
      </w:pPr>
      <w:r w:rsidRPr="003077BD">
        <w:rPr>
          <w:rFonts w:ascii="Georgia" w:eastAsia="Times New Roman" w:hAnsi="Georgia" w:cs="Arial"/>
          <w:lang w:val="en-US" w:eastAsia="de-DE"/>
        </w:rPr>
        <w:t>Spanish legal framework gives a decent,</w:t>
      </w:r>
      <w:r w:rsidR="00150827">
        <w:rPr>
          <w:rFonts w:ascii="Georgia" w:eastAsia="Times New Roman" w:hAnsi="Georgia" w:cs="Arial"/>
          <w:lang w:val="en-US" w:eastAsia="de-DE"/>
        </w:rPr>
        <w:t xml:space="preserve"> </w:t>
      </w:r>
      <w:r w:rsidRPr="003077BD">
        <w:rPr>
          <w:rFonts w:ascii="Georgia" w:eastAsia="Times New Roman" w:hAnsi="Georgia" w:cs="Arial"/>
          <w:lang w:val="en-US" w:eastAsia="de-DE"/>
        </w:rPr>
        <w:t xml:space="preserve">but very stringent response to Spanish depositaries concerns. </w:t>
      </w:r>
      <w:r w:rsidR="00150827" w:rsidRPr="00150827">
        <w:t xml:space="preserve"> </w:t>
      </w:r>
      <w:r w:rsidR="00150827">
        <w:rPr>
          <w:rFonts w:ascii="Georgia" w:hAnsi="Georgia" w:cs="Calibri"/>
          <w:color w:val="343434"/>
          <w:lang w:val="en-US"/>
        </w:rPr>
        <w:t>T</w:t>
      </w:r>
      <w:r w:rsidR="00150827" w:rsidRPr="00150827">
        <w:rPr>
          <w:rFonts w:ascii="Georgia" w:hAnsi="Georgia" w:cs="Calibri"/>
          <w:color w:val="343434"/>
          <w:lang w:val="en-US"/>
        </w:rPr>
        <w:t>he management company and the depositary of any CIS cannot belong to the same group unless the management company</w:t>
      </w:r>
      <w:r w:rsidR="00150827">
        <w:rPr>
          <w:rFonts w:ascii="Georgia" w:hAnsi="Georgia" w:cs="Calibri"/>
          <w:color w:val="343434"/>
          <w:lang w:val="en-US"/>
        </w:rPr>
        <w:t xml:space="preserve"> </w:t>
      </w:r>
      <w:r w:rsidR="00150827" w:rsidRPr="00150827">
        <w:rPr>
          <w:rFonts w:ascii="Georgia" w:hAnsi="Georgia" w:cs="Calibri"/>
          <w:color w:val="343434"/>
          <w:lang w:val="en-US"/>
        </w:rPr>
        <w:t>establishes a specific procedure in its internal code of conduct setting several Chinese walls</w:t>
      </w:r>
      <w:r w:rsidR="00150827">
        <w:rPr>
          <w:rFonts w:ascii="Georgia" w:hAnsi="Georgia" w:cs="Calibri"/>
          <w:color w:val="343434"/>
          <w:lang w:val="en-US"/>
        </w:rPr>
        <w:t>,</w:t>
      </w:r>
      <w:r w:rsidR="00150827" w:rsidRPr="00150827">
        <w:rPr>
          <w:rFonts w:ascii="Georgia" w:hAnsi="Georgia" w:cs="Calibri"/>
          <w:color w:val="343434"/>
          <w:lang w:val="en-US"/>
        </w:rPr>
        <w:t xml:space="preserve"> such as the following:</w:t>
      </w:r>
    </w:p>
    <w:p w:rsidR="00BC7ECC" w:rsidRPr="003077BD" w:rsidRDefault="00BC7ECC" w:rsidP="003077BD">
      <w:pPr>
        <w:widowControl w:val="0"/>
        <w:autoSpaceDE w:val="0"/>
        <w:autoSpaceDN w:val="0"/>
        <w:adjustRightInd w:val="0"/>
        <w:jc w:val="both"/>
        <w:rPr>
          <w:rFonts w:ascii="Georgia" w:hAnsi="Georgia" w:cs="Calibri"/>
          <w:color w:val="343434"/>
          <w:lang w:val="en-US"/>
        </w:rPr>
      </w:pPr>
      <w:r w:rsidRPr="003077BD">
        <w:rPr>
          <w:rFonts w:ascii="Georgia" w:hAnsi="Georgia" w:cs="Calibri"/>
          <w:color w:val="343434"/>
          <w:lang w:val="en-US"/>
        </w:rPr>
        <w:t> </w:t>
      </w:r>
    </w:p>
    <w:p w:rsidR="00A30CC5" w:rsidRDefault="00BC7ECC" w:rsidP="003077BD">
      <w:pPr>
        <w:widowControl w:val="0"/>
        <w:numPr>
          <w:ilvl w:val="1"/>
          <w:numId w:val="10"/>
        </w:numPr>
        <w:autoSpaceDE w:val="0"/>
        <w:autoSpaceDN w:val="0"/>
        <w:adjustRightInd w:val="0"/>
        <w:jc w:val="both"/>
        <w:rPr>
          <w:rFonts w:ascii="Georgia" w:hAnsi="Georgia" w:cs="Calibri"/>
          <w:color w:val="343434"/>
          <w:lang w:val="en-US"/>
        </w:rPr>
      </w:pPr>
      <w:r w:rsidRPr="003077BD">
        <w:rPr>
          <w:rFonts w:ascii="Georgia" w:hAnsi="Georgia" w:cs="Calibri"/>
          <w:color w:val="343434"/>
          <w:lang w:val="en-US"/>
        </w:rPr>
        <w:t>Specific procedures to prevent conflicts of </w:t>
      </w:r>
      <w:r w:rsidR="00150827" w:rsidRPr="00150827">
        <w:rPr>
          <w:rFonts w:ascii="Georgia" w:hAnsi="Georgia" w:cs="Calibri"/>
          <w:color w:val="343434"/>
          <w:lang w:val="en-US"/>
        </w:rPr>
        <w:t>interest to</w:t>
      </w:r>
      <w:r w:rsidRPr="003077BD">
        <w:rPr>
          <w:rFonts w:ascii="Georgia" w:hAnsi="Georgia" w:cs="Calibri"/>
          <w:color w:val="343434"/>
          <w:lang w:val="en-US"/>
        </w:rPr>
        <w:t xml:space="preserve"> be set up.</w:t>
      </w:r>
    </w:p>
    <w:p w:rsidR="00BC7ECC" w:rsidRPr="00A30CC5" w:rsidRDefault="00A30CC5" w:rsidP="003077BD">
      <w:pPr>
        <w:widowControl w:val="0"/>
        <w:numPr>
          <w:ilvl w:val="1"/>
          <w:numId w:val="10"/>
        </w:numPr>
        <w:autoSpaceDE w:val="0"/>
        <w:autoSpaceDN w:val="0"/>
        <w:adjustRightInd w:val="0"/>
        <w:jc w:val="both"/>
        <w:rPr>
          <w:rFonts w:ascii="Georgia" w:hAnsi="Georgia" w:cs="Calibri"/>
          <w:color w:val="343434"/>
          <w:lang w:val="en-US"/>
        </w:rPr>
      </w:pPr>
      <w:r w:rsidRPr="00A30CC5">
        <w:rPr>
          <w:rFonts w:ascii="Georgia" w:hAnsi="Georgia" w:cs="Calibri"/>
          <w:color w:val="343434"/>
          <w:lang w:val="en-US"/>
        </w:rPr>
        <w:t xml:space="preserve"> No existence of common Board members or directors.</w:t>
      </w:r>
    </w:p>
    <w:p w:rsidR="00BC7ECC" w:rsidRPr="003077BD" w:rsidRDefault="00BC7ECC" w:rsidP="003077BD">
      <w:pPr>
        <w:widowControl w:val="0"/>
        <w:autoSpaceDE w:val="0"/>
        <w:autoSpaceDN w:val="0"/>
        <w:adjustRightInd w:val="0"/>
        <w:ind w:firstLine="60"/>
        <w:jc w:val="both"/>
        <w:rPr>
          <w:rFonts w:ascii="Georgia" w:hAnsi="Georgia" w:cs="Calibri"/>
          <w:color w:val="343434"/>
          <w:lang w:val="en-US"/>
        </w:rPr>
      </w:pPr>
    </w:p>
    <w:p w:rsidR="00150827" w:rsidRPr="00A30CC5" w:rsidRDefault="00150827" w:rsidP="00150827">
      <w:pPr>
        <w:autoSpaceDE w:val="0"/>
        <w:autoSpaceDN w:val="0"/>
        <w:adjustRightInd w:val="0"/>
        <w:spacing w:line="240" w:lineRule="auto"/>
        <w:jc w:val="both"/>
        <w:rPr>
          <w:rFonts w:ascii="Georgia" w:hAnsi="Georgia" w:cs="Calibri"/>
          <w:color w:val="343434"/>
          <w:lang w:val="en-US"/>
        </w:rPr>
      </w:pPr>
    </w:p>
    <w:p w:rsidR="00150827" w:rsidRPr="003077BD" w:rsidRDefault="00150827" w:rsidP="003077BD">
      <w:pPr>
        <w:numPr>
          <w:ilvl w:val="1"/>
          <w:numId w:val="10"/>
        </w:numPr>
        <w:autoSpaceDE w:val="0"/>
        <w:autoSpaceDN w:val="0"/>
        <w:adjustRightInd w:val="0"/>
        <w:spacing w:line="240" w:lineRule="auto"/>
        <w:jc w:val="both"/>
        <w:rPr>
          <w:rFonts w:ascii="Georgia" w:hAnsi="Georgia" w:cs="Century Schoolbook"/>
          <w:color w:val="000000"/>
          <w:lang w:val="en-US" w:eastAsia="es-ES"/>
        </w:rPr>
      </w:pPr>
      <w:r w:rsidRPr="003077BD">
        <w:rPr>
          <w:rFonts w:ascii="Georgia" w:hAnsi="Georgia" w:cs="Century Schoolbook"/>
          <w:color w:val="000000"/>
          <w:lang w:val="en-US" w:eastAsia="es-ES"/>
        </w:rPr>
        <w:t>The effective management of the management company must be independent of the depositary</w:t>
      </w:r>
      <w:r w:rsidR="00A30CC5">
        <w:rPr>
          <w:rFonts w:ascii="Georgia" w:hAnsi="Georgia" w:cs="Century Schoolbook"/>
          <w:color w:val="000000"/>
          <w:lang w:val="en-US" w:eastAsia="es-ES"/>
        </w:rPr>
        <w:t>.</w:t>
      </w:r>
    </w:p>
    <w:p w:rsidR="00150827" w:rsidRPr="003077BD" w:rsidRDefault="00150827" w:rsidP="003077BD">
      <w:pPr>
        <w:numPr>
          <w:ilvl w:val="1"/>
          <w:numId w:val="10"/>
        </w:numPr>
        <w:autoSpaceDE w:val="0"/>
        <w:autoSpaceDN w:val="0"/>
        <w:adjustRightInd w:val="0"/>
        <w:spacing w:line="240" w:lineRule="auto"/>
        <w:jc w:val="both"/>
        <w:rPr>
          <w:rFonts w:ascii="Georgia" w:hAnsi="Georgia" w:cs="Century Schoolbook"/>
          <w:color w:val="000000"/>
          <w:lang w:val="en-US" w:eastAsia="es-ES"/>
        </w:rPr>
      </w:pPr>
      <w:r w:rsidRPr="003077BD">
        <w:rPr>
          <w:rFonts w:ascii="Georgia" w:hAnsi="Georgia" w:cs="Century Schoolbook"/>
          <w:color w:val="000000"/>
          <w:lang w:val="en-US" w:eastAsia="es-ES"/>
        </w:rPr>
        <w:t xml:space="preserve">A physical separation must exist between the management company and the depositary entity. </w:t>
      </w:r>
    </w:p>
    <w:p w:rsidR="00BC7ECC" w:rsidRPr="003077BD" w:rsidRDefault="00BC7ECC" w:rsidP="003077BD">
      <w:pPr>
        <w:widowControl w:val="0"/>
        <w:autoSpaceDE w:val="0"/>
        <w:autoSpaceDN w:val="0"/>
        <w:adjustRightInd w:val="0"/>
        <w:ind w:firstLine="60"/>
        <w:jc w:val="both"/>
        <w:rPr>
          <w:rFonts w:ascii="Georgia" w:hAnsi="Georgia" w:cs="Calibri"/>
          <w:color w:val="343434"/>
          <w:lang w:val="en-US"/>
        </w:rPr>
      </w:pPr>
    </w:p>
    <w:p w:rsidR="00BC7ECC" w:rsidRPr="003077BD" w:rsidRDefault="00BC7ECC" w:rsidP="003077BD">
      <w:pPr>
        <w:widowControl w:val="0"/>
        <w:autoSpaceDE w:val="0"/>
        <w:autoSpaceDN w:val="0"/>
        <w:adjustRightInd w:val="0"/>
        <w:jc w:val="both"/>
        <w:rPr>
          <w:rFonts w:ascii="Georgia" w:hAnsi="Georgia" w:cs="Calibri"/>
          <w:color w:val="343434"/>
          <w:lang w:val="en-US"/>
        </w:rPr>
      </w:pPr>
      <w:r w:rsidRPr="003077BD">
        <w:rPr>
          <w:rFonts w:ascii="Georgia" w:hAnsi="Georgia" w:cs="Calibri"/>
          <w:color w:val="343434"/>
          <w:lang w:val="en-US"/>
        </w:rPr>
        <w:t> </w:t>
      </w:r>
    </w:p>
    <w:p w:rsidR="00D9237B" w:rsidRDefault="00D9237B" w:rsidP="00D9237B">
      <w:pPr>
        <w:widowControl w:val="0"/>
        <w:autoSpaceDE w:val="0"/>
        <w:autoSpaceDN w:val="0"/>
        <w:adjustRightInd w:val="0"/>
        <w:jc w:val="both"/>
        <w:rPr>
          <w:rFonts w:ascii="Georgia" w:hAnsi="Georgia" w:cs="Calibri"/>
          <w:color w:val="343434"/>
          <w:lang w:val="en-US"/>
        </w:rPr>
      </w:pPr>
      <w:r w:rsidRPr="00D9237B">
        <w:rPr>
          <w:rFonts w:ascii="Georgia" w:hAnsi="Georgia" w:cs="Calibri"/>
          <w:color w:val="343434"/>
          <w:lang w:val="en-US"/>
        </w:rPr>
        <w:t>If the management company and the depositary belong to the same group, additional procedures are required:</w:t>
      </w:r>
    </w:p>
    <w:p w:rsidR="00D9237B" w:rsidRPr="00D9237B" w:rsidRDefault="00D9237B" w:rsidP="00D9237B">
      <w:pPr>
        <w:widowControl w:val="0"/>
        <w:autoSpaceDE w:val="0"/>
        <w:autoSpaceDN w:val="0"/>
        <w:adjustRightInd w:val="0"/>
        <w:jc w:val="both"/>
        <w:rPr>
          <w:rFonts w:ascii="Georgia" w:hAnsi="Georgia" w:cs="Calibri"/>
          <w:color w:val="343434"/>
          <w:lang w:val="en-US"/>
        </w:rPr>
      </w:pPr>
    </w:p>
    <w:p w:rsidR="00D9237B" w:rsidRPr="00D9237B" w:rsidRDefault="00D9237B" w:rsidP="003077BD">
      <w:pPr>
        <w:widowControl w:val="0"/>
        <w:numPr>
          <w:ilvl w:val="0"/>
          <w:numId w:val="11"/>
        </w:numPr>
        <w:autoSpaceDE w:val="0"/>
        <w:autoSpaceDN w:val="0"/>
        <w:adjustRightInd w:val="0"/>
        <w:jc w:val="both"/>
        <w:rPr>
          <w:rFonts w:ascii="Georgia" w:hAnsi="Georgia" w:cs="Calibri"/>
          <w:color w:val="343434"/>
          <w:lang w:val="en-US"/>
        </w:rPr>
      </w:pPr>
      <w:r w:rsidRPr="00D9237B">
        <w:rPr>
          <w:rFonts w:ascii="Georgia" w:hAnsi="Georgia" w:cs="Calibri"/>
          <w:color w:val="343434"/>
          <w:lang w:val="en-US"/>
        </w:rPr>
        <w:t>Disclosure to investors of their relationship.</w:t>
      </w:r>
    </w:p>
    <w:p w:rsidR="00D9237B" w:rsidRPr="00D9237B" w:rsidRDefault="00D9237B" w:rsidP="003077BD">
      <w:pPr>
        <w:widowControl w:val="0"/>
        <w:numPr>
          <w:ilvl w:val="0"/>
          <w:numId w:val="11"/>
        </w:numPr>
        <w:autoSpaceDE w:val="0"/>
        <w:autoSpaceDN w:val="0"/>
        <w:adjustRightInd w:val="0"/>
        <w:jc w:val="both"/>
        <w:rPr>
          <w:rFonts w:ascii="Georgia" w:hAnsi="Georgia" w:cs="Calibri"/>
          <w:color w:val="343434"/>
          <w:lang w:val="en-US"/>
        </w:rPr>
      </w:pPr>
      <w:r w:rsidRPr="00D9237B">
        <w:rPr>
          <w:rFonts w:ascii="Georgia" w:hAnsi="Georgia" w:cs="Calibri"/>
          <w:color w:val="343434"/>
          <w:lang w:val="en-US"/>
        </w:rPr>
        <w:t>The periodic information to investors must include any purchase or sell of</w:t>
      </w:r>
      <w:r>
        <w:rPr>
          <w:rFonts w:ascii="Georgia" w:hAnsi="Georgia" w:cs="Calibri"/>
          <w:color w:val="343434"/>
          <w:lang w:val="en-US"/>
        </w:rPr>
        <w:t xml:space="preserve"> </w:t>
      </w:r>
      <w:r w:rsidRPr="00D9237B">
        <w:rPr>
          <w:rFonts w:ascii="Georgia" w:hAnsi="Georgia" w:cs="Calibri"/>
          <w:color w:val="343434"/>
          <w:lang w:val="en-US"/>
        </w:rPr>
        <w:t>securities where the depositary acted as counterparty.</w:t>
      </w:r>
    </w:p>
    <w:p w:rsidR="00D9237B" w:rsidRDefault="00D9237B" w:rsidP="003077BD">
      <w:pPr>
        <w:widowControl w:val="0"/>
        <w:numPr>
          <w:ilvl w:val="0"/>
          <w:numId w:val="11"/>
        </w:numPr>
        <w:autoSpaceDE w:val="0"/>
        <w:autoSpaceDN w:val="0"/>
        <w:adjustRightInd w:val="0"/>
        <w:jc w:val="both"/>
        <w:rPr>
          <w:rFonts w:ascii="Georgia" w:hAnsi="Georgia" w:cs="Calibri"/>
          <w:color w:val="343434"/>
          <w:lang w:val="en-US"/>
        </w:rPr>
      </w:pPr>
      <w:r w:rsidRPr="00D9237B">
        <w:rPr>
          <w:rFonts w:ascii="Georgia" w:hAnsi="Georgia" w:cs="Calibri"/>
          <w:color w:val="343434"/>
          <w:lang w:val="en-US"/>
        </w:rPr>
        <w:t>The mentioned procedure is subject to the oversight of an independent body within the board of directors of the management company. Additionally, an annual report must be submitted to the CNMV with regard to the compliance of the requirement of separation between the management company and the depositary</w:t>
      </w:r>
      <w:r>
        <w:rPr>
          <w:rFonts w:ascii="Georgia" w:hAnsi="Georgia" w:cs="Calibri"/>
          <w:color w:val="343434"/>
          <w:lang w:val="en-US"/>
        </w:rPr>
        <w:t>.</w:t>
      </w:r>
    </w:p>
    <w:p w:rsidR="00D9237B" w:rsidRDefault="00D9237B" w:rsidP="003077BD">
      <w:pPr>
        <w:widowControl w:val="0"/>
        <w:autoSpaceDE w:val="0"/>
        <w:autoSpaceDN w:val="0"/>
        <w:adjustRightInd w:val="0"/>
        <w:ind w:left="720"/>
        <w:jc w:val="both"/>
        <w:rPr>
          <w:rFonts w:ascii="Georgia" w:hAnsi="Georgia" w:cs="Calibri"/>
          <w:color w:val="343434"/>
          <w:lang w:val="en-US"/>
        </w:rPr>
      </w:pPr>
    </w:p>
    <w:p w:rsidR="00BC7ECC" w:rsidRPr="003077BD" w:rsidRDefault="00D9237B" w:rsidP="003077BD">
      <w:pPr>
        <w:widowControl w:val="0"/>
        <w:autoSpaceDE w:val="0"/>
        <w:autoSpaceDN w:val="0"/>
        <w:adjustRightInd w:val="0"/>
        <w:jc w:val="both"/>
        <w:rPr>
          <w:rFonts w:ascii="Georgia" w:hAnsi="Georgia" w:cs="Calibri"/>
          <w:color w:val="343434"/>
          <w:lang w:val="en-US"/>
        </w:rPr>
      </w:pPr>
      <w:r w:rsidRPr="00D9237B">
        <w:rPr>
          <w:rFonts w:ascii="Georgia" w:hAnsi="Georgia" w:cs="Calibri"/>
          <w:color w:val="343434"/>
          <w:lang w:val="en-US"/>
        </w:rPr>
        <w:t>.</w:t>
      </w:r>
    </w:p>
    <w:p w:rsidR="00BC7ECC" w:rsidRPr="003077BD" w:rsidRDefault="00BC7ECC" w:rsidP="003077BD">
      <w:pPr>
        <w:widowControl w:val="0"/>
        <w:autoSpaceDE w:val="0"/>
        <w:autoSpaceDN w:val="0"/>
        <w:adjustRightInd w:val="0"/>
        <w:jc w:val="both"/>
        <w:rPr>
          <w:rFonts w:ascii="Georgia" w:hAnsi="Georgia" w:cs="Calibri"/>
          <w:color w:val="343434"/>
          <w:lang w:val="en-US"/>
        </w:rPr>
      </w:pPr>
    </w:p>
    <w:p w:rsidR="00BC7ECC" w:rsidRPr="003077BD" w:rsidRDefault="00BC7ECC" w:rsidP="003077BD">
      <w:pPr>
        <w:jc w:val="both"/>
        <w:rPr>
          <w:rFonts w:ascii="Georgia" w:eastAsia="Times New Roman" w:hAnsi="Georgia"/>
          <w:lang w:eastAsia="de-DE"/>
        </w:rPr>
      </w:pPr>
      <w:r w:rsidRPr="003077BD">
        <w:rPr>
          <w:rFonts w:ascii="Georgia" w:hAnsi="Georgia" w:cs="Calibri"/>
          <w:color w:val="343434"/>
          <w:lang w:val="en-US"/>
        </w:rPr>
        <w:t> </w:t>
      </w:r>
    </w:p>
    <w:p w:rsidR="00BC7ECC" w:rsidRPr="003077BD" w:rsidRDefault="00BC7ECC" w:rsidP="003077BD">
      <w:pPr>
        <w:jc w:val="both"/>
        <w:rPr>
          <w:rFonts w:ascii="Georgia" w:eastAsia="Times New Roman" w:hAnsi="Georgia"/>
          <w:lang w:eastAsia="de-DE"/>
        </w:rPr>
      </w:pP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 xml:space="preserve">ADEPO does not think there is a need to generalize these very </w:t>
      </w:r>
      <w:r w:rsidR="003077BD">
        <w:rPr>
          <w:rFonts w:ascii="Georgia" w:eastAsia="Times New Roman" w:hAnsi="Georgia"/>
          <w:lang w:eastAsia="de-DE"/>
        </w:rPr>
        <w:t>strict limits</w:t>
      </w:r>
      <w:r w:rsidRPr="003077BD">
        <w:rPr>
          <w:rFonts w:ascii="Georgia" w:eastAsia="Times New Roman" w:hAnsi="Georgia"/>
          <w:lang w:eastAsia="de-DE"/>
        </w:rPr>
        <w:t>,</w:t>
      </w:r>
      <w:r w:rsidR="003077BD">
        <w:rPr>
          <w:rFonts w:ascii="Georgia" w:eastAsia="Times New Roman" w:hAnsi="Georgia"/>
          <w:lang w:eastAsia="de-DE"/>
        </w:rPr>
        <w:t xml:space="preserve"> </w:t>
      </w:r>
      <w:r w:rsidRPr="003077BD">
        <w:rPr>
          <w:rFonts w:ascii="Georgia" w:eastAsia="Times New Roman" w:hAnsi="Georgia"/>
          <w:lang w:eastAsia="de-DE"/>
        </w:rPr>
        <w:t xml:space="preserve">we just mention them to evidence that </w:t>
      </w:r>
      <w:r w:rsidR="00A30CC5">
        <w:rPr>
          <w:rFonts w:ascii="Georgia" w:eastAsia="Times New Roman" w:hAnsi="Georgia"/>
          <w:lang w:eastAsia="de-DE"/>
        </w:rPr>
        <w:t xml:space="preserve">a </w:t>
      </w:r>
      <w:r w:rsidRPr="003077BD">
        <w:rPr>
          <w:rFonts w:ascii="Georgia" w:eastAsia="Times New Roman" w:hAnsi="Georgia"/>
          <w:lang w:eastAsia="de-DE"/>
        </w:rPr>
        <w:t xml:space="preserve">model permitting depositaries and managers </w:t>
      </w:r>
      <w:proofErr w:type="gramStart"/>
      <w:r w:rsidRPr="003077BD">
        <w:rPr>
          <w:rFonts w:ascii="Georgia" w:eastAsia="Times New Roman" w:hAnsi="Georgia"/>
          <w:lang w:eastAsia="de-DE"/>
        </w:rPr>
        <w:t>being  part</w:t>
      </w:r>
      <w:proofErr w:type="gramEnd"/>
      <w:r w:rsidRPr="003077BD">
        <w:rPr>
          <w:rFonts w:ascii="Georgia" w:eastAsia="Times New Roman" w:hAnsi="Georgia"/>
          <w:lang w:eastAsia="de-DE"/>
        </w:rPr>
        <w:t xml:space="preserve"> of the same group can work perfectly under certain conditions.</w:t>
      </w:r>
    </w:p>
    <w:p w:rsidR="00BC7ECC" w:rsidRPr="003077BD" w:rsidRDefault="00BC7ECC" w:rsidP="003077BD">
      <w:pPr>
        <w:jc w:val="both"/>
        <w:rPr>
          <w:rFonts w:ascii="Georgia" w:eastAsia="Times New Roman" w:hAnsi="Georgia" w:cs="Arial"/>
          <w:lang w:val="en-US" w:eastAsia="de-DE"/>
        </w:rPr>
      </w:pPr>
    </w:p>
    <w:p w:rsidR="00BC7ECC" w:rsidRPr="003077BD" w:rsidRDefault="00BC7ECC" w:rsidP="003077BD">
      <w:pPr>
        <w:jc w:val="both"/>
        <w:rPr>
          <w:rFonts w:ascii="Georgia" w:eastAsia="Times New Roman" w:hAnsi="Georgia" w:cs="Arial"/>
          <w:lang w:val="en-US" w:eastAsia="de-DE"/>
        </w:rPr>
      </w:pPr>
    </w:p>
    <w:p w:rsidR="00BC7ECC" w:rsidRPr="003077BD" w:rsidRDefault="00BC7ECC" w:rsidP="003077BD">
      <w:pPr>
        <w:jc w:val="both"/>
        <w:rPr>
          <w:rFonts w:ascii="Georgia" w:eastAsia="Times New Roman" w:hAnsi="Georgia" w:cs="Arial"/>
          <w:lang w:val="en-US" w:eastAsia="de-DE"/>
        </w:rPr>
      </w:pPr>
    </w:p>
    <w:p w:rsidR="00BC7ECC" w:rsidRPr="003077BD" w:rsidRDefault="00BC7ECC" w:rsidP="003077BD">
      <w:pPr>
        <w:jc w:val="both"/>
        <w:rPr>
          <w:rFonts w:ascii="Georgia" w:eastAsia="Times New Roman" w:hAnsi="Georgia" w:cs="Arial"/>
          <w:lang w:val="en-US" w:eastAsia="de-DE"/>
        </w:rPr>
      </w:pPr>
    </w:p>
    <w:p w:rsidR="00BC7ECC" w:rsidRPr="003077BD" w:rsidRDefault="00BC7ECC" w:rsidP="003077BD">
      <w:pPr>
        <w:autoSpaceDE w:val="0"/>
        <w:autoSpaceDN w:val="0"/>
        <w:adjustRightInd w:val="0"/>
        <w:jc w:val="both"/>
        <w:rPr>
          <w:rFonts w:ascii="Georgia" w:eastAsia="Times New Roman" w:hAnsi="Georgia" w:cs="Arial"/>
          <w:lang w:val="en-US" w:eastAsia="de-DE"/>
        </w:rPr>
      </w:pPr>
    </w:p>
    <w:p w:rsidR="00BC7ECC" w:rsidRPr="003077BD" w:rsidRDefault="00BC7ECC" w:rsidP="003077BD">
      <w:pPr>
        <w:autoSpaceDE w:val="0"/>
        <w:autoSpaceDN w:val="0"/>
        <w:adjustRightInd w:val="0"/>
        <w:jc w:val="both"/>
        <w:rPr>
          <w:rFonts w:ascii="Georgia" w:eastAsia="Times New Roman" w:hAnsi="Georgia" w:cs="Arial"/>
          <w:lang w:val="en-US" w:eastAsia="de-DE"/>
        </w:rPr>
      </w:pP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&lt;ESMA_UCITS_QUESTION_19&gt;</w:t>
      </w:r>
    </w:p>
    <w:p w:rsidR="00BC7ECC" w:rsidRPr="003077BD" w:rsidRDefault="00BC7ECC" w:rsidP="003077BD">
      <w:pPr>
        <w:jc w:val="both"/>
        <w:rPr>
          <w:rFonts w:ascii="Georgia" w:eastAsia="Times New Roman" w:hAnsi="Georgia"/>
          <w:lang w:eastAsia="de-DE"/>
        </w:rPr>
      </w:pPr>
    </w:p>
    <w:p w:rsidR="00BC7ECC" w:rsidRPr="003077BD" w:rsidRDefault="00BC7ECC" w:rsidP="003077BD">
      <w:pPr>
        <w:numPr>
          <w:ilvl w:val="0"/>
          <w:numId w:val="1"/>
        </w:numPr>
        <w:spacing w:after="250"/>
        <w:jc w:val="both"/>
        <w:outlineLvl w:val="4"/>
        <w:rPr>
          <w:rFonts w:ascii="Georgia" w:eastAsia="Times New Roman" w:hAnsi="Georgia"/>
          <w:b/>
          <w:lang w:eastAsia="de-DE"/>
        </w:rPr>
      </w:pPr>
      <w:r w:rsidRPr="003077BD">
        <w:rPr>
          <w:rFonts w:ascii="Georgia" w:eastAsia="Times New Roman" w:hAnsi="Georgia"/>
          <w:b/>
          <w:lang w:eastAsia="de-DE"/>
        </w:rPr>
        <w:t xml:space="preserve">Under the second option, do you consider that it would be appropriate to require that – whenever the Relevant Entities are part of the same group – at least one third of the members of the management body of the management company/investment company and depositary should be independent? Would you suggest any alternative percentage? If yes, please provide the reasons why. </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&lt;ESMA_UCITS_QUESTION_20&gt;</w:t>
      </w:r>
    </w:p>
    <w:p w:rsidR="00BC7ECC" w:rsidRPr="003077BD" w:rsidRDefault="00BC7ECC" w:rsidP="003077BD">
      <w:pPr>
        <w:jc w:val="both"/>
        <w:rPr>
          <w:rFonts w:ascii="Georgia" w:eastAsia="Times New Roman" w:hAnsi="Georgia"/>
          <w:lang w:eastAsia="de-DE"/>
        </w:rPr>
      </w:pPr>
    </w:p>
    <w:p w:rsidR="00BC7ECC" w:rsidRPr="003077BD" w:rsidRDefault="00BC7ECC" w:rsidP="003077BD">
      <w:pPr>
        <w:jc w:val="both"/>
        <w:rPr>
          <w:rFonts w:ascii="Georgia" w:eastAsia="Times New Roman" w:hAnsi="Georgia"/>
          <w:lang w:eastAsia="de-DE"/>
        </w:rPr>
      </w:pPr>
    </w:p>
    <w:p w:rsidR="00A30CC5" w:rsidRPr="00A30CC5" w:rsidRDefault="00BC7ECC" w:rsidP="003077BD">
      <w:pPr>
        <w:numPr>
          <w:ilvl w:val="0"/>
          <w:numId w:val="1"/>
        </w:numPr>
        <w:spacing w:after="250"/>
        <w:jc w:val="both"/>
        <w:outlineLvl w:val="4"/>
        <w:rPr>
          <w:rFonts w:ascii="Georgia" w:eastAsia="Times New Roman" w:hAnsi="Georgia"/>
          <w:b/>
          <w:lang w:eastAsia="de-DE"/>
        </w:rPr>
      </w:pPr>
      <w:r w:rsidRPr="003077BD">
        <w:rPr>
          <w:rFonts w:ascii="Georgia" w:eastAsia="Times New Roman" w:hAnsi="Georgia"/>
          <w:lang w:eastAsia="de-DE"/>
        </w:rPr>
        <w:t xml:space="preserve"> </w:t>
      </w:r>
      <w:r w:rsidR="003077BD">
        <w:rPr>
          <w:rFonts w:ascii="Georgia" w:eastAsia="Times New Roman" w:hAnsi="Georgia" w:cs="Arial"/>
          <w:color w:val="000000"/>
          <w:lang w:val="en-US" w:eastAsia="de-DE"/>
        </w:rPr>
        <w:t>ADEPO</w:t>
      </w:r>
      <w:r w:rsidRPr="003077BD">
        <w:rPr>
          <w:rFonts w:ascii="Georgia" w:eastAsia="Times New Roman" w:hAnsi="Georgia" w:cs="Arial"/>
          <w:color w:val="000000"/>
          <w:lang w:val="en-US" w:eastAsia="de-DE"/>
        </w:rPr>
        <w:t xml:space="preserve"> </w:t>
      </w:r>
      <w:r w:rsidR="00C41F49" w:rsidRPr="00C41F49">
        <w:rPr>
          <w:rFonts w:ascii="Georgia" w:eastAsia="Times New Roman" w:hAnsi="Georgia" w:cs="Arial"/>
          <w:color w:val="000000"/>
          <w:lang w:val="en-US" w:eastAsia="de-DE"/>
        </w:rPr>
        <w:t>considers</w:t>
      </w:r>
      <w:r w:rsidRPr="003077BD">
        <w:rPr>
          <w:rFonts w:ascii="Georgia" w:eastAsia="Times New Roman" w:hAnsi="Georgia" w:cs="Arial"/>
          <w:color w:val="000000"/>
          <w:lang w:val="en-US" w:eastAsia="de-DE"/>
        </w:rPr>
        <w:t xml:space="preserve"> </w:t>
      </w:r>
      <w:r w:rsidR="00C41F49">
        <w:rPr>
          <w:rFonts w:ascii="Georgia" w:eastAsia="Times New Roman" w:hAnsi="Georgia" w:cs="Arial"/>
          <w:color w:val="000000"/>
          <w:lang w:val="en-US" w:eastAsia="de-DE"/>
        </w:rPr>
        <w:t xml:space="preserve">that </w:t>
      </w:r>
      <w:r w:rsidRPr="003077BD">
        <w:rPr>
          <w:rFonts w:ascii="Georgia" w:eastAsia="Times New Roman" w:hAnsi="Georgia" w:cs="Arial"/>
          <w:color w:val="000000"/>
          <w:lang w:val="en-US" w:eastAsia="de-DE"/>
        </w:rPr>
        <w:t xml:space="preserve">the requirement of at least one third of the members of the management body of </w:t>
      </w:r>
      <w:r w:rsidRPr="003077BD">
        <w:rPr>
          <w:rFonts w:ascii="Georgia" w:eastAsia="Times New Roman" w:hAnsi="Georgia" w:cs="Calibri"/>
          <w:lang w:val="en-US" w:eastAsia="de-DE"/>
        </w:rPr>
        <w:t xml:space="preserve">both entities should be independent </w:t>
      </w:r>
      <w:r w:rsidR="00C41F49">
        <w:rPr>
          <w:rFonts w:ascii="Georgia" w:eastAsia="Times New Roman" w:hAnsi="Georgia" w:cs="Calibri"/>
          <w:lang w:val="en-US" w:eastAsia="de-DE"/>
        </w:rPr>
        <w:t>i</w:t>
      </w:r>
      <w:r w:rsidRPr="003077BD">
        <w:rPr>
          <w:rFonts w:ascii="Georgia" w:eastAsia="Times New Roman" w:hAnsi="Georgia" w:cs="Calibri"/>
          <w:lang w:val="en-US" w:eastAsia="de-DE"/>
        </w:rPr>
        <w:t>s very strict</w:t>
      </w:r>
      <w:r w:rsidR="00C41F49">
        <w:rPr>
          <w:rFonts w:ascii="Georgia" w:eastAsia="Times New Roman" w:hAnsi="Georgia" w:cs="Calibri"/>
          <w:lang w:val="en-US" w:eastAsia="de-DE"/>
        </w:rPr>
        <w:t>,</w:t>
      </w:r>
      <w:r w:rsidRPr="003077BD">
        <w:rPr>
          <w:rFonts w:ascii="Georgia" w:eastAsia="Times New Roman" w:hAnsi="Georgia" w:cs="Calibri"/>
          <w:lang w:val="en-US" w:eastAsia="de-DE"/>
        </w:rPr>
        <w:t xml:space="preserve"> although current Spanish </w:t>
      </w:r>
      <w:r w:rsidR="003077BD">
        <w:rPr>
          <w:rFonts w:ascii="Georgia" w:eastAsia="Times New Roman" w:hAnsi="Georgia" w:cs="Calibri"/>
          <w:lang w:val="en-US" w:eastAsia="de-DE"/>
        </w:rPr>
        <w:t>regulatory regime</w:t>
      </w:r>
      <w:r w:rsidR="00C41F49">
        <w:rPr>
          <w:rFonts w:ascii="Georgia" w:eastAsia="Times New Roman" w:hAnsi="Georgia" w:cs="Calibri"/>
          <w:lang w:val="en-US" w:eastAsia="de-DE"/>
        </w:rPr>
        <w:t xml:space="preserve"> </w:t>
      </w:r>
      <w:r w:rsidR="00C41F49" w:rsidRPr="00C41F49">
        <w:rPr>
          <w:rFonts w:ascii="Georgia" w:eastAsia="Times New Roman" w:hAnsi="Georgia" w:cs="Calibri"/>
          <w:lang w:val="en-US" w:eastAsia="de-DE"/>
        </w:rPr>
        <w:t>is far</w:t>
      </w:r>
      <w:r w:rsidRPr="003077BD">
        <w:rPr>
          <w:rFonts w:ascii="Georgia" w:eastAsia="Times New Roman" w:hAnsi="Georgia" w:cs="Calibri"/>
          <w:lang w:val="en-US" w:eastAsia="de-DE"/>
        </w:rPr>
        <w:t xml:space="preserve"> more restrictive</w:t>
      </w:r>
      <w:r w:rsidR="00C41F49">
        <w:rPr>
          <w:rFonts w:ascii="Georgia" w:eastAsia="Times New Roman" w:hAnsi="Georgia" w:cs="Calibri"/>
          <w:lang w:val="en-US" w:eastAsia="de-DE"/>
        </w:rPr>
        <w:t>,</w:t>
      </w:r>
      <w:r w:rsidR="003077BD">
        <w:rPr>
          <w:rFonts w:ascii="Georgia" w:eastAsia="Times New Roman" w:hAnsi="Georgia" w:cs="Calibri"/>
          <w:lang w:val="en-US" w:eastAsia="de-DE"/>
        </w:rPr>
        <w:t xml:space="preserve"> as expressed</w:t>
      </w:r>
      <w:r w:rsidRPr="003077BD">
        <w:rPr>
          <w:rFonts w:ascii="Georgia" w:eastAsia="Times New Roman" w:hAnsi="Georgia" w:cs="Calibri"/>
          <w:lang w:val="en-US" w:eastAsia="de-DE"/>
        </w:rPr>
        <w:t xml:space="preserve"> above</w:t>
      </w:r>
      <w:r w:rsidRPr="003077BD">
        <w:rPr>
          <w:rFonts w:ascii="Georgia" w:eastAsia="Times New Roman" w:hAnsi="Georgia" w:cs="Arial"/>
          <w:color w:val="000000"/>
          <w:lang w:val="en-US" w:eastAsia="de-DE"/>
        </w:rPr>
        <w:t xml:space="preserve">. </w:t>
      </w:r>
      <w:r w:rsidRPr="003077BD">
        <w:rPr>
          <w:rFonts w:ascii="Georgia" w:hAnsi="Georgia"/>
        </w:rPr>
        <w:t xml:space="preserve">Robust management of </w:t>
      </w:r>
      <w:r w:rsidR="00C41F49">
        <w:rPr>
          <w:rFonts w:ascii="Georgia" w:hAnsi="Georgia"/>
        </w:rPr>
        <w:t>c</w:t>
      </w:r>
      <w:r w:rsidRPr="003077BD">
        <w:rPr>
          <w:rFonts w:ascii="Georgia" w:hAnsi="Georgia"/>
        </w:rPr>
        <w:t>onflicts of interest could deliver the independence required</w:t>
      </w:r>
      <w:r w:rsidR="00C41F49">
        <w:rPr>
          <w:rFonts w:ascii="Georgia" w:hAnsi="Georgia"/>
        </w:rPr>
        <w:t>.</w:t>
      </w:r>
      <w:r w:rsidRPr="003077BD">
        <w:rPr>
          <w:rFonts w:ascii="Georgia" w:eastAsia="Times New Roman" w:hAnsi="Georgia" w:cs="Arial"/>
          <w:color w:val="000000"/>
          <w:lang w:val="en-US" w:eastAsia="de-DE"/>
        </w:rPr>
        <w:t xml:space="preserve"> </w:t>
      </w:r>
    </w:p>
    <w:p w:rsidR="00BC7ECC" w:rsidRPr="003077BD" w:rsidRDefault="00BC7ECC" w:rsidP="003077BD">
      <w:pPr>
        <w:numPr>
          <w:ilvl w:val="0"/>
          <w:numId w:val="1"/>
        </w:numPr>
        <w:spacing w:after="250"/>
        <w:jc w:val="both"/>
        <w:outlineLvl w:val="4"/>
        <w:rPr>
          <w:rFonts w:ascii="Georgia" w:eastAsia="Times New Roman" w:hAnsi="Georgia"/>
          <w:b/>
          <w:lang w:eastAsia="de-DE"/>
        </w:rPr>
      </w:pPr>
      <w:r w:rsidRPr="003077BD">
        <w:rPr>
          <w:rFonts w:ascii="Georgia" w:eastAsia="Times New Roman" w:hAnsi="Georgia"/>
          <w:b/>
          <w:lang w:eastAsia="de-DE"/>
        </w:rPr>
        <w:t xml:space="preserve">Do you agree that the concept of independence should be understood as requiring that independent directors should not be member of the management body or the body in charge of the supervisory function </w:t>
      </w:r>
      <w:proofErr w:type="gramStart"/>
      <w:r w:rsidRPr="003077BD">
        <w:rPr>
          <w:rFonts w:ascii="Georgia" w:eastAsia="Times New Roman" w:hAnsi="Georgia"/>
          <w:b/>
          <w:lang w:eastAsia="de-DE"/>
        </w:rPr>
        <w:t>nor</w:t>
      </w:r>
      <w:proofErr w:type="gramEnd"/>
      <w:r w:rsidRPr="003077BD">
        <w:rPr>
          <w:rFonts w:ascii="Georgia" w:eastAsia="Times New Roman" w:hAnsi="Georgia"/>
          <w:b/>
          <w:lang w:eastAsia="de-DE"/>
        </w:rPr>
        <w:t xml:space="preserve"> employees of any of the undertakings within the group?</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&lt;ESMA_UCITS_QUESTION_21&gt;</w:t>
      </w:r>
    </w:p>
    <w:p w:rsidR="00BC7ECC" w:rsidRPr="003077BD" w:rsidRDefault="00BC7ECC" w:rsidP="003077BD">
      <w:pPr>
        <w:jc w:val="both"/>
        <w:rPr>
          <w:rFonts w:ascii="Georgia" w:eastAsia="Times New Roman" w:hAnsi="Georgia" w:cs="Arial"/>
          <w:lang w:val="en-US" w:eastAsia="de-DE"/>
        </w:rPr>
      </w:pPr>
      <w:r w:rsidRPr="003077BD">
        <w:rPr>
          <w:rFonts w:ascii="Georgia" w:eastAsia="Times New Roman" w:hAnsi="Georgia" w:cs="Arial"/>
          <w:lang w:val="en-US" w:eastAsia="de-DE"/>
        </w:rPr>
        <w:t>No</w:t>
      </w:r>
      <w:r w:rsidR="00C41F49" w:rsidRPr="00B6034D">
        <w:rPr>
          <w:rFonts w:ascii="Georgia" w:eastAsia="Times New Roman" w:hAnsi="Georgia" w:cs="Arial"/>
          <w:lang w:val="en-US" w:eastAsia="de-DE"/>
        </w:rPr>
        <w:t>,</w:t>
      </w:r>
      <w:r w:rsidRPr="003077BD">
        <w:rPr>
          <w:rFonts w:ascii="Georgia" w:eastAsia="Times New Roman" w:hAnsi="Georgia" w:cs="Arial"/>
          <w:lang w:val="en-US" w:eastAsia="de-DE"/>
        </w:rPr>
        <w:t xml:space="preserve"> ADEPO   does not agree. The concept of </w:t>
      </w:r>
      <w:r w:rsidR="00A30CC5">
        <w:rPr>
          <w:rFonts w:ascii="Georgia" w:eastAsia="Times New Roman" w:hAnsi="Georgia" w:cs="Arial"/>
          <w:lang w:val="en-US" w:eastAsia="de-DE"/>
        </w:rPr>
        <w:t>i</w:t>
      </w:r>
      <w:r w:rsidRPr="003077BD">
        <w:rPr>
          <w:rFonts w:ascii="Georgia" w:eastAsia="Times New Roman" w:hAnsi="Georgia" w:cs="Arial"/>
          <w:lang w:val="en-US" w:eastAsia="de-DE"/>
        </w:rPr>
        <w:t xml:space="preserve">ndependence should not include members of the management body or employees of undertakings of the group, provided the undertakings are not the Depositary, </w:t>
      </w:r>
      <w:r w:rsidR="0073281D" w:rsidRPr="00B6034D">
        <w:rPr>
          <w:rFonts w:ascii="Georgia" w:eastAsia="Times New Roman" w:hAnsi="Georgia" w:cs="Arial"/>
          <w:lang w:val="en-US" w:eastAsia="de-DE"/>
        </w:rPr>
        <w:t>n</w:t>
      </w:r>
      <w:r w:rsidRPr="003077BD">
        <w:rPr>
          <w:rFonts w:ascii="Georgia" w:eastAsia="Times New Roman" w:hAnsi="Georgia" w:cs="Arial"/>
          <w:lang w:val="en-US" w:eastAsia="de-DE"/>
        </w:rPr>
        <w:t xml:space="preserve">or the Management </w:t>
      </w:r>
      <w:proofErr w:type="gramStart"/>
      <w:r w:rsidRPr="003077BD">
        <w:rPr>
          <w:rFonts w:ascii="Georgia" w:eastAsia="Times New Roman" w:hAnsi="Georgia" w:cs="Arial"/>
          <w:lang w:val="en-US" w:eastAsia="de-DE"/>
        </w:rPr>
        <w:t>company</w:t>
      </w:r>
      <w:proofErr w:type="gramEnd"/>
      <w:r w:rsidRPr="003077BD">
        <w:rPr>
          <w:rFonts w:ascii="Georgia" w:eastAsia="Times New Roman" w:hAnsi="Georgia" w:cs="Arial"/>
          <w:lang w:val="en-US" w:eastAsia="de-DE"/>
        </w:rPr>
        <w:t xml:space="preserve">. </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&lt;ESMA_UCITS_QUESTION_21&gt;</w:t>
      </w:r>
    </w:p>
    <w:p w:rsidR="00BC7ECC" w:rsidRPr="003077BD" w:rsidRDefault="00BC7ECC" w:rsidP="003077BD">
      <w:pPr>
        <w:jc w:val="both"/>
        <w:rPr>
          <w:rFonts w:ascii="Georgia" w:eastAsia="Times New Roman" w:hAnsi="Georgia"/>
          <w:lang w:eastAsia="de-DE"/>
        </w:rPr>
      </w:pPr>
    </w:p>
    <w:p w:rsidR="00BC7ECC" w:rsidRPr="003077BD" w:rsidRDefault="00BC7ECC" w:rsidP="003077BD">
      <w:pPr>
        <w:numPr>
          <w:ilvl w:val="0"/>
          <w:numId w:val="1"/>
        </w:numPr>
        <w:spacing w:after="250"/>
        <w:jc w:val="both"/>
        <w:outlineLvl w:val="4"/>
        <w:rPr>
          <w:rFonts w:ascii="Georgia" w:eastAsia="Times New Roman" w:hAnsi="Georgia"/>
          <w:b/>
          <w:lang w:eastAsia="de-DE"/>
        </w:rPr>
      </w:pPr>
      <w:r w:rsidRPr="003077BD">
        <w:rPr>
          <w:rFonts w:ascii="Georgia" w:eastAsia="Times New Roman" w:hAnsi="Georgia"/>
          <w:b/>
          <w:lang w:eastAsia="de-DE"/>
        </w:rPr>
        <w:t>Do you have knowledge of the impact that each of the two options identified would have in terms of restructuring the shareholding of any Relevant Entities or finding alternative service providers? If yes, please provide data and an estimation of the one-off and ongoing costs that would be incurred.</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&lt;ESMA_UCITS_QUESTION_22&gt;</w:t>
      </w:r>
    </w:p>
    <w:p w:rsidR="00BC7ECC" w:rsidRPr="003077BD" w:rsidRDefault="00BC7ECC" w:rsidP="003077BD">
      <w:pPr>
        <w:autoSpaceDE w:val="0"/>
        <w:autoSpaceDN w:val="0"/>
        <w:ind w:left="708"/>
        <w:jc w:val="both"/>
        <w:rPr>
          <w:rFonts w:ascii="Georgia" w:eastAsia="Times New Roman" w:hAnsi="Georgia" w:cs="Arial"/>
          <w:color w:val="000000"/>
          <w:lang w:val="en-US" w:eastAsia="fr-FR"/>
        </w:rPr>
      </w:pPr>
      <w:r w:rsidRPr="003077BD">
        <w:rPr>
          <w:rFonts w:ascii="Georgia" w:eastAsia="Times New Roman" w:hAnsi="Georgia" w:cs="Arial"/>
          <w:color w:val="000000"/>
          <w:lang w:val="en-US" w:eastAsia="fr-FR"/>
        </w:rPr>
        <w:t>The prohibition of cross shareholding, as envisaged in option 1 (</w:t>
      </w:r>
      <w:r w:rsidRPr="003077BD">
        <w:rPr>
          <w:rFonts w:ascii="Georgia" w:eastAsia="Times New Roman" w:hAnsi="Georgia" w:cs="Arial"/>
          <w:i/>
          <w:color w:val="000000"/>
          <w:lang w:val="en-US" w:eastAsia="fr-FR"/>
        </w:rPr>
        <w:t>“the management company company/investment company shall not be included in the same group...”</w:t>
      </w:r>
      <w:r w:rsidRPr="003077BD">
        <w:rPr>
          <w:rFonts w:ascii="Georgia" w:eastAsia="Times New Roman" w:hAnsi="Georgia" w:cs="Arial"/>
          <w:color w:val="000000"/>
          <w:lang w:val="en-US" w:eastAsia="fr-FR"/>
        </w:rPr>
        <w:t xml:space="preserve">) </w:t>
      </w:r>
      <w:r w:rsidR="003077BD">
        <w:rPr>
          <w:rFonts w:ascii="Georgia" w:eastAsia="Times New Roman" w:hAnsi="Georgia" w:cs="Arial"/>
          <w:color w:val="000000"/>
          <w:lang w:val="en-US" w:eastAsia="fr-FR"/>
        </w:rPr>
        <w:t>is simply not feasible</w:t>
      </w:r>
      <w:r w:rsidRPr="003077BD">
        <w:rPr>
          <w:rFonts w:ascii="Georgia" w:eastAsia="Times New Roman" w:hAnsi="Georgia" w:cs="Arial"/>
          <w:color w:val="000000"/>
          <w:lang w:val="en-US" w:eastAsia="fr-FR"/>
        </w:rPr>
        <w:t xml:space="preserve"> in Spain due</w:t>
      </w:r>
      <w:r w:rsidR="003077BD">
        <w:rPr>
          <w:rFonts w:ascii="Georgia" w:eastAsia="Times New Roman" w:hAnsi="Georgia" w:cs="Arial"/>
          <w:color w:val="000000"/>
          <w:lang w:val="en-US" w:eastAsia="fr-FR"/>
        </w:rPr>
        <w:t xml:space="preserve"> to their dramatic consequences</w:t>
      </w:r>
      <w:r w:rsidRPr="003077BD">
        <w:rPr>
          <w:rFonts w:ascii="Georgia" w:eastAsia="Times New Roman" w:hAnsi="Georgia" w:cs="Arial"/>
          <w:color w:val="000000"/>
          <w:lang w:val="en-US" w:eastAsia="fr-FR"/>
        </w:rPr>
        <w:t>.</w:t>
      </w:r>
    </w:p>
    <w:p w:rsidR="00BC7ECC" w:rsidRPr="003077BD" w:rsidRDefault="00BC7ECC" w:rsidP="003077BD">
      <w:pPr>
        <w:autoSpaceDE w:val="0"/>
        <w:autoSpaceDN w:val="0"/>
        <w:adjustRightInd w:val="0"/>
        <w:jc w:val="both"/>
        <w:rPr>
          <w:rFonts w:ascii="Georgia" w:eastAsia="Times New Roman" w:hAnsi="Georgia" w:cs="Arial"/>
          <w:b/>
          <w:bCs/>
          <w:lang w:val="en-US" w:eastAsia="de-DE"/>
        </w:rPr>
      </w:pPr>
    </w:p>
    <w:p w:rsidR="00BC7ECC" w:rsidRPr="003077BD" w:rsidRDefault="00BC7ECC" w:rsidP="003077BD">
      <w:pPr>
        <w:ind w:left="708"/>
        <w:contextualSpacing/>
        <w:jc w:val="both"/>
        <w:rPr>
          <w:rFonts w:ascii="Georgia" w:eastAsia="Times New Roman" w:hAnsi="Georgia" w:cs="Arial"/>
          <w:lang w:eastAsia="de-DE"/>
        </w:rPr>
      </w:pPr>
      <w:r w:rsidRPr="003077BD">
        <w:rPr>
          <w:rFonts w:ascii="Georgia" w:eastAsia="Times New Roman" w:hAnsi="Georgia" w:cs="Arial"/>
          <w:lang w:val="en-US" w:eastAsia="de-DE"/>
        </w:rPr>
        <w:t xml:space="preserve"> Effectively</w:t>
      </w:r>
      <w:r w:rsidR="0073281D">
        <w:rPr>
          <w:rFonts w:ascii="Georgia" w:eastAsia="Times New Roman" w:hAnsi="Georgia" w:cs="Arial"/>
          <w:lang w:val="en-US" w:eastAsia="de-DE"/>
        </w:rPr>
        <w:t>,</w:t>
      </w:r>
      <w:r w:rsidRPr="003077BD">
        <w:rPr>
          <w:rFonts w:ascii="Georgia" w:eastAsia="Times New Roman" w:hAnsi="Georgia" w:cs="Arial"/>
          <w:lang w:val="en-US" w:eastAsia="de-DE"/>
        </w:rPr>
        <w:t xml:space="preserve"> </w:t>
      </w:r>
      <w:r w:rsidR="0073281D">
        <w:rPr>
          <w:rFonts w:ascii="Georgia" w:eastAsia="Times New Roman" w:hAnsi="Georgia" w:cs="Arial"/>
          <w:lang w:val="en-US" w:eastAsia="de-DE"/>
        </w:rPr>
        <w:t>o</w:t>
      </w:r>
      <w:r w:rsidRPr="003077BD">
        <w:rPr>
          <w:rFonts w:ascii="Georgia" w:eastAsia="Times New Roman" w:hAnsi="Georgia" w:cs="Arial"/>
          <w:lang w:val="en-US" w:eastAsia="de-DE"/>
        </w:rPr>
        <w:t xml:space="preserve">ption 1 </w:t>
      </w:r>
      <w:r w:rsidRPr="003077BD">
        <w:rPr>
          <w:rFonts w:ascii="Georgia" w:eastAsia="Times New Roman" w:hAnsi="Georgia" w:cs="Arial"/>
          <w:lang w:eastAsia="de-DE"/>
        </w:rPr>
        <w:t xml:space="preserve">would entail huge costs and a complete transformation of the existing models with a realistic possibility </w:t>
      </w:r>
      <w:r w:rsidR="0073281D" w:rsidRPr="0073281D">
        <w:rPr>
          <w:rFonts w:ascii="Georgia" w:eastAsia="Times New Roman" w:hAnsi="Georgia" w:cs="Arial"/>
          <w:lang w:eastAsia="de-DE"/>
        </w:rPr>
        <w:t>of putting</w:t>
      </w:r>
      <w:r w:rsidRPr="003077BD">
        <w:rPr>
          <w:rFonts w:ascii="Georgia" w:eastAsia="Times New Roman" w:hAnsi="Georgia" w:cs="Arial"/>
          <w:lang w:eastAsia="de-DE"/>
        </w:rPr>
        <w:t xml:space="preserve"> at risk an</w:t>
      </w:r>
      <w:r w:rsidR="003077BD">
        <w:rPr>
          <w:rFonts w:ascii="Georgia" w:eastAsia="Times New Roman" w:hAnsi="Georgia" w:cs="Arial"/>
          <w:lang w:eastAsia="de-DE"/>
        </w:rPr>
        <w:t xml:space="preserve">d weakening </w:t>
      </w:r>
      <w:r w:rsidRPr="003077BD">
        <w:rPr>
          <w:rFonts w:ascii="Georgia" w:eastAsia="Times New Roman" w:hAnsi="Georgia" w:cs="Arial"/>
          <w:lang w:eastAsia="de-DE"/>
        </w:rPr>
        <w:t xml:space="preserve">the Spanish sector. These costs would ultimately be borne by UCITS investors with no added benefits in terms of protection given the absence of evidenced market failure and given that Option 2 </w:t>
      </w:r>
      <w:proofErr w:type="gramStart"/>
      <w:r w:rsidRPr="003077BD">
        <w:rPr>
          <w:rFonts w:ascii="Georgia" w:eastAsia="Times New Roman" w:hAnsi="Georgia" w:cs="Arial"/>
          <w:lang w:eastAsia="de-DE"/>
        </w:rPr>
        <w:t>will</w:t>
      </w:r>
      <w:proofErr w:type="gramEnd"/>
      <w:r w:rsidRPr="003077BD">
        <w:rPr>
          <w:rFonts w:ascii="Georgia" w:eastAsia="Times New Roman" w:hAnsi="Georgia" w:cs="Arial"/>
          <w:lang w:eastAsia="de-DE"/>
        </w:rPr>
        <w:t xml:space="preserve"> deliver independence.</w:t>
      </w:r>
    </w:p>
    <w:p w:rsidR="00BC7ECC" w:rsidRPr="003077BD" w:rsidRDefault="00BC7ECC" w:rsidP="003077BD">
      <w:pPr>
        <w:ind w:left="708"/>
        <w:contextualSpacing/>
        <w:jc w:val="both"/>
        <w:rPr>
          <w:rFonts w:ascii="Georgia" w:eastAsia="Times New Roman" w:hAnsi="Georgia" w:cs="Arial"/>
          <w:lang w:eastAsia="de-DE"/>
        </w:rPr>
      </w:pPr>
    </w:p>
    <w:p w:rsidR="00BC7ECC" w:rsidRPr="003077BD" w:rsidRDefault="00BC7ECC" w:rsidP="003077BD">
      <w:pPr>
        <w:autoSpaceDE w:val="0"/>
        <w:autoSpaceDN w:val="0"/>
        <w:adjustRightInd w:val="0"/>
        <w:ind w:left="708"/>
        <w:jc w:val="both"/>
        <w:rPr>
          <w:rFonts w:ascii="Georgia" w:eastAsia="Times New Roman" w:hAnsi="Georgia" w:cs="Arial"/>
          <w:lang w:val="en-US" w:eastAsia="de-DE"/>
        </w:rPr>
      </w:pPr>
      <w:r w:rsidRPr="003077BD">
        <w:rPr>
          <w:rFonts w:ascii="Georgia" w:eastAsia="Times New Roman" w:hAnsi="Georgia" w:cs="Arial"/>
          <w:lang w:val="en-US" w:eastAsia="de-DE"/>
        </w:rPr>
        <w:t>In term of asset under management</w:t>
      </w:r>
      <w:r w:rsidR="0073281D">
        <w:rPr>
          <w:rFonts w:ascii="Georgia" w:eastAsia="Times New Roman" w:hAnsi="Georgia" w:cs="Arial"/>
          <w:lang w:val="en-US" w:eastAsia="de-DE"/>
        </w:rPr>
        <w:t>,</w:t>
      </w:r>
      <w:r w:rsidRPr="003077BD">
        <w:rPr>
          <w:rFonts w:ascii="Georgia" w:eastAsia="Times New Roman" w:hAnsi="Georgia" w:cs="Arial"/>
          <w:lang w:val="en-US" w:eastAsia="de-DE"/>
        </w:rPr>
        <w:t xml:space="preserve"> </w:t>
      </w:r>
      <w:r w:rsidR="003077BD">
        <w:rPr>
          <w:rFonts w:ascii="Georgia" w:eastAsia="Times New Roman" w:hAnsi="Georgia" w:cs="Arial"/>
          <w:lang w:val="en-US" w:eastAsia="de-DE"/>
        </w:rPr>
        <w:t>the</w:t>
      </w:r>
      <w:r w:rsidRPr="003077BD">
        <w:rPr>
          <w:rFonts w:ascii="Georgia" w:eastAsia="Times New Roman" w:hAnsi="Georgia" w:cs="Arial"/>
          <w:lang w:val="en-US" w:eastAsia="de-DE"/>
        </w:rPr>
        <w:t xml:space="preserve"> percentage of the total </w:t>
      </w:r>
      <w:proofErr w:type="gramStart"/>
      <w:r w:rsidRPr="003077BD">
        <w:rPr>
          <w:rFonts w:ascii="Georgia" w:eastAsia="Times New Roman" w:hAnsi="Georgia" w:cs="Arial"/>
          <w:lang w:val="en-US" w:eastAsia="de-DE"/>
        </w:rPr>
        <w:t xml:space="preserve">UCITS  </w:t>
      </w:r>
      <w:proofErr w:type="spellStart"/>
      <w:r w:rsidRPr="003077BD">
        <w:rPr>
          <w:rFonts w:ascii="Georgia" w:eastAsia="Times New Roman" w:hAnsi="Georgia" w:cs="Arial"/>
          <w:lang w:val="en-US" w:eastAsia="de-DE"/>
        </w:rPr>
        <w:t>AuM</w:t>
      </w:r>
      <w:proofErr w:type="spellEnd"/>
      <w:proofErr w:type="gramEnd"/>
      <w:r w:rsidRPr="003077BD">
        <w:rPr>
          <w:rFonts w:ascii="Georgia" w:eastAsia="Times New Roman" w:hAnsi="Georgia" w:cs="Arial"/>
          <w:lang w:val="en-US" w:eastAsia="de-DE"/>
        </w:rPr>
        <w:t xml:space="preserve">  that  would need to be transferred to another depositary  would be</w:t>
      </w:r>
      <w:r w:rsidR="0073281D">
        <w:rPr>
          <w:rFonts w:ascii="Georgia" w:eastAsia="Times New Roman" w:hAnsi="Georgia" w:cs="Arial"/>
          <w:lang w:val="en-US" w:eastAsia="de-DE"/>
        </w:rPr>
        <w:t>,</w:t>
      </w:r>
      <w:r w:rsidRPr="003077BD">
        <w:rPr>
          <w:rFonts w:ascii="Georgia" w:eastAsia="Times New Roman" w:hAnsi="Georgia" w:cs="Arial"/>
          <w:lang w:val="en-US" w:eastAsia="de-DE"/>
        </w:rPr>
        <w:t xml:space="preserve"> in Spain</w:t>
      </w:r>
      <w:r w:rsidR="0073281D">
        <w:rPr>
          <w:rFonts w:ascii="Georgia" w:eastAsia="Times New Roman" w:hAnsi="Georgia" w:cs="Arial"/>
          <w:lang w:val="en-US" w:eastAsia="de-DE"/>
        </w:rPr>
        <w:t>,</w:t>
      </w:r>
      <w:r w:rsidRPr="003077BD">
        <w:rPr>
          <w:rFonts w:ascii="Georgia" w:eastAsia="Times New Roman" w:hAnsi="Georgia" w:cs="Arial"/>
          <w:lang w:val="en-US" w:eastAsia="de-DE"/>
        </w:rPr>
        <w:t xml:space="preserve"> </w:t>
      </w:r>
      <w:r w:rsidR="00A93021">
        <w:rPr>
          <w:rFonts w:ascii="Georgia" w:eastAsia="Times New Roman" w:hAnsi="Georgia" w:cs="Arial"/>
          <w:lang w:val="en-US" w:eastAsia="de-DE"/>
        </w:rPr>
        <w:t xml:space="preserve">about </w:t>
      </w:r>
      <w:r w:rsidRPr="003077BD">
        <w:rPr>
          <w:rFonts w:ascii="Georgia" w:eastAsia="Times New Roman" w:hAnsi="Georgia" w:cs="Arial"/>
          <w:lang w:val="en-US" w:eastAsia="de-DE"/>
        </w:rPr>
        <w:t>70 %</w:t>
      </w:r>
      <w:r w:rsidR="0001459B">
        <w:rPr>
          <w:rFonts w:ascii="Georgia" w:eastAsia="Times New Roman" w:hAnsi="Georgia" w:cs="Arial"/>
          <w:lang w:val="en-US" w:eastAsia="de-DE"/>
        </w:rPr>
        <w:t>.</w:t>
      </w:r>
    </w:p>
    <w:p w:rsidR="00BC7ECC" w:rsidRPr="003077BD" w:rsidRDefault="00A93021" w:rsidP="003077BD">
      <w:pPr>
        <w:autoSpaceDE w:val="0"/>
        <w:autoSpaceDN w:val="0"/>
        <w:adjustRightInd w:val="0"/>
        <w:ind w:left="708"/>
        <w:jc w:val="both"/>
        <w:rPr>
          <w:rFonts w:ascii="Georgia" w:eastAsia="Times New Roman" w:hAnsi="Georgia" w:cs="Arial"/>
          <w:lang w:val="en-US" w:eastAsia="de-DE"/>
        </w:rPr>
      </w:pPr>
      <w:r>
        <w:rPr>
          <w:rFonts w:ascii="Georgia" w:eastAsia="Times New Roman" w:hAnsi="Georgia" w:cs="Arial"/>
          <w:lang w:val="en-US" w:eastAsia="de-DE"/>
        </w:rPr>
        <w:t>A</w:t>
      </w:r>
      <w:r w:rsidRPr="00E1282F">
        <w:rPr>
          <w:rFonts w:ascii="Georgia" w:eastAsia="Times New Roman" w:hAnsi="Georgia" w:cs="Arial"/>
          <w:lang w:val="en-US" w:eastAsia="de-DE"/>
        </w:rPr>
        <w:t>s a consequence</w:t>
      </w:r>
      <w:r w:rsidR="003077BD">
        <w:rPr>
          <w:rFonts w:ascii="Georgia" w:eastAsia="Times New Roman" w:hAnsi="Georgia" w:cs="Arial"/>
          <w:lang w:val="en-US" w:eastAsia="de-DE"/>
        </w:rPr>
        <w:t xml:space="preserve"> of implementing a new business</w:t>
      </w:r>
      <w:r w:rsidRPr="00E1282F">
        <w:rPr>
          <w:rFonts w:ascii="Georgia" w:eastAsia="Times New Roman" w:hAnsi="Georgia" w:cs="Arial"/>
          <w:lang w:val="en-US" w:eastAsia="de-DE"/>
        </w:rPr>
        <w:t xml:space="preserve"> model</w:t>
      </w:r>
      <w:r>
        <w:rPr>
          <w:rFonts w:ascii="Georgia" w:eastAsia="Times New Roman" w:hAnsi="Georgia" w:cs="Arial"/>
          <w:lang w:val="en-US" w:eastAsia="de-DE"/>
        </w:rPr>
        <w:t xml:space="preserve"> of custodians and </w:t>
      </w:r>
      <w:proofErr w:type="spellStart"/>
      <w:proofErr w:type="gramStart"/>
      <w:r>
        <w:rPr>
          <w:rFonts w:ascii="Georgia" w:eastAsia="Times New Roman" w:hAnsi="Georgia" w:cs="Arial"/>
          <w:lang w:val="en-US" w:eastAsia="de-DE"/>
        </w:rPr>
        <w:t>subcustodians</w:t>
      </w:r>
      <w:proofErr w:type="spellEnd"/>
      <w:r>
        <w:rPr>
          <w:rFonts w:ascii="Georgia" w:eastAsia="Times New Roman" w:hAnsi="Georgia" w:cs="Arial"/>
          <w:lang w:val="en-US" w:eastAsia="de-DE"/>
        </w:rPr>
        <w:t xml:space="preserve"> </w:t>
      </w:r>
      <w:r w:rsidR="00BC7ECC" w:rsidRPr="003077BD">
        <w:rPr>
          <w:rFonts w:ascii="Georgia" w:eastAsia="Times New Roman" w:hAnsi="Georgia" w:cs="Arial"/>
          <w:lang w:val="en-US" w:eastAsia="de-DE"/>
        </w:rPr>
        <w:t>,</w:t>
      </w:r>
      <w:proofErr w:type="gramEnd"/>
      <w:r w:rsidR="0073281D">
        <w:rPr>
          <w:rFonts w:ascii="Georgia" w:eastAsia="Times New Roman" w:hAnsi="Georgia" w:cs="Arial"/>
          <w:lang w:val="en-US" w:eastAsia="de-DE"/>
        </w:rPr>
        <w:t xml:space="preserve"> </w:t>
      </w:r>
      <w:r w:rsidR="00BC7ECC" w:rsidRPr="003077BD">
        <w:rPr>
          <w:rFonts w:ascii="Georgia" w:eastAsia="Times New Roman" w:hAnsi="Georgia" w:cs="Arial"/>
          <w:lang w:val="en-US" w:eastAsia="de-DE"/>
        </w:rPr>
        <w:t xml:space="preserve">the estimated </w:t>
      </w:r>
      <w:r w:rsidR="00363809" w:rsidRPr="003077BD">
        <w:rPr>
          <w:rFonts w:ascii="Georgia" w:eastAsia="Times New Roman" w:hAnsi="Georgia" w:cs="Arial"/>
          <w:lang w:val="en-US" w:eastAsia="de-DE"/>
        </w:rPr>
        <w:t xml:space="preserve">individual </w:t>
      </w:r>
      <w:r w:rsidR="00BC7ECC" w:rsidRPr="003077BD">
        <w:rPr>
          <w:rFonts w:ascii="Georgia" w:eastAsia="Times New Roman" w:hAnsi="Georgia" w:cs="Arial"/>
          <w:lang w:val="en-US" w:eastAsia="de-DE"/>
        </w:rPr>
        <w:t xml:space="preserve">cost per </w:t>
      </w:r>
      <w:r w:rsidR="00E178FC" w:rsidRPr="003077BD">
        <w:rPr>
          <w:rFonts w:ascii="Georgia" w:eastAsia="Times New Roman" w:hAnsi="Georgia" w:cs="Arial"/>
          <w:lang w:val="en-US" w:eastAsia="de-DE"/>
        </w:rPr>
        <w:t>UCITS</w:t>
      </w:r>
      <w:r w:rsidR="003077BD">
        <w:rPr>
          <w:rFonts w:ascii="Georgia" w:eastAsia="Times New Roman" w:hAnsi="Georgia" w:cs="Arial"/>
          <w:lang w:val="en-US" w:eastAsia="de-DE"/>
        </w:rPr>
        <w:t xml:space="preserve"> </w:t>
      </w:r>
      <w:r w:rsidR="00BC7ECC" w:rsidRPr="003077BD">
        <w:rPr>
          <w:rFonts w:ascii="Georgia" w:eastAsia="Times New Roman" w:hAnsi="Georgia" w:cs="Arial"/>
          <w:lang w:val="en-US" w:eastAsia="de-DE"/>
        </w:rPr>
        <w:t xml:space="preserve">could </w:t>
      </w:r>
      <w:r>
        <w:rPr>
          <w:rFonts w:ascii="Georgia" w:eastAsia="Times New Roman" w:hAnsi="Georgia" w:cs="Arial"/>
          <w:lang w:val="en-US" w:eastAsia="de-DE"/>
        </w:rPr>
        <w:t xml:space="preserve"> be </w:t>
      </w:r>
      <w:r w:rsidR="00A30CC5">
        <w:rPr>
          <w:rFonts w:ascii="Georgia" w:eastAsia="Times New Roman" w:hAnsi="Georgia" w:cs="Arial"/>
          <w:lang w:val="en-US" w:eastAsia="de-DE"/>
        </w:rPr>
        <w:t xml:space="preserve"> at least </w:t>
      </w:r>
      <w:r w:rsidR="00BC7ECC" w:rsidRPr="003077BD">
        <w:rPr>
          <w:rFonts w:ascii="Georgia" w:eastAsia="Times New Roman" w:hAnsi="Georgia" w:cs="Arial"/>
          <w:lang w:val="en-US" w:eastAsia="de-DE"/>
        </w:rPr>
        <w:t>0´8 %</w:t>
      </w:r>
      <w:r>
        <w:rPr>
          <w:rFonts w:ascii="Georgia" w:eastAsia="Times New Roman" w:hAnsi="Georgia" w:cs="Arial"/>
          <w:lang w:val="en-US" w:eastAsia="de-DE"/>
        </w:rPr>
        <w:t xml:space="preserve"> to </w:t>
      </w:r>
      <w:r w:rsidR="00BC7ECC" w:rsidRPr="003077BD">
        <w:rPr>
          <w:rFonts w:ascii="Georgia" w:eastAsia="Times New Roman" w:hAnsi="Georgia" w:cs="Arial"/>
          <w:lang w:val="en-US" w:eastAsia="de-DE"/>
        </w:rPr>
        <w:t xml:space="preserve">0´08 % of  the UCITS </w:t>
      </w:r>
      <w:r w:rsidR="00D359BF">
        <w:rPr>
          <w:rFonts w:ascii="Georgia" w:eastAsia="Times New Roman" w:hAnsi="Georgia" w:cs="Arial"/>
          <w:lang w:val="en-US" w:eastAsia="de-DE"/>
        </w:rPr>
        <w:t xml:space="preserve">net </w:t>
      </w:r>
      <w:r w:rsidR="00BC7ECC" w:rsidRPr="003077BD">
        <w:rPr>
          <w:rFonts w:ascii="Georgia" w:eastAsia="Times New Roman" w:hAnsi="Georgia" w:cs="Arial"/>
          <w:lang w:val="en-US" w:eastAsia="de-DE"/>
        </w:rPr>
        <w:t>assets,</w:t>
      </w:r>
      <w:r w:rsidR="0073281D">
        <w:rPr>
          <w:rFonts w:ascii="Georgia" w:eastAsia="Times New Roman" w:hAnsi="Georgia" w:cs="Arial"/>
          <w:lang w:val="en-US" w:eastAsia="de-DE"/>
        </w:rPr>
        <w:t xml:space="preserve"> </w:t>
      </w:r>
      <w:r w:rsidR="00A30CC5">
        <w:rPr>
          <w:rFonts w:ascii="Georgia" w:eastAsia="Times New Roman" w:hAnsi="Georgia" w:cs="Arial"/>
          <w:lang w:val="en-US" w:eastAsia="de-DE"/>
        </w:rPr>
        <w:t xml:space="preserve">which are the estimated cost of creating the structure of custody ,settlement and supervision for UCITS ,  </w:t>
      </w:r>
      <w:r w:rsidR="00BC7ECC" w:rsidRPr="003077BD">
        <w:rPr>
          <w:rFonts w:ascii="Georgia" w:eastAsia="Times New Roman" w:hAnsi="Georgia" w:cs="Arial"/>
          <w:lang w:val="en-US" w:eastAsia="de-DE"/>
        </w:rPr>
        <w:t xml:space="preserve">depending on  the size and complexity of  the </w:t>
      </w:r>
      <w:r w:rsidR="00D359BF">
        <w:rPr>
          <w:rFonts w:ascii="Georgia" w:eastAsia="Times New Roman" w:hAnsi="Georgia" w:cs="Arial"/>
          <w:lang w:val="en-US" w:eastAsia="de-DE"/>
        </w:rPr>
        <w:t>UCITS</w:t>
      </w:r>
      <w:r w:rsidR="00BC7ECC" w:rsidRPr="003077BD">
        <w:rPr>
          <w:rFonts w:ascii="Georgia" w:eastAsia="Times New Roman" w:hAnsi="Georgia" w:cs="Arial"/>
          <w:lang w:val="en-US" w:eastAsia="de-DE"/>
        </w:rPr>
        <w:t>.</w:t>
      </w:r>
    </w:p>
    <w:p w:rsidR="00BC7ECC" w:rsidRPr="003077BD" w:rsidRDefault="00BC7ECC" w:rsidP="003077BD">
      <w:pPr>
        <w:autoSpaceDE w:val="0"/>
        <w:autoSpaceDN w:val="0"/>
        <w:adjustRightInd w:val="0"/>
        <w:ind w:left="708"/>
        <w:jc w:val="both"/>
        <w:rPr>
          <w:rFonts w:ascii="Georgia" w:eastAsia="Times New Roman" w:hAnsi="Georgia" w:cs="Arial"/>
          <w:lang w:val="en-US" w:eastAsia="de-DE"/>
        </w:rPr>
      </w:pPr>
    </w:p>
    <w:p w:rsidR="00BC7ECC" w:rsidRPr="003077BD" w:rsidDel="000D4521" w:rsidRDefault="00BC7ECC" w:rsidP="003077BD">
      <w:pPr>
        <w:autoSpaceDE w:val="0"/>
        <w:autoSpaceDN w:val="0"/>
        <w:adjustRightInd w:val="0"/>
        <w:ind w:left="708"/>
        <w:jc w:val="both"/>
        <w:rPr>
          <w:rFonts w:ascii="Georgia" w:eastAsia="Times New Roman" w:hAnsi="Georgia" w:cs="Arial"/>
          <w:lang w:val="en-US" w:eastAsia="de-DE"/>
        </w:rPr>
      </w:pPr>
      <w:r w:rsidRPr="003077BD">
        <w:rPr>
          <w:rFonts w:ascii="Georgia" w:eastAsia="Times New Roman" w:hAnsi="Georgia" w:cs="Arial"/>
          <w:lang w:val="en-US" w:eastAsia="de-DE"/>
        </w:rPr>
        <w:t>Finally,</w:t>
      </w:r>
      <w:r w:rsidR="00A93021">
        <w:rPr>
          <w:rFonts w:ascii="Georgia" w:eastAsia="Times New Roman" w:hAnsi="Georgia" w:cs="Arial"/>
          <w:lang w:val="en-US" w:eastAsia="de-DE"/>
        </w:rPr>
        <w:t xml:space="preserve"> </w:t>
      </w:r>
      <w:r w:rsidRPr="003077BD">
        <w:rPr>
          <w:rFonts w:ascii="Georgia" w:eastAsia="Times New Roman" w:hAnsi="Georgia" w:cs="Arial"/>
          <w:lang w:val="en-US" w:eastAsia="de-DE"/>
        </w:rPr>
        <w:t xml:space="preserve">according to </w:t>
      </w:r>
      <w:r w:rsidR="003077BD">
        <w:rPr>
          <w:rFonts w:ascii="Georgia" w:eastAsia="Times New Roman" w:hAnsi="Georgia" w:cs="Arial"/>
          <w:lang w:val="en-US" w:eastAsia="de-DE"/>
        </w:rPr>
        <w:t>Spanish</w:t>
      </w:r>
      <w:r w:rsidRPr="003077BD">
        <w:rPr>
          <w:rFonts w:ascii="Georgia" w:eastAsia="Times New Roman" w:hAnsi="Georgia" w:cs="Arial"/>
          <w:lang w:val="en-US" w:eastAsia="de-DE"/>
        </w:rPr>
        <w:t xml:space="preserve"> binding regulations</w:t>
      </w:r>
      <w:r w:rsidR="00D359BF">
        <w:rPr>
          <w:rFonts w:ascii="Georgia" w:eastAsia="Times New Roman" w:hAnsi="Georgia" w:cs="Arial"/>
          <w:lang w:val="en-US" w:eastAsia="de-DE"/>
        </w:rPr>
        <w:t>,</w:t>
      </w:r>
      <w:r w:rsidR="003077BD">
        <w:rPr>
          <w:rFonts w:ascii="Georgia" w:eastAsia="Times New Roman" w:hAnsi="Georgia" w:cs="Arial"/>
          <w:lang w:val="en-US" w:eastAsia="de-DE"/>
        </w:rPr>
        <w:t xml:space="preserve"> </w:t>
      </w:r>
      <w:r w:rsidRPr="003077BD">
        <w:rPr>
          <w:rFonts w:ascii="Georgia" w:eastAsia="Times New Roman" w:hAnsi="Georgia" w:cs="Arial"/>
          <w:lang w:val="en-US" w:eastAsia="de-DE"/>
        </w:rPr>
        <w:t xml:space="preserve">any change </w:t>
      </w:r>
      <w:r w:rsidR="00D359BF">
        <w:rPr>
          <w:rFonts w:ascii="Georgia" w:eastAsia="Times New Roman" w:hAnsi="Georgia" w:cs="Arial"/>
          <w:lang w:val="en-US" w:eastAsia="de-DE"/>
        </w:rPr>
        <w:t xml:space="preserve">in the </w:t>
      </w:r>
      <w:r w:rsidRPr="003077BD">
        <w:rPr>
          <w:rFonts w:ascii="Georgia" w:eastAsia="Times New Roman" w:hAnsi="Georgia" w:cs="Arial"/>
          <w:lang w:val="en-US" w:eastAsia="de-DE"/>
        </w:rPr>
        <w:t>depositary</w:t>
      </w:r>
      <w:r w:rsidR="00D359BF">
        <w:rPr>
          <w:rFonts w:ascii="Georgia" w:eastAsia="Times New Roman" w:hAnsi="Georgia" w:cs="Arial"/>
          <w:lang w:val="en-US" w:eastAsia="de-DE"/>
        </w:rPr>
        <w:t xml:space="preserve"> of a UCITS</w:t>
      </w:r>
      <w:r w:rsidRPr="003077BD">
        <w:rPr>
          <w:rFonts w:ascii="Georgia" w:eastAsia="Times New Roman" w:hAnsi="Georgia" w:cs="Arial"/>
          <w:lang w:val="en-US" w:eastAsia="de-DE"/>
        </w:rPr>
        <w:t xml:space="preserve"> </w:t>
      </w:r>
      <w:r w:rsidR="00D359BF">
        <w:rPr>
          <w:rFonts w:ascii="Georgia" w:eastAsia="Times New Roman" w:hAnsi="Georgia" w:cs="Arial"/>
          <w:lang w:val="en-US" w:eastAsia="de-DE"/>
        </w:rPr>
        <w:t xml:space="preserve">shall be subject to </w:t>
      </w:r>
      <w:r w:rsidR="003077BD">
        <w:rPr>
          <w:rFonts w:ascii="Georgia" w:eastAsia="Times New Roman" w:hAnsi="Georgia" w:cs="Arial"/>
          <w:lang w:val="en-US" w:eastAsia="de-DE"/>
        </w:rPr>
        <w:t>a</w:t>
      </w:r>
      <w:r w:rsidRPr="003077BD">
        <w:rPr>
          <w:rFonts w:ascii="Georgia" w:eastAsia="Times New Roman" w:hAnsi="Georgia" w:cs="Arial"/>
          <w:lang w:val="en-US" w:eastAsia="de-DE"/>
        </w:rPr>
        <w:t xml:space="preserve"> right </w:t>
      </w:r>
      <w:proofErr w:type="gramStart"/>
      <w:r w:rsidRPr="003077BD">
        <w:rPr>
          <w:rFonts w:ascii="Georgia" w:eastAsia="Times New Roman" w:hAnsi="Georgia" w:cs="Arial"/>
          <w:lang w:val="en-US" w:eastAsia="de-DE"/>
        </w:rPr>
        <w:t xml:space="preserve">of  </w:t>
      </w:r>
      <w:r w:rsidR="00D359BF">
        <w:rPr>
          <w:rFonts w:ascii="Georgia" w:eastAsia="Times New Roman" w:hAnsi="Georgia" w:cs="Arial"/>
          <w:lang w:val="en-US" w:eastAsia="de-DE"/>
        </w:rPr>
        <w:t>reimbursement</w:t>
      </w:r>
      <w:proofErr w:type="gramEnd"/>
      <w:r w:rsidRPr="003077BD">
        <w:rPr>
          <w:rFonts w:ascii="Georgia" w:eastAsia="Times New Roman" w:hAnsi="Georgia" w:cs="Arial"/>
          <w:lang w:val="en-US" w:eastAsia="de-DE"/>
        </w:rPr>
        <w:t xml:space="preserve"> with no cost </w:t>
      </w:r>
      <w:r w:rsidR="00D359BF">
        <w:rPr>
          <w:rFonts w:ascii="Georgia" w:eastAsia="Times New Roman" w:hAnsi="Georgia" w:cs="Arial"/>
          <w:lang w:val="en-US" w:eastAsia="de-DE"/>
        </w:rPr>
        <w:t xml:space="preserve">for the UCITS </w:t>
      </w:r>
      <w:r w:rsidR="003077BD">
        <w:rPr>
          <w:rFonts w:ascii="Georgia" w:eastAsia="Times New Roman" w:hAnsi="Georgia" w:cs="Arial"/>
          <w:lang w:val="en-US" w:eastAsia="de-DE"/>
        </w:rPr>
        <w:t>inve</w:t>
      </w:r>
      <w:r w:rsidRPr="003077BD">
        <w:rPr>
          <w:rFonts w:ascii="Georgia" w:eastAsia="Times New Roman" w:hAnsi="Georgia" w:cs="Arial"/>
          <w:lang w:val="en-US" w:eastAsia="de-DE"/>
        </w:rPr>
        <w:t>s</w:t>
      </w:r>
      <w:r w:rsidR="00D359BF">
        <w:rPr>
          <w:rFonts w:ascii="Georgia" w:eastAsia="Times New Roman" w:hAnsi="Georgia" w:cs="Arial"/>
          <w:lang w:val="en-US" w:eastAsia="de-DE"/>
        </w:rPr>
        <w:t>t</w:t>
      </w:r>
      <w:r w:rsidRPr="003077BD">
        <w:rPr>
          <w:rFonts w:ascii="Georgia" w:eastAsia="Times New Roman" w:hAnsi="Georgia" w:cs="Arial"/>
          <w:lang w:val="en-US" w:eastAsia="de-DE"/>
        </w:rPr>
        <w:t>or, causing an additional  damage to the management companies.</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cs="Arial"/>
          <w:color w:val="000000"/>
          <w:lang w:val="en-US" w:eastAsia="fr-FR"/>
        </w:rPr>
        <w:t xml:space="preserve"> </w:t>
      </w:r>
      <w:bookmarkStart w:id="2" w:name="_GoBack"/>
      <w:bookmarkEnd w:id="2"/>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&lt;ESMA_UCITS_QUESTION_22&gt;</w:t>
      </w:r>
    </w:p>
    <w:p w:rsidR="00BC7ECC" w:rsidRPr="003077BD" w:rsidRDefault="00BC7ECC" w:rsidP="003077BD">
      <w:pPr>
        <w:jc w:val="both"/>
        <w:rPr>
          <w:rFonts w:ascii="Georgia" w:eastAsia="Times New Roman" w:hAnsi="Georgia"/>
          <w:lang w:eastAsia="de-DE"/>
        </w:rPr>
      </w:pPr>
    </w:p>
    <w:p w:rsidR="00BC7ECC" w:rsidRPr="003077BD" w:rsidRDefault="00BC7ECC" w:rsidP="003077BD">
      <w:pPr>
        <w:jc w:val="both"/>
        <w:rPr>
          <w:rFonts w:ascii="Georgia" w:eastAsia="Times New Roman" w:hAnsi="Georgia"/>
          <w:b/>
          <w:lang w:eastAsia="de-DE"/>
        </w:rPr>
      </w:pPr>
      <w:r w:rsidRPr="003077BD">
        <w:rPr>
          <w:rFonts w:ascii="Georgia" w:eastAsia="Times New Roman" w:hAnsi="Georgia"/>
          <w:b/>
          <w:lang w:eastAsia="de-DE"/>
        </w:rPr>
        <w:t>Annex III</w:t>
      </w:r>
    </w:p>
    <w:p w:rsidR="00BC7ECC" w:rsidRPr="003077BD" w:rsidRDefault="00BC7ECC" w:rsidP="003077BD">
      <w:pPr>
        <w:jc w:val="both"/>
        <w:rPr>
          <w:rFonts w:ascii="Georgia" w:eastAsia="Times New Roman" w:hAnsi="Georgia"/>
          <w:b/>
          <w:lang w:eastAsia="de-DE"/>
        </w:rPr>
      </w:pPr>
    </w:p>
    <w:p w:rsidR="00BC7ECC" w:rsidRPr="003077BD" w:rsidRDefault="00BC7ECC" w:rsidP="003077BD">
      <w:pPr>
        <w:jc w:val="both"/>
        <w:rPr>
          <w:rFonts w:ascii="Georgia" w:eastAsia="Times New Roman" w:hAnsi="Georgia"/>
          <w:b/>
          <w:lang w:eastAsia="de-DE"/>
        </w:rPr>
      </w:pPr>
      <w:r w:rsidRPr="003077BD">
        <w:rPr>
          <w:rFonts w:ascii="Georgia" w:eastAsia="Times New Roman" w:hAnsi="Georgia"/>
          <w:b/>
          <w:lang w:eastAsia="de-DE"/>
        </w:rPr>
        <w:t>Cost-benefit analysis</w:t>
      </w:r>
    </w:p>
    <w:p w:rsidR="00BC7ECC" w:rsidRPr="003077BD" w:rsidRDefault="00BC7ECC" w:rsidP="003077BD">
      <w:pPr>
        <w:jc w:val="both"/>
        <w:rPr>
          <w:rFonts w:ascii="Georgia" w:eastAsia="Times New Roman" w:hAnsi="Georgia"/>
          <w:lang w:eastAsia="de-DE"/>
        </w:rPr>
      </w:pPr>
    </w:p>
    <w:p w:rsidR="00BC7ECC" w:rsidRPr="003077BD" w:rsidRDefault="00BC7ECC" w:rsidP="003077BD">
      <w:pPr>
        <w:numPr>
          <w:ilvl w:val="0"/>
          <w:numId w:val="1"/>
        </w:numPr>
        <w:spacing w:after="250"/>
        <w:jc w:val="both"/>
        <w:outlineLvl w:val="4"/>
        <w:rPr>
          <w:rFonts w:ascii="Georgia" w:eastAsia="Times New Roman" w:hAnsi="Georgia"/>
          <w:b/>
          <w:lang w:eastAsia="de-DE"/>
        </w:rPr>
      </w:pPr>
      <w:r w:rsidRPr="003077BD">
        <w:rPr>
          <w:rFonts w:ascii="Georgia" w:eastAsia="Times New Roman" w:hAnsi="Georgia"/>
          <w:b/>
          <w:lang w:eastAsia="de-DE"/>
        </w:rPr>
        <w:t xml:space="preserve">Do you agree with </w:t>
      </w:r>
      <w:proofErr w:type="spellStart"/>
      <w:r w:rsidRPr="003077BD">
        <w:rPr>
          <w:rFonts w:ascii="Georgia" w:eastAsia="Times New Roman" w:hAnsi="Georgia"/>
          <w:b/>
          <w:lang w:eastAsia="de-DE"/>
        </w:rPr>
        <w:t>ESMA’s</w:t>
      </w:r>
      <w:proofErr w:type="spellEnd"/>
      <w:r w:rsidRPr="003077BD">
        <w:rPr>
          <w:rFonts w:ascii="Georgia" w:eastAsia="Times New Roman" w:hAnsi="Georgia"/>
          <w:b/>
          <w:lang w:eastAsia="de-DE"/>
        </w:rPr>
        <w:t xml:space="preserve"> approach to discard the second and third options described above?</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&lt;ESMA_UCITS_QUESTION_23&gt;</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cs="Arial"/>
          <w:lang w:val="en-US" w:eastAsia="de-DE"/>
        </w:rPr>
        <w:t xml:space="preserve">ADEPO   </w:t>
      </w:r>
      <w:r w:rsidR="0073281D" w:rsidRPr="0073281D">
        <w:rPr>
          <w:rFonts w:ascii="Georgia" w:eastAsia="Times New Roman" w:hAnsi="Georgia" w:cs="Arial"/>
          <w:lang w:val="en-US" w:eastAsia="de-DE"/>
        </w:rPr>
        <w:t>agrees with</w:t>
      </w:r>
      <w:r w:rsidRPr="003077BD">
        <w:rPr>
          <w:rFonts w:ascii="Georgia" w:eastAsia="Times New Roman" w:hAnsi="Georgia" w:cs="Arial"/>
          <w:lang w:val="en-US" w:eastAsia="de-DE"/>
        </w:rPr>
        <w:t xml:space="preserve"> </w:t>
      </w:r>
      <w:proofErr w:type="spellStart"/>
      <w:r w:rsidRPr="003077BD">
        <w:rPr>
          <w:rFonts w:ascii="Georgia" w:eastAsia="Times New Roman" w:hAnsi="Georgia" w:cs="Arial"/>
          <w:lang w:val="en-US" w:eastAsia="de-DE"/>
        </w:rPr>
        <w:t>ESMA’s</w:t>
      </w:r>
      <w:proofErr w:type="spellEnd"/>
      <w:r w:rsidRPr="003077BD">
        <w:rPr>
          <w:rFonts w:ascii="Georgia" w:eastAsia="Times New Roman" w:hAnsi="Georgia" w:cs="Arial"/>
          <w:lang w:val="en-US" w:eastAsia="de-DE"/>
        </w:rPr>
        <w:t xml:space="preserve"> approach to discard the second and third option</w:t>
      </w:r>
      <w:r w:rsidR="0073281D">
        <w:rPr>
          <w:rFonts w:ascii="Georgia" w:eastAsia="Times New Roman" w:hAnsi="Georgia" w:cs="Arial"/>
          <w:lang w:val="en-US" w:eastAsia="de-DE"/>
        </w:rPr>
        <w:t>.</w:t>
      </w:r>
    </w:p>
    <w:p w:rsidR="00BC7ECC" w:rsidRPr="003077BD" w:rsidRDefault="00BC7ECC" w:rsidP="003077BD">
      <w:pPr>
        <w:jc w:val="both"/>
        <w:rPr>
          <w:rFonts w:ascii="Georgia" w:eastAsia="Times New Roman" w:hAnsi="Georgia"/>
          <w:lang w:eastAsia="de-DE"/>
        </w:rPr>
      </w:pPr>
      <w:r w:rsidRPr="003077BD">
        <w:rPr>
          <w:rFonts w:ascii="Georgia" w:eastAsia="Times New Roman" w:hAnsi="Georgia"/>
          <w:lang w:eastAsia="de-DE"/>
        </w:rPr>
        <w:t>&lt;ESMA_UCITS_QUESTION_23&gt;</w:t>
      </w:r>
    </w:p>
    <w:p w:rsidR="00BC7ECC" w:rsidRPr="003077BD" w:rsidRDefault="00BC7ECC" w:rsidP="003077BD">
      <w:pPr>
        <w:jc w:val="both"/>
        <w:rPr>
          <w:rFonts w:ascii="Georgia" w:eastAsia="Times New Roman" w:hAnsi="Georgia"/>
          <w:lang w:eastAsia="de-DE"/>
        </w:rPr>
      </w:pPr>
    </w:p>
    <w:p w:rsidR="00BC7ECC" w:rsidRPr="003077BD" w:rsidRDefault="00BC7ECC" w:rsidP="003077BD">
      <w:pPr>
        <w:keepNext/>
        <w:spacing w:before="120" w:after="120"/>
        <w:ind w:left="425" w:hanging="425"/>
        <w:jc w:val="both"/>
        <w:outlineLvl w:val="0"/>
        <w:rPr>
          <w:rFonts w:ascii="Georgia" w:eastAsia="Times New Roman" w:hAnsi="Georgia" w:cs="Arial"/>
          <w:b/>
          <w:bCs/>
          <w:kern w:val="32"/>
          <w:lang w:eastAsia="de-DE"/>
        </w:rPr>
      </w:pPr>
    </w:p>
    <w:p w:rsidR="00BC7ECC" w:rsidRPr="003077BD" w:rsidRDefault="00BC7ECC" w:rsidP="003077BD">
      <w:pPr>
        <w:jc w:val="both"/>
        <w:rPr>
          <w:rFonts w:ascii="Georgia" w:hAnsi="Georgia"/>
        </w:rPr>
      </w:pPr>
    </w:p>
    <w:sectPr w:rsidR="00BC7ECC" w:rsidRPr="003077BD" w:rsidSect="00BC7ECC">
      <w:headerReference w:type="even" r:id="rId8"/>
      <w:headerReference w:type="first" r:id="rId9"/>
      <w:footerReference w:type="first" r:id="rId10"/>
      <w:pgSz w:w="11906" w:h="16838" w:code="9"/>
      <w:pgMar w:top="2552" w:right="1247" w:bottom="1361" w:left="1247" w:header="709" w:footer="709" w:gutter="0"/>
      <w:cols w:space="708"/>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D458D9" w:rsidRDefault="00D458D9" w:rsidP="00BC7ECC">
      <w:pPr>
        <w:spacing w:line="240" w:lineRule="auto"/>
      </w:pPr>
      <w:r>
        <w:separator/>
      </w:r>
    </w:p>
  </w:endnote>
  <w:endnote w:type="continuationSeparator" w:id="1">
    <w:p w:rsidR="00D458D9" w:rsidRDefault="00D458D9" w:rsidP="00BC7EC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entury Schoolbook">
    <w:panose1 w:val="020406040505050203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C7ECC" w:rsidRDefault="00BC7ECC">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D458D9" w:rsidRDefault="00D458D9" w:rsidP="00BC7ECC">
      <w:pPr>
        <w:spacing w:line="240" w:lineRule="auto"/>
      </w:pPr>
      <w:r>
        <w:separator/>
      </w:r>
    </w:p>
  </w:footnote>
  <w:footnote w:type="continuationSeparator" w:id="1">
    <w:p w:rsidR="00D458D9" w:rsidRDefault="00D458D9" w:rsidP="00BC7ECC">
      <w:pPr>
        <w:spacing w:line="240" w:lineRule="auto"/>
      </w:pPr>
      <w:r>
        <w:continuationSeparator/>
      </w:r>
    </w:p>
  </w:footnote>
  <w:footnote w:id="2">
    <w:p w:rsidR="00BC7ECC" w:rsidRDefault="00BC7ECC" w:rsidP="00BC7ECC">
      <w:pPr>
        <w:pStyle w:val="FootnoteText"/>
      </w:pPr>
      <w:r>
        <w:rPr>
          <w:rStyle w:val="FootnoteReference"/>
        </w:rPr>
        <w:footnoteRef/>
      </w:r>
      <w:r>
        <w:t xml:space="preserve"> </w:t>
      </w:r>
      <w:r w:rsidRPr="00395D33">
        <w:t>Article 22a(3)(d) in the text of UCITS V published in the Official Journal.</w:t>
      </w:r>
    </w:p>
  </w:footnote>
  <w:footnote w:id="3">
    <w:p w:rsidR="00BC7ECC" w:rsidRPr="005451D8" w:rsidRDefault="00BC7ECC" w:rsidP="00BC7ECC">
      <w:pPr>
        <w:pStyle w:val="FootnoteText"/>
      </w:pP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C7ECC" w:rsidRDefault="00BC7ECC"/>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BC7ECC" w:rsidRPr="00D458D9">
      <w:trPr>
        <w:trHeight w:val="284"/>
      </w:trPr>
      <w:tc>
        <w:tcPr>
          <w:tcW w:w="8460" w:type="dxa"/>
        </w:tcPr>
        <w:p w:rsidR="00BC7ECC" w:rsidRPr="000C3B6D" w:rsidRDefault="00BC7ECC" w:rsidP="00BC7ECC">
          <w:pPr>
            <w:pStyle w:val="00Footer"/>
            <w:rPr>
              <w:lang w:val="fr-FR"/>
            </w:rPr>
          </w:pPr>
        </w:p>
      </w:tc>
      <w:tc>
        <w:tcPr>
          <w:tcW w:w="952" w:type="dxa"/>
        </w:tcPr>
        <w:p w:rsidR="00BC7ECC" w:rsidRPr="00146B34" w:rsidRDefault="00BC7ECC" w:rsidP="00BC7ECC">
          <w:pPr>
            <w:pStyle w:val="00aPagenumber"/>
            <w:rPr>
              <w:lang w:val="fr-FR"/>
            </w:rPr>
          </w:pPr>
        </w:p>
      </w:tc>
    </w:tr>
  </w:tbl>
  <w:p w:rsidR="00BC7ECC" w:rsidRPr="00DB46C3" w:rsidRDefault="00BC7ECC">
    <w:pPr>
      <w:rPr>
        <w:lang w:val="fr-FR"/>
      </w:rPr>
    </w:pPr>
  </w:p>
  <w:p w:rsidR="00BC7ECC" w:rsidRPr="002F4496" w:rsidRDefault="00BC7ECC">
    <w:pPr>
      <w:pStyle w:val="Header"/>
      <w:rPr>
        <w:lang w:val="fr-FR"/>
      </w:rPr>
    </w:pPr>
  </w:p>
  <w:p w:rsidR="00BC7ECC" w:rsidRPr="002F4496" w:rsidRDefault="00BC7ECC" w:rsidP="00BC7ECC">
    <w:pPr>
      <w:pStyle w:val="Header"/>
      <w:tabs>
        <w:tab w:val="clear" w:pos="4513"/>
        <w:tab w:val="left" w:pos="8227"/>
      </w:tabs>
      <w:rPr>
        <w:lang w:val="fr-FR"/>
      </w:rPr>
    </w:pPr>
  </w:p>
  <w:p w:rsidR="00BC7ECC" w:rsidRPr="002F4496" w:rsidRDefault="00BC7ECC" w:rsidP="00BC7ECC">
    <w:pPr>
      <w:pStyle w:val="Header"/>
      <w:tabs>
        <w:tab w:val="clear" w:pos="4513"/>
        <w:tab w:val="left" w:pos="8227"/>
      </w:tabs>
      <w:rPr>
        <w:lang w:val="fr-FR"/>
      </w:rPr>
    </w:pPr>
  </w:p>
  <w:p w:rsidR="00BC7ECC" w:rsidRPr="002F4496" w:rsidRDefault="00BC7ECC">
    <w:pPr>
      <w:pStyle w:val="Header"/>
      <w:rPr>
        <w:lang w:val="fr-FR"/>
      </w:rPr>
    </w:pPr>
  </w:p>
  <w:p w:rsidR="00BC7ECC" w:rsidRPr="002F4496" w:rsidRDefault="00BC7ECC">
    <w:pPr>
      <w:pStyle w:val="Header"/>
      <w:rPr>
        <w:lang w:val="fr-FR"/>
      </w:rPr>
    </w:pPr>
  </w:p>
  <w:p w:rsidR="00BC7ECC" w:rsidRPr="002F4496" w:rsidRDefault="00BC7ECC">
    <w:pPr>
      <w:pStyle w:val="Header"/>
      <w:rPr>
        <w:lang w:val="fr-FR"/>
      </w:rPr>
    </w:pPr>
  </w:p>
  <w:p w:rsidR="00BC7ECC" w:rsidRPr="002F4496" w:rsidRDefault="00BC7ECC">
    <w:pPr>
      <w:pStyle w:val="Header"/>
      <w:rPr>
        <w:lang w:val="fr-FR"/>
      </w:rPr>
    </w:pPr>
  </w:p>
  <w:p w:rsidR="00BC7ECC" w:rsidRPr="002F4496" w:rsidRDefault="00BC7ECC">
    <w:pPr>
      <w:pStyle w:val="Header"/>
      <w:rPr>
        <w:highlight w:val="yellow"/>
        <w:lang w:val="fr-FR"/>
      </w:rPr>
    </w:pPr>
  </w:p>
  <w:p w:rsidR="00BC7ECC" w:rsidRDefault="00DF3AEA">
    <w:pPr>
      <w:pStyle w:val="Header"/>
    </w:pPr>
    <w:r w:rsidRPr="00DF3AEA">
      <w:rPr>
        <w:noProof/>
        <w:lang w:val="es-ES" w:eastAsia="es-ES"/>
      </w:rPr>
      <w:pict>
        <v:group id="Group 0" o:spid="_x0000_s2048" style="position:absolute;margin-left:396.9pt;margin-top:48.2pt;width:0;height:70.85pt;z-index:251658240" coordsize="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I7K2ACAABOBQAADgAAAGRycy9lMm9Eb2MueG1srFTLjtowFN1X6j9Y2UMSAgwTEUYVr820RaL9&#10;AGM7iVXHtmxDQFX/vddOYDrMppp2k/hxfXzuOfd6/nRuBDoxY7mSRZQOkwgxSRTlsiqi7982g1mE&#10;rMOSYqEkK6ILs9HT4uOHeatzNlK1EpQZBCDS5q0uoto5ncexJTVrsB0qzSRslso02MHUVDE1uAX0&#10;RsSjJJnGrTJUG0WYtbC66jajRcAvS0bc17K0zCFRRMDNha8J34P/xos5ziuDdc1JTwO/g0WDuYRL&#10;b1Ar7DA6Gv4GquHEKKtKNySqiVVZcsJCDpBNmtxlszXqqEMuVd5W+iYTSHun07thyZfTziBOwbsI&#10;SdyAReFWFKRpdZVDxNbovd6ZLj8YPivyw4Jy8f2+n1ddMDq0nxUFOHx0KkhzLk3jISBpdA4OXG4O&#10;sLNDBBan2SRCBNb9IHhDajDwTTyp1/0JMNXHB7oxzrtLArGeiC8FqC37Ip/9N/n2NdYsuGK9OL18&#10;2VW+vTOYV7VDSyUl1J8yKM1mPhnPAw4s5c70Mwuq/h+hbqnjXBvrtkw1yA+KSHDp2eIcn56t8669&#10;hPhlqTZciKC1kKiFQhg9JEk4YZXg1O/6OGuqw1IYdMLQSqNZNpllPilAexUGJStpQKsZput+7DAX&#10;3RjihfR4YDnw6Uddr/x8TB7Xs/VsPBiPpuvBOKF08GmzHA+mm/RhsspWy+Uq/eWppeO85pQy6dld&#10;+zYd/52x/QvSddytc286xK/RQ4pA9voPpKHAbO7d61w9KHoJpoZ1qDUI9r0ATRuO9Q+MfxX+nIeo&#10;l2dw8RsAAP//AwBQSwMEFAAGAAgAAAAhAB93KOPgAAAACgEAAA8AAABkcnMvZG93bnJldi54bWxM&#10;j0FPwkAQhe8m/ofNmHiTbakilE4JIeqJmAgmhtvSHdqG7mzTXdry713jQY/z5uW972Wr0TSip87V&#10;lhHiSQSCuLC65hLhc//6MAfhvGKtGsuEcCUHq/z2JlOptgN/UL/zpQgh7FKFUHnfplK6oiKj3MS2&#10;xOF3sp1RPpxdKXWnhhBuGjmNopk0qubQUKmWNhUV593FILwNalgn8Uu/PZ8218P+6f1rGxPi/d24&#10;XoLwNPo/M/zgB3TIA9PRXlg70SA8L5KA7hEWs0cQwfArHBGmyTwGmWfy/4T8GwAA//8DAFBLAQIt&#10;ABQABgAIAAAAIQDkmcPA+wAAAOEBAAATAAAAAAAAAAAAAAAAAAAAAABbQ29udGVudF9UeXBlc10u&#10;eG1sUEsBAi0AFAAGAAgAAAAhACOyauHXAAAAlAEAAAsAAAAAAAAAAAAAAAAALAEAAF9yZWxzLy5y&#10;ZWxzUEsBAi0AFAAGAAgAAAAhACviOytgAgAATgUAAA4AAAAAAAAAAAAAAAAALAIAAGRycy9lMm9E&#10;b2MueG1sUEsBAi0AFAAGAAgAAAAhAB93KOPgAAAACgEAAA8AAAAAAAAAAAAAAAAAuAQAAGRycy9k&#10;b3ducmV2LnhtbFBLBQYAAAAABAAEAPMAAADFBQAAAAA=&#10;">
          <v:line id="Straight Connector 138" o:spid="_x0000_s2049" style="position:absolute;visibility:visible;mso-wrap-style:square" from="0,0" to="635,6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m/se8MAAADaAAAADwAAAGRycy9kb3ducmV2LnhtbESPzWrDMBCE74G+g9hCb4lsF5rgRjGh&#10;YCglgebnAbbWxrJjrYylOs7bV4VCj8PMfMOsi8l2YqTBN44VpIsEBHHldMO1gvOpnK9A+ICssXNM&#10;Cu7kodg8zNaYa3fjA43HUIsIYZ+jAhNCn0vpK0MW/cL1xNG7uMFiiHKopR7wFuG2k1mSvEiLDccF&#10;gz29Gaqux2+rYF+3+9K26dfyYj7LbEfZh1tlSj09TttXEIGm8B/+a79rBc/weyXeALn5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pv7HvDAAAA2gAAAA8AAAAAAAAAAAAA&#10;AAAAoQIAAGRycy9kb3ducmV2LnhtbFBLBQYAAAAABAAEAPkAAACRAwAAAAA=&#10;" strokecolor="#283583" strokeweight="1pt"/>
        </v:group>
      </w:pict>
    </w:r>
    <w:r w:rsidR="003077BD">
      <w:rPr>
        <w:noProof/>
        <w:lang w:val="en-US"/>
      </w:rPr>
      <w:drawing>
        <wp:anchor distT="0" distB="0" distL="114300" distR="114300" simplePos="0" relativeHeight="251657216"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2" name="Picture 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ma_8_V3"/>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1D"/>
    <w:multiLevelType w:val="multilevel"/>
    <w:tmpl w:val="23A6DB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4E578E"/>
    <w:multiLevelType w:val="hybridMultilevel"/>
    <w:tmpl w:val="5D5AB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1653D6"/>
    <w:multiLevelType w:val="hybridMultilevel"/>
    <w:tmpl w:val="01E274D0"/>
    <w:lvl w:ilvl="0" w:tplc="703E936E">
      <w:start w:val="1"/>
      <w:numFmt w:val="decimal"/>
      <w:lvlText w:val="%1"/>
      <w:lvlJc w:val="left"/>
      <w:pPr>
        <w:ind w:left="1230" w:hanging="870"/>
      </w:pPr>
      <w:rPr>
        <w:rFonts w:hint="default"/>
      </w:rPr>
    </w:lvl>
    <w:lvl w:ilvl="1" w:tplc="C55E6508">
      <w:numFmt w:val="bullet"/>
      <w:lvlText w:val="-"/>
      <w:lvlJc w:val="left"/>
      <w:pPr>
        <w:ind w:left="1440" w:hanging="360"/>
      </w:pPr>
      <w:rPr>
        <w:rFonts w:ascii="Georgia" w:eastAsia="Calibri" w:hAnsi="Georgia"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6957DF0"/>
    <w:multiLevelType w:val="hybridMultilevel"/>
    <w:tmpl w:val="10B2DD8A"/>
    <w:lvl w:ilvl="0" w:tplc="18090001">
      <w:start w:val="1"/>
      <w:numFmt w:val="bullet"/>
      <w:lvlText w:val=""/>
      <w:lvlJc w:val="left"/>
      <w:pPr>
        <w:ind w:left="1776" w:hanging="360"/>
      </w:pPr>
      <w:rPr>
        <w:rFonts w:ascii="Symbol" w:hAnsi="Symbol" w:hint="default"/>
      </w:rPr>
    </w:lvl>
    <w:lvl w:ilvl="1" w:tplc="18090003">
      <w:start w:val="1"/>
      <w:numFmt w:val="bullet"/>
      <w:lvlText w:val="o"/>
      <w:lvlJc w:val="left"/>
      <w:pPr>
        <w:ind w:left="2496" w:hanging="360"/>
      </w:pPr>
      <w:rPr>
        <w:rFonts w:ascii="Courier New" w:hAnsi="Courier New" w:cs="Wingdings" w:hint="default"/>
      </w:rPr>
    </w:lvl>
    <w:lvl w:ilvl="2" w:tplc="18090005" w:tentative="1">
      <w:start w:val="1"/>
      <w:numFmt w:val="bullet"/>
      <w:lvlText w:val=""/>
      <w:lvlJc w:val="left"/>
      <w:pPr>
        <w:ind w:left="3216" w:hanging="360"/>
      </w:pPr>
      <w:rPr>
        <w:rFonts w:ascii="Wingdings" w:hAnsi="Wingdings" w:hint="default"/>
      </w:rPr>
    </w:lvl>
    <w:lvl w:ilvl="3" w:tplc="18090001" w:tentative="1">
      <w:start w:val="1"/>
      <w:numFmt w:val="bullet"/>
      <w:lvlText w:val=""/>
      <w:lvlJc w:val="left"/>
      <w:pPr>
        <w:ind w:left="3936" w:hanging="360"/>
      </w:pPr>
      <w:rPr>
        <w:rFonts w:ascii="Symbol" w:hAnsi="Symbol" w:hint="default"/>
      </w:rPr>
    </w:lvl>
    <w:lvl w:ilvl="4" w:tplc="18090003" w:tentative="1">
      <w:start w:val="1"/>
      <w:numFmt w:val="bullet"/>
      <w:lvlText w:val="o"/>
      <w:lvlJc w:val="left"/>
      <w:pPr>
        <w:ind w:left="4656" w:hanging="360"/>
      </w:pPr>
      <w:rPr>
        <w:rFonts w:ascii="Courier New" w:hAnsi="Courier New" w:cs="Wingdings" w:hint="default"/>
      </w:rPr>
    </w:lvl>
    <w:lvl w:ilvl="5" w:tplc="18090005" w:tentative="1">
      <w:start w:val="1"/>
      <w:numFmt w:val="bullet"/>
      <w:lvlText w:val=""/>
      <w:lvlJc w:val="left"/>
      <w:pPr>
        <w:ind w:left="5376" w:hanging="360"/>
      </w:pPr>
      <w:rPr>
        <w:rFonts w:ascii="Wingdings" w:hAnsi="Wingdings" w:hint="default"/>
      </w:rPr>
    </w:lvl>
    <w:lvl w:ilvl="6" w:tplc="18090001" w:tentative="1">
      <w:start w:val="1"/>
      <w:numFmt w:val="bullet"/>
      <w:lvlText w:val=""/>
      <w:lvlJc w:val="left"/>
      <w:pPr>
        <w:ind w:left="6096" w:hanging="360"/>
      </w:pPr>
      <w:rPr>
        <w:rFonts w:ascii="Symbol" w:hAnsi="Symbol" w:hint="default"/>
      </w:rPr>
    </w:lvl>
    <w:lvl w:ilvl="7" w:tplc="18090003" w:tentative="1">
      <w:start w:val="1"/>
      <w:numFmt w:val="bullet"/>
      <w:lvlText w:val="o"/>
      <w:lvlJc w:val="left"/>
      <w:pPr>
        <w:ind w:left="6816" w:hanging="360"/>
      </w:pPr>
      <w:rPr>
        <w:rFonts w:ascii="Courier New" w:hAnsi="Courier New" w:cs="Wingdings" w:hint="default"/>
      </w:rPr>
    </w:lvl>
    <w:lvl w:ilvl="8" w:tplc="18090005" w:tentative="1">
      <w:start w:val="1"/>
      <w:numFmt w:val="bullet"/>
      <w:lvlText w:val=""/>
      <w:lvlJc w:val="left"/>
      <w:pPr>
        <w:ind w:left="7536" w:hanging="360"/>
      </w:pPr>
      <w:rPr>
        <w:rFonts w:ascii="Wingdings" w:hAnsi="Wingdings" w:hint="default"/>
      </w:rPr>
    </w:lvl>
  </w:abstractNum>
  <w:abstractNum w:abstractNumId="4">
    <w:nsid w:val="172F245F"/>
    <w:multiLevelType w:val="hybridMultilevel"/>
    <w:tmpl w:val="00D41A64"/>
    <w:lvl w:ilvl="0" w:tplc="E896658E">
      <w:start w:val="1"/>
      <w:numFmt w:val="decimal"/>
      <w:lvlText w:val="Q%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nsid w:val="283D67EB"/>
    <w:multiLevelType w:val="hybridMultilevel"/>
    <w:tmpl w:val="F1CE35D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5DC103BE"/>
    <w:multiLevelType w:val="hybridMultilevel"/>
    <w:tmpl w:val="9B14B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5FE36447"/>
    <w:multiLevelType w:val="hybridMultilevel"/>
    <w:tmpl w:val="92D0E0CA"/>
    <w:lvl w:ilvl="0" w:tplc="040C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8E15438"/>
    <w:multiLevelType w:val="hybridMultilevel"/>
    <w:tmpl w:val="93AEE6C2"/>
    <w:lvl w:ilvl="0" w:tplc="ABA68FDC">
      <w:start w:val="1"/>
      <w:numFmt w:val="lowerLetter"/>
      <w:lvlText w:val="%1)"/>
      <w:lvlJc w:val="left"/>
      <w:pPr>
        <w:ind w:left="720" w:hanging="360"/>
      </w:pPr>
      <w:rPr>
        <w:rFonts w:eastAsia="Calibri" w:cs="Arial"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A213817"/>
    <w:multiLevelType w:val="hybridMultilevel"/>
    <w:tmpl w:val="45AC441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F787ECB"/>
    <w:multiLevelType w:val="hybridMultilevel"/>
    <w:tmpl w:val="AB3EFF44"/>
    <w:lvl w:ilvl="0" w:tplc="FD566192">
      <w:numFmt w:val="bullet"/>
      <w:lvlText w:val="-"/>
      <w:lvlJc w:val="left"/>
      <w:pPr>
        <w:ind w:left="360" w:hanging="360"/>
      </w:pPr>
      <w:rPr>
        <w:rFonts w:ascii="Arial" w:eastAsia="Calibri" w:hAnsi="Arial" w:cs="Wingdings" w:hint="default"/>
      </w:rPr>
    </w:lvl>
    <w:lvl w:ilvl="1" w:tplc="04090003">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FCA315F"/>
    <w:multiLevelType w:val="hybridMultilevel"/>
    <w:tmpl w:val="05BE903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0"/>
  </w:num>
  <w:num w:numId="5">
    <w:abstractNumId w:val="7"/>
  </w:num>
  <w:num w:numId="6">
    <w:abstractNumId w:val="1"/>
  </w:num>
  <w:num w:numId="7">
    <w:abstractNumId w:val="6"/>
  </w:num>
  <w:num w:numId="8">
    <w:abstractNumId w:val="9"/>
  </w:num>
  <w:num w:numId="9">
    <w:abstractNumId w:val="8"/>
  </w:num>
  <w:num w:numId="10">
    <w:abstractNumId w:val="11"/>
  </w:num>
  <w:num w:numId="11">
    <w:abstractNumId w:val="5"/>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stylePaneFormatFilter w:val="3701"/>
  <w:doNotTrackMoves/>
  <w:defaultTabStop w:val="720"/>
  <w:hyphenationZone w:val="425"/>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241000"/>
    <w:rsid w:val="0001459B"/>
    <w:rsid w:val="0004467C"/>
    <w:rsid w:val="000E2AF6"/>
    <w:rsid w:val="00150827"/>
    <w:rsid w:val="001672AA"/>
    <w:rsid w:val="00241000"/>
    <w:rsid w:val="002C1F36"/>
    <w:rsid w:val="002D4715"/>
    <w:rsid w:val="003034E1"/>
    <w:rsid w:val="003077BD"/>
    <w:rsid w:val="00363809"/>
    <w:rsid w:val="003D4435"/>
    <w:rsid w:val="005128FB"/>
    <w:rsid w:val="00651755"/>
    <w:rsid w:val="00653A61"/>
    <w:rsid w:val="006C09C1"/>
    <w:rsid w:val="0073281D"/>
    <w:rsid w:val="00863E68"/>
    <w:rsid w:val="008A5E52"/>
    <w:rsid w:val="00936FEB"/>
    <w:rsid w:val="00A30CC5"/>
    <w:rsid w:val="00A93021"/>
    <w:rsid w:val="00B6034D"/>
    <w:rsid w:val="00BC7ECC"/>
    <w:rsid w:val="00C41F49"/>
    <w:rsid w:val="00D359BF"/>
    <w:rsid w:val="00D458D9"/>
    <w:rsid w:val="00D7196A"/>
    <w:rsid w:val="00D82EF9"/>
    <w:rsid w:val="00D9237B"/>
    <w:rsid w:val="00DF3AEA"/>
    <w:rsid w:val="00E178FC"/>
    <w:rsid w:val="00F04D63"/>
    <w:rsid w:val="00F64D78"/>
    <w:rsid w:val="00FD42E7"/>
    <w:rsid w:val="00FE26AA"/>
  </w:rsids>
  <m:mathPr>
    <m:mathFont m:val="Georgia"/>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8B4"/>
    <w:pPr>
      <w:spacing w:line="276" w:lineRule="auto"/>
    </w:pPr>
    <w:rPr>
      <w:sz w:val="22"/>
      <w:szCs w:val="22"/>
      <w:lang w:val="en-GB"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241000"/>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241000"/>
  </w:style>
  <w:style w:type="paragraph" w:styleId="Footer">
    <w:name w:val="footer"/>
    <w:basedOn w:val="Normal"/>
    <w:link w:val="FooterChar"/>
    <w:unhideWhenUsed/>
    <w:rsid w:val="00241000"/>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241000"/>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nhideWhenUsed/>
    <w:rsid w:val="00241000"/>
    <w:pPr>
      <w:spacing w:line="240" w:lineRule="auto"/>
    </w:pPr>
    <w:rPr>
      <w:sz w:val="20"/>
      <w:szCs w:val="20"/>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rsid w:val="00241000"/>
    <w:rPr>
      <w:sz w:val="20"/>
      <w:szCs w:val="20"/>
    </w:rPr>
  </w:style>
  <w:style w:type="paragraph" w:customStyle="1" w:styleId="00Footer">
    <w:name w:val="00_Footer"/>
    <w:basedOn w:val="Normal"/>
    <w:rsid w:val="00241000"/>
    <w:pPr>
      <w:spacing w:line="200" w:lineRule="exact"/>
    </w:pPr>
    <w:rPr>
      <w:rFonts w:ascii="Georgia" w:eastAsia="Times New Roman" w:hAnsi="Georgia"/>
      <w:color w:val="2D4190"/>
      <w:sz w:val="16"/>
      <w:szCs w:val="24"/>
      <w:lang w:eastAsia="de-DE"/>
    </w:rPr>
  </w:style>
  <w:style w:type="paragraph" w:customStyle="1" w:styleId="00aPagenumber">
    <w:name w:val="00a_Page number"/>
    <w:basedOn w:val="00Footer"/>
    <w:rsid w:val="00241000"/>
    <w:pPr>
      <w:spacing w:line="280" w:lineRule="atLeast"/>
      <w:jc w:val="right"/>
    </w:pPr>
    <w:rPr>
      <w:color w:val="000000"/>
      <w:sz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
    <w:uiPriority w:val="99"/>
    <w:rsid w:val="00241000"/>
    <w:rPr>
      <w:vertAlign w:val="superscript"/>
    </w:rPr>
  </w:style>
  <w:style w:type="character" w:styleId="CommentReference">
    <w:name w:val="annotation reference"/>
    <w:rsid w:val="00241000"/>
    <w:rPr>
      <w:sz w:val="16"/>
      <w:szCs w:val="16"/>
    </w:rPr>
  </w:style>
  <w:style w:type="paragraph" w:styleId="CommentText">
    <w:name w:val="annotation text"/>
    <w:basedOn w:val="Normal"/>
    <w:link w:val="CommentTextChar"/>
    <w:rsid w:val="00241000"/>
    <w:pPr>
      <w:spacing w:line="240" w:lineRule="auto"/>
    </w:pPr>
    <w:rPr>
      <w:rFonts w:ascii="Georgia" w:eastAsia="Times New Roman" w:hAnsi="Georgia"/>
      <w:sz w:val="20"/>
      <w:szCs w:val="20"/>
      <w:lang w:eastAsia="de-DE"/>
    </w:rPr>
  </w:style>
  <w:style w:type="character" w:customStyle="1" w:styleId="CommentTextChar">
    <w:name w:val="Comment Text Char"/>
    <w:link w:val="CommentText"/>
    <w:uiPriority w:val="99"/>
    <w:rsid w:val="00241000"/>
    <w:rPr>
      <w:rFonts w:ascii="Georgia" w:eastAsia="Times New Roman" w:hAnsi="Georgia" w:cs="Times New Roman"/>
      <w:sz w:val="20"/>
      <w:szCs w:val="20"/>
      <w:lang w:eastAsia="de-DE"/>
    </w:rPr>
  </w:style>
  <w:style w:type="paragraph" w:styleId="BalloonText">
    <w:name w:val="Balloon Text"/>
    <w:basedOn w:val="Normal"/>
    <w:link w:val="BalloonTextChar"/>
    <w:uiPriority w:val="99"/>
    <w:semiHidden/>
    <w:unhideWhenUsed/>
    <w:rsid w:val="00241000"/>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4100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52F0A"/>
    <w:rPr>
      <w:rFonts w:ascii="Calibri" w:eastAsia="Calibri" w:hAnsi="Calibri"/>
      <w:b/>
      <w:bCs/>
      <w:lang w:eastAsia="en-US"/>
    </w:rPr>
  </w:style>
  <w:style w:type="character" w:customStyle="1" w:styleId="CommentSubjectChar">
    <w:name w:val="Comment Subject Char"/>
    <w:link w:val="CommentSubject"/>
    <w:uiPriority w:val="99"/>
    <w:semiHidden/>
    <w:rsid w:val="00D52F0A"/>
    <w:rPr>
      <w:rFonts w:ascii="Georgia" w:eastAsia="Times New Roman" w:hAnsi="Georgia" w:cs="Times New Roman"/>
      <w:b/>
      <w:bCs/>
      <w:sz w:val="20"/>
      <w:szCs w:val="20"/>
      <w:lang w:eastAsia="de-DE"/>
    </w:rPr>
  </w:style>
  <w:style w:type="paragraph" w:styleId="HTMLPreformatted">
    <w:name w:val="HTML Preformatted"/>
    <w:basedOn w:val="Normal"/>
    <w:link w:val="HTMLPreformattedChar"/>
    <w:uiPriority w:val="99"/>
    <w:semiHidden/>
    <w:unhideWhenUsed/>
    <w:rsid w:val="00DF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fr-FR" w:eastAsia="fr-FR"/>
    </w:rPr>
  </w:style>
  <w:style w:type="character" w:customStyle="1" w:styleId="HTMLPreformattedChar">
    <w:name w:val="HTML Preformatted Char"/>
    <w:link w:val="HTMLPreformatted"/>
    <w:uiPriority w:val="99"/>
    <w:semiHidden/>
    <w:rsid w:val="00DF3559"/>
    <w:rPr>
      <w:rFonts w:ascii="Courier New" w:eastAsia="Times New Roman" w:hAnsi="Courier New" w:cs="Courier New"/>
      <w:sz w:val="20"/>
      <w:szCs w:val="20"/>
      <w:lang w:val="fr-FR" w:eastAsia="fr-FR"/>
    </w:rPr>
  </w:style>
  <w:style w:type="paragraph" w:customStyle="1" w:styleId="ColorfulList-Accent11">
    <w:name w:val="Colorful List - Accent 11"/>
    <w:basedOn w:val="Normal"/>
    <w:uiPriority w:val="34"/>
    <w:qFormat/>
    <w:rsid w:val="006048D0"/>
    <w:pPr>
      <w:ind w:left="720"/>
      <w:contextualSpacing/>
    </w:pPr>
  </w:style>
  <w:style w:type="paragraph" w:styleId="ListParagraph">
    <w:name w:val="List Paragraph"/>
    <w:basedOn w:val="Normal"/>
    <w:uiPriority w:val="72"/>
    <w:qFormat/>
    <w:rsid w:val="00F04D63"/>
    <w:pPr>
      <w:ind w:left="708"/>
    </w:pPr>
  </w:style>
  <w:style w:type="paragraph" w:customStyle="1" w:styleId="Default">
    <w:name w:val="Default"/>
    <w:rsid w:val="00150827"/>
    <w:pPr>
      <w:autoSpaceDE w:val="0"/>
      <w:autoSpaceDN w:val="0"/>
      <w:adjustRightInd w:val="0"/>
    </w:pPr>
    <w:rPr>
      <w:rFonts w:ascii="Century Schoolbook" w:hAnsi="Century Schoolbook" w:cs="Century Schoolbook"/>
      <w:color w:val="000000"/>
      <w:sz w:val="24"/>
      <w:szCs w:val="24"/>
      <w:lang w:val="es-ES"/>
    </w:rPr>
  </w:style>
  <w:style w:type="paragraph" w:styleId="Revision">
    <w:name w:val="Revision"/>
    <w:hidden/>
    <w:uiPriority w:val="99"/>
    <w:semiHidden/>
    <w:rsid w:val="003077BD"/>
    <w:rPr>
      <w:sz w:val="22"/>
      <w:szCs w:val="22"/>
      <w:lang w:val="en-GB"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8B4"/>
    <w:pPr>
      <w:spacing w:line="276" w:lineRule="auto"/>
    </w:pPr>
    <w:rPr>
      <w:sz w:val="22"/>
      <w:szCs w:val="22"/>
      <w:lang w:val="en-GB" w:eastAsia="en-U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Encabezado">
    <w:name w:val="header"/>
    <w:basedOn w:val="Normal"/>
    <w:link w:val="EncabezadoCar"/>
    <w:uiPriority w:val="99"/>
    <w:semiHidden/>
    <w:unhideWhenUsed/>
    <w:rsid w:val="00241000"/>
    <w:pPr>
      <w:tabs>
        <w:tab w:val="center" w:pos="4513"/>
        <w:tab w:val="right" w:pos="9026"/>
      </w:tabs>
      <w:spacing w:line="240" w:lineRule="auto"/>
    </w:pPr>
  </w:style>
  <w:style w:type="character" w:customStyle="1" w:styleId="EncabezadoCar">
    <w:name w:val="Encabezado Car"/>
    <w:basedOn w:val="Fuentedeprrafopredeter"/>
    <w:link w:val="Encabezado"/>
    <w:uiPriority w:val="99"/>
    <w:semiHidden/>
    <w:rsid w:val="00241000"/>
  </w:style>
  <w:style w:type="paragraph" w:styleId="Piedepgina">
    <w:name w:val="footer"/>
    <w:basedOn w:val="Normal"/>
    <w:link w:val="PiedepginaCar"/>
    <w:unhideWhenUsed/>
    <w:rsid w:val="00241000"/>
    <w:pPr>
      <w:tabs>
        <w:tab w:val="center" w:pos="4513"/>
        <w:tab w:val="right" w:pos="9026"/>
      </w:tabs>
      <w:spacing w:line="240" w:lineRule="auto"/>
    </w:pPr>
  </w:style>
  <w:style w:type="character" w:customStyle="1" w:styleId="PiedepginaCar">
    <w:name w:val="Pie de página Car"/>
    <w:basedOn w:val="Fuentedeprrafopredeter"/>
    <w:link w:val="Piedepgina"/>
    <w:uiPriority w:val="99"/>
    <w:semiHidden/>
    <w:rsid w:val="00241000"/>
  </w:style>
  <w:style w:type="paragraph" w:styleId="Textonotapie">
    <w:name w:val="footnote text"/>
    <w:aliases w:val="Char3, Char3,Fußnotentextf,Fußnotentextr,stile 1,Footnote1,Footnote2,Footnote3,Footnote4,Footnote5,Footnote6,Footnote7,Footnote8,Footnote9,Footnote10,Footnote11,Footnote21,Footnote31,Footnote41,Footnote51,Footnote61,Footnote71"/>
    <w:basedOn w:val="Normal"/>
    <w:link w:val="TextonotapieCar"/>
    <w:unhideWhenUsed/>
    <w:rsid w:val="00241000"/>
    <w:pPr>
      <w:spacing w:line="240" w:lineRule="auto"/>
    </w:pPr>
    <w:rPr>
      <w:sz w:val="20"/>
      <w:szCs w:val="20"/>
    </w:rPr>
  </w:style>
  <w:style w:type="character" w:customStyle="1" w:styleId="TextonotapieCar">
    <w:name w:val="Texto nota pie Car"/>
    <w:aliases w:val="Char3 Car, Char3 Car,Fußnotentextf Car,Fußnotentextr Car,stile 1 Car,Footnote1 Car,Footnote2 Car,Footnote3 Car,Footnote4 Car,Footnote5 Car,Footnote6 Car,Footnote7 Car,Footnote8 Car,Footnote9 Car,Footnote10 Car,Footnote11 Car"/>
    <w:link w:val="Textonotapie"/>
    <w:rsid w:val="00241000"/>
    <w:rPr>
      <w:sz w:val="20"/>
      <w:szCs w:val="20"/>
    </w:rPr>
  </w:style>
  <w:style w:type="paragraph" w:customStyle="1" w:styleId="00Footer">
    <w:name w:val="00_Footer"/>
    <w:basedOn w:val="Normal"/>
    <w:rsid w:val="00241000"/>
    <w:pPr>
      <w:spacing w:line="200" w:lineRule="exact"/>
    </w:pPr>
    <w:rPr>
      <w:rFonts w:ascii="Georgia" w:eastAsia="Times New Roman" w:hAnsi="Georgia"/>
      <w:color w:val="2D4190"/>
      <w:sz w:val="16"/>
      <w:szCs w:val="24"/>
      <w:lang w:eastAsia="de-DE"/>
    </w:rPr>
  </w:style>
  <w:style w:type="paragraph" w:customStyle="1" w:styleId="00aPagenumber">
    <w:name w:val="00a_Page number"/>
    <w:basedOn w:val="00Footer"/>
    <w:rsid w:val="00241000"/>
    <w:pPr>
      <w:spacing w:line="280" w:lineRule="atLeast"/>
      <w:jc w:val="right"/>
    </w:pPr>
    <w:rPr>
      <w:color w:val="000000"/>
      <w:sz w:val="20"/>
    </w:rPr>
  </w:style>
  <w:style w:type="character" w:styleId="Refdenotaalpie">
    <w:name w:val="footnote reference"/>
    <w:aliases w:val="SUPERS,Footnote reference number,Footnote symbol,note TESI,-E Fußnotenzeichen,number,BVI fnr,Footnote,Footnote Reference Superscript,(Footnote Reference),EN Footnote Reference,Voetnootverwijzing,Times 10 Point,Exposant 3 Poi"/>
    <w:uiPriority w:val="99"/>
    <w:rsid w:val="00241000"/>
    <w:rPr>
      <w:vertAlign w:val="superscript"/>
    </w:rPr>
  </w:style>
  <w:style w:type="character" w:styleId="Refdecomentario">
    <w:name w:val="annotation reference"/>
    <w:rsid w:val="00241000"/>
    <w:rPr>
      <w:sz w:val="16"/>
      <w:szCs w:val="16"/>
    </w:rPr>
  </w:style>
  <w:style w:type="paragraph" w:styleId="Textocomentario">
    <w:name w:val="annotation text"/>
    <w:basedOn w:val="Normal"/>
    <w:link w:val="TextocomentarioCar"/>
    <w:rsid w:val="00241000"/>
    <w:pPr>
      <w:spacing w:line="240" w:lineRule="auto"/>
    </w:pPr>
    <w:rPr>
      <w:rFonts w:ascii="Georgia" w:eastAsia="Times New Roman" w:hAnsi="Georgia"/>
      <w:sz w:val="20"/>
      <w:szCs w:val="20"/>
      <w:lang w:eastAsia="de-DE"/>
    </w:rPr>
  </w:style>
  <w:style w:type="character" w:customStyle="1" w:styleId="TextocomentarioCar">
    <w:name w:val="Texto comentario Car"/>
    <w:link w:val="Textocomentario"/>
    <w:uiPriority w:val="99"/>
    <w:rsid w:val="00241000"/>
    <w:rPr>
      <w:rFonts w:ascii="Georgia" w:eastAsia="Times New Roman" w:hAnsi="Georgia" w:cs="Times New Roman"/>
      <w:sz w:val="20"/>
      <w:szCs w:val="20"/>
      <w:lang w:eastAsia="de-DE"/>
    </w:rPr>
  </w:style>
  <w:style w:type="paragraph" w:styleId="Textodeglobo">
    <w:name w:val="Balloon Text"/>
    <w:basedOn w:val="Normal"/>
    <w:link w:val="TextodegloboCar"/>
    <w:uiPriority w:val="99"/>
    <w:semiHidden/>
    <w:unhideWhenUsed/>
    <w:rsid w:val="00241000"/>
    <w:pPr>
      <w:spacing w:line="240" w:lineRule="auto"/>
    </w:pPr>
    <w:rPr>
      <w:rFonts w:ascii="Tahoma" w:hAnsi="Tahoma" w:cs="Tahoma"/>
      <w:sz w:val="16"/>
      <w:szCs w:val="16"/>
    </w:rPr>
  </w:style>
  <w:style w:type="character" w:customStyle="1" w:styleId="TextodegloboCar">
    <w:name w:val="Texto de globo Car"/>
    <w:link w:val="Textodeglobo"/>
    <w:uiPriority w:val="99"/>
    <w:semiHidden/>
    <w:rsid w:val="00241000"/>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D52F0A"/>
    <w:rPr>
      <w:rFonts w:ascii="Calibri" w:eastAsia="Calibri" w:hAnsi="Calibri"/>
      <w:b/>
      <w:bCs/>
      <w:lang w:eastAsia="en-US"/>
    </w:rPr>
  </w:style>
  <w:style w:type="character" w:customStyle="1" w:styleId="AsuntodelcomentarioCar">
    <w:name w:val="Asunto del comentario Car"/>
    <w:link w:val="Asuntodelcomentario"/>
    <w:uiPriority w:val="99"/>
    <w:semiHidden/>
    <w:rsid w:val="00D52F0A"/>
    <w:rPr>
      <w:rFonts w:ascii="Georgia" w:eastAsia="Times New Roman" w:hAnsi="Georgia" w:cs="Times New Roman"/>
      <w:b/>
      <w:bCs/>
      <w:sz w:val="20"/>
      <w:szCs w:val="20"/>
      <w:lang w:eastAsia="de-DE"/>
    </w:rPr>
  </w:style>
  <w:style w:type="paragraph" w:styleId="HTMLconformatoprevio">
    <w:name w:val="HTML Preformatted"/>
    <w:basedOn w:val="Normal"/>
    <w:link w:val="HTMLconformatoprevioCar"/>
    <w:uiPriority w:val="99"/>
    <w:semiHidden/>
    <w:unhideWhenUsed/>
    <w:rsid w:val="00DF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fr-FR" w:eastAsia="fr-FR"/>
    </w:rPr>
  </w:style>
  <w:style w:type="character" w:customStyle="1" w:styleId="HTMLconformatoprevioCar">
    <w:name w:val="HTML con formato previo Car"/>
    <w:link w:val="HTMLconformatoprevio"/>
    <w:uiPriority w:val="99"/>
    <w:semiHidden/>
    <w:rsid w:val="00DF3559"/>
    <w:rPr>
      <w:rFonts w:ascii="Courier New" w:eastAsia="Times New Roman" w:hAnsi="Courier New" w:cs="Courier New"/>
      <w:sz w:val="20"/>
      <w:szCs w:val="20"/>
      <w:lang w:val="fr-FR" w:eastAsia="fr-FR"/>
    </w:rPr>
  </w:style>
  <w:style w:type="paragraph" w:styleId="Listamulticolor-nfasis1">
    <w:name w:val="Colorful List Accent 1"/>
    <w:basedOn w:val="Normal"/>
    <w:uiPriority w:val="34"/>
    <w:qFormat/>
    <w:rsid w:val="006048D0"/>
    <w:pPr>
      <w:ind w:left="720"/>
      <w:contextualSpacing/>
    </w:pPr>
  </w:style>
  <w:style w:type="paragraph" w:styleId="Prrafodelista">
    <w:name w:val="List Paragraph"/>
    <w:basedOn w:val="Normal"/>
    <w:uiPriority w:val="72"/>
    <w:qFormat/>
    <w:rsid w:val="00F04D63"/>
    <w:pPr>
      <w:ind w:left="708"/>
    </w:pPr>
  </w:style>
  <w:style w:type="paragraph" w:customStyle="1" w:styleId="Default">
    <w:name w:val="Default"/>
    <w:rsid w:val="00150827"/>
    <w:pPr>
      <w:autoSpaceDE w:val="0"/>
      <w:autoSpaceDN w:val="0"/>
      <w:adjustRightInd w:val="0"/>
    </w:pPr>
    <w:rPr>
      <w:rFonts w:ascii="Century Schoolbook" w:hAnsi="Century Schoolbook" w:cs="Century Schoolbook"/>
      <w:color w:val="000000"/>
      <w:sz w:val="24"/>
      <w:szCs w:val="24"/>
      <w:lang w:val="es-ES"/>
    </w:rPr>
  </w:style>
  <w:style w:type="paragraph" w:styleId="Revisin">
    <w:name w:val="Revision"/>
    <w:hidden/>
    <w:uiPriority w:val="99"/>
    <w:semiHidden/>
    <w:rsid w:val="003077BD"/>
    <w:rPr>
      <w:sz w:val="22"/>
      <w:szCs w:val="22"/>
      <w:lang w:val="en-GB" w:eastAsia="en-US"/>
    </w:rPr>
  </w:style>
</w:styles>
</file>

<file path=word/webSettings.xml><?xml version="1.0" encoding="utf-8"?>
<w:webSettings xmlns:r="http://schemas.openxmlformats.org/officeDocument/2006/relationships" xmlns:w="http://schemas.openxmlformats.org/wordprocessingml/2006/main">
  <w:divs>
    <w:div w:id="860824245">
      <w:bodyDiv w:val="1"/>
      <w:marLeft w:val="0"/>
      <w:marRight w:val="0"/>
      <w:marTop w:val="0"/>
      <w:marBottom w:val="0"/>
      <w:divBdr>
        <w:top w:val="none" w:sz="0" w:space="0" w:color="auto"/>
        <w:left w:val="none" w:sz="0" w:space="0" w:color="auto"/>
        <w:bottom w:val="none" w:sz="0" w:space="0" w:color="auto"/>
        <w:right w:val="none" w:sz="0" w:space="0" w:color="auto"/>
      </w:divBdr>
      <w:divsChild>
        <w:div w:id="857964447">
          <w:marLeft w:val="0"/>
          <w:marRight w:val="0"/>
          <w:marTop w:val="0"/>
          <w:marBottom w:val="0"/>
          <w:divBdr>
            <w:top w:val="none" w:sz="0" w:space="0" w:color="auto"/>
            <w:left w:val="none" w:sz="0" w:space="0" w:color="auto"/>
            <w:bottom w:val="none" w:sz="0" w:space="0" w:color="auto"/>
            <w:right w:val="none" w:sz="0" w:space="0" w:color="auto"/>
          </w:divBdr>
          <w:divsChild>
            <w:div w:id="431901879">
              <w:marLeft w:val="0"/>
              <w:marRight w:val="0"/>
              <w:marTop w:val="0"/>
              <w:marBottom w:val="0"/>
              <w:divBdr>
                <w:top w:val="none" w:sz="0" w:space="0" w:color="auto"/>
                <w:left w:val="none" w:sz="0" w:space="0" w:color="auto"/>
                <w:bottom w:val="none" w:sz="0" w:space="0" w:color="auto"/>
                <w:right w:val="none" w:sz="0" w:space="0" w:color="auto"/>
              </w:divBdr>
              <w:divsChild>
                <w:div w:id="2081636711">
                  <w:marLeft w:val="0"/>
                  <w:marRight w:val="0"/>
                  <w:marTop w:val="0"/>
                  <w:marBottom w:val="0"/>
                  <w:divBdr>
                    <w:top w:val="none" w:sz="0" w:space="0" w:color="auto"/>
                    <w:left w:val="none" w:sz="0" w:space="0" w:color="auto"/>
                    <w:bottom w:val="none" w:sz="0" w:space="0" w:color="auto"/>
                    <w:right w:val="none" w:sz="0" w:space="0" w:color="auto"/>
                  </w:divBdr>
                  <w:divsChild>
                    <w:div w:id="3329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2547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864F4-2EE9-4A45-9A2B-DFDB4062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4283</Words>
  <Characters>24416</Characters>
  <Application>Microsoft Word 12.0.0</Application>
  <DocSecurity>0</DocSecurity>
  <Lines>203</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BNP Paribas</Company>
  <LinksUpToDate>false</LinksUpToDate>
  <CharactersWithSpaces>29984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Bowie</dc:creator>
  <cp:keywords/>
  <cp:lastModifiedBy>Gregorio  Arranz</cp:lastModifiedBy>
  <cp:revision>5</cp:revision>
  <cp:lastPrinted>2014-10-21T08:28:00Z</cp:lastPrinted>
  <dcterms:created xsi:type="dcterms:W3CDTF">2014-10-23T19:35:00Z</dcterms:created>
  <dcterms:modified xsi:type="dcterms:W3CDTF">2014-10-24T03:22:00Z</dcterms:modified>
</cp:coreProperties>
</file>