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36" w:rsidRDefault="00625D36" w:rsidP="00F41295">
      <w:pPr>
        <w:pStyle w:val="NoSpacing"/>
      </w:pPr>
    </w:p>
    <w:p w:rsidR="00625D36" w:rsidRDefault="00625D36" w:rsidP="00F41295">
      <w:pPr>
        <w:pStyle w:val="NoSpacing"/>
      </w:pPr>
      <w:r>
        <w:rPr>
          <w:noProof/>
          <w:lang w:eastAsia="en-GB"/>
        </w:rPr>
        <w:drawing>
          <wp:inline distT="0" distB="0" distL="0" distR="0">
            <wp:extent cx="931520" cy="952500"/>
            <wp:effectExtent l="19050" t="0" r="1930" b="0"/>
            <wp:docPr id="22" name="Picture 22" descr="http://t2.gstatic.com/images?q=tbn:ANd9GcTCES7v2CqaZ7dIoUqi90q8fonOGYAJEgGbzWxqN8iHVemTa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TCES7v2CqaZ7dIoUqi90q8fonOGYAJEgGbzWxqN8iHVemTarec"/>
                    <pic:cNvPicPr>
                      <a:picLocks noChangeAspect="1" noChangeArrowheads="1"/>
                    </pic:cNvPicPr>
                  </pic:nvPicPr>
                  <pic:blipFill>
                    <a:blip r:embed="rId4" cstate="print"/>
                    <a:srcRect/>
                    <a:stretch>
                      <a:fillRect/>
                    </a:stretch>
                  </pic:blipFill>
                  <pic:spPr bwMode="auto">
                    <a:xfrm>
                      <a:off x="0" y="0"/>
                      <a:ext cx="934065" cy="955102"/>
                    </a:xfrm>
                    <a:prstGeom prst="rect">
                      <a:avLst/>
                    </a:prstGeom>
                    <a:noFill/>
                    <a:ln w="9525">
                      <a:noFill/>
                      <a:miter lim="800000"/>
                      <a:headEnd/>
                      <a:tailEnd/>
                    </a:ln>
                  </pic:spPr>
                </pic:pic>
              </a:graphicData>
            </a:graphic>
          </wp:inline>
        </w:drawing>
      </w:r>
    </w:p>
    <w:p w:rsidR="00625D36" w:rsidRDefault="00625D36" w:rsidP="00F41295">
      <w:pPr>
        <w:pStyle w:val="NoSpacing"/>
      </w:pPr>
    </w:p>
    <w:p w:rsidR="00625D36" w:rsidRDefault="00625D36" w:rsidP="00F41295">
      <w:pPr>
        <w:pStyle w:val="NoSpacing"/>
      </w:pPr>
    </w:p>
    <w:p w:rsidR="00630C42" w:rsidRDefault="00F41295" w:rsidP="00F41295">
      <w:pPr>
        <w:pStyle w:val="NoSpacing"/>
      </w:pPr>
      <w:r>
        <w:t>The Financial Services Club</w:t>
      </w:r>
    </w:p>
    <w:p w:rsidR="00F41295" w:rsidRDefault="00F41295" w:rsidP="00F41295">
      <w:pPr>
        <w:pStyle w:val="NoSpacing"/>
      </w:pPr>
      <w:r>
        <w:t>146 New London Road</w:t>
      </w:r>
    </w:p>
    <w:p w:rsidR="00F41295" w:rsidRDefault="00F41295" w:rsidP="00F41295">
      <w:pPr>
        <w:pStyle w:val="NoSpacing"/>
      </w:pPr>
      <w:r>
        <w:t>Chelmsford</w:t>
      </w:r>
    </w:p>
    <w:p w:rsidR="00F41295" w:rsidRDefault="00F41295" w:rsidP="00F41295">
      <w:pPr>
        <w:pStyle w:val="NoSpacing"/>
      </w:pPr>
      <w:r>
        <w:t>Essex</w:t>
      </w:r>
    </w:p>
    <w:p w:rsidR="00F41295" w:rsidRDefault="00F41295" w:rsidP="00F41295">
      <w:pPr>
        <w:pStyle w:val="NoSpacing"/>
      </w:pPr>
      <w:r>
        <w:t>CM2 0AW</w:t>
      </w:r>
    </w:p>
    <w:p w:rsidR="00F41295" w:rsidRDefault="00F41295" w:rsidP="00F41295">
      <w:pPr>
        <w:pStyle w:val="NoSpacing"/>
      </w:pPr>
      <w:r>
        <w:t>UNITED KINGDOM</w:t>
      </w:r>
    </w:p>
    <w:p w:rsidR="00F41295" w:rsidRDefault="00F41295" w:rsidP="00F41295">
      <w:pPr>
        <w:pStyle w:val="NoSpacing"/>
      </w:pPr>
    </w:p>
    <w:p w:rsidR="00F41295" w:rsidRDefault="00F41295" w:rsidP="00F41295">
      <w:pPr>
        <w:pStyle w:val="NoSpacing"/>
      </w:pPr>
      <w:r>
        <w:t>3</w:t>
      </w:r>
      <w:r w:rsidRPr="00F41295">
        <w:rPr>
          <w:vertAlign w:val="superscript"/>
        </w:rPr>
        <w:t>rd</w:t>
      </w:r>
      <w:r>
        <w:t xml:space="preserve"> August 2012</w:t>
      </w:r>
    </w:p>
    <w:p w:rsidR="00F41295" w:rsidRDefault="00F41295" w:rsidP="00F41295">
      <w:pPr>
        <w:pStyle w:val="NoSpacing"/>
      </w:pPr>
    </w:p>
    <w:p w:rsidR="00F41295" w:rsidRDefault="00F41295" w:rsidP="00F41295">
      <w:pPr>
        <w:pStyle w:val="NoSpacing"/>
      </w:pPr>
    </w:p>
    <w:p w:rsidR="00F41295" w:rsidRDefault="00F41295" w:rsidP="00F41295">
      <w:pPr>
        <w:pStyle w:val="NoSpacing"/>
      </w:pPr>
      <w:r>
        <w:t xml:space="preserve">Dear </w:t>
      </w:r>
      <w:proofErr w:type="gramStart"/>
      <w:r>
        <w:t>sirs</w:t>
      </w:r>
      <w:proofErr w:type="gramEnd"/>
    </w:p>
    <w:p w:rsidR="00F41295" w:rsidRDefault="00F41295" w:rsidP="00F41295">
      <w:pPr>
        <w:pStyle w:val="NoSpacing"/>
      </w:pPr>
    </w:p>
    <w:p w:rsidR="00F41295" w:rsidRDefault="00F41295" w:rsidP="00F41295">
      <w:pPr>
        <w:pStyle w:val="NoSpacing"/>
      </w:pPr>
    </w:p>
    <w:p w:rsidR="00F41295" w:rsidRPr="00F41295" w:rsidRDefault="00F41295" w:rsidP="00F41295">
      <w:pPr>
        <w:pStyle w:val="NoSpacing"/>
        <w:rPr>
          <w:b/>
          <w:u w:val="single"/>
        </w:rPr>
      </w:pPr>
      <w:r w:rsidRPr="00F41295">
        <w:rPr>
          <w:b/>
          <w:u w:val="single"/>
        </w:rPr>
        <w:t>Response to the Consultation on the Draft Technical Standards for the Regulation on OTC Derivatives, CCPs and Trade Repositories</w:t>
      </w:r>
    </w:p>
    <w:p w:rsidR="00F41295" w:rsidRDefault="00F41295" w:rsidP="00F41295">
      <w:pPr>
        <w:pStyle w:val="NoSpacing"/>
      </w:pPr>
    </w:p>
    <w:p w:rsidR="00F41295" w:rsidRDefault="00F41295" w:rsidP="00F41295">
      <w:pPr>
        <w:pStyle w:val="NoSpacing"/>
      </w:pPr>
    </w:p>
    <w:p w:rsidR="00F41295" w:rsidRDefault="00F41295" w:rsidP="00F41295">
      <w:pPr>
        <w:pStyle w:val="NoSpacing"/>
      </w:pPr>
      <w:r>
        <w:t>In February 2012, the Financial Services Club established the Clearing &amp; Settlement Working Group (CAS-WG) to investigate the impact of draft regulations such as EMIR on the London markets.  The specific activities of the group can be found at</w:t>
      </w:r>
      <w:r w:rsidRPr="00F41295">
        <w:t xml:space="preserve"> </w:t>
      </w:r>
      <w:hyperlink r:id="rId5" w:history="1">
        <w:r>
          <w:rPr>
            <w:rStyle w:val="Hyperlink"/>
          </w:rPr>
          <w:t>http://thefinanser.co.uk/fsclub/cas-wg/</w:t>
        </w:r>
      </w:hyperlink>
    </w:p>
    <w:p w:rsidR="00F41295" w:rsidRDefault="00F41295" w:rsidP="00F41295">
      <w:pPr>
        <w:pStyle w:val="NoSpacing"/>
      </w:pPr>
    </w:p>
    <w:p w:rsidR="00F41295" w:rsidRDefault="00F41295" w:rsidP="00F41295">
      <w:pPr>
        <w:pStyle w:val="NoSpacing"/>
      </w:pPr>
      <w:r>
        <w:t>The CAS-WG has had many meetings since its inauguration and has four Subject Groups in operation studying the Risk, Regulation, Standards and Market Infrastructure implications of change.</w:t>
      </w:r>
    </w:p>
    <w:p w:rsidR="00F41295" w:rsidRDefault="00F41295" w:rsidP="00F41295">
      <w:pPr>
        <w:pStyle w:val="NoSpacing"/>
      </w:pPr>
    </w:p>
    <w:p w:rsidR="00F41295" w:rsidRDefault="00F41295" w:rsidP="00F41295">
      <w:pPr>
        <w:pStyle w:val="NoSpacing"/>
      </w:pPr>
      <w:r>
        <w:t>On behalf of these groups, we submit our perspectives on the draft EMIR regulation below.</w:t>
      </w:r>
    </w:p>
    <w:p w:rsidR="00F41295" w:rsidRDefault="00F41295" w:rsidP="00F41295">
      <w:pPr>
        <w:pStyle w:val="NoSpacing"/>
      </w:pPr>
    </w:p>
    <w:p w:rsidR="00F41295" w:rsidRDefault="00F41295" w:rsidP="00F41295">
      <w:pPr>
        <w:pStyle w:val="NoSpacing"/>
      </w:pPr>
      <w:r>
        <w:t>Please acknowledge receipt and response as you see fit.</w:t>
      </w:r>
    </w:p>
    <w:p w:rsidR="00F41295" w:rsidRDefault="00F41295" w:rsidP="00F41295">
      <w:pPr>
        <w:pStyle w:val="NoSpacing"/>
      </w:pPr>
    </w:p>
    <w:p w:rsidR="00F41295" w:rsidRDefault="00F41295" w:rsidP="00F41295">
      <w:pPr>
        <w:pStyle w:val="NoSpacing"/>
      </w:pPr>
    </w:p>
    <w:p w:rsidR="00F41295" w:rsidRDefault="00F41295" w:rsidP="00F41295">
      <w:pPr>
        <w:pStyle w:val="NoSpacing"/>
      </w:pPr>
      <w:r>
        <w:t>Yours faithfully</w:t>
      </w:r>
    </w:p>
    <w:p w:rsidR="00F41295" w:rsidRDefault="00F41295" w:rsidP="00F41295">
      <w:pPr>
        <w:pStyle w:val="NoSpacing"/>
      </w:pPr>
    </w:p>
    <w:p w:rsidR="00F41295" w:rsidRDefault="00F41295" w:rsidP="00F41295">
      <w:pPr>
        <w:pStyle w:val="NoSpacing"/>
      </w:pPr>
      <w:r>
        <w:t>Chris Skinner</w:t>
      </w:r>
    </w:p>
    <w:p w:rsidR="00F41295" w:rsidRDefault="00F41295" w:rsidP="00F41295">
      <w:pPr>
        <w:pStyle w:val="NoSpacing"/>
      </w:pPr>
      <w:r>
        <w:t xml:space="preserve">Chairman of the Financial Services Club </w:t>
      </w:r>
    </w:p>
    <w:p w:rsidR="00F41295" w:rsidRDefault="00F41295" w:rsidP="00F41295">
      <w:pPr>
        <w:pStyle w:val="NoSpacing"/>
      </w:pPr>
    </w:p>
    <w:p w:rsidR="00F41295" w:rsidRDefault="00F41295">
      <w:pPr>
        <w:spacing w:after="200" w:line="276" w:lineRule="auto"/>
        <w:rPr>
          <w:rFonts w:asciiTheme="minorHAnsi" w:hAnsiTheme="minorHAnsi" w:cstheme="minorBidi"/>
          <w:sz w:val="22"/>
          <w:szCs w:val="22"/>
          <w:lang w:eastAsia="en-US"/>
        </w:rPr>
      </w:pPr>
      <w:r>
        <w:br w:type="page"/>
      </w:r>
    </w:p>
    <w:p w:rsidR="00F41295" w:rsidRPr="00625D36" w:rsidRDefault="00F41295" w:rsidP="00F41295">
      <w:pPr>
        <w:pStyle w:val="NoSpacing"/>
        <w:rPr>
          <w:b/>
        </w:rPr>
      </w:pPr>
      <w:r w:rsidRPr="00625D36">
        <w:rPr>
          <w:b/>
        </w:rPr>
        <w:lastRenderedPageBreak/>
        <w:t>Submittal from Rory Webster, Co-Chair of the CAS-WG Re</w:t>
      </w:r>
      <w:r w:rsidR="00625D36">
        <w:rPr>
          <w:b/>
        </w:rPr>
        <w:t>gulation</w:t>
      </w:r>
      <w:r w:rsidRPr="00625D36">
        <w:rPr>
          <w:b/>
        </w:rPr>
        <w:t xml:space="preserve"> Subject Group</w:t>
      </w:r>
    </w:p>
    <w:p w:rsidR="00F41295" w:rsidRDefault="00F41295" w:rsidP="00625D36">
      <w:pPr>
        <w:pStyle w:val="NoSpacing"/>
        <w:jc w:val="center"/>
      </w:pPr>
    </w:p>
    <w:p w:rsidR="00F41295" w:rsidRDefault="00F41295" w:rsidP="00F41295">
      <w:pPr>
        <w:rPr>
          <w:rFonts w:ascii="Verdana" w:hAnsi="Verdana"/>
          <w:color w:val="000000"/>
          <w:sz w:val="20"/>
          <w:szCs w:val="20"/>
        </w:rPr>
      </w:pPr>
      <w:r>
        <w:rPr>
          <w:rFonts w:ascii="Verdana" w:hAnsi="Verdana"/>
          <w:color w:val="000000"/>
          <w:sz w:val="20"/>
          <w:szCs w:val="20"/>
        </w:rPr>
        <w:t xml:space="preserve">I think there are some ‘lost in translation’ issues in the implementation of G20 proposals. ESMA have had to ‘articulate’ a whole raft of processes that already happen – not very efficiently at times, but they happen.  If Clearing facilities etc were more ‘interoperable’ in response to a commercial need, that would be great...but having worked for both </w:t>
      </w:r>
      <w:proofErr w:type="spellStart"/>
      <w:r>
        <w:rPr>
          <w:rFonts w:ascii="Verdana" w:hAnsi="Verdana"/>
          <w:color w:val="000000"/>
          <w:sz w:val="20"/>
          <w:szCs w:val="20"/>
        </w:rPr>
        <w:t>Euroclear</w:t>
      </w:r>
      <w:proofErr w:type="spellEnd"/>
      <w:r>
        <w:rPr>
          <w:rFonts w:ascii="Verdana" w:hAnsi="Verdana"/>
          <w:color w:val="000000"/>
          <w:sz w:val="20"/>
          <w:szCs w:val="20"/>
        </w:rPr>
        <w:t xml:space="preserve"> and </w:t>
      </w:r>
      <w:proofErr w:type="spellStart"/>
      <w:r>
        <w:rPr>
          <w:rFonts w:ascii="Verdana" w:hAnsi="Verdana"/>
          <w:color w:val="000000"/>
          <w:sz w:val="20"/>
          <w:szCs w:val="20"/>
        </w:rPr>
        <w:t>Clearstream</w:t>
      </w:r>
      <w:proofErr w:type="spellEnd"/>
      <w:r>
        <w:rPr>
          <w:rFonts w:ascii="Verdana" w:hAnsi="Verdana"/>
          <w:color w:val="000000"/>
          <w:sz w:val="20"/>
          <w:szCs w:val="20"/>
        </w:rPr>
        <w:t xml:space="preserve"> I have a low opinion of their attempts to interoperate [it is minimal!]; and any efforts by them to bring ‘change’ in reporting by issuing banks, agent banks etc has met with little or no success, because banks mistrust clearers!!. So interoperability will have to be forced on them!</w:t>
      </w:r>
    </w:p>
    <w:p w:rsidR="00F41295" w:rsidRDefault="00F41295" w:rsidP="00F41295">
      <w:pPr>
        <w:rPr>
          <w:rFonts w:ascii="Verdana" w:hAnsi="Verdana"/>
          <w:color w:val="000000"/>
          <w:sz w:val="20"/>
          <w:szCs w:val="20"/>
        </w:rPr>
      </w:pPr>
    </w:p>
    <w:p w:rsidR="00F41295" w:rsidRDefault="00F41295" w:rsidP="00F41295">
      <w:pPr>
        <w:rPr>
          <w:rFonts w:ascii="Verdana" w:hAnsi="Verdana"/>
          <w:color w:val="000000"/>
          <w:sz w:val="20"/>
          <w:szCs w:val="20"/>
        </w:rPr>
      </w:pPr>
      <w:r>
        <w:rPr>
          <w:rFonts w:ascii="Verdana" w:hAnsi="Verdana"/>
          <w:color w:val="000000"/>
          <w:sz w:val="20"/>
          <w:szCs w:val="20"/>
        </w:rPr>
        <w:t>Not forgetting that DTCC is a monopoly in the US – and is trying to achieve the same everywhere else – and did they get things right back then in 2008 etc. No – they did not, and there are white papers about what their problem is and a bubble of $100 billion of money in the wrong place because they have been unable to solve a small but expensive problem. Agent banks limit their ‘interoperability’ with DTCC to some pretty tight timeframes [5 days prior to payment when it could be 90!]</w:t>
      </w:r>
    </w:p>
    <w:p w:rsidR="00F41295" w:rsidRDefault="00F41295" w:rsidP="00F41295">
      <w:pPr>
        <w:rPr>
          <w:rFonts w:ascii="Verdana" w:hAnsi="Verdana"/>
          <w:color w:val="000000"/>
          <w:sz w:val="20"/>
          <w:szCs w:val="20"/>
        </w:rPr>
      </w:pPr>
    </w:p>
    <w:p w:rsidR="00F41295" w:rsidRDefault="00F41295" w:rsidP="00F41295">
      <w:pPr>
        <w:rPr>
          <w:rFonts w:ascii="Verdana" w:hAnsi="Verdana"/>
          <w:color w:val="000000"/>
          <w:sz w:val="20"/>
          <w:szCs w:val="20"/>
        </w:rPr>
      </w:pPr>
      <w:r>
        <w:rPr>
          <w:rFonts w:ascii="Verdana" w:hAnsi="Verdana"/>
          <w:color w:val="000000"/>
          <w:sz w:val="20"/>
          <w:szCs w:val="20"/>
        </w:rPr>
        <w:t xml:space="preserve">Back to ESMA – I think it is perfectly possible to implement what ESMA wants, by diluting some of the ‘high-handedness’, crossing out a lot of unnecessary text and by improving existing reporting standards first and then building some ‘rules’ around the result.  We are a Trade Repository, on-line debt securities database/store...the latter description comes first because Trade Repositories are an invention of the recent law – it just happens that we do most of the things that a Trade Repository [as described by the law] would do, and we set up 12 years ago. Did we see things going wrong – yes, in Northern Rock’s case – rates began steadily rising for them in the </w:t>
      </w:r>
      <w:proofErr w:type="spellStart"/>
      <w:r>
        <w:rPr>
          <w:rFonts w:ascii="Verdana" w:hAnsi="Verdana"/>
          <w:color w:val="000000"/>
          <w:sz w:val="20"/>
          <w:szCs w:val="20"/>
        </w:rPr>
        <w:t>wholeeale</w:t>
      </w:r>
      <w:proofErr w:type="spellEnd"/>
      <w:r>
        <w:rPr>
          <w:rFonts w:ascii="Verdana" w:hAnsi="Verdana"/>
          <w:color w:val="000000"/>
          <w:sz w:val="20"/>
          <w:szCs w:val="20"/>
        </w:rPr>
        <w:t xml:space="preserve"> market with no real explanation as to why; that was all </w:t>
      </w:r>
      <w:proofErr w:type="gramStart"/>
      <w:r>
        <w:rPr>
          <w:rFonts w:ascii="Verdana" w:hAnsi="Verdana"/>
          <w:color w:val="000000"/>
          <w:sz w:val="20"/>
          <w:szCs w:val="20"/>
        </w:rPr>
        <w:t>visible.</w:t>
      </w:r>
      <w:proofErr w:type="gramEnd"/>
      <w:r>
        <w:rPr>
          <w:rFonts w:ascii="Verdana" w:hAnsi="Verdana"/>
          <w:color w:val="000000"/>
          <w:sz w:val="20"/>
          <w:szCs w:val="20"/>
        </w:rPr>
        <w:t>  The hitherto private market is where it goes wrong because ‘private’ collateral got used for public liabilities – and that spooked everything.   </w:t>
      </w:r>
    </w:p>
    <w:p w:rsidR="00F41295" w:rsidRDefault="00F41295" w:rsidP="00F41295">
      <w:pPr>
        <w:rPr>
          <w:rFonts w:ascii="Verdana" w:hAnsi="Verdana"/>
          <w:color w:val="000000"/>
          <w:sz w:val="20"/>
          <w:szCs w:val="20"/>
        </w:rPr>
      </w:pPr>
    </w:p>
    <w:p w:rsidR="00F41295" w:rsidRDefault="00F41295" w:rsidP="00F41295">
      <w:pPr>
        <w:rPr>
          <w:rFonts w:ascii="Verdana" w:hAnsi="Verdana"/>
          <w:color w:val="000000"/>
          <w:sz w:val="20"/>
          <w:szCs w:val="20"/>
        </w:rPr>
      </w:pPr>
      <w:r>
        <w:rPr>
          <w:rFonts w:ascii="Verdana" w:hAnsi="Verdana"/>
          <w:color w:val="000000"/>
          <w:sz w:val="20"/>
          <w:szCs w:val="20"/>
        </w:rPr>
        <w:t>As SWIFT say in their comments – boil it all down to the scope of data to be captured, the content of the data fields and the format [message structure] – the pages and pages of law can be put to one side...we can all get on with the job. That is what we are doing in response to all the literature.</w:t>
      </w:r>
    </w:p>
    <w:p w:rsidR="00F41295" w:rsidRDefault="00F41295" w:rsidP="00F41295">
      <w:pPr>
        <w:rPr>
          <w:rFonts w:ascii="Verdana" w:hAnsi="Verdana"/>
          <w:color w:val="000000"/>
          <w:sz w:val="20"/>
          <w:szCs w:val="20"/>
        </w:rPr>
      </w:pPr>
    </w:p>
    <w:p w:rsidR="00F41295" w:rsidRDefault="00F41295" w:rsidP="00F41295">
      <w:pPr>
        <w:rPr>
          <w:rFonts w:ascii="Verdana" w:hAnsi="Verdana"/>
          <w:color w:val="000000"/>
          <w:sz w:val="20"/>
          <w:szCs w:val="20"/>
        </w:rPr>
      </w:pPr>
      <w:r>
        <w:rPr>
          <w:rFonts w:ascii="Verdana" w:hAnsi="Verdana"/>
          <w:color w:val="000000"/>
          <w:sz w:val="20"/>
          <w:szCs w:val="20"/>
        </w:rPr>
        <w:t>So the message must be – keep it simple and it will work.</w:t>
      </w:r>
    </w:p>
    <w:p w:rsidR="00F41295" w:rsidRDefault="00F41295" w:rsidP="00F41295">
      <w:pPr>
        <w:rPr>
          <w:rFonts w:ascii="Verdana" w:hAnsi="Verdana"/>
          <w:color w:val="000000"/>
          <w:sz w:val="20"/>
          <w:szCs w:val="20"/>
        </w:rPr>
      </w:pPr>
    </w:p>
    <w:p w:rsidR="00F41295" w:rsidRDefault="00F41295" w:rsidP="00F41295">
      <w:pPr>
        <w:pStyle w:val="NoSpacing"/>
      </w:pPr>
    </w:p>
    <w:p w:rsidR="00625D36" w:rsidRDefault="00625D36">
      <w:pPr>
        <w:spacing w:after="200" w:line="276" w:lineRule="auto"/>
        <w:rPr>
          <w:rFonts w:asciiTheme="minorHAnsi" w:hAnsiTheme="minorHAnsi" w:cstheme="minorBidi"/>
          <w:b/>
          <w:sz w:val="22"/>
          <w:szCs w:val="22"/>
          <w:lang w:eastAsia="en-US"/>
        </w:rPr>
      </w:pPr>
      <w:r>
        <w:rPr>
          <w:b/>
        </w:rPr>
        <w:br w:type="page"/>
      </w:r>
    </w:p>
    <w:p w:rsidR="00F41295" w:rsidRPr="00625D36" w:rsidRDefault="00F41295" w:rsidP="00F41295">
      <w:pPr>
        <w:pStyle w:val="NoSpacing"/>
        <w:rPr>
          <w:b/>
        </w:rPr>
      </w:pPr>
      <w:r w:rsidRPr="00625D36">
        <w:rPr>
          <w:b/>
        </w:rPr>
        <w:lastRenderedPageBreak/>
        <w:t>Submittal from Roger Davies, Member of the CAS-WG Regulation Group</w:t>
      </w:r>
    </w:p>
    <w:p w:rsidR="00F41295" w:rsidRPr="00625D36" w:rsidRDefault="00F41295" w:rsidP="00F41295">
      <w:pPr>
        <w:rPr>
          <w:rFonts w:asciiTheme="minorHAnsi" w:hAnsiTheme="minorHAnsi" w:cstheme="minorHAnsi"/>
          <w:sz w:val="22"/>
          <w:szCs w:val="22"/>
        </w:rPr>
      </w:pPr>
    </w:p>
    <w:p w:rsidR="00F41295" w:rsidRPr="00625D36" w:rsidRDefault="00F41295" w:rsidP="00F41295">
      <w:pPr>
        <w:spacing w:after="200"/>
        <w:rPr>
          <w:rFonts w:asciiTheme="minorHAnsi" w:hAnsiTheme="minorHAnsi" w:cstheme="minorHAnsi"/>
          <w:color w:val="000000"/>
          <w:sz w:val="22"/>
          <w:szCs w:val="22"/>
        </w:rPr>
      </w:pPr>
      <w:r w:rsidRPr="00625D36">
        <w:rPr>
          <w:rFonts w:asciiTheme="minorHAnsi" w:hAnsiTheme="minorHAnsi" w:cstheme="minorHAnsi"/>
          <w:color w:val="000000"/>
          <w:sz w:val="22"/>
          <w:szCs w:val="22"/>
        </w:rPr>
        <w:t>I am responding further to your request at the FSC CAS-WG Plenary session for input regarding the ESMA ‘Standards’ consultation paper. I understand from my Regulation working group that Rory Webster will be submitting a detailed review of the CP text and its implications for the City. I will, therefore, restrict my own commentary to more general statements concerning the issues raised by the EMIR proposals.</w:t>
      </w:r>
    </w:p>
    <w:p w:rsidR="00F41295" w:rsidRPr="00625D36" w:rsidRDefault="00F41295" w:rsidP="00F41295">
      <w:pPr>
        <w:spacing w:after="200"/>
        <w:rPr>
          <w:rFonts w:asciiTheme="minorHAnsi" w:hAnsiTheme="minorHAnsi" w:cstheme="minorHAnsi"/>
          <w:color w:val="000000"/>
          <w:sz w:val="22"/>
          <w:szCs w:val="22"/>
        </w:rPr>
      </w:pPr>
      <w:r w:rsidRPr="00625D36">
        <w:rPr>
          <w:rFonts w:asciiTheme="minorHAnsi" w:hAnsiTheme="minorHAnsi" w:cstheme="minorHAnsi"/>
          <w:color w:val="000000"/>
          <w:sz w:val="22"/>
          <w:szCs w:val="22"/>
        </w:rPr>
        <w:t>Firstly, I must stress that it appears that EMIR is being implemented with indecent haste. Whilst it is appreciated that commitments were given to the G20 for a 31/12/12 deadline (and the Dodd-Frank Act became law in the USA in July 2010) it is clear that we are proceeding out of expediency rather than by design. It can be by no means guaranteed that the proposals are fit for purpose with many key features (</w:t>
      </w:r>
      <w:proofErr w:type="spellStart"/>
      <w:r w:rsidRPr="00625D36">
        <w:rPr>
          <w:rFonts w:asciiTheme="minorHAnsi" w:hAnsiTheme="minorHAnsi" w:cstheme="minorHAnsi"/>
          <w:color w:val="000000"/>
          <w:sz w:val="22"/>
          <w:szCs w:val="22"/>
        </w:rPr>
        <w:t>eg</w:t>
      </w:r>
      <w:proofErr w:type="spellEnd"/>
      <w:r w:rsidRPr="00625D36">
        <w:rPr>
          <w:rFonts w:asciiTheme="minorHAnsi" w:hAnsiTheme="minorHAnsi" w:cstheme="minorHAnsi"/>
          <w:color w:val="000000"/>
          <w:sz w:val="22"/>
          <w:szCs w:val="22"/>
        </w:rPr>
        <w:t xml:space="preserve"> LEIs, extraterritoriality issues) still subject to much debate. Many politicians appear blind to the size and complexity of this market with outstanding OTC derivative contracts estimated at $700 trillion in June 2011.</w:t>
      </w:r>
    </w:p>
    <w:p w:rsidR="00F41295" w:rsidRPr="00625D36" w:rsidRDefault="00F41295" w:rsidP="00F41295">
      <w:pPr>
        <w:spacing w:after="200"/>
        <w:rPr>
          <w:rFonts w:asciiTheme="minorHAnsi" w:hAnsiTheme="minorHAnsi" w:cstheme="minorHAnsi"/>
          <w:color w:val="000000"/>
          <w:sz w:val="22"/>
          <w:szCs w:val="22"/>
        </w:rPr>
      </w:pPr>
      <w:r w:rsidRPr="00625D36">
        <w:rPr>
          <w:rFonts w:asciiTheme="minorHAnsi" w:hAnsiTheme="minorHAnsi" w:cstheme="minorHAnsi"/>
          <w:color w:val="000000"/>
          <w:sz w:val="22"/>
          <w:szCs w:val="22"/>
        </w:rPr>
        <w:t>New financial regulation is normally applied to existing infrastructure. With EMIR we are essentially starting with a clean sheet. Standards should normally reflect good practice but ESMA appears to be promoting more of a 'wish list' with less thought being given to 'do-ability'. Surely ESMA should be in a position to promote a working electronic operational model meeting the demands of the G20 (a level playing field with ‘neutral’ platform operators)? Member States could then adopt this model where appropriate for the control of their national derivatives market. Writing regulation text and standards for what is basically at this stage only a concept, and one which impacts on complicated and varied products, does risk the law of unintended consequences applying at both macro and micro levels. The more so as the implementation deadline is driving the pace of development denying practical periods for cross-border trial and testing. This is also irrespective of very major concerns regarding the macroeconomic impacts of the reforms on capital velocity for countries seeking economic recovery. A huge shortfall globally in 'quality assets' has already been forecast which demands action pre-EMIR launch. Ideally, what is needed is a global model with common constituent parts and product codes in order to designate appropriate collateral, obtain accurate monitoring figures for supervisors and to avoid the ever present threat of regulatory arbitrage. Sadly, such international cooperation has not been a feature of the G20 and ESMA appears hell bent on delivering the new EMIR regime to their current schedule.</w:t>
      </w:r>
    </w:p>
    <w:p w:rsidR="00F41295" w:rsidRPr="00625D36" w:rsidRDefault="00F41295" w:rsidP="00F41295">
      <w:pPr>
        <w:spacing w:after="200"/>
        <w:rPr>
          <w:rFonts w:asciiTheme="minorHAnsi" w:hAnsiTheme="minorHAnsi" w:cstheme="minorHAnsi"/>
          <w:color w:val="000000"/>
          <w:sz w:val="22"/>
          <w:szCs w:val="22"/>
        </w:rPr>
      </w:pPr>
      <w:r w:rsidRPr="00625D36">
        <w:rPr>
          <w:rFonts w:asciiTheme="minorHAnsi" w:hAnsiTheme="minorHAnsi" w:cstheme="minorHAnsi"/>
          <w:color w:val="000000"/>
          <w:sz w:val="22"/>
          <w:szCs w:val="22"/>
        </w:rPr>
        <w:t>As recognised in the CP, it has not been possible for ESMA to complete a cost benefit analysis for the proposals. Indeed, the impact analysis in annex VII is no more than descriptive comment lacking any element of financial information. Although it could be argued that any reforms which reduce the likelihood of a global economic crash can easily pay for themselves (and the derivatives market was undoubtedly under-collateralised in 2007-8) it should not be overlooked that new regulation should be proportionate and acknowledge that derivatives are essential to the smooth operation of world capital markets. The cost of EMIR to the industry will be very substantial and for many a show stopper. The legal bills alone will be immense. The additional fees necessary to recover investment spend will undoubtedly reduce hedging activity amongst corporate treasurers and, on the downside, potentially increase commercial business risk. If ESMA/EC cannot guarantee full CCP interoperability then EMIR as proposed will not be fit for purpose. Time must be granted so that this can occur.</w:t>
      </w:r>
    </w:p>
    <w:p w:rsidR="00F41295" w:rsidRPr="00625D36" w:rsidRDefault="00F41295" w:rsidP="00F41295">
      <w:pPr>
        <w:pStyle w:val="NoSpacing"/>
        <w:rPr>
          <w:rFonts w:cstheme="minorHAnsi"/>
          <w:color w:val="000000"/>
          <w:sz w:val="20"/>
          <w:szCs w:val="20"/>
        </w:rPr>
      </w:pPr>
      <w:r w:rsidRPr="00625D36">
        <w:rPr>
          <w:rFonts w:cstheme="minorHAnsi"/>
          <w:b/>
          <w:bCs/>
          <w:color w:val="000000"/>
        </w:rPr>
        <w:t>ROGER DAVIES,</w:t>
      </w:r>
    </w:p>
    <w:p w:rsidR="00F41295" w:rsidRPr="00625D36" w:rsidRDefault="00F41295" w:rsidP="00F41295">
      <w:pPr>
        <w:pStyle w:val="NoSpacing"/>
        <w:rPr>
          <w:rFonts w:cstheme="minorHAnsi"/>
          <w:color w:val="000000"/>
          <w:sz w:val="20"/>
          <w:szCs w:val="20"/>
        </w:rPr>
      </w:pPr>
      <w:r w:rsidRPr="00625D36">
        <w:rPr>
          <w:rFonts w:cstheme="minorHAnsi"/>
          <w:b/>
          <w:bCs/>
          <w:color w:val="000000"/>
        </w:rPr>
        <w:t>Principal Consultant,</w:t>
      </w:r>
    </w:p>
    <w:p w:rsidR="00F41295" w:rsidRPr="00625D36" w:rsidRDefault="00F41295" w:rsidP="00F41295">
      <w:pPr>
        <w:pStyle w:val="NoSpacing"/>
        <w:rPr>
          <w:rFonts w:cstheme="minorHAnsi"/>
          <w:color w:val="000000"/>
          <w:sz w:val="20"/>
          <w:szCs w:val="20"/>
        </w:rPr>
      </w:pPr>
      <w:r w:rsidRPr="00625D36">
        <w:rPr>
          <w:rFonts w:cstheme="minorHAnsi"/>
          <w:b/>
          <w:bCs/>
          <w:color w:val="000000"/>
        </w:rPr>
        <w:t>UK and European Regulation,</w:t>
      </w:r>
    </w:p>
    <w:p w:rsidR="00F41295" w:rsidRPr="00625D36" w:rsidRDefault="00F41295" w:rsidP="00F41295">
      <w:pPr>
        <w:pStyle w:val="NoSpacing"/>
        <w:rPr>
          <w:rFonts w:cstheme="minorHAnsi"/>
          <w:color w:val="000000"/>
          <w:sz w:val="20"/>
          <w:szCs w:val="20"/>
        </w:rPr>
      </w:pPr>
      <w:proofErr w:type="gramStart"/>
      <w:r w:rsidRPr="00625D36">
        <w:rPr>
          <w:rFonts w:cstheme="minorHAnsi"/>
          <w:b/>
          <w:bCs/>
          <w:color w:val="000000"/>
        </w:rPr>
        <w:t>ea</w:t>
      </w:r>
      <w:proofErr w:type="gramEnd"/>
      <w:r w:rsidRPr="00625D36">
        <w:rPr>
          <w:rFonts w:cstheme="minorHAnsi"/>
          <w:b/>
          <w:bCs/>
          <w:color w:val="000000"/>
        </w:rPr>
        <w:t xml:space="preserve"> Consulting Group.</w:t>
      </w:r>
    </w:p>
    <w:p w:rsidR="00F41295" w:rsidRPr="00625D36" w:rsidRDefault="00F41295" w:rsidP="00F41295">
      <w:pPr>
        <w:pStyle w:val="NoSpacing"/>
        <w:rPr>
          <w:rFonts w:cstheme="minorHAnsi"/>
        </w:rPr>
      </w:pPr>
    </w:p>
    <w:p w:rsidR="00F41295" w:rsidRPr="00625D36" w:rsidRDefault="00F41295">
      <w:pPr>
        <w:spacing w:after="200" w:line="276" w:lineRule="auto"/>
        <w:rPr>
          <w:rFonts w:asciiTheme="minorHAnsi" w:hAnsiTheme="minorHAnsi" w:cstheme="minorHAnsi"/>
          <w:sz w:val="22"/>
          <w:szCs w:val="22"/>
          <w:lang w:eastAsia="en-US"/>
        </w:rPr>
      </w:pPr>
      <w:r w:rsidRPr="00625D36">
        <w:rPr>
          <w:rFonts w:asciiTheme="minorHAnsi" w:hAnsiTheme="minorHAnsi" w:cstheme="minorHAnsi"/>
        </w:rPr>
        <w:br w:type="page"/>
      </w:r>
    </w:p>
    <w:p w:rsidR="00F41295" w:rsidRPr="00625D36" w:rsidRDefault="00F41295" w:rsidP="00F41295">
      <w:pPr>
        <w:pStyle w:val="NoSpacing"/>
        <w:rPr>
          <w:rFonts w:cstheme="minorHAnsi"/>
          <w:b/>
        </w:rPr>
      </w:pPr>
      <w:r w:rsidRPr="00625D36">
        <w:rPr>
          <w:rFonts w:cstheme="minorHAnsi"/>
          <w:b/>
        </w:rPr>
        <w:lastRenderedPageBreak/>
        <w:t xml:space="preserve">Submittal from David </w:t>
      </w:r>
      <w:proofErr w:type="spellStart"/>
      <w:r w:rsidRPr="00625D36">
        <w:rPr>
          <w:rFonts w:cstheme="minorHAnsi"/>
          <w:b/>
        </w:rPr>
        <w:t>Nordell</w:t>
      </w:r>
      <w:proofErr w:type="spellEnd"/>
      <w:r w:rsidRPr="00625D36">
        <w:rPr>
          <w:rFonts w:cstheme="minorHAnsi"/>
          <w:b/>
        </w:rPr>
        <w:t xml:space="preserve">, </w:t>
      </w:r>
      <w:r w:rsidR="00625D36">
        <w:rPr>
          <w:rFonts w:cstheme="minorHAnsi"/>
          <w:b/>
        </w:rPr>
        <w:t>Member of the CAS-WG Regulation</w:t>
      </w:r>
      <w:r w:rsidRPr="00625D36">
        <w:rPr>
          <w:rFonts w:cstheme="minorHAnsi"/>
          <w:b/>
        </w:rPr>
        <w:t xml:space="preserve"> Subject Group</w:t>
      </w:r>
    </w:p>
    <w:p w:rsidR="00F41295" w:rsidRPr="00625D36" w:rsidRDefault="00F41295" w:rsidP="00625D36">
      <w:pPr>
        <w:pStyle w:val="NoSpacing"/>
        <w:rPr>
          <w:rFonts w:cstheme="minorHAnsi"/>
        </w:rPr>
      </w:pPr>
    </w:p>
    <w:p w:rsidR="00F41295" w:rsidRPr="00625D36" w:rsidRDefault="00F41295" w:rsidP="00625D36">
      <w:pPr>
        <w:rPr>
          <w:rFonts w:asciiTheme="minorHAnsi" w:hAnsiTheme="minorHAnsi" w:cstheme="minorHAnsi"/>
          <w:b/>
          <w:bCs/>
          <w:sz w:val="22"/>
          <w:szCs w:val="22"/>
        </w:rPr>
      </w:pPr>
      <w:r w:rsidRPr="00625D36">
        <w:rPr>
          <w:rFonts w:asciiTheme="minorHAnsi" w:hAnsiTheme="minorHAnsi" w:cstheme="minorHAnsi"/>
          <w:b/>
          <w:bCs/>
          <w:sz w:val="22"/>
          <w:szCs w:val="22"/>
        </w:rPr>
        <w:t>The relationship between Know Your Customer and the planned Legal Entity Identifier system in the financial industry</w:t>
      </w:r>
    </w:p>
    <w:p w:rsidR="00F41295" w:rsidRPr="00625D36" w:rsidRDefault="00F41295" w:rsidP="00F41295">
      <w:pPr>
        <w:jc w:val="center"/>
        <w:rPr>
          <w:rFonts w:asciiTheme="minorHAnsi" w:hAnsiTheme="minorHAnsi" w:cstheme="minorHAnsi"/>
          <w:sz w:val="20"/>
          <w:szCs w:val="20"/>
        </w:rPr>
      </w:pPr>
      <w:r w:rsidRPr="00625D36">
        <w:rPr>
          <w:rFonts w:asciiTheme="minorHAnsi" w:hAnsiTheme="minorHAnsi" w:cstheme="minorHAnsi"/>
          <w:sz w:val="20"/>
          <w:szCs w:val="20"/>
        </w:rPr>
        <w:t>Version 1.1</w:t>
      </w:r>
    </w:p>
    <w:p w:rsidR="00F41295" w:rsidRPr="00625D36" w:rsidRDefault="00F41295" w:rsidP="00F41295">
      <w:pPr>
        <w:jc w:val="center"/>
        <w:rPr>
          <w:rFonts w:asciiTheme="minorHAnsi" w:hAnsiTheme="minorHAnsi" w:cstheme="minorHAnsi"/>
        </w:rPr>
      </w:pPr>
    </w:p>
    <w:p w:rsidR="00F41295" w:rsidRPr="00625D36" w:rsidRDefault="00F41295" w:rsidP="00F41295">
      <w:pPr>
        <w:jc w:val="center"/>
        <w:rPr>
          <w:rFonts w:asciiTheme="minorHAnsi" w:hAnsiTheme="minorHAnsi" w:cstheme="minorHAnsi"/>
          <w:b/>
          <w:bCs/>
        </w:rPr>
      </w:pPr>
      <w:r w:rsidRPr="00625D36">
        <w:rPr>
          <w:rFonts w:asciiTheme="minorHAnsi" w:hAnsiTheme="minorHAnsi" w:cstheme="minorHAnsi"/>
          <w:b/>
          <w:bCs/>
        </w:rPr>
        <w:t xml:space="preserve">David </w:t>
      </w:r>
      <w:proofErr w:type="spellStart"/>
      <w:r w:rsidRPr="00625D36">
        <w:rPr>
          <w:rFonts w:asciiTheme="minorHAnsi" w:hAnsiTheme="minorHAnsi" w:cstheme="minorHAnsi"/>
          <w:b/>
          <w:bCs/>
        </w:rPr>
        <w:t>Nordell</w:t>
      </w:r>
      <w:proofErr w:type="spellEnd"/>
    </w:p>
    <w:p w:rsidR="00F41295" w:rsidRPr="00625D36" w:rsidRDefault="00F41295" w:rsidP="00F41295">
      <w:pPr>
        <w:jc w:val="center"/>
        <w:rPr>
          <w:rFonts w:asciiTheme="minorHAnsi" w:hAnsiTheme="minorHAnsi" w:cstheme="minorHAnsi"/>
          <w:b/>
          <w:bCs/>
        </w:rPr>
      </w:pPr>
      <w:r w:rsidRPr="00625D36">
        <w:rPr>
          <w:rFonts w:asciiTheme="minorHAnsi" w:hAnsiTheme="minorHAnsi" w:cstheme="minorHAnsi"/>
          <w:b/>
          <w:bCs/>
        </w:rPr>
        <w:t>CEO, New Global Markets Ltd.</w:t>
      </w:r>
    </w:p>
    <w:p w:rsidR="00F41295" w:rsidRPr="00625D36" w:rsidRDefault="00F41295" w:rsidP="00F41295">
      <w:pPr>
        <w:jc w:val="center"/>
        <w:rPr>
          <w:rFonts w:asciiTheme="minorHAnsi" w:hAnsiTheme="minorHAnsi" w:cstheme="minorHAnsi"/>
        </w:rPr>
      </w:pPr>
    </w:p>
    <w:p w:rsidR="00F41295" w:rsidRPr="00625D36" w:rsidRDefault="00F41295" w:rsidP="00F41295">
      <w:pPr>
        <w:jc w:val="both"/>
        <w:rPr>
          <w:rFonts w:asciiTheme="minorHAnsi" w:hAnsiTheme="minorHAnsi" w:cstheme="minorHAnsi"/>
          <w:i/>
          <w:iCs/>
          <w:sz w:val="20"/>
          <w:szCs w:val="20"/>
        </w:rPr>
      </w:pPr>
      <w:r w:rsidRPr="00625D36">
        <w:rPr>
          <w:rFonts w:asciiTheme="minorHAnsi" w:hAnsiTheme="minorHAnsi" w:cstheme="minorHAnsi"/>
          <w:i/>
          <w:iCs/>
          <w:sz w:val="20"/>
          <w:szCs w:val="20"/>
        </w:rPr>
        <w:t xml:space="preserve">This paper is written in response to a discussion of the Regulation sub-group of the FSC </w:t>
      </w:r>
      <w:proofErr w:type="gramStart"/>
      <w:r w:rsidRPr="00625D36">
        <w:rPr>
          <w:rFonts w:asciiTheme="minorHAnsi" w:hAnsiTheme="minorHAnsi" w:cstheme="minorHAnsi"/>
          <w:i/>
          <w:iCs/>
          <w:sz w:val="20"/>
          <w:szCs w:val="20"/>
        </w:rPr>
        <w:t>Clearing</w:t>
      </w:r>
      <w:proofErr w:type="gramEnd"/>
      <w:r w:rsidRPr="00625D36">
        <w:rPr>
          <w:rFonts w:asciiTheme="minorHAnsi" w:hAnsiTheme="minorHAnsi" w:cstheme="minorHAnsi"/>
          <w:i/>
          <w:iCs/>
          <w:sz w:val="20"/>
          <w:szCs w:val="20"/>
        </w:rPr>
        <w:t xml:space="preserve"> and Settlements working party in London. The Global Unique Identity to which the paper refers, which is part of a customer identification system being developed by New Global Markets Ltd, and its application to the use cases described here, are part of the company’s intellectual property. </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 xml:space="preserve">The Legal Entity Identifier system that is now in the process of being adopted by financial industry regulators in the USA, European Union and elsewhere is meant to provide a robust enabling infrastructure for the reporting of transactions and analysis of risk within the global capital markets. But even after the full adoption of LEIs, the processes for regulatory reporting in the clearing and settlement of OTC derivatives and other capital market transactions leave considerable lack of clarity about the identities and relationships of the various counterparties involved, especially if investment banks are transacting on behalf of clients rather than on their own account. This lack of clarity not only leaves some important information unrecorded in the reporting of ‘normal’ transactions, but makes it more difficult to identify and investigate cases of market abuse, or of money laundering through capital market transactions, which both fall under separate regulatory frameworks, whether within the EU or other jurisdictions. Transactions within the regulatory situation following implementation of the proposed Legal Entity Identifier (LEI) can be described graphically as follows (the LEI and GUID formats in this paper are purely illustrative): </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center"/>
        <w:rPr>
          <w:rFonts w:asciiTheme="minorHAnsi" w:hAnsiTheme="minorHAnsi" w:cstheme="minorHAnsi"/>
          <w:sz w:val="22"/>
          <w:szCs w:val="22"/>
        </w:rPr>
      </w:pPr>
      <w:r w:rsidRPr="00625D36">
        <w:rPr>
          <w:rFonts w:asciiTheme="minorHAnsi" w:hAnsiTheme="minorHAnsi" w:cstheme="minorHAnsi"/>
          <w:sz w:val="22"/>
          <w:szCs w:val="22"/>
        </w:rPr>
        <w:object w:dxaOrig="6564"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76.5pt" o:ole="">
            <v:imagedata r:id="rId6" o:title=""/>
          </v:shape>
          <o:OLEObject Type="Embed" ProgID="Visio.Drawing.11" ShapeID="_x0000_i1025" DrawAspect="Content" ObjectID="_1405680258" r:id="rId7"/>
        </w:objec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This diagram does not take account of the possibility (now extremely unlikely because of the draft ISO17442) that there will not be a single market standard for LEIs, and whether this would have negative implications for regulatory reporting, or what would be the implications of a decentralised system of LEI issuers rather than a centralised one.</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 xml:space="preserve">This situation is in principle satisfactory so long as the investment banks are only trading on their own account. However, this is not necessarily the case, and it would be more desirable for the transaction reports to include the possibility of explicit identification of the external investors in a transaction – essentially to include explicit Know Your Customer data in the report. The following diagram shows how this would take place, using New Global Markets’ GUID system, which is designed to become a market standard encompassing both natural persons and legal persons across the banking, insurance and capital markets. </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object w:dxaOrig="10164" w:dyaOrig="1524">
          <v:shape id="_x0000_i1026" type="#_x0000_t75" style="width:467.25pt;height:69.75pt" o:ole="">
            <v:imagedata r:id="rId8" o:title=""/>
          </v:shape>
          <o:OLEObject Type="Embed" ProgID="Visio.Drawing.11" ShapeID="_x0000_i1026" DrawAspect="Content" ObjectID="_1405680259" r:id="rId9"/>
        </w:objec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 xml:space="preserve">In this model, Investor 1 and Investor 2 have gone through an explicit KYC process (which could also include secondary characteristics such as MiFID classification). Some instances of market abuse or money laundering/terror financing would probably be identifiable by internal intelligence processes within the GUID reference database, as well as reference to external black lists, sanctions lists or other intelligence sources. </w:t>
      </w: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However, this model can be improved further, by adding data on the ultimate beneficial owners or controllers of both the investment banks and the external investors, as shown in the following diagram (for convenience, only one ultimate beneficial owner is shown for each party):</w:t>
      </w: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object w:dxaOrig="10164" w:dyaOrig="2604">
          <v:shape id="_x0000_i1027" type="#_x0000_t75" style="width:467.25pt;height:120pt" o:ole="">
            <v:imagedata r:id="rId10" o:title=""/>
          </v:shape>
          <o:OLEObject Type="Embed" ProgID="Visio.Drawing.11" ShapeID="_x0000_i1027" DrawAspect="Content" ObjectID="_1405680260" r:id="rId11"/>
        </w:objec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This not only allows much fuller regulatory reporting, but makes it easier to identify, trace and investigate cases of market abuse, by looking at the relationships between the various ultimate beneficial owners (it being understood, of course, that any of the investment banks and investors may have multiple beneficial owners). Obviously, if, say, GUID3 is identical with GUID6, or can be shown to be related to it, this is a clear indication of an artificial transaction, unless the contrary can be proved.</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Building explicit links between the LEI infrastructure and an underlying infrastructure of KYC reference data is especially important because of another global change in the capital markets that has already taken place: the growth of trading the same instruments in multiple exchanges across multiple jurisdictions. If an instrument (say a block of shares) is first traded in one location, the original purchase may subsequently sell it on to a new purchaser in a second location, and so on, and this transaction chain may be used as a convenient cover for money laundering or terror financing, even on a large scale. And, unlike international trade in tangible goods, which is also exploited frequently for trade-based money laundering, the entire transaction chain in a traded instrument may take place, including clearing and settlement, so quickly that it is difficult to intercept or investigate in real time. This adds to the rationale for KYC reference data that can be created and accessed internationally.</w:t>
      </w:r>
    </w:p>
    <w:p w:rsidR="00F41295" w:rsidRPr="00625D36" w:rsidRDefault="00F41295" w:rsidP="00F41295">
      <w:pPr>
        <w:jc w:val="both"/>
        <w:rPr>
          <w:rFonts w:asciiTheme="minorHAnsi" w:hAnsiTheme="minorHAnsi" w:cstheme="minorHAnsi"/>
          <w:sz w:val="22"/>
          <w:szCs w:val="22"/>
        </w:rPr>
      </w:pP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t>These are only the most basic use cases, and others need to be described in more detail, both in words and graphics. For example, a transaction might be carried out where the payment to the seller is made to a third party representing (or ostensibly representing) the seller of the instrument; but where in fact the money is being laundered. Similarly, this same model of identity intelligence can be used to identify, say, an artificial option transaction whose only purpose is money laundering.</w:t>
      </w:r>
    </w:p>
    <w:p w:rsidR="00F41295" w:rsidRPr="00625D36" w:rsidRDefault="00F41295" w:rsidP="00F41295">
      <w:pPr>
        <w:jc w:val="both"/>
        <w:rPr>
          <w:rFonts w:asciiTheme="minorHAnsi" w:hAnsiTheme="minorHAnsi" w:cstheme="minorHAnsi"/>
          <w:sz w:val="22"/>
          <w:szCs w:val="22"/>
        </w:rPr>
      </w:pPr>
      <w:r w:rsidRPr="00625D36">
        <w:rPr>
          <w:rFonts w:asciiTheme="minorHAnsi" w:hAnsiTheme="minorHAnsi" w:cstheme="minorHAnsi"/>
          <w:sz w:val="22"/>
          <w:szCs w:val="22"/>
        </w:rPr>
        <w:lastRenderedPageBreak/>
        <w:t xml:space="preserve">Although the writer does understand that counterparties in OTC transactions and other wholesale market transactions would generally prefer for completely legitimate reasons not to be identified, the purpose of this proposal is not to force publication of their identities to the public domain. On the contrary, the use of a GUID system where the details of any counterparty, including its ultimate beneficial owners, provides counterparties with a high level of privacy while still allowing complete transparency when necessary to both regulators and law enforcement authorities, and ensuring that the entire transaction chain is compliant with the EU’s current Market Abuse Directive and Money Laundering Directive (and, presumably, their successor directives or regulations, and similar regulations in other jurisdictions). </w:t>
      </w:r>
    </w:p>
    <w:p w:rsidR="00F41295" w:rsidRPr="00625D36" w:rsidRDefault="00F41295" w:rsidP="00F41295">
      <w:pPr>
        <w:jc w:val="both"/>
        <w:rPr>
          <w:rFonts w:asciiTheme="minorHAnsi" w:hAnsiTheme="minorHAnsi" w:cstheme="minorHAnsi"/>
        </w:rPr>
      </w:pPr>
    </w:p>
    <w:p w:rsidR="00F41295" w:rsidRPr="00625D36" w:rsidRDefault="00F41295" w:rsidP="00F41295">
      <w:pPr>
        <w:jc w:val="both"/>
        <w:rPr>
          <w:rFonts w:asciiTheme="minorHAnsi" w:hAnsiTheme="minorHAnsi" w:cstheme="minorHAnsi"/>
        </w:rPr>
      </w:pPr>
      <w:r w:rsidRPr="00625D36">
        <w:rPr>
          <w:rFonts w:asciiTheme="minorHAnsi" w:hAnsiTheme="minorHAnsi" w:cstheme="minorHAnsi"/>
        </w:rPr>
        <w:t>In short, while the LEI is a necessary solution for improving the state of risk management in financial markets and eventually (as already proposed elsewhere) financial transactions in general, it is not a complete solution. On the contrary, it needs strong KYC to complement it, not least because the losses to financial institutions from AML or market abuse compliance failures, both in fines and reputation damage, may exceed the losses from poor risk management in transacting and holding actual instruments.</w:t>
      </w:r>
      <w:bookmarkStart w:id="0" w:name="_GoBack"/>
      <w:bookmarkEnd w:id="0"/>
    </w:p>
    <w:p w:rsidR="00F41295" w:rsidRPr="00625D36" w:rsidRDefault="00F41295" w:rsidP="00F41295">
      <w:pPr>
        <w:jc w:val="both"/>
        <w:rPr>
          <w:rFonts w:asciiTheme="minorHAnsi" w:hAnsiTheme="minorHAnsi" w:cstheme="minorHAnsi"/>
        </w:rPr>
      </w:pPr>
    </w:p>
    <w:p w:rsidR="00F41295" w:rsidRPr="00625D36" w:rsidRDefault="00F41295" w:rsidP="00F41295">
      <w:pPr>
        <w:jc w:val="both"/>
        <w:rPr>
          <w:rFonts w:asciiTheme="minorHAnsi" w:hAnsiTheme="minorHAnsi" w:cstheme="minorHAnsi"/>
          <w:i/>
          <w:iCs/>
          <w:sz w:val="20"/>
          <w:szCs w:val="20"/>
        </w:rPr>
      </w:pPr>
      <w:r w:rsidRPr="00625D36">
        <w:rPr>
          <w:rFonts w:asciiTheme="minorHAnsi" w:hAnsiTheme="minorHAnsi" w:cstheme="minorHAnsi"/>
          <w:i/>
          <w:iCs/>
          <w:sz w:val="20"/>
          <w:szCs w:val="20"/>
        </w:rPr>
        <w:t xml:space="preserve">The writer wishes to thank Greg Caldwell of </w:t>
      </w:r>
      <w:proofErr w:type="spellStart"/>
      <w:r w:rsidRPr="00625D36">
        <w:rPr>
          <w:rFonts w:asciiTheme="minorHAnsi" w:hAnsiTheme="minorHAnsi" w:cstheme="minorHAnsi"/>
          <w:i/>
          <w:iCs/>
          <w:sz w:val="20"/>
          <w:szCs w:val="20"/>
        </w:rPr>
        <w:t>aSource</w:t>
      </w:r>
      <w:proofErr w:type="spellEnd"/>
      <w:r w:rsidRPr="00625D36">
        <w:rPr>
          <w:rFonts w:asciiTheme="minorHAnsi" w:hAnsiTheme="minorHAnsi" w:cstheme="minorHAnsi"/>
          <w:i/>
          <w:iCs/>
          <w:sz w:val="20"/>
          <w:szCs w:val="20"/>
        </w:rPr>
        <w:t xml:space="preserve"> Global and Chris Pickles of BT plc for their invaluable comments.</w:t>
      </w:r>
    </w:p>
    <w:p w:rsidR="00F41295" w:rsidRPr="00625D36" w:rsidRDefault="00F41295" w:rsidP="00F41295">
      <w:pPr>
        <w:jc w:val="both"/>
        <w:rPr>
          <w:rFonts w:asciiTheme="minorHAnsi" w:hAnsiTheme="minorHAnsi" w:cstheme="minorHAnsi"/>
        </w:rPr>
      </w:pPr>
    </w:p>
    <w:p w:rsidR="00F41295" w:rsidRPr="00625D36" w:rsidRDefault="00F41295" w:rsidP="00F41295">
      <w:pPr>
        <w:jc w:val="both"/>
        <w:rPr>
          <w:rFonts w:asciiTheme="minorHAnsi" w:hAnsiTheme="minorHAnsi" w:cstheme="minorHAnsi"/>
          <w:i/>
          <w:iCs/>
          <w:sz w:val="20"/>
          <w:szCs w:val="20"/>
        </w:rPr>
      </w:pPr>
      <w:proofErr w:type="gramStart"/>
      <w:r w:rsidRPr="00625D36">
        <w:rPr>
          <w:rFonts w:asciiTheme="minorHAnsi" w:hAnsiTheme="minorHAnsi" w:cstheme="minorHAnsi"/>
          <w:i/>
          <w:iCs/>
          <w:sz w:val="20"/>
          <w:szCs w:val="20"/>
        </w:rPr>
        <w:t>Copyright © New Global Markets.</w:t>
      </w:r>
      <w:proofErr w:type="gramEnd"/>
      <w:r w:rsidRPr="00625D36">
        <w:rPr>
          <w:rFonts w:asciiTheme="minorHAnsi" w:hAnsiTheme="minorHAnsi" w:cstheme="minorHAnsi"/>
          <w:i/>
          <w:iCs/>
          <w:sz w:val="20"/>
          <w:szCs w:val="20"/>
        </w:rPr>
        <w:t xml:space="preserve"> 2012</w:t>
      </w:r>
    </w:p>
    <w:p w:rsidR="00F41295" w:rsidRPr="00625D36" w:rsidRDefault="00F41295" w:rsidP="00F41295">
      <w:pPr>
        <w:jc w:val="both"/>
        <w:rPr>
          <w:rFonts w:asciiTheme="minorHAnsi" w:hAnsiTheme="minorHAnsi" w:cstheme="minorHAnsi"/>
        </w:rPr>
      </w:pPr>
    </w:p>
    <w:p w:rsidR="00F41295" w:rsidRPr="00625D36" w:rsidRDefault="00F41295" w:rsidP="00F41295">
      <w:pPr>
        <w:rPr>
          <w:rFonts w:asciiTheme="minorHAnsi" w:hAnsiTheme="minorHAnsi" w:cstheme="minorHAnsi"/>
        </w:rPr>
      </w:pPr>
    </w:p>
    <w:p w:rsidR="00F41295" w:rsidRPr="00625D36" w:rsidRDefault="00F41295" w:rsidP="00F41295">
      <w:pPr>
        <w:rPr>
          <w:rFonts w:asciiTheme="minorHAnsi" w:hAnsiTheme="minorHAnsi" w:cstheme="minorHAnsi"/>
        </w:rPr>
      </w:pPr>
    </w:p>
    <w:p w:rsidR="00625D36" w:rsidRDefault="00625D36" w:rsidP="00F41295">
      <w:pPr>
        <w:pStyle w:val="NoSpacing"/>
      </w:pPr>
    </w:p>
    <w:p w:rsidR="00625D36" w:rsidRPr="00625D36" w:rsidRDefault="00625D36" w:rsidP="00625D36">
      <w:pPr>
        <w:rPr>
          <w:lang w:eastAsia="en-US"/>
        </w:rPr>
      </w:pPr>
    </w:p>
    <w:p w:rsidR="00625D36" w:rsidRPr="00625D36" w:rsidRDefault="00625D36" w:rsidP="00625D36">
      <w:pPr>
        <w:rPr>
          <w:lang w:eastAsia="en-US"/>
        </w:rPr>
      </w:pPr>
    </w:p>
    <w:p w:rsidR="00625D36" w:rsidRDefault="00625D36" w:rsidP="00625D36">
      <w:pPr>
        <w:rPr>
          <w:lang w:eastAsia="en-US"/>
        </w:rPr>
      </w:pPr>
    </w:p>
    <w:p w:rsidR="00F41295" w:rsidRPr="00625D36" w:rsidRDefault="00625D36" w:rsidP="00625D36">
      <w:pPr>
        <w:tabs>
          <w:tab w:val="left" w:pos="3435"/>
        </w:tabs>
        <w:rPr>
          <w:lang w:eastAsia="en-US"/>
        </w:rPr>
      </w:pPr>
      <w:r>
        <w:rPr>
          <w:lang w:eastAsia="en-US"/>
        </w:rPr>
        <w:tab/>
      </w:r>
    </w:p>
    <w:sectPr w:rsidR="00F41295" w:rsidRPr="00625D36" w:rsidSect="00630C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1295"/>
    <w:rsid w:val="00625D36"/>
    <w:rsid w:val="00630C42"/>
    <w:rsid w:val="00F412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9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295"/>
    <w:pPr>
      <w:spacing w:after="0" w:line="240" w:lineRule="auto"/>
    </w:pPr>
  </w:style>
  <w:style w:type="character" w:styleId="Hyperlink">
    <w:name w:val="Hyperlink"/>
    <w:basedOn w:val="DefaultParagraphFont"/>
    <w:uiPriority w:val="99"/>
    <w:semiHidden/>
    <w:unhideWhenUsed/>
    <w:rsid w:val="00F41295"/>
    <w:rPr>
      <w:color w:val="0000FF"/>
      <w:u w:val="single"/>
    </w:rPr>
  </w:style>
  <w:style w:type="paragraph" w:styleId="BalloonText">
    <w:name w:val="Balloon Text"/>
    <w:basedOn w:val="Normal"/>
    <w:link w:val="BalloonTextChar"/>
    <w:uiPriority w:val="99"/>
    <w:semiHidden/>
    <w:unhideWhenUsed/>
    <w:rsid w:val="00F41295"/>
    <w:rPr>
      <w:rFonts w:ascii="Tahoma" w:hAnsi="Tahoma" w:cs="Tahoma"/>
      <w:sz w:val="16"/>
      <w:szCs w:val="16"/>
    </w:rPr>
  </w:style>
  <w:style w:type="character" w:customStyle="1" w:styleId="BalloonTextChar">
    <w:name w:val="Balloon Text Char"/>
    <w:basedOn w:val="DefaultParagraphFont"/>
    <w:link w:val="BalloonText"/>
    <w:uiPriority w:val="99"/>
    <w:semiHidden/>
    <w:rsid w:val="00F41295"/>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401101862">
      <w:bodyDiv w:val="1"/>
      <w:marLeft w:val="0"/>
      <w:marRight w:val="0"/>
      <w:marTop w:val="0"/>
      <w:marBottom w:val="0"/>
      <w:divBdr>
        <w:top w:val="none" w:sz="0" w:space="0" w:color="auto"/>
        <w:left w:val="none" w:sz="0" w:space="0" w:color="auto"/>
        <w:bottom w:val="none" w:sz="0" w:space="0" w:color="auto"/>
        <w:right w:val="none" w:sz="0" w:space="0" w:color="auto"/>
      </w:divBdr>
    </w:div>
    <w:div w:id="19983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hyperlink" Target="http://thefinanser.co.uk/fsclub/cas-wg/" TargetMode="External"/><Relationship Id="rId10" Type="http://schemas.openxmlformats.org/officeDocument/2006/relationships/image" Target="media/image4.emf"/><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cp:lastPrinted>2012-08-05T12:57:00Z</cp:lastPrinted>
  <dcterms:created xsi:type="dcterms:W3CDTF">2012-08-05T12:43:00Z</dcterms:created>
  <dcterms:modified xsi:type="dcterms:W3CDTF">2012-08-05T12:58:00Z</dcterms:modified>
</cp:coreProperties>
</file>