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8C1" w:rsidRPr="00326704" w:rsidRDefault="00326704" w:rsidP="007208C1">
      <w:pPr>
        <w:pStyle w:val="Default"/>
        <w:rPr>
          <w:rFonts w:asciiTheme="minorHAnsi" w:hAnsiTheme="minorHAnsi"/>
          <w:b/>
        </w:rPr>
      </w:pPr>
      <w:r w:rsidRPr="00326704">
        <w:rPr>
          <w:rFonts w:asciiTheme="minorHAnsi" w:hAnsiTheme="minorHAnsi"/>
          <w:b/>
        </w:rPr>
        <w:t>Your input: consultations</w:t>
      </w:r>
    </w:p>
    <w:tbl>
      <w:tblPr>
        <w:tblW w:w="0" w:type="auto"/>
        <w:tblBorders>
          <w:top w:val="nil"/>
          <w:left w:val="nil"/>
          <w:bottom w:val="nil"/>
          <w:right w:val="nil"/>
        </w:tblBorders>
        <w:tblLayout w:type="fixed"/>
        <w:tblLook w:val="0000" w:firstRow="0" w:lastRow="0" w:firstColumn="0" w:lastColumn="0" w:noHBand="0" w:noVBand="0"/>
      </w:tblPr>
      <w:tblGrid>
        <w:gridCol w:w="9398"/>
      </w:tblGrid>
      <w:tr w:rsidR="007208C1" w:rsidRPr="00326704">
        <w:trPr>
          <w:trHeight w:val="131"/>
        </w:trPr>
        <w:tc>
          <w:tcPr>
            <w:tcW w:w="9398" w:type="dxa"/>
          </w:tcPr>
          <w:p w:rsidR="00326704" w:rsidRPr="00326704" w:rsidRDefault="00326704">
            <w:pPr>
              <w:pStyle w:val="Default"/>
              <w:rPr>
                <w:rFonts w:asciiTheme="minorHAnsi" w:hAnsiTheme="minorHAnsi"/>
                <w:b/>
              </w:rPr>
            </w:pPr>
          </w:p>
          <w:p w:rsidR="007208C1" w:rsidRDefault="007208C1">
            <w:pPr>
              <w:pStyle w:val="Default"/>
              <w:rPr>
                <w:rFonts w:asciiTheme="minorHAnsi" w:hAnsiTheme="minorHAnsi"/>
                <w:b/>
                <w:bCs/>
              </w:rPr>
            </w:pPr>
            <w:r w:rsidRPr="00326704">
              <w:rPr>
                <w:rFonts w:asciiTheme="minorHAnsi" w:hAnsiTheme="minorHAnsi"/>
                <w:b/>
              </w:rPr>
              <w:t xml:space="preserve">ESMA Consultation Paper: </w:t>
            </w:r>
            <w:r w:rsidRPr="00326704">
              <w:rPr>
                <w:rFonts w:asciiTheme="minorHAnsi" w:hAnsiTheme="minorHAnsi"/>
                <w:bCs/>
              </w:rPr>
              <w:t>review of the technical standards on reporting under Article 9 of EMIR</w:t>
            </w:r>
            <w:r w:rsidRPr="00326704">
              <w:rPr>
                <w:rFonts w:asciiTheme="minorHAnsi" w:hAnsiTheme="minorHAnsi"/>
                <w:b/>
                <w:bCs/>
              </w:rPr>
              <w:t xml:space="preserve"> </w:t>
            </w:r>
          </w:p>
          <w:p w:rsidR="00326704" w:rsidRPr="00326704" w:rsidRDefault="00326704">
            <w:pPr>
              <w:pStyle w:val="Default"/>
              <w:rPr>
                <w:rFonts w:asciiTheme="minorHAnsi" w:hAnsiTheme="minorHAnsi"/>
                <w:b/>
              </w:rPr>
            </w:pPr>
          </w:p>
        </w:tc>
      </w:tr>
    </w:tbl>
    <w:p w:rsidR="003E1D86" w:rsidRPr="0060508C" w:rsidRDefault="007208C1" w:rsidP="007208C1">
      <w:pPr>
        <w:rPr>
          <w:b/>
          <w:sz w:val="24"/>
          <w:szCs w:val="24"/>
        </w:rPr>
      </w:pPr>
      <w:r w:rsidRPr="0060508C">
        <w:rPr>
          <w:b/>
          <w:sz w:val="24"/>
          <w:szCs w:val="24"/>
        </w:rPr>
        <w:t xml:space="preserve">Combined </w:t>
      </w:r>
      <w:r w:rsidR="003E1D86" w:rsidRPr="0060508C">
        <w:rPr>
          <w:b/>
          <w:sz w:val="24"/>
          <w:szCs w:val="24"/>
        </w:rPr>
        <w:t xml:space="preserve">Standard Life Investments and Citi </w:t>
      </w:r>
      <w:r w:rsidRPr="0060508C">
        <w:rPr>
          <w:b/>
          <w:sz w:val="24"/>
          <w:szCs w:val="24"/>
        </w:rPr>
        <w:t xml:space="preserve">response </w:t>
      </w:r>
      <w:r w:rsidR="003E1D86" w:rsidRPr="0060508C">
        <w:rPr>
          <w:b/>
          <w:sz w:val="24"/>
          <w:szCs w:val="24"/>
        </w:rPr>
        <w:t>13 February 2015</w:t>
      </w:r>
    </w:p>
    <w:p w:rsidR="003E1D86" w:rsidRPr="00A25FC9" w:rsidRDefault="003E1D86" w:rsidP="004C0AFA">
      <w:pPr>
        <w:pStyle w:val="NoSpacing"/>
      </w:pPr>
      <w:r w:rsidRPr="00A25FC9">
        <w:t xml:space="preserve">Standard Life Investments (SLI) welcome the opportunity to respond to some of the points discussed in the above noted FCA paper. We are a global investment management firm, managing £195.1 billion* in assets on behalf of clients worldwide. Our investment capabilities span equities, bonds, real estate, private equity, multi-asset solutions, </w:t>
      </w:r>
      <w:proofErr w:type="gramStart"/>
      <w:r w:rsidRPr="00A25FC9">
        <w:t>fund</w:t>
      </w:r>
      <w:proofErr w:type="gramEnd"/>
      <w:r w:rsidRPr="00A25FC9">
        <w:t>-of-funds and absolute return strategies.</w:t>
      </w:r>
    </w:p>
    <w:p w:rsidR="003E1D86" w:rsidRPr="00A25FC9" w:rsidRDefault="003E1D86" w:rsidP="004C0AFA">
      <w:pPr>
        <w:pStyle w:val="NoSpacing"/>
      </w:pPr>
    </w:p>
    <w:p w:rsidR="003E1D86" w:rsidRDefault="003E1D86" w:rsidP="004C0AFA">
      <w:pPr>
        <w:pStyle w:val="NoSpacing"/>
      </w:pPr>
      <w:r w:rsidRPr="0060508C">
        <w:t>Standard Life Investments</w:t>
      </w:r>
      <w:r w:rsidR="0087197B" w:rsidRPr="0060508C">
        <w:t xml:space="preserve"> has prepared comments in conjunction with our third party administrator and reporting partner Citi</w:t>
      </w:r>
      <w:r w:rsidR="001F6DB7" w:rsidRPr="0060508C">
        <w:t>,</w:t>
      </w:r>
      <w:r w:rsidR="0087197B" w:rsidRPr="0060508C">
        <w:t xml:space="preserve"> who perform an integral part in the</w:t>
      </w:r>
      <w:r w:rsidR="001F6DB7" w:rsidRPr="0060508C">
        <w:t xml:space="preserve"> process of</w:t>
      </w:r>
      <w:r w:rsidR="0087197B" w:rsidRPr="0060508C">
        <w:t xml:space="preserve"> reporting trades to our chosen Trade Repository</w:t>
      </w:r>
      <w:r w:rsidR="00326704" w:rsidRPr="0060508C">
        <w:t>,</w:t>
      </w:r>
      <w:r w:rsidR="0087197B" w:rsidRPr="0060508C">
        <w:t xml:space="preserve"> DTCC.</w:t>
      </w:r>
      <w:r w:rsidRPr="0060508C">
        <w:t xml:space="preserve"> </w:t>
      </w:r>
      <w:r w:rsidR="0087197B" w:rsidRPr="0060508C">
        <w:t xml:space="preserve"> We have also jointly </w:t>
      </w:r>
      <w:r w:rsidRPr="0060508C">
        <w:t>contributed to</w:t>
      </w:r>
      <w:r w:rsidR="00B543CC" w:rsidRPr="0060508C">
        <w:t xml:space="preserve"> and support</w:t>
      </w:r>
      <w:r w:rsidRPr="0060508C">
        <w:t xml:space="preserve"> the </w:t>
      </w:r>
      <w:r w:rsidR="001F6DB7" w:rsidRPr="0060508C">
        <w:t>response being submitted by the Investment Association (IA)</w:t>
      </w:r>
      <w:r w:rsidRPr="0060508C">
        <w:t>.</w:t>
      </w:r>
    </w:p>
    <w:p w:rsidR="004C0AFA" w:rsidRPr="004C0AFA" w:rsidRDefault="004C0AFA" w:rsidP="004C0AFA">
      <w:pPr>
        <w:pStyle w:val="NoSpacing"/>
      </w:pPr>
    </w:p>
    <w:p w:rsidR="0087197B" w:rsidRPr="004C0AFA" w:rsidRDefault="0087197B" w:rsidP="003E1D86">
      <w:r w:rsidRPr="004C0AFA">
        <w:t>We woul</w:t>
      </w:r>
      <w:r w:rsidR="004C0AFA">
        <w:t xml:space="preserve">d like to raise a number of </w:t>
      </w:r>
      <w:r w:rsidRPr="004C0AFA">
        <w:t xml:space="preserve">general </w:t>
      </w:r>
      <w:r w:rsidR="00432559">
        <w:t xml:space="preserve">comments </w:t>
      </w:r>
    </w:p>
    <w:p w:rsidR="0087197B" w:rsidRPr="004C0AFA" w:rsidRDefault="0087197B" w:rsidP="0087197B">
      <w:pPr>
        <w:pStyle w:val="NoSpacing"/>
        <w:rPr>
          <w:b/>
        </w:rPr>
      </w:pPr>
      <w:r w:rsidRPr="004C0AFA">
        <w:rPr>
          <w:b/>
        </w:rPr>
        <w:t>L</w:t>
      </w:r>
      <w:r w:rsidR="004C0AFA">
        <w:rPr>
          <w:b/>
        </w:rPr>
        <w:t xml:space="preserve">evel </w:t>
      </w:r>
      <w:r w:rsidRPr="004C0AFA">
        <w:rPr>
          <w:b/>
        </w:rPr>
        <w:t>2</w:t>
      </w:r>
      <w:r w:rsidR="004C0AFA">
        <w:rPr>
          <w:b/>
        </w:rPr>
        <w:t xml:space="preserve"> (L2)</w:t>
      </w:r>
      <w:r w:rsidRPr="004C0AFA">
        <w:rPr>
          <w:b/>
        </w:rPr>
        <w:t xml:space="preserve"> Implementation Date</w:t>
      </w:r>
    </w:p>
    <w:p w:rsidR="0087197B" w:rsidRPr="004C0AFA" w:rsidRDefault="0087197B" w:rsidP="0087197B">
      <w:pPr>
        <w:pStyle w:val="NoSpacing"/>
        <w:rPr>
          <w:b/>
        </w:rPr>
      </w:pPr>
    </w:p>
    <w:p w:rsidR="0087197B" w:rsidRDefault="0087197B" w:rsidP="0087197B">
      <w:pPr>
        <w:pStyle w:val="NoSpacing"/>
      </w:pPr>
      <w:r w:rsidRPr="004C0AFA">
        <w:t xml:space="preserve">We are concerned that there is still no clarification as to when L2 will be implemented. Initial indications of a Q2 2015 timeline had been mentioned around the time of L1 </w:t>
      </w:r>
      <w:r w:rsidR="00995428" w:rsidRPr="004C0AFA">
        <w:t>publication;</w:t>
      </w:r>
      <w:r w:rsidRPr="004C0AFA">
        <w:t xml:space="preserve"> however, since the communication of L1 Phase II, </w:t>
      </w:r>
      <w:r w:rsidR="00995428">
        <w:t>we have heard</w:t>
      </w:r>
      <w:r w:rsidRPr="004C0AFA">
        <w:t xml:space="preserve"> Q3 2015 </w:t>
      </w:r>
      <w:r w:rsidR="00995428">
        <w:t>being</w:t>
      </w:r>
      <w:r w:rsidRPr="004C0AFA">
        <w:t xml:space="preserve"> mentioned.</w:t>
      </w:r>
      <w:r w:rsidR="00995428">
        <w:t xml:space="preserve"> We </w:t>
      </w:r>
      <w:r w:rsidRPr="004C0AFA">
        <w:t xml:space="preserve">would like to stress to </w:t>
      </w:r>
      <w:r w:rsidR="00D515CA">
        <w:t>ESMA the real</w:t>
      </w:r>
      <w:r w:rsidRPr="004C0AFA">
        <w:t xml:space="preserve"> necessity for date proposals to be released as soon as possible and for ESMA to take into account the technology build and development complexity required, alon</w:t>
      </w:r>
      <w:bookmarkStart w:id="0" w:name="_GoBack"/>
      <w:bookmarkEnd w:id="0"/>
      <w:r w:rsidRPr="004C0AFA">
        <w:t>g with sufficient testing time required, before any potential go-live date is determined.</w:t>
      </w:r>
    </w:p>
    <w:p w:rsidR="00995428" w:rsidRPr="004C0AFA" w:rsidRDefault="00995428" w:rsidP="0087197B">
      <w:pPr>
        <w:pStyle w:val="NoSpacing"/>
      </w:pPr>
    </w:p>
    <w:p w:rsidR="0087197B" w:rsidRPr="004C0AFA" w:rsidRDefault="0087197B" w:rsidP="0087197B">
      <w:pPr>
        <w:pStyle w:val="NoSpacing"/>
        <w:rPr>
          <w:b/>
        </w:rPr>
      </w:pPr>
      <w:r w:rsidRPr="004C0AFA">
        <w:rPr>
          <w:b/>
        </w:rPr>
        <w:t>LEI Status</w:t>
      </w:r>
    </w:p>
    <w:p w:rsidR="0087197B" w:rsidRPr="004C0AFA" w:rsidRDefault="0087197B" w:rsidP="0087197B">
      <w:pPr>
        <w:pStyle w:val="NoSpacing"/>
      </w:pPr>
    </w:p>
    <w:p w:rsidR="0087197B" w:rsidRPr="004C0AFA" w:rsidRDefault="0087197B" w:rsidP="001F6DB7">
      <w:pPr>
        <w:pStyle w:val="NoSpacing"/>
      </w:pPr>
      <w:r w:rsidRPr="004C0AFA">
        <w:t xml:space="preserve">It is still unclear as to how users are to ensure that counterparties have a particular LEI status at any particular time, and </w:t>
      </w:r>
      <w:r w:rsidR="002C4EA5" w:rsidRPr="004C0AFA">
        <w:t>whose</w:t>
      </w:r>
      <w:r w:rsidRPr="004C0AFA">
        <w:t xml:space="preserve"> responsibility it would be to ensure a particular party follows up to update / amend / rectify an LEI Status</w:t>
      </w:r>
      <w:r w:rsidR="001F6DB7" w:rsidRPr="004C0AFA">
        <w:t>.</w:t>
      </w:r>
      <w:r w:rsidR="002C4EA5">
        <w:t xml:space="preserve"> Clarification on this mat</w:t>
      </w:r>
      <w:r w:rsidR="002A415A">
        <w:t>ter from ESMA would be welcomed.</w:t>
      </w:r>
    </w:p>
    <w:p w:rsidR="0087197B" w:rsidRPr="004C0AFA" w:rsidRDefault="0087197B" w:rsidP="0087197B">
      <w:pPr>
        <w:pStyle w:val="NoSpacing"/>
      </w:pPr>
    </w:p>
    <w:p w:rsidR="0087197B" w:rsidRPr="004C0AFA" w:rsidRDefault="002A415A" w:rsidP="0087197B">
      <w:pPr>
        <w:pStyle w:val="NoSpacing"/>
        <w:rPr>
          <w:b/>
        </w:rPr>
      </w:pPr>
      <w:r>
        <w:rPr>
          <w:b/>
        </w:rPr>
        <w:t>Margin / Collateral Reporting</w:t>
      </w:r>
    </w:p>
    <w:p w:rsidR="001F6DB7" w:rsidRPr="004C0AFA" w:rsidRDefault="001F6DB7" w:rsidP="0087197B">
      <w:pPr>
        <w:pStyle w:val="NoSpacing"/>
        <w:rPr>
          <w:b/>
        </w:rPr>
      </w:pPr>
    </w:p>
    <w:p w:rsidR="0087197B" w:rsidRDefault="002A415A" w:rsidP="001F6DB7">
      <w:pPr>
        <w:pStyle w:val="NoSpacing"/>
      </w:pPr>
      <w:r>
        <w:t xml:space="preserve">We </w:t>
      </w:r>
      <w:r w:rsidR="0087197B" w:rsidRPr="004C0AFA">
        <w:t xml:space="preserve">wish to raise </w:t>
      </w:r>
      <w:r>
        <w:t xml:space="preserve">a concern </w:t>
      </w:r>
      <w:r w:rsidR="0087197B" w:rsidRPr="004C0AFA">
        <w:t>that the changes to this area of reporting cannot be underestimated.</w:t>
      </w:r>
      <w:r w:rsidR="001F6DB7" w:rsidRPr="004C0AFA">
        <w:t xml:space="preserve"> </w:t>
      </w:r>
      <w:r w:rsidR="0087197B" w:rsidRPr="004C0AFA">
        <w:t xml:space="preserve">It is agreed that such enhancements and validation requirements are needed (when thinking ahead to the introduction of Mandatory OTC Clearing) and that such changes will enhance transparency and therefore aid in reducing potential risk (or at least in making it easier to identify). However, this will come at a significant price – that being the significant system changes and developments </w:t>
      </w:r>
      <w:r w:rsidR="001F6DB7" w:rsidRPr="004C0AFA">
        <w:t>required</w:t>
      </w:r>
      <w:r w:rsidR="0087197B" w:rsidRPr="004C0AFA">
        <w:t>.</w:t>
      </w:r>
      <w:r w:rsidR="001F6DB7" w:rsidRPr="004C0AFA">
        <w:t xml:space="preserve"> There is a l</w:t>
      </w:r>
      <w:r w:rsidR="0087197B" w:rsidRPr="004C0AFA">
        <w:t xml:space="preserve">ack of clarification on certain aspects of this area </w:t>
      </w:r>
      <w:r w:rsidR="001F6DB7" w:rsidRPr="004C0AFA">
        <w:t xml:space="preserve">which </w:t>
      </w:r>
      <w:proofErr w:type="gramStart"/>
      <w:r w:rsidR="001F6DB7" w:rsidRPr="004C0AFA">
        <w:t>are</w:t>
      </w:r>
      <w:proofErr w:type="gramEnd"/>
      <w:r w:rsidR="0087197B" w:rsidRPr="004C0AFA">
        <w:t xml:space="preserve"> still under investigation by many users</w:t>
      </w:r>
      <w:r w:rsidR="001F6DB7" w:rsidRPr="004C0AFA">
        <w:t xml:space="preserve"> but we are</w:t>
      </w:r>
      <w:r w:rsidR="000C4F8A">
        <w:t xml:space="preserve"> aware</w:t>
      </w:r>
      <w:r w:rsidR="001F6DB7" w:rsidRPr="004C0AFA">
        <w:t xml:space="preserve"> that </w:t>
      </w:r>
      <w:r w:rsidR="000C4F8A">
        <w:t xml:space="preserve">a few of </w:t>
      </w:r>
      <w:r w:rsidR="001F6DB7" w:rsidRPr="004C0AFA">
        <w:t>these are being raised in</w:t>
      </w:r>
      <w:r w:rsidR="000C4F8A">
        <w:t xml:space="preserve"> the</w:t>
      </w:r>
      <w:r w:rsidR="001F6DB7" w:rsidRPr="004C0AFA">
        <w:t xml:space="preserve"> response prepared by the IA.</w:t>
      </w:r>
    </w:p>
    <w:p w:rsidR="000C4F8A" w:rsidRDefault="000C4F8A" w:rsidP="001F6DB7">
      <w:pPr>
        <w:pStyle w:val="NoSpacing"/>
      </w:pPr>
    </w:p>
    <w:p w:rsidR="0087197B" w:rsidRPr="004C0AFA" w:rsidRDefault="0087197B" w:rsidP="0087197B">
      <w:pPr>
        <w:pStyle w:val="NoSpacing"/>
      </w:pPr>
    </w:p>
    <w:p w:rsidR="00C86943" w:rsidRDefault="00C86943" w:rsidP="003E1D86">
      <w:pPr>
        <w:pStyle w:val="NoSpacing"/>
        <w:rPr>
          <w:b/>
          <w:bCs/>
        </w:rPr>
      </w:pPr>
      <w:r>
        <w:rPr>
          <w:b/>
          <w:bCs/>
        </w:rPr>
        <w:t xml:space="preserve">Q3: What difficulties do you anticipate with the approaches for the population of the mark to market valuation described in paragraphs 21 or 19 respectively? Please elaborate and specify for each type of contract what would be the most practical and industry consistent way to populate this field in line with either of the approaches set out in paragraphs 21 and 23. </w:t>
      </w:r>
    </w:p>
    <w:p w:rsidR="00C86943" w:rsidRDefault="00C86943" w:rsidP="003E1D86">
      <w:pPr>
        <w:pStyle w:val="NoSpacing"/>
        <w:rPr>
          <w:b/>
          <w:bCs/>
        </w:rPr>
      </w:pPr>
    </w:p>
    <w:p w:rsidR="003E1D86" w:rsidRPr="004C0AFA" w:rsidRDefault="003E1D86" w:rsidP="003E1D86">
      <w:pPr>
        <w:pStyle w:val="NoSpacing"/>
        <w:rPr>
          <w:b/>
        </w:rPr>
      </w:pPr>
      <w:r w:rsidRPr="004C0AFA">
        <w:rPr>
          <w:b/>
        </w:rPr>
        <w:t>Regarding M</w:t>
      </w:r>
      <w:r w:rsidR="001F6DB7" w:rsidRPr="004C0AFA">
        <w:rPr>
          <w:b/>
        </w:rPr>
        <w:t xml:space="preserve">ark </w:t>
      </w:r>
      <w:proofErr w:type="gramStart"/>
      <w:r w:rsidR="001F6DB7" w:rsidRPr="004C0AFA">
        <w:rPr>
          <w:b/>
        </w:rPr>
        <w:t>To</w:t>
      </w:r>
      <w:proofErr w:type="gramEnd"/>
      <w:r w:rsidR="001F6DB7" w:rsidRPr="004C0AFA">
        <w:rPr>
          <w:b/>
        </w:rPr>
        <w:t xml:space="preserve"> Market (MTM)</w:t>
      </w:r>
    </w:p>
    <w:p w:rsidR="003E1D86" w:rsidRPr="004C0AFA" w:rsidRDefault="003E1D86" w:rsidP="003E1D86">
      <w:pPr>
        <w:pStyle w:val="NoSpacing"/>
        <w:rPr>
          <w:b/>
        </w:rPr>
      </w:pPr>
    </w:p>
    <w:p w:rsidR="003E1D86" w:rsidRPr="007C25AE" w:rsidRDefault="001F6DB7" w:rsidP="001F6DB7">
      <w:pPr>
        <w:pStyle w:val="NoSpacing"/>
        <w:rPr>
          <w:b/>
        </w:rPr>
      </w:pPr>
      <w:r w:rsidRPr="004C0AFA">
        <w:t>We can accommodate using valuations</w:t>
      </w:r>
      <w:r w:rsidR="003E1D86" w:rsidRPr="004C0AFA">
        <w:t xml:space="preserve"> consumed from CCP for accounting purposes (</w:t>
      </w:r>
      <w:r w:rsidR="00121B06">
        <w:t xml:space="preserve">although </w:t>
      </w:r>
      <w:r w:rsidR="003E1D86" w:rsidRPr="004C0AFA">
        <w:t xml:space="preserve">mapping </w:t>
      </w:r>
      <w:r w:rsidR="00121B06">
        <w:t xml:space="preserve">is </w:t>
      </w:r>
      <w:r w:rsidR="003E1D86" w:rsidRPr="004C0AFA">
        <w:t xml:space="preserve">required), therefore </w:t>
      </w:r>
      <w:r w:rsidRPr="004C0AFA">
        <w:t xml:space="preserve">have </w:t>
      </w:r>
      <w:r w:rsidR="003E1D86" w:rsidRPr="004C0AFA">
        <w:t xml:space="preserve">no concern that inconsistencies will occur should ESMA / DTCC adopt this approach also. </w:t>
      </w:r>
      <w:r w:rsidRPr="004C0AFA">
        <w:t xml:space="preserve">We </w:t>
      </w:r>
      <w:r w:rsidR="00121B06">
        <w:t>would like to suggest</w:t>
      </w:r>
      <w:r w:rsidR="003E1D86" w:rsidRPr="004C0AFA">
        <w:t xml:space="preserve"> that it may be of use for DTCC / ESMA to allow for tolerances due to differing valuation models that may / can be used by various counterparties?</w:t>
      </w:r>
      <w:r w:rsidR="007C25AE">
        <w:rPr>
          <w:b/>
        </w:rPr>
        <w:t xml:space="preserve"> </w:t>
      </w:r>
      <w:r w:rsidR="003E1D86" w:rsidRPr="004C0AFA">
        <w:t>In addition</w:t>
      </w:r>
      <w:r w:rsidR="00121B06">
        <w:t>, we have</w:t>
      </w:r>
      <w:r w:rsidR="003E1D86" w:rsidRPr="004C0AFA">
        <w:t xml:space="preserve"> slight concerns</w:t>
      </w:r>
      <w:r w:rsidRPr="004C0AFA">
        <w:t>, (also raised by ISDA)</w:t>
      </w:r>
      <w:r w:rsidR="003E1D86" w:rsidRPr="004C0AFA">
        <w:t xml:space="preserve"> regarding the cash flows aspect of additional reporting requirements to be implemented – i.e. initial margin and variation margin. Even though it is stated in ESMA’s consultation paper – paragraph 24, that MTM values should not take into account </w:t>
      </w:r>
      <w:r w:rsidRPr="004C0AFA">
        <w:t xml:space="preserve">such cash flows as margin, we </w:t>
      </w:r>
      <w:r w:rsidR="003E1D86" w:rsidRPr="004C0AFA">
        <w:t>feel that this area (MTM) should be highlighted as ‘one to watch’ to track any potential adverse effects from final L2 proposals – linked to the up-coming mandatory OTC Clearing date for Q1 2016</w:t>
      </w:r>
      <w:r w:rsidR="00121B06">
        <w:t>.</w:t>
      </w:r>
    </w:p>
    <w:p w:rsidR="003E1D86" w:rsidRPr="004C0AFA" w:rsidRDefault="003E1D86" w:rsidP="003E1D86">
      <w:pPr>
        <w:pStyle w:val="NoSpacing"/>
      </w:pPr>
    </w:p>
    <w:p w:rsidR="003E1D86" w:rsidRPr="004C0AFA" w:rsidRDefault="003E1D86" w:rsidP="003E1D86">
      <w:pPr>
        <w:pStyle w:val="NoSpacing"/>
        <w:rPr>
          <w:b/>
        </w:rPr>
      </w:pPr>
      <w:r w:rsidRPr="004C0AFA">
        <w:rPr>
          <w:b/>
        </w:rPr>
        <w:t>ETD – Regarding MTM</w:t>
      </w:r>
    </w:p>
    <w:p w:rsidR="001F6DB7" w:rsidRPr="004C0AFA" w:rsidRDefault="001F6DB7" w:rsidP="003E1D86">
      <w:pPr>
        <w:pStyle w:val="NoSpacing"/>
        <w:rPr>
          <w:b/>
        </w:rPr>
      </w:pPr>
    </w:p>
    <w:p w:rsidR="003E1D86" w:rsidRPr="004C0AFA" w:rsidRDefault="001F6DB7" w:rsidP="001F6DB7">
      <w:pPr>
        <w:pStyle w:val="NoSpacing"/>
        <w:rPr>
          <w:b/>
        </w:rPr>
      </w:pPr>
      <w:r w:rsidRPr="004C0AFA">
        <w:t xml:space="preserve">We have no concerns with an approach </w:t>
      </w:r>
      <w:r w:rsidR="003E1D86" w:rsidRPr="004C0AFA">
        <w:t>to use valuations consumed fr</w:t>
      </w:r>
      <w:r w:rsidRPr="004C0AFA">
        <w:t xml:space="preserve">om </w:t>
      </w:r>
      <w:r w:rsidR="007208C1">
        <w:t xml:space="preserve">a </w:t>
      </w:r>
      <w:r w:rsidRPr="004C0AFA">
        <w:t xml:space="preserve">CCP for accounting purposes. As before we </w:t>
      </w:r>
      <w:r w:rsidR="003E1D86" w:rsidRPr="004C0AFA">
        <w:t>suggest that it may be of use for DTCC / ESMA to allow for tolerances due to differing valuation models that may / can be used by various counterparties? It is believed that ETD and OTC Cleared should follow / adopt the same logic where fields and products allow.</w:t>
      </w:r>
    </w:p>
    <w:p w:rsidR="003E1D86" w:rsidRPr="004C0AFA" w:rsidRDefault="003E1D86" w:rsidP="003E1D86">
      <w:pPr>
        <w:pStyle w:val="NoSpacing"/>
      </w:pPr>
    </w:p>
    <w:p w:rsidR="001F6DB7" w:rsidRDefault="00C86943" w:rsidP="003E1D86">
      <w:pPr>
        <w:pStyle w:val="NoSpacing"/>
        <w:rPr>
          <w:b/>
          <w:bCs/>
        </w:rPr>
      </w:pPr>
      <w:r>
        <w:rPr>
          <w:b/>
          <w:bCs/>
        </w:rPr>
        <w:t xml:space="preserve">Q9: Do you think the introduction of the dedicated section on Credit Derivatives will allow to adequately </w:t>
      </w:r>
      <w:proofErr w:type="gramStart"/>
      <w:r>
        <w:rPr>
          <w:b/>
          <w:bCs/>
        </w:rPr>
        <w:t>reflect</w:t>
      </w:r>
      <w:proofErr w:type="gramEnd"/>
      <w:r>
        <w:rPr>
          <w:b/>
          <w:bCs/>
        </w:rPr>
        <w:t xml:space="preserve"> details of the relevant contracts? Please elaborate. </w:t>
      </w:r>
    </w:p>
    <w:p w:rsidR="00C86943" w:rsidRPr="004C0AFA" w:rsidRDefault="00C86943" w:rsidP="003E1D86">
      <w:pPr>
        <w:pStyle w:val="NoSpacing"/>
        <w:rPr>
          <w:b/>
        </w:rPr>
      </w:pPr>
    </w:p>
    <w:p w:rsidR="003E1D86" w:rsidRPr="004C0AFA" w:rsidRDefault="003E1D86" w:rsidP="001F6DB7">
      <w:pPr>
        <w:pStyle w:val="NoSpacing"/>
      </w:pPr>
      <w:r w:rsidRPr="004C0AFA">
        <w:t xml:space="preserve">Initial analysis indicates various additional mappings </w:t>
      </w:r>
      <w:r w:rsidR="00121B06">
        <w:t xml:space="preserve">are </w:t>
      </w:r>
      <w:r w:rsidRPr="004C0AFA">
        <w:t>to be added dependent upon</w:t>
      </w:r>
      <w:r w:rsidR="00121B06">
        <w:t xml:space="preserve"> </w:t>
      </w:r>
      <w:r w:rsidR="00B543CC">
        <w:t xml:space="preserve">the </w:t>
      </w:r>
      <w:r w:rsidR="00B543CC" w:rsidRPr="004C0AFA">
        <w:t>final</w:t>
      </w:r>
      <w:r w:rsidRPr="004C0AFA">
        <w:t xml:space="preserve"> clarification of field information to be required / optional / added. Mapping would need to be a combination of static data and trade economics, including instrument specific information. An introduction of such a dedicated section should provide for a greater reflection of details of such trades / contracts, i.e. country codes where a CDS underlying is a sovereign.</w:t>
      </w:r>
    </w:p>
    <w:p w:rsidR="001F6DB7" w:rsidRPr="004C0AFA" w:rsidRDefault="001F6DB7" w:rsidP="001F6DB7">
      <w:pPr>
        <w:pStyle w:val="NoSpacing"/>
      </w:pPr>
    </w:p>
    <w:p w:rsidR="003E1D86" w:rsidRPr="004C0AFA" w:rsidRDefault="003E1D86" w:rsidP="001F6DB7">
      <w:pPr>
        <w:pStyle w:val="NoSpacing"/>
      </w:pPr>
      <w:r w:rsidRPr="004C0AFA">
        <w:t>However, it is s</w:t>
      </w:r>
      <w:r w:rsidR="00B543CC">
        <w:t>till unclear at this stage</w:t>
      </w:r>
      <w:r w:rsidRPr="004C0AFA">
        <w:t xml:space="preserve"> what level of detail of such (complex) contracts can be ‘accurately’ described in a set formatted table / report</w:t>
      </w:r>
      <w:r w:rsidR="00B543CC">
        <w:t>;</w:t>
      </w:r>
      <w:r w:rsidRPr="004C0AFA">
        <w:t xml:space="preserve"> and what field / field headi</w:t>
      </w:r>
      <w:r w:rsidR="00B543CC">
        <w:t>ngs would best represent this? We</w:t>
      </w:r>
      <w:r w:rsidRPr="004C0AFA">
        <w:t xml:space="preserve"> believe ISDA are echoing such thoughts, whereby they agree that a certain level of additional detail is better than no</w:t>
      </w:r>
      <w:r w:rsidR="00B543CC">
        <w:t xml:space="preserve">ne – but what exact detail </w:t>
      </w:r>
      <w:r w:rsidRPr="004C0AFA">
        <w:t>would benefit all parties is still unclear, and what would be required / optional / conditional is still unclear.</w:t>
      </w:r>
    </w:p>
    <w:p w:rsidR="003E1D86" w:rsidRPr="004C0AFA" w:rsidRDefault="003E1D86" w:rsidP="003E1D86">
      <w:pPr>
        <w:pStyle w:val="NoSpacing"/>
      </w:pPr>
    </w:p>
    <w:p w:rsidR="003E1D86" w:rsidRPr="004C0AFA" w:rsidRDefault="00C86943" w:rsidP="003E1D86">
      <w:pPr>
        <w:pStyle w:val="NoSpacing"/>
        <w:rPr>
          <w:b/>
        </w:rPr>
      </w:pPr>
      <w:r>
        <w:rPr>
          <w:b/>
          <w:bCs/>
        </w:rPr>
        <w:lastRenderedPageBreak/>
        <w:t xml:space="preserve">Q10: The current approach to reporting means that strategies such as straddles cannot usually be reported on a single report but instead have to be decomposed and reported as multiple derivative contracts. This is believed to cause difficulties reconciling the reports with firms’ internal systems and also difficulties in reporting valuations where the market price may reflect the strategy rather than the individual components. Would it be valuable to allow for strategies to be reported directly as single reports? If so, how should this </w:t>
      </w:r>
      <w:proofErr w:type="gramStart"/>
      <w:r>
        <w:rPr>
          <w:b/>
          <w:bCs/>
        </w:rPr>
        <w:t>be</w:t>
      </w:r>
      <w:proofErr w:type="gramEnd"/>
      <w:r>
        <w:rPr>
          <w:b/>
          <w:bCs/>
        </w:rPr>
        <w:t xml:space="preserve"> achieved? For example, would additional values in the Option Type field (Current Table 2 Field 55) achieve this or would other changes also be needed? What sorts of strategies could and should be identified in this sort of way? </w:t>
      </w:r>
    </w:p>
    <w:p w:rsidR="00BC07AD" w:rsidRPr="004C0AFA" w:rsidRDefault="00BC07AD" w:rsidP="003E1D86">
      <w:pPr>
        <w:pStyle w:val="NoSpacing"/>
        <w:rPr>
          <w:b/>
        </w:rPr>
      </w:pPr>
    </w:p>
    <w:p w:rsidR="003E1D86" w:rsidRDefault="00B543CC" w:rsidP="00BC07AD">
      <w:pPr>
        <w:pStyle w:val="NoSpacing"/>
      </w:pPr>
      <w:r>
        <w:t>We agree</w:t>
      </w:r>
      <w:r w:rsidR="003E1D86" w:rsidRPr="004C0AFA">
        <w:t xml:space="preserve"> that clarification of description would be useful to clear up any possible differing interpretations. Regarding linking vertically as well as ho</w:t>
      </w:r>
      <w:r>
        <w:t xml:space="preserve">rizontally, initial </w:t>
      </w:r>
      <w:r w:rsidR="003E1D86" w:rsidRPr="004C0AFA">
        <w:t xml:space="preserve">analysis suggests that although logical in theory, this could prove difficult to implement in operation. </w:t>
      </w:r>
      <w:r>
        <w:t>We see it as</w:t>
      </w:r>
      <w:r w:rsidR="003E1D86" w:rsidRPr="004C0AFA">
        <w:t xml:space="preserve"> more of a</w:t>
      </w:r>
      <w:r>
        <w:t>’</w:t>
      </w:r>
      <w:r w:rsidR="003E1D86" w:rsidRPr="004C0AFA">
        <w:t xml:space="preserve"> nice to have</w:t>
      </w:r>
      <w:r>
        <w:t>’</w:t>
      </w:r>
      <w:r w:rsidR="003E1D86" w:rsidRPr="004C0AFA">
        <w:t xml:space="preserve"> rather than necessity (when also taking into account other major enhancements being proposed for L2).</w:t>
      </w:r>
    </w:p>
    <w:p w:rsidR="00B543CC" w:rsidRPr="004C0AFA" w:rsidRDefault="00B543CC" w:rsidP="00BC07AD">
      <w:pPr>
        <w:pStyle w:val="NoSpacing"/>
      </w:pPr>
    </w:p>
    <w:p w:rsidR="003E1D86" w:rsidRDefault="003E1D86" w:rsidP="00B543CC">
      <w:pPr>
        <w:pStyle w:val="NoSpacing"/>
      </w:pPr>
      <w:r w:rsidRPr="004C0AFA">
        <w:t xml:space="preserve">Clarification </w:t>
      </w:r>
      <w:r w:rsidR="00B543CC">
        <w:t xml:space="preserve">is </w:t>
      </w:r>
      <w:r w:rsidRPr="004C0AFA">
        <w:t>required on ‘common transaction re</w:t>
      </w:r>
      <w:r w:rsidR="00B543CC">
        <w:t xml:space="preserve">ference of </w:t>
      </w:r>
      <w:proofErr w:type="gramStart"/>
      <w:r w:rsidR="00B543CC">
        <w:t>their own</w:t>
      </w:r>
      <w:proofErr w:type="gramEnd"/>
      <w:r w:rsidR="00B543CC">
        <w:t xml:space="preserve"> choosing’.  S</w:t>
      </w:r>
      <w:r w:rsidRPr="004C0AFA">
        <w:t>hould this be for one side only to aid with internal reports and rec</w:t>
      </w:r>
      <w:r w:rsidR="00B543CC">
        <w:t>onciliation</w:t>
      </w:r>
      <w:r w:rsidRPr="004C0AFA">
        <w:t>s</w:t>
      </w:r>
      <w:r w:rsidR="00B543CC">
        <w:t>;</w:t>
      </w:r>
      <w:r w:rsidRPr="004C0AFA">
        <w:t xml:space="preserve"> then the feeling is this shouldn’t be too much difficulty or build work (i.e. UTI, Reporting Tracking Number (horizontal), Deal / Straddle ID (Vertical). However, not having</w:t>
      </w:r>
      <w:r w:rsidR="00CE477A">
        <w:t xml:space="preserve"> an</w:t>
      </w:r>
      <w:r w:rsidRPr="004C0AFA">
        <w:t xml:space="preserve"> ‘internal reference’ would make all investigations extremely difficult. There is already </w:t>
      </w:r>
      <w:r w:rsidR="00CE477A">
        <w:t xml:space="preserve">a </w:t>
      </w:r>
      <w:r w:rsidRPr="004C0AFA">
        <w:t>Data Su</w:t>
      </w:r>
      <w:r w:rsidR="00CE477A">
        <w:t xml:space="preserve">bmitter Message ID field </w:t>
      </w:r>
      <w:r w:rsidR="00B14915">
        <w:t>used and</w:t>
      </w:r>
      <w:r w:rsidR="00CE477A">
        <w:t xml:space="preserve"> we query </w:t>
      </w:r>
      <w:r w:rsidRPr="004C0AFA">
        <w:t xml:space="preserve">will this field remain? Can this field be used as report tracking number? </w:t>
      </w:r>
      <w:r w:rsidR="00CE477A">
        <w:t xml:space="preserve">We are unsure how we can </w:t>
      </w:r>
      <w:r w:rsidR="00CE477A" w:rsidRPr="004C0AFA">
        <w:t>link</w:t>
      </w:r>
      <w:r w:rsidRPr="004C0AFA">
        <w:t xml:space="preserve"> reported trades with </w:t>
      </w:r>
      <w:r w:rsidR="000C4F8A">
        <w:t>internal system</w:t>
      </w:r>
      <w:r w:rsidRPr="004C0AFA">
        <w:t xml:space="preserve"> record</w:t>
      </w:r>
      <w:r w:rsidR="000C4F8A">
        <w:t>s</w:t>
      </w:r>
      <w:r w:rsidRPr="004C0AFA">
        <w:t xml:space="preserve"> without having a common reference that would </w:t>
      </w:r>
      <w:r w:rsidR="00CE477A">
        <w:t>usually be the link.</w:t>
      </w:r>
    </w:p>
    <w:p w:rsidR="00CE477A" w:rsidRPr="004C0AFA" w:rsidRDefault="00CE477A" w:rsidP="00B543CC">
      <w:pPr>
        <w:pStyle w:val="NoSpacing"/>
      </w:pPr>
    </w:p>
    <w:p w:rsidR="003E1D86" w:rsidRPr="004C0AFA" w:rsidRDefault="00B14915" w:rsidP="00CE477A">
      <w:pPr>
        <w:pStyle w:val="NoSpacing"/>
      </w:pPr>
      <w:r>
        <w:t>If it</w:t>
      </w:r>
      <w:r w:rsidR="003E1D86" w:rsidRPr="004C0AFA">
        <w:t xml:space="preserve"> mean for both counterparties to have a common reference, this could become very difficult – i.e. it is already proving difficult to have real UTI agreed. </w:t>
      </w:r>
      <w:r w:rsidR="00CE477A">
        <w:t xml:space="preserve"> We wonder w</w:t>
      </w:r>
      <w:r w:rsidR="003E1D86" w:rsidRPr="004C0AFA">
        <w:t>hich side would</w:t>
      </w:r>
      <w:r w:rsidR="00CE477A">
        <w:t xml:space="preserve"> create the reference; a</w:t>
      </w:r>
      <w:r w:rsidR="003E1D86" w:rsidRPr="004C0AFA">
        <w:t>re both sides required to report?</w:t>
      </w:r>
      <w:r w:rsidR="00CE477A">
        <w:t xml:space="preserve"> It is our view that a lot of ‘o</w:t>
      </w:r>
      <w:r w:rsidR="003E1D86" w:rsidRPr="004C0AFA">
        <w:t>pen’ questions on this point still remain.</w:t>
      </w:r>
    </w:p>
    <w:p w:rsidR="003E1D86" w:rsidRPr="004C0AFA" w:rsidRDefault="003E1D86" w:rsidP="003E1D86">
      <w:pPr>
        <w:pStyle w:val="NoSpacing"/>
      </w:pPr>
    </w:p>
    <w:p w:rsidR="003E1D86" w:rsidRDefault="00C86943" w:rsidP="003E1D86">
      <w:pPr>
        <w:pStyle w:val="NoSpacing"/>
        <w:rPr>
          <w:b/>
        </w:rPr>
      </w:pPr>
      <w:r>
        <w:rPr>
          <w:b/>
          <w:bCs/>
        </w:rPr>
        <w:t xml:space="preserve">Q11: Do you think that clarifying notional in the following way would add clarity and would be sufficient to report the main types of derivatives: </w:t>
      </w:r>
    </w:p>
    <w:p w:rsidR="00432559" w:rsidRPr="004C0AFA" w:rsidRDefault="00432559" w:rsidP="003E1D86">
      <w:pPr>
        <w:pStyle w:val="NoSpacing"/>
        <w:rPr>
          <w:b/>
        </w:rPr>
      </w:pPr>
    </w:p>
    <w:p w:rsidR="003E1D86" w:rsidRDefault="00792294" w:rsidP="00792294">
      <w:pPr>
        <w:pStyle w:val="NoSpacing"/>
      </w:pPr>
      <w:r>
        <w:t>We support the idea of</w:t>
      </w:r>
      <w:r w:rsidR="003E1D86" w:rsidRPr="004C0AFA">
        <w:t xml:space="preserve"> retaining a </w:t>
      </w:r>
      <w:r>
        <w:t xml:space="preserve">single field for </w:t>
      </w:r>
      <w:r w:rsidR="009D156B">
        <w:t>Notional</w:t>
      </w:r>
      <w:r w:rsidR="003E1D86" w:rsidRPr="004C0AFA">
        <w:t>.</w:t>
      </w:r>
      <w:r w:rsidR="00C86943">
        <w:rPr>
          <w:b/>
        </w:rPr>
        <w:t xml:space="preserve"> </w:t>
      </w:r>
      <w:r>
        <w:t xml:space="preserve">There are complexities for </w:t>
      </w:r>
      <w:r w:rsidR="009D156B">
        <w:t>Notional</w:t>
      </w:r>
      <w:r w:rsidR="003E1D86" w:rsidRPr="004C0AFA">
        <w:t xml:space="preserve"> across products, lif</w:t>
      </w:r>
      <w:r>
        <w:t>ecycle events and action types.</w:t>
      </w:r>
      <w:r>
        <w:rPr>
          <w:b/>
        </w:rPr>
        <w:t xml:space="preserve"> </w:t>
      </w:r>
      <w:r w:rsidRPr="00792294">
        <w:t>The i</w:t>
      </w:r>
      <w:r w:rsidR="003E1D86" w:rsidRPr="00792294">
        <w:t>nitial</w:t>
      </w:r>
      <w:r w:rsidR="003E1D86" w:rsidRPr="004C0AFA">
        <w:t xml:space="preserve"> ESMA suggestion of Original and Actual </w:t>
      </w:r>
      <w:r w:rsidR="009D156B">
        <w:t>Notional</w:t>
      </w:r>
      <w:r w:rsidR="003E1D86" w:rsidRPr="004C0AFA">
        <w:t xml:space="preserve"> Fields, whereby the latter would be populated upon changes to the contract terms (i.e. lifecycle event / position change) appears to be a valid proposal, however it is felt that a preferred method would be creating a sensible and clear approach to updating the original </w:t>
      </w:r>
      <w:r w:rsidR="009D156B">
        <w:t>Notional</w:t>
      </w:r>
      <w:r w:rsidR="003E1D86" w:rsidRPr="004C0AFA">
        <w:t xml:space="preserve"> field rather than creating a new field.</w:t>
      </w:r>
    </w:p>
    <w:p w:rsidR="004B2BB0" w:rsidRDefault="004B2BB0" w:rsidP="00792294">
      <w:pPr>
        <w:pStyle w:val="NoSpacing"/>
      </w:pPr>
    </w:p>
    <w:p w:rsidR="003E1D86" w:rsidRPr="004B2BB0" w:rsidRDefault="004B2BB0" w:rsidP="004B2BB0">
      <w:pPr>
        <w:pStyle w:val="NoSpacing"/>
        <w:rPr>
          <w:b/>
        </w:rPr>
      </w:pPr>
      <w:r>
        <w:t xml:space="preserve">Set rules or </w:t>
      </w:r>
      <w:r w:rsidR="003E1D86" w:rsidRPr="004C0AFA">
        <w:t xml:space="preserve">clearer guidelines </w:t>
      </w:r>
      <w:r>
        <w:t xml:space="preserve">by </w:t>
      </w:r>
      <w:r w:rsidR="003E1D86" w:rsidRPr="004C0AFA">
        <w:t xml:space="preserve">ESMA regarding </w:t>
      </w:r>
      <w:r w:rsidR="009D156B">
        <w:t>Notional</w:t>
      </w:r>
      <w:r w:rsidR="003E1D86" w:rsidRPr="004C0AFA">
        <w:t xml:space="preserve"> and/or potential</w:t>
      </w:r>
      <w:r>
        <w:t xml:space="preserve"> additional fields in templates would be welcome. As an e</w:t>
      </w:r>
      <w:r w:rsidRPr="004C0AFA">
        <w:t>xample</w:t>
      </w:r>
      <w:r w:rsidR="003E1D86" w:rsidRPr="004C0AFA">
        <w:t xml:space="preserve">, in the case of Exotic trades where currency units are traded rather than a quantity in units, ISDA </w:t>
      </w:r>
      <w:r w:rsidRPr="004C0AFA">
        <w:t xml:space="preserve">comments </w:t>
      </w:r>
      <w:r>
        <w:t>are backed up.  C</w:t>
      </w:r>
      <w:r w:rsidR="003E1D86" w:rsidRPr="004C0AFA">
        <w:t>larity is needed from ESMA as to whether it would be more appropriate to put a default quantity value of 999s</w:t>
      </w:r>
      <w:r>
        <w:t xml:space="preserve">; </w:t>
      </w:r>
      <w:r w:rsidR="003E1D86" w:rsidRPr="004C0AFA">
        <w:t xml:space="preserve">set the quantity to be the same as </w:t>
      </w:r>
      <w:r>
        <w:t xml:space="preserve">the </w:t>
      </w:r>
      <w:r w:rsidR="009D156B">
        <w:t>Notional</w:t>
      </w:r>
      <w:r w:rsidR="003E1D86" w:rsidRPr="004C0AFA">
        <w:t xml:space="preserve"> which is represented in currency units, or set the quantity to 1 as is sometimes the case.</w:t>
      </w:r>
    </w:p>
    <w:p w:rsidR="003E1D86" w:rsidRPr="004C0AFA" w:rsidRDefault="003E1D86" w:rsidP="003E1D86">
      <w:pPr>
        <w:pStyle w:val="NoSpacing"/>
      </w:pPr>
    </w:p>
    <w:p w:rsidR="003E1D86" w:rsidRPr="004C0AFA" w:rsidRDefault="003E1D86" w:rsidP="003E1D86">
      <w:pPr>
        <w:pStyle w:val="NoSpacing"/>
        <w:rPr>
          <w:b/>
          <w:u w:val="single"/>
        </w:rPr>
      </w:pPr>
    </w:p>
    <w:p w:rsidR="003E1D86" w:rsidRPr="004C0AFA" w:rsidRDefault="003E1D86" w:rsidP="003E1D86">
      <w:pPr>
        <w:pStyle w:val="NoSpacing"/>
      </w:pPr>
    </w:p>
    <w:p w:rsidR="003E1D86" w:rsidRPr="004C0AFA" w:rsidRDefault="003E1D86" w:rsidP="003E1D86">
      <w:pPr>
        <w:pStyle w:val="NoSpacing"/>
      </w:pPr>
    </w:p>
    <w:p w:rsidR="002A415A" w:rsidRPr="002A415A" w:rsidRDefault="002A415A" w:rsidP="002A415A">
      <w:pPr>
        <w:pStyle w:val="NoSpacing"/>
        <w:rPr>
          <w:sz w:val="16"/>
          <w:szCs w:val="16"/>
        </w:rPr>
      </w:pPr>
      <w:r w:rsidRPr="002A415A">
        <w:rPr>
          <w:i/>
          <w:sz w:val="16"/>
          <w:szCs w:val="16"/>
          <w:lang w:val="en"/>
        </w:rPr>
        <w:t>*(as at 30 June 2014)</w:t>
      </w:r>
    </w:p>
    <w:p w:rsidR="00307D5F" w:rsidRPr="004C0AFA" w:rsidRDefault="00307D5F" w:rsidP="004A52E8"/>
    <w:sectPr w:rsidR="00307D5F" w:rsidRPr="004C0AFA" w:rsidSect="004A52E8">
      <w:footerReference w:type="default" r:id="rId8"/>
      <w:pgSz w:w="12240" w:h="15840"/>
      <w:pgMar w:top="851" w:right="1080" w:bottom="1135"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D86" w:rsidRDefault="003E1D86">
      <w:r>
        <w:separator/>
      </w:r>
    </w:p>
  </w:endnote>
  <w:endnote w:type="continuationSeparator" w:id="0">
    <w:p w:rsidR="003E1D86" w:rsidRDefault="003E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086834"/>
      <w:docPartObj>
        <w:docPartGallery w:val="Page Numbers (Bottom of Page)"/>
        <w:docPartUnique/>
      </w:docPartObj>
    </w:sdtPr>
    <w:sdtEndPr/>
    <w:sdtContent>
      <w:sdt>
        <w:sdtPr>
          <w:id w:val="860082579"/>
          <w:docPartObj>
            <w:docPartGallery w:val="Page Numbers (Top of Page)"/>
            <w:docPartUnique/>
          </w:docPartObj>
        </w:sdtPr>
        <w:sdtEndPr/>
        <w:sdtContent>
          <w:p w:rsidR="003E1D86" w:rsidRDefault="003E1D86" w:rsidP="003E1D86">
            <w:pPr>
              <w:pStyle w:val="Footer"/>
              <w:ind w:right="480"/>
              <w:jc w:val="center"/>
              <w:rPr>
                <w:rFonts w:ascii="Arial" w:hAnsi="Arial" w:cs="Arial"/>
                <w:sz w:val="14"/>
              </w:rPr>
            </w:pPr>
            <w:r>
              <w:rPr>
                <w:rFonts w:ascii="Arial" w:hAnsi="Arial" w:cs="Arial"/>
                <w:b/>
                <w:sz w:val="14"/>
              </w:rPr>
              <w:t>Internal Use Only</w:t>
            </w:r>
            <w:r>
              <w:rPr>
                <w:rFonts w:ascii="Arial" w:hAnsi="Arial" w:cs="Arial"/>
                <w:sz w:val="14"/>
              </w:rPr>
              <w:t xml:space="preserve"> - Not to be disclosed outside Standard Life group</w:t>
            </w:r>
          </w:p>
          <w:p w:rsidR="0015325E" w:rsidRPr="004A52E8" w:rsidRDefault="0015325E" w:rsidP="003E1D86">
            <w:pPr>
              <w:pStyle w:val="Footer"/>
              <w:ind w:right="480"/>
              <w:jc w:val="center"/>
              <w:rPr>
                <w:rFonts w:cstheme="minorHAnsi"/>
                <w:sz w:val="20"/>
                <w:szCs w:val="20"/>
              </w:rPr>
            </w:pPr>
            <w:r w:rsidRPr="004A52E8">
              <w:rPr>
                <w:rFonts w:cstheme="minorHAnsi"/>
                <w:sz w:val="20"/>
                <w:szCs w:val="20"/>
              </w:rPr>
              <w:fldChar w:fldCharType="begin"/>
            </w:r>
            <w:r w:rsidRPr="004A52E8">
              <w:rPr>
                <w:rFonts w:cstheme="minorHAnsi"/>
                <w:sz w:val="20"/>
                <w:szCs w:val="20"/>
              </w:rPr>
              <w:instrText xml:space="preserve"> FILENAME  \p  \* MERGEFORMAT </w:instrText>
            </w:r>
            <w:r w:rsidRPr="004A52E8">
              <w:rPr>
                <w:rFonts w:cstheme="minorHAnsi"/>
                <w:sz w:val="20"/>
                <w:szCs w:val="20"/>
              </w:rPr>
              <w:fldChar w:fldCharType="separate"/>
            </w:r>
            <w:r w:rsidR="00326704">
              <w:rPr>
                <w:rFonts w:cstheme="minorHAnsi"/>
                <w:sz w:val="20"/>
                <w:szCs w:val="20"/>
              </w:rPr>
              <w:t>Standard</w:t>
            </w:r>
            <w:r w:rsidR="00FF4C0E">
              <w:rPr>
                <w:rFonts w:cstheme="minorHAnsi"/>
                <w:noProof/>
                <w:sz w:val="20"/>
                <w:szCs w:val="20"/>
              </w:rPr>
              <w:t xml:space="preserve"> Life Investments response ESMA CP Final</w:t>
            </w:r>
            <w:r w:rsidR="00326704">
              <w:rPr>
                <w:rFonts w:cstheme="minorHAnsi"/>
                <w:noProof/>
                <w:sz w:val="20"/>
                <w:szCs w:val="20"/>
              </w:rPr>
              <w:t xml:space="preserve"> 13 February 2015.docx</w:t>
            </w:r>
            <w:r w:rsidRPr="004A52E8">
              <w:rPr>
                <w:rFonts w:cstheme="minorHAnsi"/>
                <w:sz w:val="20"/>
                <w:szCs w:val="20"/>
              </w:rPr>
              <w:fldChar w:fldCharType="end"/>
            </w:r>
            <w:r w:rsidRPr="004A52E8">
              <w:rPr>
                <w:rFonts w:cstheme="minorHAnsi"/>
                <w:sz w:val="20"/>
                <w:szCs w:val="20"/>
              </w:rPr>
              <w:tab/>
            </w:r>
          </w:p>
          <w:p w:rsidR="0015325E" w:rsidRDefault="0015325E" w:rsidP="004A52E8">
            <w:pPr>
              <w:pStyle w:val="Footer"/>
              <w:ind w:right="480"/>
              <w:jc w:val="right"/>
            </w:pPr>
            <w:r w:rsidRPr="004A52E8">
              <w:rPr>
                <w:rFonts w:cstheme="minorHAnsi"/>
                <w:sz w:val="20"/>
                <w:szCs w:val="20"/>
              </w:rPr>
              <w:t xml:space="preserve">Page </w:t>
            </w:r>
            <w:r w:rsidRPr="004A52E8">
              <w:rPr>
                <w:rFonts w:cstheme="minorHAnsi"/>
                <w:b/>
                <w:bCs/>
                <w:sz w:val="20"/>
                <w:szCs w:val="20"/>
              </w:rPr>
              <w:fldChar w:fldCharType="begin"/>
            </w:r>
            <w:r w:rsidRPr="004A52E8">
              <w:rPr>
                <w:rFonts w:cstheme="minorHAnsi"/>
                <w:b/>
                <w:bCs/>
                <w:sz w:val="20"/>
                <w:szCs w:val="20"/>
              </w:rPr>
              <w:instrText xml:space="preserve"> PAGE </w:instrText>
            </w:r>
            <w:r w:rsidRPr="004A52E8">
              <w:rPr>
                <w:rFonts w:cstheme="minorHAnsi"/>
                <w:b/>
                <w:bCs/>
                <w:sz w:val="20"/>
                <w:szCs w:val="20"/>
              </w:rPr>
              <w:fldChar w:fldCharType="separate"/>
            </w:r>
            <w:r w:rsidR="00FF4C0E">
              <w:rPr>
                <w:rFonts w:cstheme="minorHAnsi"/>
                <w:b/>
                <w:bCs/>
                <w:noProof/>
                <w:sz w:val="20"/>
                <w:szCs w:val="20"/>
              </w:rPr>
              <w:t>3</w:t>
            </w:r>
            <w:r w:rsidRPr="004A52E8">
              <w:rPr>
                <w:rFonts w:cstheme="minorHAnsi"/>
                <w:b/>
                <w:bCs/>
                <w:sz w:val="20"/>
                <w:szCs w:val="20"/>
              </w:rPr>
              <w:fldChar w:fldCharType="end"/>
            </w:r>
            <w:r w:rsidRPr="004A52E8">
              <w:rPr>
                <w:rFonts w:cstheme="minorHAnsi"/>
                <w:sz w:val="20"/>
                <w:szCs w:val="20"/>
              </w:rPr>
              <w:t xml:space="preserve"> of </w:t>
            </w:r>
            <w:r w:rsidRPr="004A52E8">
              <w:rPr>
                <w:rFonts w:cstheme="minorHAnsi"/>
                <w:b/>
                <w:bCs/>
                <w:sz w:val="20"/>
                <w:szCs w:val="20"/>
              </w:rPr>
              <w:fldChar w:fldCharType="begin"/>
            </w:r>
            <w:r w:rsidRPr="004A52E8">
              <w:rPr>
                <w:rFonts w:cstheme="minorHAnsi"/>
                <w:b/>
                <w:bCs/>
                <w:sz w:val="20"/>
                <w:szCs w:val="20"/>
              </w:rPr>
              <w:instrText xml:space="preserve"> NUMPAGES  </w:instrText>
            </w:r>
            <w:r w:rsidRPr="004A52E8">
              <w:rPr>
                <w:rFonts w:cstheme="minorHAnsi"/>
                <w:b/>
                <w:bCs/>
                <w:sz w:val="20"/>
                <w:szCs w:val="20"/>
              </w:rPr>
              <w:fldChar w:fldCharType="separate"/>
            </w:r>
            <w:r w:rsidR="00FF4C0E">
              <w:rPr>
                <w:rFonts w:cstheme="minorHAnsi"/>
                <w:b/>
                <w:bCs/>
                <w:noProof/>
                <w:sz w:val="20"/>
                <w:szCs w:val="20"/>
              </w:rPr>
              <w:t>3</w:t>
            </w:r>
            <w:r w:rsidRPr="004A52E8">
              <w:rPr>
                <w:rFonts w:cstheme="minorHAnsi"/>
                <w:b/>
                <w:bCs/>
                <w:sz w:val="20"/>
                <w:szCs w:val="20"/>
              </w:rPr>
              <w:fldChar w:fldCharType="end"/>
            </w:r>
          </w:p>
        </w:sdtContent>
      </w:sdt>
    </w:sdtContent>
  </w:sdt>
  <w:p w:rsidR="0015325E" w:rsidRDefault="001532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D86" w:rsidRDefault="003E1D86">
      <w:r>
        <w:separator/>
      </w:r>
    </w:p>
  </w:footnote>
  <w:footnote w:type="continuationSeparator" w:id="0">
    <w:p w:rsidR="003E1D86" w:rsidRDefault="003E1D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21B4B"/>
    <w:multiLevelType w:val="hybridMultilevel"/>
    <w:tmpl w:val="8AB821FE"/>
    <w:lvl w:ilvl="0" w:tplc="049C4CD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D86"/>
    <w:rsid w:val="00001DFA"/>
    <w:rsid w:val="00034604"/>
    <w:rsid w:val="00042AE5"/>
    <w:rsid w:val="000718F8"/>
    <w:rsid w:val="00092E57"/>
    <w:rsid w:val="000A60FD"/>
    <w:rsid w:val="000B4C83"/>
    <w:rsid w:val="000C2193"/>
    <w:rsid w:val="000C4F8A"/>
    <w:rsid w:val="000F23BA"/>
    <w:rsid w:val="000F3B3F"/>
    <w:rsid w:val="00107C9D"/>
    <w:rsid w:val="001108B4"/>
    <w:rsid w:val="001115C5"/>
    <w:rsid w:val="0011655D"/>
    <w:rsid w:val="00121B06"/>
    <w:rsid w:val="001330BD"/>
    <w:rsid w:val="00135076"/>
    <w:rsid w:val="0015325E"/>
    <w:rsid w:val="00176B3B"/>
    <w:rsid w:val="001D25CD"/>
    <w:rsid w:val="001F4898"/>
    <w:rsid w:val="001F6DB7"/>
    <w:rsid w:val="00201BB7"/>
    <w:rsid w:val="0025455B"/>
    <w:rsid w:val="00264A49"/>
    <w:rsid w:val="002A415A"/>
    <w:rsid w:val="002C4EA5"/>
    <w:rsid w:val="002E59C6"/>
    <w:rsid w:val="002F6CEB"/>
    <w:rsid w:val="00307D5F"/>
    <w:rsid w:val="00323671"/>
    <w:rsid w:val="00324130"/>
    <w:rsid w:val="00326704"/>
    <w:rsid w:val="00334FD9"/>
    <w:rsid w:val="00397949"/>
    <w:rsid w:val="003C01B6"/>
    <w:rsid w:val="003C7456"/>
    <w:rsid w:val="003E1741"/>
    <w:rsid w:val="003E1D86"/>
    <w:rsid w:val="003F26E6"/>
    <w:rsid w:val="003F6BA6"/>
    <w:rsid w:val="0040315C"/>
    <w:rsid w:val="004256E1"/>
    <w:rsid w:val="00432559"/>
    <w:rsid w:val="004729E3"/>
    <w:rsid w:val="00483A8C"/>
    <w:rsid w:val="0048693D"/>
    <w:rsid w:val="00487BD3"/>
    <w:rsid w:val="004A52E8"/>
    <w:rsid w:val="004B2BB0"/>
    <w:rsid w:val="004B67FF"/>
    <w:rsid w:val="004C0AFA"/>
    <w:rsid w:val="004C2AA8"/>
    <w:rsid w:val="00503E93"/>
    <w:rsid w:val="005065EB"/>
    <w:rsid w:val="00547BB3"/>
    <w:rsid w:val="005C2159"/>
    <w:rsid w:val="005E1D50"/>
    <w:rsid w:val="005E3D4C"/>
    <w:rsid w:val="005E594D"/>
    <w:rsid w:val="005F3128"/>
    <w:rsid w:val="0060508C"/>
    <w:rsid w:val="0067147F"/>
    <w:rsid w:val="006E3DAB"/>
    <w:rsid w:val="006E420B"/>
    <w:rsid w:val="00711DDB"/>
    <w:rsid w:val="007208C1"/>
    <w:rsid w:val="00781E69"/>
    <w:rsid w:val="00787CEF"/>
    <w:rsid w:val="00792294"/>
    <w:rsid w:val="007A2682"/>
    <w:rsid w:val="007C25AE"/>
    <w:rsid w:val="008161F7"/>
    <w:rsid w:val="008577ED"/>
    <w:rsid w:val="008653E8"/>
    <w:rsid w:val="0087197B"/>
    <w:rsid w:val="008B4C61"/>
    <w:rsid w:val="008C759D"/>
    <w:rsid w:val="008E2681"/>
    <w:rsid w:val="008E71CB"/>
    <w:rsid w:val="008E7324"/>
    <w:rsid w:val="00962008"/>
    <w:rsid w:val="00995428"/>
    <w:rsid w:val="009A2845"/>
    <w:rsid w:val="009A5EAC"/>
    <w:rsid w:val="009B50CD"/>
    <w:rsid w:val="009B677F"/>
    <w:rsid w:val="009D156B"/>
    <w:rsid w:val="009E01C6"/>
    <w:rsid w:val="009E629E"/>
    <w:rsid w:val="00A13108"/>
    <w:rsid w:val="00A139E7"/>
    <w:rsid w:val="00A14FA1"/>
    <w:rsid w:val="00A30346"/>
    <w:rsid w:val="00A37A19"/>
    <w:rsid w:val="00A72471"/>
    <w:rsid w:val="00AC20E8"/>
    <w:rsid w:val="00AD410E"/>
    <w:rsid w:val="00AD556A"/>
    <w:rsid w:val="00AE22D9"/>
    <w:rsid w:val="00AE365D"/>
    <w:rsid w:val="00B10D9E"/>
    <w:rsid w:val="00B1125D"/>
    <w:rsid w:val="00B14915"/>
    <w:rsid w:val="00B24E74"/>
    <w:rsid w:val="00B51643"/>
    <w:rsid w:val="00B543CC"/>
    <w:rsid w:val="00BB180E"/>
    <w:rsid w:val="00BC07AD"/>
    <w:rsid w:val="00BC23EF"/>
    <w:rsid w:val="00BC5926"/>
    <w:rsid w:val="00BD00BA"/>
    <w:rsid w:val="00C01C6D"/>
    <w:rsid w:val="00C0278F"/>
    <w:rsid w:val="00C129A7"/>
    <w:rsid w:val="00C469DA"/>
    <w:rsid w:val="00C5167F"/>
    <w:rsid w:val="00C85EFD"/>
    <w:rsid w:val="00C86943"/>
    <w:rsid w:val="00CB15D0"/>
    <w:rsid w:val="00CC793B"/>
    <w:rsid w:val="00CE477A"/>
    <w:rsid w:val="00CF4A69"/>
    <w:rsid w:val="00D00C2B"/>
    <w:rsid w:val="00D1158F"/>
    <w:rsid w:val="00D515CA"/>
    <w:rsid w:val="00D57057"/>
    <w:rsid w:val="00DB7FBE"/>
    <w:rsid w:val="00DC3A57"/>
    <w:rsid w:val="00DE08CB"/>
    <w:rsid w:val="00E02DA1"/>
    <w:rsid w:val="00E44950"/>
    <w:rsid w:val="00E74878"/>
    <w:rsid w:val="00E8218C"/>
    <w:rsid w:val="00F11890"/>
    <w:rsid w:val="00F17A98"/>
    <w:rsid w:val="00F24CAE"/>
    <w:rsid w:val="00F60DA7"/>
    <w:rsid w:val="00F8477D"/>
    <w:rsid w:val="00FA4970"/>
    <w:rsid w:val="00FE5F49"/>
    <w:rsid w:val="00FF0FF6"/>
    <w:rsid w:val="00FF4C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GB"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1D86"/>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4A52E8"/>
    <w:pPr>
      <w:keepNext/>
      <w:keepLines/>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nhideWhenUsed/>
    <w:qFormat/>
    <w:rsid w:val="004A52E8"/>
    <w:pPr>
      <w:keepNext/>
      <w:keepLines/>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A52E8"/>
    <w:pPr>
      <w:keepNext/>
      <w:keepLines/>
      <w:outlineLvl w:val="2"/>
    </w:pPr>
    <w:rPr>
      <w:rFonts w:asciiTheme="majorHAnsi" w:eastAsiaTheme="majorEastAsia" w:hAnsiTheme="majorHAnsi" w:cstheme="majorBidi"/>
      <w:b/>
      <w:bCs/>
      <w:i/>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F6CEB"/>
    <w:pPr>
      <w:tabs>
        <w:tab w:val="center" w:pos="4153"/>
        <w:tab w:val="right" w:pos="8306"/>
      </w:tabs>
    </w:pPr>
  </w:style>
  <w:style w:type="paragraph" w:styleId="Footer">
    <w:name w:val="footer"/>
    <w:basedOn w:val="Normal"/>
    <w:link w:val="FooterChar"/>
    <w:uiPriority w:val="99"/>
    <w:rsid w:val="002F6CEB"/>
    <w:pPr>
      <w:tabs>
        <w:tab w:val="center" w:pos="4153"/>
        <w:tab w:val="right" w:pos="8306"/>
      </w:tabs>
    </w:pPr>
  </w:style>
  <w:style w:type="character" w:customStyle="1" w:styleId="FooterChar">
    <w:name w:val="Footer Char"/>
    <w:basedOn w:val="DefaultParagraphFont"/>
    <w:link w:val="Footer"/>
    <w:uiPriority w:val="99"/>
    <w:rsid w:val="004A52E8"/>
    <w:rPr>
      <w:sz w:val="24"/>
      <w:szCs w:val="24"/>
    </w:rPr>
  </w:style>
  <w:style w:type="character" w:customStyle="1" w:styleId="Heading1Char">
    <w:name w:val="Heading 1 Char"/>
    <w:basedOn w:val="DefaultParagraphFont"/>
    <w:link w:val="Heading1"/>
    <w:rsid w:val="004A52E8"/>
    <w:rPr>
      <w:rFonts w:asciiTheme="minorHAnsi" w:eastAsiaTheme="majorEastAsia" w:hAnsiTheme="minorHAnsi" w:cstheme="majorBidi"/>
      <w:b/>
      <w:bCs/>
      <w:color w:val="365F91" w:themeColor="accent1" w:themeShade="BF"/>
      <w:sz w:val="28"/>
      <w:szCs w:val="28"/>
    </w:rPr>
  </w:style>
  <w:style w:type="character" w:customStyle="1" w:styleId="Heading2Char">
    <w:name w:val="Heading 2 Char"/>
    <w:basedOn w:val="DefaultParagraphFont"/>
    <w:link w:val="Heading2"/>
    <w:rsid w:val="004A52E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A52E8"/>
    <w:rPr>
      <w:rFonts w:asciiTheme="majorHAnsi" w:eastAsiaTheme="majorEastAsia" w:hAnsiTheme="majorHAnsi" w:cstheme="majorBidi"/>
      <w:b/>
      <w:bCs/>
      <w:i/>
      <w:color w:val="4F81BD" w:themeColor="accent1"/>
      <w:sz w:val="24"/>
      <w:szCs w:val="24"/>
    </w:rPr>
  </w:style>
  <w:style w:type="paragraph" w:styleId="NoSpacing">
    <w:name w:val="No Spacing"/>
    <w:uiPriority w:val="1"/>
    <w:qFormat/>
    <w:rsid w:val="003E1D86"/>
    <w:rPr>
      <w:rFonts w:asciiTheme="minorHAnsi" w:eastAsiaTheme="minorHAnsi" w:hAnsiTheme="minorHAnsi" w:cstheme="minorBidi"/>
      <w:sz w:val="22"/>
      <w:szCs w:val="22"/>
      <w:lang w:eastAsia="en-US"/>
    </w:rPr>
  </w:style>
  <w:style w:type="paragraph" w:customStyle="1" w:styleId="Default">
    <w:name w:val="Default"/>
    <w:rsid w:val="007208C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326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26704"/>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GB"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1D86"/>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4A52E8"/>
    <w:pPr>
      <w:keepNext/>
      <w:keepLines/>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nhideWhenUsed/>
    <w:qFormat/>
    <w:rsid w:val="004A52E8"/>
    <w:pPr>
      <w:keepNext/>
      <w:keepLines/>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A52E8"/>
    <w:pPr>
      <w:keepNext/>
      <w:keepLines/>
      <w:outlineLvl w:val="2"/>
    </w:pPr>
    <w:rPr>
      <w:rFonts w:asciiTheme="majorHAnsi" w:eastAsiaTheme="majorEastAsia" w:hAnsiTheme="majorHAnsi" w:cstheme="majorBidi"/>
      <w:b/>
      <w:bCs/>
      <w:i/>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F6CEB"/>
    <w:pPr>
      <w:tabs>
        <w:tab w:val="center" w:pos="4153"/>
        <w:tab w:val="right" w:pos="8306"/>
      </w:tabs>
    </w:pPr>
  </w:style>
  <w:style w:type="paragraph" w:styleId="Footer">
    <w:name w:val="footer"/>
    <w:basedOn w:val="Normal"/>
    <w:link w:val="FooterChar"/>
    <w:uiPriority w:val="99"/>
    <w:rsid w:val="002F6CEB"/>
    <w:pPr>
      <w:tabs>
        <w:tab w:val="center" w:pos="4153"/>
        <w:tab w:val="right" w:pos="8306"/>
      </w:tabs>
    </w:pPr>
  </w:style>
  <w:style w:type="character" w:customStyle="1" w:styleId="FooterChar">
    <w:name w:val="Footer Char"/>
    <w:basedOn w:val="DefaultParagraphFont"/>
    <w:link w:val="Footer"/>
    <w:uiPriority w:val="99"/>
    <w:rsid w:val="004A52E8"/>
    <w:rPr>
      <w:sz w:val="24"/>
      <w:szCs w:val="24"/>
    </w:rPr>
  </w:style>
  <w:style w:type="character" w:customStyle="1" w:styleId="Heading1Char">
    <w:name w:val="Heading 1 Char"/>
    <w:basedOn w:val="DefaultParagraphFont"/>
    <w:link w:val="Heading1"/>
    <w:rsid w:val="004A52E8"/>
    <w:rPr>
      <w:rFonts w:asciiTheme="minorHAnsi" w:eastAsiaTheme="majorEastAsia" w:hAnsiTheme="minorHAnsi" w:cstheme="majorBidi"/>
      <w:b/>
      <w:bCs/>
      <w:color w:val="365F91" w:themeColor="accent1" w:themeShade="BF"/>
      <w:sz w:val="28"/>
      <w:szCs w:val="28"/>
    </w:rPr>
  </w:style>
  <w:style w:type="character" w:customStyle="1" w:styleId="Heading2Char">
    <w:name w:val="Heading 2 Char"/>
    <w:basedOn w:val="DefaultParagraphFont"/>
    <w:link w:val="Heading2"/>
    <w:rsid w:val="004A52E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A52E8"/>
    <w:rPr>
      <w:rFonts w:asciiTheme="majorHAnsi" w:eastAsiaTheme="majorEastAsia" w:hAnsiTheme="majorHAnsi" w:cstheme="majorBidi"/>
      <w:b/>
      <w:bCs/>
      <w:i/>
      <w:color w:val="4F81BD" w:themeColor="accent1"/>
      <w:sz w:val="24"/>
      <w:szCs w:val="24"/>
    </w:rPr>
  </w:style>
  <w:style w:type="paragraph" w:styleId="NoSpacing">
    <w:name w:val="No Spacing"/>
    <w:uiPriority w:val="1"/>
    <w:qFormat/>
    <w:rsid w:val="003E1D86"/>
    <w:rPr>
      <w:rFonts w:asciiTheme="minorHAnsi" w:eastAsiaTheme="minorHAnsi" w:hAnsiTheme="minorHAnsi" w:cstheme="minorBidi"/>
      <w:sz w:val="22"/>
      <w:szCs w:val="22"/>
      <w:lang w:eastAsia="en-US"/>
    </w:rPr>
  </w:style>
  <w:style w:type="paragraph" w:customStyle="1" w:styleId="Default">
    <w:name w:val="Default"/>
    <w:rsid w:val="007208C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326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26704"/>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C25B8252</Template>
  <TotalTime>0</TotalTime>
  <Pages>3</Pages>
  <Words>1447</Words>
  <Characters>7402</Characters>
  <Application>Microsoft Office Word</Application>
  <DocSecurity>0</DocSecurity>
  <Lines>127</Lines>
  <Paragraphs>28</Paragraphs>
  <ScaleCrop>false</ScaleCrop>
  <HeadingPairs>
    <vt:vector size="2" baseType="variant">
      <vt:variant>
        <vt:lpstr>Title</vt:lpstr>
      </vt:variant>
      <vt:variant>
        <vt:i4>1</vt:i4>
      </vt:variant>
    </vt:vector>
  </HeadingPairs>
  <TitlesOfParts>
    <vt:vector size="1" baseType="lpstr">
      <vt:lpstr/>
    </vt:vector>
  </TitlesOfParts>
  <Company>Standard Life PLC</Company>
  <LinksUpToDate>false</LinksUpToDate>
  <CharactersWithSpaces>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Kyra Brown</dc:creator>
  <dc:description>Classified as IU and Neither on 13/02/2015 by slj212</dc:description>
  <cp:lastModifiedBy>Kyra Brown</cp:lastModifiedBy>
  <cp:revision>3</cp:revision>
  <cp:lastPrinted>2015-02-13T16:24:00Z</cp:lastPrinted>
  <dcterms:created xsi:type="dcterms:W3CDTF">2015-02-13T17:09:00Z</dcterms:created>
  <dcterms:modified xsi:type="dcterms:W3CDTF">2015-02-13T17:09:00Z</dcterms:modified>
</cp:coreProperties>
</file>