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04" w:type="dxa"/>
        <w:tblLayout w:type="fixed"/>
        <w:tblCellMar>
          <w:left w:w="70" w:type="dxa"/>
          <w:right w:w="70" w:type="dxa"/>
        </w:tblCellMar>
        <w:tblLook w:val="0000"/>
      </w:tblPr>
      <w:tblGrid>
        <w:gridCol w:w="5130"/>
        <w:gridCol w:w="4674"/>
      </w:tblGrid>
      <w:tr w:rsidR="0007733F" w:rsidRPr="00617001">
        <w:trPr>
          <w:trHeight w:hRule="exact" w:val="4333"/>
        </w:trPr>
        <w:tc>
          <w:tcPr>
            <w:tcW w:w="5130" w:type="dxa"/>
          </w:tcPr>
          <w:p w:rsidR="00091316" w:rsidRPr="00091316" w:rsidRDefault="00A21EF8" w:rsidP="00091316">
            <w:pPr>
              <w:rPr>
                <w:rFonts w:ascii="Trebuchet MS" w:hAnsi="Trebuchet MS"/>
                <w:b/>
                <w:lang w:val="en-GB"/>
              </w:rPr>
            </w:pPr>
            <w:r w:rsidRPr="002C7A03">
              <w:rPr>
                <w:rFonts w:ascii="Trebuchet MS" w:hAnsi="Trebuchet MS"/>
                <w:b/>
                <w:lang w:val="en-GB"/>
              </w:rPr>
              <w:t xml:space="preserve"> </w:t>
            </w:r>
          </w:p>
          <w:p w:rsidR="00091316" w:rsidRDefault="00091316" w:rsidP="00AF7882">
            <w:pPr>
              <w:autoSpaceDE w:val="0"/>
              <w:autoSpaceDN w:val="0"/>
              <w:adjustRightInd w:val="0"/>
              <w:spacing w:after="0" w:line="240" w:lineRule="auto"/>
              <w:rPr>
                <w:rFonts w:ascii="Trebuchet MS" w:hAnsi="Trebuchet MS" w:cs="Arial"/>
                <w:b/>
                <w:snapToGrid/>
                <w:lang w:val="en-GB" w:eastAsia="de-AT"/>
              </w:rPr>
            </w:pPr>
          </w:p>
          <w:p w:rsidR="001D600E" w:rsidRDefault="001D600E" w:rsidP="00AF7882">
            <w:pPr>
              <w:autoSpaceDE w:val="0"/>
              <w:autoSpaceDN w:val="0"/>
              <w:adjustRightInd w:val="0"/>
              <w:spacing w:after="0" w:line="240" w:lineRule="auto"/>
              <w:rPr>
                <w:rFonts w:ascii="Trebuchet MS" w:hAnsi="Trebuchet MS" w:cs="Arial"/>
                <w:b/>
                <w:snapToGrid/>
                <w:lang w:val="en-GB" w:eastAsia="de-AT"/>
              </w:rPr>
            </w:pPr>
          </w:p>
          <w:p w:rsidR="00231F5B" w:rsidRPr="00027A3E" w:rsidRDefault="00027A3E" w:rsidP="00AF7882">
            <w:pPr>
              <w:autoSpaceDE w:val="0"/>
              <w:autoSpaceDN w:val="0"/>
              <w:adjustRightInd w:val="0"/>
              <w:spacing w:after="0" w:line="240" w:lineRule="auto"/>
              <w:rPr>
                <w:rFonts w:ascii="Trebuchet MS" w:hAnsi="Trebuchet MS" w:cs="Arial"/>
                <w:b/>
                <w:snapToGrid/>
                <w:sz w:val="28"/>
                <w:lang w:val="en-GB" w:eastAsia="de-AT"/>
              </w:rPr>
            </w:pPr>
            <w:r w:rsidRPr="00027A3E">
              <w:rPr>
                <w:rFonts w:ascii="Trebuchet MS" w:hAnsi="Trebuchet MS" w:cs="Arial"/>
                <w:b/>
                <w:snapToGrid/>
                <w:sz w:val="28"/>
                <w:lang w:val="en-GB" w:eastAsia="de-AT"/>
              </w:rPr>
              <w:t>EMSA</w:t>
            </w:r>
          </w:p>
          <w:p w:rsidR="00027A3E" w:rsidRPr="002C7A03" w:rsidRDefault="00027A3E" w:rsidP="00AF7882">
            <w:pPr>
              <w:autoSpaceDE w:val="0"/>
              <w:autoSpaceDN w:val="0"/>
              <w:adjustRightInd w:val="0"/>
              <w:spacing w:after="0" w:line="240" w:lineRule="auto"/>
              <w:rPr>
                <w:rFonts w:ascii="Trebuchet MS" w:hAnsi="Trebuchet MS" w:cs="Arial"/>
                <w:b/>
                <w:snapToGrid/>
                <w:lang w:val="en-GB" w:eastAsia="de-AT"/>
              </w:rPr>
            </w:pPr>
          </w:p>
          <w:p w:rsidR="00027A3E" w:rsidRPr="00911E9E" w:rsidRDefault="00027A3E" w:rsidP="00027A3E">
            <w:pPr>
              <w:rPr>
                <w:rFonts w:ascii="Trebuchet MS" w:hAnsi="Trebuchet MS"/>
                <w:snapToGrid/>
                <w:sz w:val="24"/>
                <w:szCs w:val="24"/>
                <w:lang w:eastAsia="de-AT"/>
              </w:rPr>
            </w:pPr>
            <w:r w:rsidRPr="00911E9E">
              <w:rPr>
                <w:rFonts w:ascii="Trebuchet MS" w:hAnsi="Trebuchet MS"/>
                <w:snapToGrid/>
                <w:sz w:val="24"/>
                <w:szCs w:val="24"/>
                <w:lang w:eastAsia="de-AT"/>
              </w:rPr>
              <w:t>info@esma.europa.eu</w:t>
            </w:r>
          </w:p>
          <w:p w:rsidR="002C7A03" w:rsidRDefault="002C7A03" w:rsidP="002C7A03">
            <w:pPr>
              <w:autoSpaceDE w:val="0"/>
              <w:autoSpaceDN w:val="0"/>
              <w:adjustRightInd w:val="0"/>
              <w:spacing w:after="0" w:line="240" w:lineRule="auto"/>
              <w:rPr>
                <w:rFonts w:ascii="Trebuchet MS" w:hAnsi="Trebuchet MS" w:cs="Arial"/>
                <w:snapToGrid/>
                <w:lang w:val="en-GB" w:eastAsia="de-AT"/>
              </w:rPr>
            </w:pPr>
          </w:p>
          <w:p w:rsidR="002C7A03" w:rsidRDefault="002C7A03" w:rsidP="002C7A03">
            <w:pPr>
              <w:autoSpaceDE w:val="0"/>
              <w:autoSpaceDN w:val="0"/>
              <w:adjustRightInd w:val="0"/>
              <w:spacing w:after="0" w:line="240" w:lineRule="auto"/>
              <w:rPr>
                <w:rFonts w:ascii="Trebuchet MS" w:hAnsi="Trebuchet MS" w:cs="Arial"/>
                <w:snapToGrid/>
                <w:lang w:val="en-GB" w:eastAsia="de-AT"/>
              </w:rPr>
            </w:pPr>
          </w:p>
          <w:p w:rsidR="002C7A03" w:rsidRPr="006643B0" w:rsidRDefault="002C7A03" w:rsidP="007C2C38">
            <w:pPr>
              <w:autoSpaceDE w:val="0"/>
              <w:autoSpaceDN w:val="0"/>
              <w:adjustRightInd w:val="0"/>
              <w:spacing w:after="0" w:line="240" w:lineRule="auto"/>
              <w:rPr>
                <w:rFonts w:ascii="Trebuchet MS" w:hAnsi="Trebuchet MS"/>
                <w:b/>
                <w:sz w:val="44"/>
                <w:szCs w:val="44"/>
                <w:lang w:val="en-GB"/>
              </w:rPr>
            </w:pPr>
          </w:p>
        </w:tc>
        <w:tc>
          <w:tcPr>
            <w:tcW w:w="4674" w:type="dxa"/>
          </w:tcPr>
          <w:p w:rsidR="0007733F" w:rsidRPr="00617001" w:rsidRDefault="0007733F" w:rsidP="0007733F">
            <w:pPr>
              <w:spacing w:after="0" w:line="260" w:lineRule="atLeast"/>
              <w:ind w:right="255"/>
              <w:jc w:val="right"/>
              <w:rPr>
                <w:rFonts w:ascii="Trebuchet MS" w:hAnsi="Trebuchet MS"/>
                <w:color w:val="000000"/>
                <w:sz w:val="18"/>
                <w:szCs w:val="18"/>
                <w:u w:color="000000"/>
                <w:lang w:val="en-GB" w:eastAsia="de-DE"/>
              </w:rPr>
            </w:pPr>
          </w:p>
          <w:p w:rsidR="0007733F" w:rsidRPr="00617001" w:rsidRDefault="0007733F" w:rsidP="0007733F">
            <w:pPr>
              <w:spacing w:after="0" w:line="260" w:lineRule="atLeast"/>
              <w:ind w:right="255"/>
              <w:jc w:val="right"/>
              <w:rPr>
                <w:rFonts w:ascii="Trebuchet MS" w:hAnsi="Trebuchet MS"/>
                <w:color w:val="000000"/>
                <w:sz w:val="18"/>
                <w:szCs w:val="18"/>
                <w:u w:color="000000"/>
                <w:lang w:val="en-GB" w:eastAsia="de-DE"/>
              </w:rPr>
            </w:pPr>
          </w:p>
          <w:p w:rsidR="0007733F" w:rsidRPr="00617001" w:rsidRDefault="0007733F" w:rsidP="0007733F">
            <w:pPr>
              <w:spacing w:after="0" w:line="260" w:lineRule="atLeast"/>
              <w:ind w:right="255"/>
              <w:jc w:val="right"/>
              <w:rPr>
                <w:rFonts w:ascii="Trebuchet MS" w:hAnsi="Trebuchet MS"/>
                <w:color w:val="000000"/>
                <w:sz w:val="18"/>
                <w:szCs w:val="18"/>
                <w:u w:color="000000"/>
                <w:lang w:val="en-GB" w:eastAsia="de-DE"/>
              </w:rPr>
            </w:pPr>
          </w:p>
          <w:p w:rsidR="0007733F" w:rsidRPr="00617001" w:rsidRDefault="0007733F" w:rsidP="0007733F">
            <w:pPr>
              <w:spacing w:after="0" w:line="260" w:lineRule="atLeast"/>
              <w:ind w:right="255"/>
              <w:jc w:val="right"/>
              <w:rPr>
                <w:rFonts w:ascii="Trebuchet MS" w:hAnsi="Trebuchet MS"/>
                <w:color w:val="000000"/>
                <w:sz w:val="18"/>
                <w:szCs w:val="18"/>
                <w:u w:color="000000"/>
                <w:lang w:val="en-GB" w:eastAsia="de-DE"/>
              </w:rPr>
            </w:pPr>
          </w:p>
          <w:p w:rsidR="0007733F" w:rsidRDefault="00262450" w:rsidP="0007733F">
            <w:pPr>
              <w:spacing w:after="0" w:line="260" w:lineRule="atLeast"/>
              <w:ind w:right="255"/>
              <w:jc w:val="right"/>
              <w:rPr>
                <w:b/>
                <w:color w:val="000000"/>
                <w:sz w:val="18"/>
                <w:szCs w:val="18"/>
                <w:u w:color="000000"/>
                <w:lang w:val="en-GB"/>
              </w:rPr>
            </w:pPr>
            <w:r w:rsidRPr="00617001">
              <w:rPr>
                <w:b/>
                <w:color w:val="000000"/>
                <w:sz w:val="18"/>
                <w:szCs w:val="18"/>
                <w:u w:color="000000"/>
                <w:lang w:val="en-GB"/>
              </w:rPr>
              <w:t xml:space="preserve"> </w:t>
            </w:r>
            <w:r w:rsidR="00ED0DBE" w:rsidRPr="00ED0DBE">
              <w:rPr>
                <w:b/>
                <w:color w:val="000000"/>
                <w:sz w:val="18"/>
                <w:szCs w:val="18"/>
                <w:u w:color="000000"/>
                <w:lang w:val="en-GB"/>
              </w:rPr>
              <w:t>Division Bank  and Insurance</w:t>
            </w:r>
            <w:bookmarkStart w:id="0" w:name="abs1"/>
            <w:bookmarkEnd w:id="0"/>
          </w:p>
          <w:p w:rsidR="00D10290" w:rsidRPr="00617001" w:rsidRDefault="00D10290" w:rsidP="0007733F">
            <w:pPr>
              <w:spacing w:after="0" w:line="260" w:lineRule="atLeast"/>
              <w:ind w:right="255"/>
              <w:jc w:val="right"/>
              <w:rPr>
                <w:rFonts w:ascii="Trebuchet MS" w:hAnsi="Trebuchet MS"/>
                <w:b/>
                <w:color w:val="000000"/>
                <w:sz w:val="18"/>
                <w:szCs w:val="18"/>
                <w:highlight w:val="cyan"/>
                <w:u w:color="000000"/>
                <w:lang w:val="en-GB" w:eastAsia="de-DE"/>
              </w:rPr>
            </w:pPr>
            <w:r>
              <w:rPr>
                <w:b/>
                <w:color w:val="000000"/>
                <w:sz w:val="18"/>
                <w:szCs w:val="18"/>
                <w:u w:color="000000"/>
                <w:lang w:val="en-GB"/>
              </w:rPr>
              <w:t>Austrian Federal Economic Chamber</w:t>
            </w:r>
          </w:p>
          <w:p w:rsidR="0007733F" w:rsidRPr="002C7A03" w:rsidRDefault="0007733F" w:rsidP="00262450">
            <w:pPr>
              <w:spacing w:after="0" w:line="260" w:lineRule="atLeast"/>
              <w:ind w:right="255"/>
              <w:jc w:val="right"/>
              <w:rPr>
                <w:rFonts w:ascii="Trebuchet MS" w:hAnsi="Trebuchet MS"/>
                <w:color w:val="000000"/>
                <w:sz w:val="18"/>
                <w:szCs w:val="18"/>
                <w:u w:color="000000"/>
                <w:lang w:val="en-GB" w:eastAsia="de-DE"/>
              </w:rPr>
            </w:pPr>
            <w:proofErr w:type="spellStart"/>
            <w:r w:rsidRPr="002C7A03">
              <w:rPr>
                <w:rFonts w:ascii="Trebuchet MS" w:hAnsi="Trebuchet MS"/>
                <w:color w:val="000000"/>
                <w:sz w:val="18"/>
                <w:szCs w:val="18"/>
                <w:u w:color="000000"/>
                <w:lang w:val="en-GB" w:eastAsia="de-DE"/>
              </w:rPr>
              <w:t>Wiedner</w:t>
            </w:r>
            <w:proofErr w:type="spellEnd"/>
            <w:r w:rsidRPr="002C7A03">
              <w:rPr>
                <w:rFonts w:ascii="Trebuchet MS" w:hAnsi="Trebuchet MS"/>
                <w:color w:val="000000"/>
                <w:sz w:val="18"/>
                <w:szCs w:val="18"/>
                <w:u w:color="000000"/>
                <w:lang w:val="en-GB" w:eastAsia="de-DE"/>
              </w:rPr>
              <w:t xml:space="preserve"> </w:t>
            </w:r>
            <w:proofErr w:type="spellStart"/>
            <w:r w:rsidRPr="002C7A03">
              <w:rPr>
                <w:rFonts w:ascii="Trebuchet MS" w:hAnsi="Trebuchet MS"/>
                <w:color w:val="000000"/>
                <w:sz w:val="18"/>
                <w:szCs w:val="18"/>
                <w:u w:color="000000"/>
                <w:lang w:val="en-GB" w:eastAsia="de-DE"/>
              </w:rPr>
              <w:t>Hauptstraße</w:t>
            </w:r>
            <w:proofErr w:type="spellEnd"/>
            <w:r w:rsidRPr="002C7A03">
              <w:rPr>
                <w:rFonts w:ascii="Trebuchet MS" w:hAnsi="Trebuchet MS"/>
                <w:color w:val="000000"/>
                <w:sz w:val="18"/>
                <w:szCs w:val="18"/>
                <w:u w:color="000000"/>
                <w:lang w:val="en-GB" w:eastAsia="de-DE"/>
              </w:rPr>
              <w:t xml:space="preserve"> 63 | </w:t>
            </w:r>
            <w:r w:rsidR="00262450" w:rsidRPr="002C7A03">
              <w:rPr>
                <w:rFonts w:ascii="Trebuchet MS" w:hAnsi="Trebuchet MS"/>
                <w:color w:val="000000"/>
                <w:sz w:val="18"/>
                <w:szCs w:val="18"/>
                <w:u w:color="000000"/>
                <w:lang w:val="en-GB" w:eastAsia="de-DE"/>
              </w:rPr>
              <w:t>P.O. Box</w:t>
            </w:r>
            <w:r w:rsidRPr="002C7A03">
              <w:rPr>
                <w:rFonts w:ascii="Trebuchet MS" w:hAnsi="Trebuchet MS"/>
                <w:color w:val="000000"/>
                <w:sz w:val="18"/>
                <w:szCs w:val="18"/>
                <w:u w:color="000000"/>
                <w:lang w:val="en-GB" w:eastAsia="de-DE"/>
              </w:rPr>
              <w:t xml:space="preserve"> 320</w:t>
            </w:r>
          </w:p>
          <w:p w:rsidR="0007733F" w:rsidRPr="007A5DD4" w:rsidRDefault="0007733F" w:rsidP="00262450">
            <w:pPr>
              <w:spacing w:after="0" w:line="260" w:lineRule="atLeast"/>
              <w:ind w:right="255"/>
              <w:jc w:val="right"/>
              <w:rPr>
                <w:rFonts w:ascii="Trebuchet MS" w:hAnsi="Trebuchet MS"/>
                <w:color w:val="000000"/>
                <w:sz w:val="18"/>
                <w:szCs w:val="18"/>
                <w:u w:color="000000"/>
                <w:lang w:val="it-IT" w:eastAsia="de-DE"/>
              </w:rPr>
            </w:pPr>
            <w:proofErr w:type="gramStart"/>
            <w:r w:rsidRPr="007A5DD4">
              <w:rPr>
                <w:rFonts w:ascii="Trebuchet MS" w:hAnsi="Trebuchet MS"/>
                <w:color w:val="000000"/>
                <w:sz w:val="18"/>
                <w:szCs w:val="18"/>
                <w:u w:color="000000"/>
                <w:lang w:val="it-IT" w:eastAsia="de-DE"/>
              </w:rPr>
              <w:t xml:space="preserve">1045 </w:t>
            </w:r>
            <w:r w:rsidR="00262450" w:rsidRPr="007A5DD4">
              <w:rPr>
                <w:rFonts w:ascii="Trebuchet MS" w:hAnsi="Trebuchet MS"/>
                <w:color w:val="000000"/>
                <w:sz w:val="18"/>
                <w:szCs w:val="18"/>
                <w:u w:color="000000"/>
                <w:lang w:val="it-IT" w:eastAsia="de-DE"/>
              </w:rPr>
              <w:t>Vienna</w:t>
            </w:r>
            <w:proofErr w:type="gramEnd"/>
          </w:p>
          <w:p w:rsidR="00D10290" w:rsidRPr="007A5DD4" w:rsidRDefault="0007733F" w:rsidP="0007733F">
            <w:pPr>
              <w:spacing w:after="0" w:line="260" w:lineRule="atLeast"/>
              <w:ind w:right="255"/>
              <w:jc w:val="right"/>
              <w:rPr>
                <w:rFonts w:ascii="Trebuchet MS" w:hAnsi="Trebuchet MS"/>
                <w:color w:val="000000"/>
                <w:sz w:val="18"/>
                <w:szCs w:val="18"/>
                <w:u w:color="000000"/>
                <w:lang w:val="it-IT" w:eastAsia="de-DE"/>
              </w:rPr>
            </w:pPr>
            <w:r w:rsidRPr="007A5DD4">
              <w:rPr>
                <w:rFonts w:ascii="Trebuchet MS" w:hAnsi="Trebuchet MS"/>
                <w:color w:val="000000"/>
                <w:sz w:val="18"/>
                <w:szCs w:val="18"/>
                <w:u w:color="000000"/>
                <w:lang w:val="it-IT" w:eastAsia="de-DE"/>
              </w:rPr>
              <w:t>T +43 (0)5 90 900-</w:t>
            </w:r>
            <w:r w:rsidR="00D10290" w:rsidRPr="007A5DD4">
              <w:rPr>
                <w:rFonts w:ascii="Trebuchet MS" w:hAnsi="Trebuchet MS"/>
                <w:color w:val="000000"/>
                <w:sz w:val="18"/>
                <w:szCs w:val="18"/>
                <w:u w:color="000000"/>
                <w:lang w:val="it-IT" w:eastAsia="de-DE"/>
              </w:rPr>
              <w:t>3131</w:t>
            </w:r>
          </w:p>
          <w:p w:rsidR="0007733F" w:rsidRPr="007A5DD4" w:rsidRDefault="0007733F" w:rsidP="0007733F">
            <w:pPr>
              <w:spacing w:after="0" w:line="260" w:lineRule="atLeast"/>
              <w:ind w:right="255"/>
              <w:jc w:val="right"/>
              <w:rPr>
                <w:rFonts w:ascii="Trebuchet MS" w:hAnsi="Trebuchet MS"/>
                <w:color w:val="000000"/>
                <w:sz w:val="18"/>
                <w:szCs w:val="18"/>
                <w:u w:color="000000"/>
                <w:lang w:val="it-IT" w:eastAsia="de-DE"/>
              </w:rPr>
            </w:pPr>
            <w:r w:rsidRPr="007A5DD4">
              <w:rPr>
                <w:rFonts w:ascii="Trebuchet MS" w:hAnsi="Trebuchet MS"/>
                <w:color w:val="000000"/>
                <w:sz w:val="18"/>
                <w:szCs w:val="18"/>
                <w:u w:color="000000"/>
                <w:lang w:val="it-IT" w:eastAsia="de-DE"/>
              </w:rPr>
              <w:t xml:space="preserve"> F +43 (0)5 90 900-272</w:t>
            </w:r>
          </w:p>
          <w:p w:rsidR="0007733F" w:rsidRPr="007A5DD4" w:rsidRDefault="0007733F" w:rsidP="0007733F">
            <w:pPr>
              <w:spacing w:after="0" w:line="260" w:lineRule="atLeast"/>
              <w:ind w:right="255"/>
              <w:jc w:val="right"/>
              <w:rPr>
                <w:rFonts w:ascii="Trebuchet MS" w:hAnsi="Trebuchet MS"/>
                <w:color w:val="000000"/>
                <w:sz w:val="18"/>
                <w:szCs w:val="18"/>
                <w:u w:color="000000"/>
                <w:lang w:val="it-IT" w:eastAsia="de-DE"/>
              </w:rPr>
            </w:pPr>
            <w:r w:rsidRPr="007A5DD4">
              <w:rPr>
                <w:rFonts w:ascii="Trebuchet MS" w:hAnsi="Trebuchet MS"/>
                <w:color w:val="000000"/>
                <w:sz w:val="18"/>
                <w:szCs w:val="18"/>
                <w:u w:color="000000"/>
                <w:lang w:val="it-IT" w:eastAsia="de-DE"/>
              </w:rPr>
              <w:t>E</w:t>
            </w:r>
            <w:proofErr w:type="gramStart"/>
            <w:r w:rsidRPr="007A5DD4">
              <w:rPr>
                <w:rFonts w:ascii="Trebuchet MS" w:hAnsi="Trebuchet MS"/>
                <w:color w:val="000000"/>
                <w:sz w:val="18"/>
                <w:szCs w:val="18"/>
                <w:u w:color="000000"/>
                <w:lang w:val="it-IT" w:eastAsia="de-DE"/>
              </w:rPr>
              <w:t xml:space="preserve">  </w:t>
            </w:r>
            <w:proofErr w:type="gramEnd"/>
            <w:r w:rsidRPr="007A5DD4">
              <w:rPr>
                <w:rFonts w:ascii="Trebuchet MS" w:hAnsi="Trebuchet MS"/>
                <w:color w:val="000000"/>
                <w:sz w:val="18"/>
                <w:szCs w:val="18"/>
                <w:u w:color="000000"/>
                <w:lang w:val="it-IT" w:eastAsia="de-DE"/>
              </w:rPr>
              <w:t>bsbv@wko.at</w:t>
            </w:r>
          </w:p>
          <w:p w:rsidR="0007733F" w:rsidRPr="00617001" w:rsidRDefault="0007733F" w:rsidP="0007733F">
            <w:pPr>
              <w:spacing w:after="0" w:line="260" w:lineRule="atLeast"/>
              <w:ind w:right="255"/>
              <w:jc w:val="right"/>
              <w:rPr>
                <w:rFonts w:ascii="Trebuchet MS" w:hAnsi="Trebuchet MS"/>
                <w:color w:val="000000"/>
                <w:sz w:val="18"/>
                <w:szCs w:val="18"/>
                <w:highlight w:val="cyan"/>
                <w:u w:color="000000"/>
                <w:lang w:val="en-GB" w:eastAsia="de-DE"/>
              </w:rPr>
            </w:pPr>
            <w:r w:rsidRPr="00617001">
              <w:rPr>
                <w:rFonts w:ascii="Trebuchet MS" w:hAnsi="Trebuchet MS"/>
                <w:color w:val="000000"/>
                <w:sz w:val="18"/>
                <w:szCs w:val="18"/>
                <w:u w:color="000000"/>
                <w:lang w:val="en-GB" w:eastAsia="de-DE"/>
              </w:rPr>
              <w:t>W  http://wko.at/bsbv</w:t>
            </w:r>
          </w:p>
        </w:tc>
      </w:tr>
    </w:tbl>
    <w:p w:rsidR="0007733F" w:rsidRPr="00617001" w:rsidRDefault="00262450" w:rsidP="00271F3A">
      <w:pPr>
        <w:tabs>
          <w:tab w:val="left" w:pos="2977"/>
          <w:tab w:val="left" w:pos="5954"/>
          <w:tab w:val="left" w:pos="7371"/>
          <w:tab w:val="left" w:pos="8364"/>
        </w:tabs>
        <w:spacing w:after="0" w:line="240" w:lineRule="auto"/>
        <w:rPr>
          <w:sz w:val="16"/>
          <w:lang w:val="en-GB"/>
        </w:rPr>
      </w:pPr>
      <w:r w:rsidRPr="00617001">
        <w:rPr>
          <w:sz w:val="16"/>
          <w:lang w:val="en-GB"/>
        </w:rPr>
        <w:t xml:space="preserve">Your reference, </w:t>
      </w:r>
      <w:proofErr w:type="gramStart"/>
      <w:r w:rsidRPr="00617001">
        <w:rPr>
          <w:sz w:val="16"/>
          <w:lang w:val="en-GB"/>
        </w:rPr>
        <w:t>Your</w:t>
      </w:r>
      <w:proofErr w:type="gramEnd"/>
      <w:r w:rsidRPr="00617001">
        <w:rPr>
          <w:sz w:val="16"/>
          <w:lang w:val="en-GB"/>
        </w:rPr>
        <w:t xml:space="preserve"> message of</w:t>
      </w:r>
      <w:r w:rsidR="0007733F" w:rsidRPr="00617001">
        <w:rPr>
          <w:sz w:val="16"/>
          <w:lang w:val="en-GB"/>
        </w:rPr>
        <w:tab/>
      </w:r>
      <w:r w:rsidRPr="00617001">
        <w:rPr>
          <w:sz w:val="16"/>
          <w:lang w:val="en-GB"/>
        </w:rPr>
        <w:t>Our reference, contact person</w:t>
      </w:r>
      <w:r w:rsidR="0007733F" w:rsidRPr="00617001">
        <w:rPr>
          <w:sz w:val="16"/>
          <w:lang w:val="en-GB"/>
        </w:rPr>
        <w:tab/>
      </w:r>
      <w:r w:rsidRPr="00617001">
        <w:rPr>
          <w:sz w:val="16"/>
          <w:lang w:val="en-GB"/>
        </w:rPr>
        <w:t>Extension</w:t>
      </w:r>
      <w:r w:rsidR="0007733F" w:rsidRPr="00617001">
        <w:rPr>
          <w:sz w:val="16"/>
          <w:lang w:val="en-GB"/>
        </w:rPr>
        <w:tab/>
      </w:r>
      <w:r w:rsidRPr="00617001">
        <w:rPr>
          <w:sz w:val="16"/>
          <w:lang w:val="en-GB"/>
        </w:rPr>
        <w:t>Date</w:t>
      </w:r>
    </w:p>
    <w:p w:rsidR="0007733F" w:rsidRPr="00B43B0B" w:rsidRDefault="0007733F" w:rsidP="00271F3A">
      <w:pPr>
        <w:tabs>
          <w:tab w:val="left" w:pos="2977"/>
          <w:tab w:val="left" w:pos="5954"/>
          <w:tab w:val="left" w:pos="7371"/>
          <w:tab w:val="left" w:pos="8364"/>
        </w:tabs>
        <w:spacing w:after="0" w:line="280" w:lineRule="atLeast"/>
        <w:ind w:right="-1"/>
        <w:rPr>
          <w:rFonts w:ascii="Trebuchet MS" w:hAnsi="Trebuchet MS"/>
          <w:color w:val="000000"/>
          <w:u w:color="000000"/>
          <w:lang w:val="de-AT"/>
        </w:rPr>
      </w:pPr>
      <w:r w:rsidRPr="00617001">
        <w:rPr>
          <w:color w:val="000000"/>
          <w:sz w:val="24"/>
          <w:szCs w:val="24"/>
          <w:u w:color="000000"/>
          <w:lang w:val="en-GB"/>
        </w:rPr>
        <w:tab/>
      </w:r>
      <w:r w:rsidRPr="00B43B0B">
        <w:rPr>
          <w:rFonts w:ascii="Trebuchet MS" w:hAnsi="Trebuchet MS"/>
          <w:color w:val="000000"/>
          <w:u w:color="000000"/>
          <w:lang w:val="de-AT"/>
        </w:rPr>
        <w:t xml:space="preserve">BSBV </w:t>
      </w:r>
      <w:r w:rsidR="00091316" w:rsidRPr="00B43B0B">
        <w:rPr>
          <w:rFonts w:ascii="Trebuchet MS" w:hAnsi="Trebuchet MS"/>
          <w:color w:val="000000"/>
          <w:u w:color="000000"/>
          <w:lang w:val="de-AT"/>
        </w:rPr>
        <w:t xml:space="preserve">64/Dr. </w:t>
      </w:r>
      <w:r w:rsidR="00FB7AB2">
        <w:rPr>
          <w:rFonts w:ascii="Trebuchet MS" w:hAnsi="Trebuchet MS"/>
          <w:color w:val="000000"/>
          <w:u w:color="000000"/>
          <w:lang w:val="de-AT"/>
        </w:rPr>
        <w:t>Rudorfer/St</w:t>
      </w:r>
      <w:r w:rsidR="00271F3A">
        <w:rPr>
          <w:rFonts w:ascii="Trebuchet MS" w:hAnsi="Trebuchet MS"/>
          <w:color w:val="000000"/>
          <w:u w:color="000000"/>
          <w:lang w:val="de-AT"/>
        </w:rPr>
        <w:tab/>
        <w:t>313</w:t>
      </w:r>
      <w:r w:rsidR="00FB7AB2">
        <w:rPr>
          <w:rFonts w:ascii="Trebuchet MS" w:hAnsi="Trebuchet MS"/>
          <w:color w:val="000000"/>
          <w:u w:color="000000"/>
          <w:lang w:val="de-AT"/>
        </w:rPr>
        <w:t>7</w:t>
      </w:r>
      <w:r w:rsidRPr="00B43B0B">
        <w:rPr>
          <w:rFonts w:ascii="Trebuchet MS" w:hAnsi="Trebuchet MS"/>
          <w:color w:val="000000"/>
          <w:u w:color="000000"/>
          <w:lang w:val="de-AT"/>
        </w:rPr>
        <w:tab/>
      </w:r>
      <w:r w:rsidR="00FB7AB2">
        <w:rPr>
          <w:rFonts w:ascii="Trebuchet MS" w:hAnsi="Trebuchet MS"/>
          <w:color w:val="000000"/>
          <w:u w:color="000000"/>
          <w:lang w:val="de-AT"/>
        </w:rPr>
        <w:t>19.3.</w:t>
      </w:r>
      <w:r w:rsidR="00271F3A">
        <w:rPr>
          <w:rFonts w:ascii="Trebuchet MS" w:hAnsi="Trebuchet MS"/>
          <w:color w:val="000000"/>
          <w:u w:color="000000"/>
          <w:lang w:val="de-AT"/>
        </w:rPr>
        <w:t>2012</w:t>
      </w:r>
    </w:p>
    <w:p w:rsidR="0007733F" w:rsidRPr="00B43B0B" w:rsidRDefault="0007733F" w:rsidP="0007733F">
      <w:pPr>
        <w:tabs>
          <w:tab w:val="left" w:pos="2977"/>
        </w:tabs>
        <w:spacing w:after="0" w:line="240" w:lineRule="auto"/>
        <w:rPr>
          <w:rFonts w:ascii="Trebuchet MS" w:hAnsi="Trebuchet MS"/>
          <w:color w:val="000000"/>
          <w:u w:color="000000"/>
          <w:lang w:val="de-AT"/>
        </w:rPr>
      </w:pPr>
      <w:r w:rsidRPr="00B43B0B">
        <w:rPr>
          <w:rFonts w:ascii="Trebuchet MS" w:hAnsi="Trebuchet MS"/>
          <w:color w:val="000000"/>
          <w:u w:color="000000"/>
          <w:lang w:val="de-AT"/>
        </w:rPr>
        <w:tab/>
      </w:r>
    </w:p>
    <w:p w:rsidR="0007733F" w:rsidRPr="00B43B0B" w:rsidRDefault="0007733F" w:rsidP="0007733F">
      <w:pPr>
        <w:spacing w:after="0" w:line="240" w:lineRule="auto"/>
        <w:rPr>
          <w:color w:val="000000"/>
          <w:sz w:val="24"/>
          <w:szCs w:val="24"/>
          <w:u w:color="000000"/>
          <w:lang w:val="de-AT"/>
        </w:rPr>
      </w:pPr>
    </w:p>
    <w:p w:rsidR="00091316" w:rsidRDefault="00027A3E" w:rsidP="00091316">
      <w:pPr>
        <w:spacing w:after="0" w:line="240" w:lineRule="auto"/>
        <w:rPr>
          <w:rFonts w:ascii="Trebuchet MS" w:hAnsi="Trebuchet MS"/>
          <w:b/>
          <w:sz w:val="28"/>
          <w:szCs w:val="24"/>
          <w:u w:color="000000"/>
          <w:lang w:val="en-GB"/>
        </w:rPr>
      </w:pPr>
      <w:r>
        <w:rPr>
          <w:rFonts w:ascii="Trebuchet MS" w:hAnsi="Trebuchet MS"/>
          <w:b/>
          <w:sz w:val="28"/>
          <w:szCs w:val="24"/>
          <w:u w:color="000000"/>
          <w:lang w:val="en-GB"/>
        </w:rPr>
        <w:t xml:space="preserve">ESMA- </w:t>
      </w:r>
      <w:r w:rsidR="00FB7AB2">
        <w:rPr>
          <w:rFonts w:ascii="Trebuchet MS" w:hAnsi="Trebuchet MS"/>
          <w:b/>
          <w:sz w:val="28"/>
          <w:szCs w:val="24"/>
          <w:u w:color="000000"/>
          <w:lang w:val="en-GB"/>
        </w:rPr>
        <w:t xml:space="preserve">Technical Standards for the Regulation on OTC Derivatives, CCPs and Trade Repositories </w:t>
      </w:r>
      <w:r>
        <w:rPr>
          <w:rFonts w:ascii="Trebuchet MS" w:hAnsi="Trebuchet MS"/>
          <w:b/>
          <w:sz w:val="28"/>
          <w:szCs w:val="24"/>
          <w:u w:color="000000"/>
          <w:lang w:val="en-GB"/>
        </w:rPr>
        <w:t xml:space="preserve"> </w:t>
      </w:r>
    </w:p>
    <w:p w:rsidR="00C26A60" w:rsidRPr="00B43B0B" w:rsidRDefault="00C26A60" w:rsidP="00091316">
      <w:pPr>
        <w:spacing w:after="0" w:line="240" w:lineRule="auto"/>
        <w:rPr>
          <w:rFonts w:ascii="Trebuchet MS" w:hAnsi="Trebuchet MS"/>
          <w:b/>
          <w:sz w:val="28"/>
          <w:szCs w:val="24"/>
          <w:u w:color="000000"/>
          <w:lang w:val="en-GB"/>
        </w:rPr>
      </w:pPr>
    </w:p>
    <w:p w:rsidR="00142339" w:rsidRPr="00142339" w:rsidRDefault="00142339" w:rsidP="00142339">
      <w:pPr>
        <w:spacing w:after="0" w:line="240" w:lineRule="auto"/>
        <w:rPr>
          <w:rFonts w:ascii="Trebuchet MS" w:hAnsi="Trebuchet MS"/>
          <w:color w:val="000000"/>
          <w:szCs w:val="24"/>
          <w:u w:color="000000"/>
          <w:lang w:val="en-GB"/>
        </w:rPr>
      </w:pPr>
      <w:r w:rsidRPr="00142339">
        <w:rPr>
          <w:rFonts w:ascii="Trebuchet MS" w:hAnsi="Trebuchet MS"/>
          <w:color w:val="000000"/>
          <w:szCs w:val="24"/>
          <w:u w:color="000000"/>
          <w:lang w:val="en-GB"/>
        </w:rPr>
        <w:t>The Bank and Insurance Department of the Federal Economic Chamber appreciates the possibility to comment</w:t>
      </w:r>
      <w:r w:rsidR="00860A70">
        <w:rPr>
          <w:rFonts w:ascii="Trebuchet MS" w:hAnsi="Trebuchet MS"/>
          <w:color w:val="000000"/>
          <w:szCs w:val="24"/>
          <w:u w:color="000000"/>
          <w:lang w:val="en-GB"/>
        </w:rPr>
        <w:t xml:space="preserve"> on</w:t>
      </w:r>
      <w:r w:rsidRPr="00142339">
        <w:rPr>
          <w:rFonts w:ascii="Trebuchet MS" w:hAnsi="Trebuchet MS"/>
          <w:color w:val="000000"/>
          <w:szCs w:val="24"/>
          <w:u w:color="000000"/>
          <w:lang w:val="en-GB"/>
        </w:rPr>
        <w:t xml:space="preserve"> </w:t>
      </w:r>
      <w:r>
        <w:rPr>
          <w:rFonts w:ascii="Trebuchet MS" w:hAnsi="Trebuchet MS"/>
          <w:color w:val="000000"/>
          <w:szCs w:val="24"/>
          <w:u w:color="000000"/>
          <w:lang w:val="en-GB"/>
        </w:rPr>
        <w:t>ESMA</w:t>
      </w:r>
      <w:r w:rsidR="00860A70">
        <w:rPr>
          <w:rFonts w:ascii="Trebuchet MS" w:hAnsi="Trebuchet MS"/>
          <w:color w:val="000000"/>
          <w:szCs w:val="24"/>
          <w:u w:color="000000"/>
          <w:lang w:val="en-GB"/>
        </w:rPr>
        <w:t>´s</w:t>
      </w:r>
      <w:r>
        <w:rPr>
          <w:rFonts w:ascii="Trebuchet MS" w:hAnsi="Trebuchet MS"/>
          <w:color w:val="000000"/>
          <w:szCs w:val="24"/>
          <w:u w:color="000000"/>
          <w:lang w:val="en-GB"/>
        </w:rPr>
        <w:t xml:space="preserve"> - </w:t>
      </w:r>
      <w:r w:rsidRPr="00142339">
        <w:rPr>
          <w:rFonts w:ascii="Trebuchet MS" w:hAnsi="Trebuchet MS"/>
          <w:color w:val="000000"/>
          <w:szCs w:val="24"/>
          <w:u w:color="000000"/>
          <w:lang w:val="en-GB"/>
        </w:rPr>
        <w:t xml:space="preserve">Technical Standards </w:t>
      </w:r>
      <w:r>
        <w:rPr>
          <w:rFonts w:ascii="Trebuchet MS" w:hAnsi="Trebuchet MS"/>
          <w:color w:val="000000"/>
          <w:szCs w:val="24"/>
          <w:u w:color="000000"/>
          <w:lang w:val="en-GB"/>
        </w:rPr>
        <w:t>for Regulation on OTC Derivatives, CCPs and Trade Repositories</w:t>
      </w:r>
      <w:r w:rsidRPr="00142339">
        <w:rPr>
          <w:rFonts w:ascii="Trebuchet MS" w:hAnsi="Trebuchet MS"/>
          <w:color w:val="000000"/>
          <w:szCs w:val="24"/>
          <w:u w:color="000000"/>
          <w:lang w:val="en-GB"/>
        </w:rPr>
        <w:t>:</w:t>
      </w:r>
    </w:p>
    <w:p w:rsidR="00142339" w:rsidRPr="00142339" w:rsidRDefault="00142339" w:rsidP="00142339">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b/>
          <w:color w:val="000000"/>
          <w:szCs w:val="24"/>
          <w:u w:color="000000"/>
          <w:lang w:val="en-GB"/>
        </w:rPr>
      </w:pPr>
      <w:r w:rsidRPr="005C1643">
        <w:rPr>
          <w:rFonts w:ascii="Trebuchet MS" w:hAnsi="Trebuchet MS"/>
          <w:b/>
          <w:color w:val="000000"/>
          <w:szCs w:val="24"/>
          <w:u w:color="000000"/>
          <w:lang w:val="en-GB"/>
        </w:rPr>
        <w:t xml:space="preserve">Question 3: </w:t>
      </w: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color w:val="000000"/>
          <w:szCs w:val="24"/>
          <w:u w:color="000000"/>
          <w:lang w:val="en-GB"/>
        </w:rPr>
      </w:pPr>
      <w:r w:rsidRPr="005C1643">
        <w:rPr>
          <w:rFonts w:ascii="Trebuchet MS" w:hAnsi="Trebuchet MS"/>
          <w:color w:val="000000"/>
          <w:szCs w:val="24"/>
          <w:u w:color="000000"/>
          <w:lang w:val="en-GB"/>
        </w:rPr>
        <w:t>It is essential that indirect clearing is recognised in EMIR but far more important is the fact that the final setup should guarantee a full and feasible access for all involved counterparties to the central clearing setup. In our understanding this is only possible by providing a functioning and open access to CCPs via indirect clearing arrangements.</w:t>
      </w:r>
    </w:p>
    <w:p w:rsidR="005C1643" w:rsidRPr="005C1643" w:rsidRDefault="005C1643" w:rsidP="005C1643">
      <w:pPr>
        <w:spacing w:after="0" w:line="240" w:lineRule="auto"/>
        <w:rPr>
          <w:rFonts w:ascii="Trebuchet MS" w:hAnsi="Trebuchet MS"/>
          <w:color w:val="000000"/>
          <w:szCs w:val="24"/>
          <w:u w:color="000000"/>
          <w:lang w:val="en-GB"/>
        </w:rPr>
      </w:pPr>
      <w:r w:rsidRPr="005C1643">
        <w:rPr>
          <w:rFonts w:ascii="Trebuchet MS" w:hAnsi="Trebuchet MS"/>
          <w:color w:val="000000"/>
          <w:szCs w:val="24"/>
          <w:u w:color="000000"/>
          <w:lang w:val="en-GB"/>
        </w:rPr>
        <w:t xml:space="preserve">Especially mid-sized regional financial institutions have concerns that their client base might find it difficult to get </w:t>
      </w:r>
      <w:proofErr w:type="spellStart"/>
      <w:r w:rsidRPr="005C1643">
        <w:rPr>
          <w:rFonts w:ascii="Trebuchet MS" w:hAnsi="Trebuchet MS"/>
          <w:color w:val="000000"/>
          <w:szCs w:val="24"/>
          <w:u w:color="000000"/>
          <w:lang w:val="en-GB"/>
        </w:rPr>
        <w:t>onboarded</w:t>
      </w:r>
      <w:proofErr w:type="spellEnd"/>
      <w:r w:rsidRPr="005C1643">
        <w:rPr>
          <w:rFonts w:ascii="Trebuchet MS" w:hAnsi="Trebuchet MS"/>
          <w:color w:val="000000"/>
          <w:szCs w:val="24"/>
          <w:u w:color="000000"/>
          <w:lang w:val="en-GB"/>
        </w:rPr>
        <w:t xml:space="preserve"> or that Direct Clearing members might exploit their position in the clearing chain to profit on the execution side. It has to be guaranteed that the competitive environment is not violated by these developments.</w:t>
      </w:r>
    </w:p>
    <w:p w:rsidR="005C1643" w:rsidRPr="005C1643" w:rsidRDefault="005C1643" w:rsidP="005C1643">
      <w:pPr>
        <w:spacing w:after="0" w:line="240" w:lineRule="auto"/>
        <w:rPr>
          <w:rFonts w:ascii="Trebuchet MS" w:hAnsi="Trebuchet MS"/>
          <w:color w:val="000000"/>
          <w:szCs w:val="24"/>
          <w:u w:color="000000"/>
          <w:lang w:val="en-GB"/>
        </w:rPr>
      </w:pPr>
      <w:r w:rsidRPr="005C1643">
        <w:rPr>
          <w:rFonts w:ascii="Trebuchet MS" w:hAnsi="Trebuchet MS"/>
          <w:color w:val="000000"/>
          <w:szCs w:val="24"/>
          <w:u w:color="000000"/>
          <w:lang w:val="en-GB"/>
        </w:rPr>
        <w:t xml:space="preserve">On another issue, we would like to point out that market participants currently already rely on various types of standardised contractual documentations (master agreements), including the ISDA Master Agreements, the European Master Agreement, </w:t>
      </w:r>
      <w:proofErr w:type="gramStart"/>
      <w:r w:rsidRPr="005C1643">
        <w:rPr>
          <w:rFonts w:ascii="Trebuchet MS" w:hAnsi="Trebuchet MS"/>
          <w:color w:val="000000"/>
          <w:szCs w:val="24"/>
          <w:u w:color="000000"/>
          <w:lang w:val="en-GB"/>
        </w:rPr>
        <w:t>the</w:t>
      </w:r>
      <w:proofErr w:type="gramEnd"/>
      <w:r w:rsidRPr="005C1643">
        <w:rPr>
          <w:rFonts w:ascii="Trebuchet MS" w:hAnsi="Trebuchet MS"/>
          <w:color w:val="000000"/>
          <w:szCs w:val="24"/>
          <w:u w:color="000000"/>
          <w:lang w:val="en-GB"/>
        </w:rPr>
        <w:t xml:space="preserve"> German Master Agreement for Financial Derivative Transaction, etc. These contractual documentations are generally accepted and/or recommended by trading or industry organisations. As a result of their high level of standardisation and as they address key legal issues, in particular close-out netting, they are an important element for mitigating legal and counterparty risks. It could therefore be recommendable that indirect clearing arrangements be based on these master agreements. The requirements should however not recommend or mandate the use of one type of master agreement. Rather, market participants must continue to have a sufficient degree of choice to select the master agreements and thereby also the applicable law best suited to their needs and operational capabilities. </w:t>
      </w: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color w:val="000000"/>
          <w:szCs w:val="24"/>
          <w:u w:color="000000"/>
          <w:lang w:val="en-GB"/>
        </w:rPr>
      </w:pPr>
    </w:p>
    <w:p w:rsidR="005C1643" w:rsidRDefault="005C1643">
      <w:pPr>
        <w:spacing w:after="0" w:line="240" w:lineRule="auto"/>
        <w:rPr>
          <w:rFonts w:ascii="Trebuchet MS" w:hAnsi="Trebuchet MS"/>
          <w:b/>
          <w:color w:val="000000"/>
          <w:szCs w:val="24"/>
          <w:u w:color="000000"/>
          <w:lang w:val="en-GB"/>
        </w:rPr>
      </w:pPr>
      <w:r>
        <w:rPr>
          <w:rFonts w:ascii="Trebuchet MS" w:hAnsi="Trebuchet MS"/>
          <w:b/>
          <w:color w:val="000000"/>
          <w:szCs w:val="24"/>
          <w:u w:color="000000"/>
          <w:lang w:val="en-GB"/>
        </w:rPr>
        <w:br w:type="page"/>
      </w:r>
    </w:p>
    <w:p w:rsidR="005C1643" w:rsidRPr="005C1643" w:rsidRDefault="005C1643" w:rsidP="005C1643">
      <w:pPr>
        <w:spacing w:after="0" w:line="240" w:lineRule="auto"/>
        <w:rPr>
          <w:rFonts w:ascii="Trebuchet MS" w:hAnsi="Trebuchet MS"/>
          <w:b/>
          <w:color w:val="000000"/>
          <w:szCs w:val="24"/>
          <w:u w:color="000000"/>
          <w:lang w:val="en-GB"/>
        </w:rPr>
      </w:pPr>
      <w:r w:rsidRPr="005C1643">
        <w:rPr>
          <w:rFonts w:ascii="Trebuchet MS" w:hAnsi="Trebuchet MS"/>
          <w:b/>
          <w:color w:val="000000"/>
          <w:szCs w:val="24"/>
          <w:u w:color="000000"/>
          <w:lang w:val="en-GB"/>
        </w:rPr>
        <w:lastRenderedPageBreak/>
        <w:t>Questions 4, 5:</w:t>
      </w: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color w:val="000000"/>
          <w:szCs w:val="24"/>
          <w:u w:color="000000"/>
          <w:lang w:val="en-GB"/>
        </w:rPr>
      </w:pPr>
      <w:r w:rsidRPr="005C1643">
        <w:rPr>
          <w:rFonts w:ascii="Trebuchet MS" w:hAnsi="Trebuchet MS"/>
          <w:color w:val="000000"/>
          <w:szCs w:val="24"/>
          <w:u w:color="000000"/>
          <w:lang w:val="en-GB"/>
        </w:rPr>
        <w:t xml:space="preserve">We feel that the inclusion of </w:t>
      </w:r>
      <w:r w:rsidRPr="005C1643">
        <w:rPr>
          <w:rFonts w:ascii="Trebuchet MS" w:hAnsi="Trebuchet MS"/>
          <w:color w:val="000000"/>
          <w:szCs w:val="24"/>
          <w:lang w:val="en-GB"/>
        </w:rPr>
        <w:t>c. Total open interest and trend and d. Depth of orders including average numbers of orders and requests for quotes in</w:t>
      </w:r>
      <w:r w:rsidRPr="005C1643">
        <w:rPr>
          <w:rFonts w:ascii="Trebuchet MS" w:hAnsi="Trebuchet MS"/>
          <w:color w:val="000000"/>
          <w:szCs w:val="24"/>
          <w:u w:color="000000"/>
          <w:lang w:val="en-GB"/>
        </w:rPr>
        <w:t xml:space="preserve"> clause 17 is not appropriate for OTC derivatives and too- far reaching in this context.</w:t>
      </w:r>
    </w:p>
    <w:p w:rsidR="005C1643" w:rsidRPr="005C1643" w:rsidRDefault="005C1643" w:rsidP="005C1643">
      <w:pPr>
        <w:spacing w:after="0" w:line="240" w:lineRule="auto"/>
        <w:rPr>
          <w:rFonts w:ascii="Trebuchet MS" w:hAnsi="Trebuchet MS"/>
          <w:color w:val="000000"/>
          <w:szCs w:val="24"/>
          <w:u w:color="000000"/>
          <w:lang w:val="en-GB"/>
        </w:rPr>
      </w:pPr>
      <w:r w:rsidRPr="005C1643">
        <w:rPr>
          <w:rFonts w:ascii="Trebuchet MS" w:hAnsi="Trebuchet MS"/>
          <w:color w:val="000000"/>
          <w:szCs w:val="24"/>
          <w:u w:color="000000"/>
          <w:lang w:val="en-GB"/>
        </w:rPr>
        <w:t xml:space="preserve">We also believe that the level of standardisation with regard to uniform definitions and legal terminology is not advanced enough at the moment. It would be </w:t>
      </w:r>
      <w:r>
        <w:rPr>
          <w:rFonts w:ascii="Trebuchet MS" w:hAnsi="Trebuchet MS"/>
          <w:color w:val="000000"/>
          <w:szCs w:val="24"/>
          <w:u w:color="000000"/>
          <w:lang w:val="en-GB"/>
        </w:rPr>
        <w:t>important</w:t>
      </w:r>
      <w:r w:rsidRPr="005C1643">
        <w:rPr>
          <w:rFonts w:ascii="Trebuchet MS" w:hAnsi="Trebuchet MS"/>
          <w:color w:val="000000"/>
          <w:szCs w:val="24"/>
          <w:u w:color="000000"/>
          <w:lang w:val="en-GB"/>
        </w:rPr>
        <w:t xml:space="preserve"> to first actually have a unique set of definitions regarding the information to be reported.</w:t>
      </w: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b/>
          <w:color w:val="000000"/>
          <w:szCs w:val="24"/>
          <w:u w:color="000000"/>
          <w:lang w:val="en-GB"/>
        </w:rPr>
      </w:pPr>
      <w:r w:rsidRPr="005C1643">
        <w:rPr>
          <w:rFonts w:ascii="Trebuchet MS" w:hAnsi="Trebuchet MS"/>
          <w:b/>
          <w:color w:val="000000"/>
          <w:szCs w:val="24"/>
          <w:u w:color="000000"/>
          <w:lang w:val="en-GB"/>
        </w:rPr>
        <w:t>Questions 8, 9:</w:t>
      </w: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color w:val="000000"/>
          <w:szCs w:val="24"/>
          <w:u w:color="000000"/>
          <w:lang w:val="en-GB"/>
        </w:rPr>
      </w:pPr>
      <w:r>
        <w:rPr>
          <w:rFonts w:ascii="Trebuchet MS" w:hAnsi="Trebuchet MS"/>
          <w:color w:val="000000"/>
          <w:szCs w:val="24"/>
          <w:u w:color="000000"/>
          <w:lang w:val="en-GB"/>
        </w:rPr>
        <w:t>I</w:t>
      </w:r>
      <w:r w:rsidRPr="005C1643">
        <w:rPr>
          <w:rFonts w:ascii="Trebuchet MS" w:hAnsi="Trebuchet MS"/>
          <w:color w:val="000000"/>
          <w:szCs w:val="24"/>
          <w:u w:color="000000"/>
          <w:lang w:val="en-GB"/>
        </w:rPr>
        <w:t xml:space="preserve">t is essential that after determining a class of derivatives there should not be any ambiguity regarding the central clearing obligation thereof. We feel that a set of characteristics might not be enough to be able to determine whether a specific trade has to be centrally cleared or not. Unambiguous identification of derivatives affected by the clearing obligation is most important. </w:t>
      </w: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b/>
          <w:color w:val="000000"/>
          <w:szCs w:val="24"/>
          <w:u w:color="000000"/>
          <w:lang w:val="en-GB"/>
        </w:rPr>
      </w:pPr>
      <w:r w:rsidRPr="005C1643">
        <w:rPr>
          <w:rFonts w:ascii="Trebuchet MS" w:hAnsi="Trebuchet MS"/>
          <w:b/>
          <w:color w:val="000000"/>
          <w:szCs w:val="24"/>
          <w:u w:color="000000"/>
          <w:lang w:val="en-GB"/>
        </w:rPr>
        <w:t>Question 10:</w:t>
      </w: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color w:val="000000"/>
          <w:szCs w:val="24"/>
          <w:u w:color="000000"/>
          <w:lang w:val="en-GB"/>
        </w:rPr>
      </w:pPr>
      <w:r w:rsidRPr="005C1643">
        <w:rPr>
          <w:rFonts w:ascii="Trebuchet MS" w:hAnsi="Trebuchet MS"/>
          <w:color w:val="000000"/>
          <w:szCs w:val="24"/>
          <w:u w:color="000000"/>
          <w:lang w:val="en-GB"/>
        </w:rPr>
        <w:t>We feel that the wording in clause 29 is particularly inappropriate as it leaves room for further discussions and interpretation which in this specific area is particularly detrimental. Especially in 29 b) we see the need to add the terms “credit spread, commodities and equity price changes” at the end of the clause as further drivers of changes in the value of market products.</w:t>
      </w: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b/>
          <w:color w:val="000000"/>
          <w:szCs w:val="24"/>
          <w:u w:color="000000"/>
          <w:lang w:val="en-GB"/>
        </w:rPr>
      </w:pPr>
      <w:r w:rsidRPr="005C1643">
        <w:rPr>
          <w:rFonts w:ascii="Trebuchet MS" w:hAnsi="Trebuchet MS"/>
          <w:b/>
          <w:color w:val="000000"/>
          <w:szCs w:val="24"/>
          <w:u w:color="000000"/>
          <w:lang w:val="en-GB"/>
        </w:rPr>
        <w:t>Questions 11:</w:t>
      </w: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color w:val="000000"/>
          <w:szCs w:val="24"/>
          <w:u w:color="000000"/>
          <w:lang w:val="en-GB"/>
        </w:rPr>
      </w:pPr>
      <w:r w:rsidRPr="005C1643">
        <w:rPr>
          <w:rFonts w:ascii="Trebuchet MS" w:hAnsi="Trebuchet MS"/>
          <w:color w:val="000000"/>
          <w:szCs w:val="24"/>
          <w:u w:color="000000"/>
          <w:lang w:val="en-GB"/>
        </w:rPr>
        <w:t>General: we feel that the assumption of ESMA is not in line with the motivation of EMIR to exclude non-financials unless their trading volume and/or exposure is causing systemic risk. Given this basic line we feel that the combined package for determining the range when non-financials should be covered should provide for this.</w:t>
      </w:r>
    </w:p>
    <w:p w:rsidR="005C1643" w:rsidRPr="005C1643" w:rsidRDefault="005C1643" w:rsidP="005C1643">
      <w:pPr>
        <w:spacing w:after="0" w:line="240" w:lineRule="auto"/>
        <w:rPr>
          <w:rFonts w:ascii="Trebuchet MS" w:hAnsi="Trebuchet MS"/>
          <w:color w:val="000000"/>
          <w:szCs w:val="24"/>
          <w:u w:color="000000"/>
          <w:lang w:val="en-GB"/>
        </w:rPr>
      </w:pPr>
      <w:r w:rsidRPr="005C1643">
        <w:rPr>
          <w:rFonts w:ascii="Trebuchet MS" w:hAnsi="Trebuchet MS"/>
          <w:color w:val="000000"/>
          <w:szCs w:val="24"/>
          <w:u w:color="000000"/>
          <w:lang w:val="en-GB"/>
        </w:rPr>
        <w:t>Therefore we feel that either that threshold is set at a higher level or the acceptance of hedging transactions as exempted transaction is interpreted in an extensive way.</w:t>
      </w: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color w:val="000000"/>
          <w:szCs w:val="24"/>
          <w:u w:color="000000"/>
          <w:lang w:val="en-GB"/>
        </w:rPr>
      </w:pPr>
      <w:r w:rsidRPr="005C1643">
        <w:rPr>
          <w:rFonts w:ascii="Trebuchet MS" w:hAnsi="Trebuchet MS"/>
          <w:color w:val="000000"/>
          <w:szCs w:val="24"/>
          <w:u w:color="000000"/>
          <w:lang w:val="en-GB"/>
        </w:rPr>
        <w:t>We believe that a threshold by asset class would indeed be onerous and heed potential additional operational and other problems (e.g. regarding the definition of relevant asset classes) for credit institutions as well as for the relevant authorities.</w:t>
      </w: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b/>
          <w:color w:val="000000"/>
          <w:szCs w:val="24"/>
          <w:u w:color="000000"/>
          <w:lang w:val="en-GB"/>
        </w:rPr>
      </w:pPr>
      <w:r w:rsidRPr="005C1643">
        <w:rPr>
          <w:rFonts w:ascii="Trebuchet MS" w:hAnsi="Trebuchet MS"/>
          <w:b/>
          <w:color w:val="000000"/>
          <w:szCs w:val="24"/>
          <w:u w:color="000000"/>
          <w:lang w:val="en-GB"/>
        </w:rPr>
        <w:t>Questions 12, 13:</w:t>
      </w: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color w:val="000000"/>
          <w:szCs w:val="24"/>
          <w:u w:color="000000"/>
          <w:lang w:val="en-GB"/>
        </w:rPr>
      </w:pPr>
      <w:r w:rsidRPr="005C1643">
        <w:rPr>
          <w:rFonts w:ascii="Trebuchet MS" w:hAnsi="Trebuchet MS"/>
          <w:color w:val="000000"/>
          <w:szCs w:val="24"/>
          <w:u w:color="000000"/>
          <w:lang w:val="en-GB"/>
        </w:rPr>
        <w:t xml:space="preserve">We consider the view on the derivatives market and the confirmation process displayed in the paper as rather unrealistic. </w:t>
      </w: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color w:val="000000"/>
          <w:szCs w:val="24"/>
          <w:u w:color="000000"/>
          <w:lang w:val="en-GB"/>
        </w:rPr>
      </w:pPr>
      <w:r w:rsidRPr="005C1643">
        <w:rPr>
          <w:rFonts w:ascii="Trebuchet MS" w:hAnsi="Trebuchet MS"/>
          <w:color w:val="000000"/>
          <w:szCs w:val="24"/>
          <w:u w:color="000000"/>
          <w:lang w:val="en-GB"/>
        </w:rPr>
        <w:t xml:space="preserve">It is important to note here that the infrastructure around electronic execution and confirmation is still developing. There exist great differences depending on the kind of derivative market one considers. While some markets for derivatives are better developed (e.g. for interest derivatives) and it might be realistic to reach confirmation intervals close to the regulation’s requirements after a phase-in period, others cannot be expected to even build up the necessary infrastructure anytime soon. With respect to some of the </w:t>
      </w:r>
      <w:bookmarkStart w:id="1" w:name="_GoBack"/>
      <w:bookmarkEnd w:id="1"/>
      <w:r w:rsidRPr="005C1643">
        <w:rPr>
          <w:rFonts w:ascii="Trebuchet MS" w:hAnsi="Trebuchet MS"/>
          <w:color w:val="000000"/>
          <w:szCs w:val="24"/>
          <w:u w:color="000000"/>
          <w:lang w:val="en-GB"/>
        </w:rPr>
        <w:t>bespoke transactions it could be that no adequate electronic system is available at all and the drafting processes in this respect might be considerably longer than the time frames indicated in the paper.</w:t>
      </w: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color w:val="000000"/>
          <w:szCs w:val="24"/>
          <w:u w:color="000000"/>
          <w:lang w:val="en-GB"/>
        </w:rPr>
      </w:pPr>
      <w:r w:rsidRPr="005C1643">
        <w:rPr>
          <w:rFonts w:ascii="Trebuchet MS" w:hAnsi="Trebuchet MS"/>
          <w:color w:val="000000"/>
          <w:szCs w:val="24"/>
          <w:u w:color="000000"/>
          <w:lang w:val="en-GB"/>
        </w:rPr>
        <w:t>We would additionally like to stress, that for smaller institutions the arrangement for the necessary infrastructure could be an existential problem. Existing infrastructure might not be adequate and thus might make it hard for these institutions to participate in the relevant markets in the future.</w:t>
      </w: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b/>
          <w:color w:val="000000"/>
          <w:szCs w:val="24"/>
          <w:u w:color="000000"/>
          <w:lang w:val="en-GB"/>
        </w:rPr>
      </w:pPr>
      <w:r w:rsidRPr="005C1643">
        <w:rPr>
          <w:rFonts w:ascii="Trebuchet MS" w:hAnsi="Trebuchet MS"/>
          <w:b/>
          <w:color w:val="000000"/>
          <w:szCs w:val="24"/>
          <w:u w:color="000000"/>
          <w:lang w:val="en-GB"/>
        </w:rPr>
        <w:t>Question 17:</w:t>
      </w: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color w:val="000000"/>
          <w:szCs w:val="24"/>
          <w:u w:color="000000"/>
          <w:lang w:val="en-GB"/>
        </w:rPr>
      </w:pPr>
      <w:r w:rsidRPr="005C1643">
        <w:rPr>
          <w:rFonts w:ascii="Trebuchet MS" w:hAnsi="Trebuchet MS"/>
          <w:color w:val="000000"/>
          <w:szCs w:val="24"/>
          <w:u w:color="000000"/>
          <w:lang w:val="en-GB"/>
        </w:rPr>
        <w:t xml:space="preserve">Due to the necessity to keep swaps alive which belong to a hedge accounting relationship not all centrally cleared swaps can be deemed to be eligible for portfolio compression. Therefore we do not feel that a mandatory and frequent trade compression regime is beneficial and should therefore be left to the market participants. In addition to the danger of potentially destroying well-thought through micro-hedging arrangements, we want to point out the high level of additional costs taking part in portfolio compression cycles mean to the houses. </w:t>
      </w: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color w:val="000000"/>
          <w:szCs w:val="24"/>
          <w:u w:color="000000"/>
          <w:lang w:val="en-GB"/>
        </w:rPr>
      </w:pPr>
    </w:p>
    <w:p w:rsidR="005C1643" w:rsidRPr="005C1643" w:rsidRDefault="005C1643" w:rsidP="005C1643">
      <w:pPr>
        <w:spacing w:after="0" w:line="240" w:lineRule="auto"/>
        <w:rPr>
          <w:rFonts w:ascii="Trebuchet MS" w:hAnsi="Trebuchet MS"/>
          <w:b/>
          <w:color w:val="000000"/>
          <w:szCs w:val="24"/>
          <w:u w:color="000000"/>
        </w:rPr>
      </w:pPr>
      <w:r w:rsidRPr="005C1643">
        <w:rPr>
          <w:rFonts w:ascii="Trebuchet MS" w:hAnsi="Trebuchet MS"/>
          <w:b/>
          <w:color w:val="000000"/>
          <w:szCs w:val="24"/>
          <w:u w:color="000000"/>
        </w:rPr>
        <w:t>Question 69:</w:t>
      </w:r>
    </w:p>
    <w:p w:rsidR="005C1643" w:rsidRPr="005C1643" w:rsidRDefault="005C1643" w:rsidP="005C1643">
      <w:pPr>
        <w:spacing w:after="0" w:line="240" w:lineRule="auto"/>
        <w:rPr>
          <w:rFonts w:ascii="Trebuchet MS" w:hAnsi="Trebuchet MS"/>
          <w:color w:val="000000"/>
          <w:szCs w:val="24"/>
          <w:u w:color="000000"/>
        </w:rPr>
      </w:pPr>
    </w:p>
    <w:p w:rsidR="005C1643" w:rsidRPr="005C1643" w:rsidRDefault="005C1643" w:rsidP="005C1643">
      <w:pPr>
        <w:spacing w:after="0" w:line="240" w:lineRule="auto"/>
        <w:rPr>
          <w:rFonts w:ascii="Trebuchet MS" w:hAnsi="Trebuchet MS"/>
          <w:color w:val="000000"/>
          <w:szCs w:val="24"/>
          <w:u w:color="000000"/>
        </w:rPr>
      </w:pPr>
      <w:r w:rsidRPr="005C1643">
        <w:rPr>
          <w:rFonts w:ascii="Trebuchet MS" w:hAnsi="Trebuchet MS"/>
          <w:color w:val="000000"/>
          <w:szCs w:val="24"/>
          <w:u w:color="000000"/>
        </w:rPr>
        <w:t>We suggest that consistency on reporting mechanism is ensured by:</w:t>
      </w:r>
    </w:p>
    <w:p w:rsidR="005C1643" w:rsidRPr="005C1643" w:rsidRDefault="005C1643" w:rsidP="005C1643">
      <w:pPr>
        <w:spacing w:after="0" w:line="240" w:lineRule="auto"/>
        <w:rPr>
          <w:rFonts w:ascii="Trebuchet MS" w:hAnsi="Trebuchet MS"/>
          <w:color w:val="000000"/>
          <w:szCs w:val="24"/>
          <w:u w:color="000000"/>
        </w:rPr>
      </w:pPr>
    </w:p>
    <w:p w:rsidR="005C1643" w:rsidRPr="005C1643" w:rsidRDefault="005C1643" w:rsidP="005C1643">
      <w:pPr>
        <w:numPr>
          <w:ilvl w:val="0"/>
          <w:numId w:val="1"/>
        </w:numPr>
        <w:spacing w:after="0" w:line="240" w:lineRule="auto"/>
        <w:rPr>
          <w:rFonts w:ascii="Trebuchet MS" w:hAnsi="Trebuchet MS"/>
          <w:color w:val="000000"/>
          <w:szCs w:val="24"/>
          <w:u w:color="000000"/>
        </w:rPr>
      </w:pPr>
      <w:r w:rsidRPr="005C1643">
        <w:rPr>
          <w:rFonts w:ascii="Trebuchet MS" w:hAnsi="Trebuchet MS"/>
          <w:color w:val="000000"/>
          <w:szCs w:val="24"/>
          <w:u w:color="000000"/>
        </w:rPr>
        <w:t xml:space="preserve">To improve the benefit of Central Clearing counterparties to trades which are centrally cleared should be free to choose commissioning the </w:t>
      </w:r>
      <w:proofErr w:type="gramStart"/>
      <w:r w:rsidRPr="005C1643">
        <w:rPr>
          <w:rFonts w:ascii="Trebuchet MS" w:hAnsi="Trebuchet MS"/>
          <w:color w:val="000000"/>
          <w:szCs w:val="24"/>
          <w:u w:color="000000"/>
        </w:rPr>
        <w:t>CCP  or</w:t>
      </w:r>
      <w:proofErr w:type="gramEnd"/>
      <w:r w:rsidRPr="005C1643">
        <w:rPr>
          <w:rFonts w:ascii="Trebuchet MS" w:hAnsi="Trebuchet MS"/>
          <w:color w:val="000000"/>
          <w:szCs w:val="24"/>
          <w:u w:color="000000"/>
        </w:rPr>
        <w:t xml:space="preserve"> affirmation platform with the reporting if possible. It should however also be possible for the counterparties to report the trade themselves. We would suggest a phase-in period where workable arrangements could be tested.</w:t>
      </w:r>
    </w:p>
    <w:p w:rsidR="005C1643" w:rsidRPr="005C1643" w:rsidRDefault="005C1643" w:rsidP="005C1643">
      <w:pPr>
        <w:numPr>
          <w:ilvl w:val="0"/>
          <w:numId w:val="1"/>
        </w:numPr>
        <w:spacing w:after="0" w:line="240" w:lineRule="auto"/>
        <w:rPr>
          <w:rFonts w:ascii="Trebuchet MS" w:hAnsi="Trebuchet MS"/>
          <w:color w:val="000000"/>
          <w:szCs w:val="24"/>
          <w:u w:color="000000"/>
        </w:rPr>
      </w:pPr>
      <w:r w:rsidRPr="005C1643">
        <w:rPr>
          <w:rFonts w:ascii="Trebuchet MS" w:hAnsi="Trebuchet MS"/>
          <w:color w:val="000000"/>
          <w:szCs w:val="24"/>
          <w:u w:color="000000"/>
        </w:rPr>
        <w:t>Rules for Reporting “on behalf of” should be kept simple. Building up an infrastructure for reporting will be expensive and smaller participants will no longer be able to afford hedging via OTC due to the high additional costs.</w:t>
      </w:r>
    </w:p>
    <w:p w:rsidR="005C1643" w:rsidRPr="005C1643" w:rsidRDefault="005C1643" w:rsidP="005C1643">
      <w:pPr>
        <w:numPr>
          <w:ilvl w:val="0"/>
          <w:numId w:val="1"/>
        </w:numPr>
        <w:spacing w:after="0" w:line="240" w:lineRule="auto"/>
        <w:rPr>
          <w:rFonts w:ascii="Trebuchet MS" w:hAnsi="Trebuchet MS"/>
          <w:color w:val="000000"/>
          <w:szCs w:val="24"/>
          <w:u w:color="000000"/>
        </w:rPr>
      </w:pPr>
      <w:r w:rsidRPr="005C1643">
        <w:rPr>
          <w:rFonts w:ascii="Trebuchet MS" w:hAnsi="Trebuchet MS"/>
          <w:color w:val="000000"/>
          <w:szCs w:val="24"/>
          <w:u w:color="000000"/>
        </w:rPr>
        <w:t>Are there any rules in place who will decide at which Repository the reporting will take place, who selects a UPI/USI (only dealers, the calculation agent….)</w:t>
      </w:r>
    </w:p>
    <w:p w:rsidR="005C1643" w:rsidRPr="005C1643" w:rsidRDefault="005C1643" w:rsidP="005C1643">
      <w:pPr>
        <w:spacing w:after="0" w:line="240" w:lineRule="auto"/>
        <w:rPr>
          <w:rFonts w:ascii="Trebuchet MS" w:hAnsi="Trebuchet MS"/>
          <w:color w:val="000000"/>
          <w:szCs w:val="24"/>
          <w:u w:color="000000"/>
        </w:rPr>
      </w:pPr>
    </w:p>
    <w:p w:rsidR="005C1643" w:rsidRPr="005C1643" w:rsidRDefault="005C1643" w:rsidP="005C1643">
      <w:pPr>
        <w:spacing w:after="0" w:line="240" w:lineRule="auto"/>
        <w:rPr>
          <w:rFonts w:ascii="Trebuchet MS" w:hAnsi="Trebuchet MS"/>
          <w:color w:val="000000"/>
          <w:szCs w:val="24"/>
          <w:u w:color="000000"/>
        </w:rPr>
      </w:pPr>
    </w:p>
    <w:p w:rsidR="005C1643" w:rsidRPr="005C1643" w:rsidRDefault="005C1643" w:rsidP="005C1643">
      <w:pPr>
        <w:spacing w:after="0" w:line="240" w:lineRule="auto"/>
        <w:rPr>
          <w:rFonts w:ascii="Trebuchet MS" w:hAnsi="Trebuchet MS"/>
          <w:b/>
          <w:color w:val="000000"/>
          <w:szCs w:val="24"/>
          <w:u w:color="000000"/>
        </w:rPr>
      </w:pPr>
      <w:r w:rsidRPr="005C1643">
        <w:rPr>
          <w:rFonts w:ascii="Trebuchet MS" w:hAnsi="Trebuchet MS"/>
          <w:b/>
          <w:color w:val="000000"/>
          <w:szCs w:val="24"/>
          <w:u w:color="000000"/>
        </w:rPr>
        <w:t>Question 72:</w:t>
      </w:r>
    </w:p>
    <w:p w:rsidR="005C1643" w:rsidRPr="005C1643" w:rsidRDefault="005C1643" w:rsidP="005C1643">
      <w:pPr>
        <w:spacing w:after="0" w:line="240" w:lineRule="auto"/>
        <w:rPr>
          <w:rFonts w:ascii="Trebuchet MS" w:hAnsi="Trebuchet MS"/>
          <w:color w:val="000000"/>
          <w:szCs w:val="24"/>
          <w:u w:color="000000"/>
        </w:rPr>
      </w:pPr>
    </w:p>
    <w:p w:rsidR="005C1643" w:rsidRPr="005C1643" w:rsidRDefault="005C1643" w:rsidP="005C1643">
      <w:pPr>
        <w:spacing w:after="0" w:line="240" w:lineRule="auto"/>
        <w:rPr>
          <w:rFonts w:ascii="Trebuchet MS" w:hAnsi="Trebuchet MS"/>
          <w:color w:val="000000"/>
          <w:szCs w:val="24"/>
          <w:u w:color="000000"/>
        </w:rPr>
      </w:pPr>
      <w:r w:rsidRPr="005C1643">
        <w:rPr>
          <w:rFonts w:ascii="Trebuchet MS" w:hAnsi="Trebuchet MS"/>
          <w:color w:val="000000"/>
          <w:szCs w:val="24"/>
          <w:u w:color="000000"/>
        </w:rPr>
        <w:t>Main challenges with respect to counterparty codes:</w:t>
      </w:r>
    </w:p>
    <w:p w:rsidR="005C1643" w:rsidRPr="005C1643" w:rsidRDefault="005C1643" w:rsidP="005C1643">
      <w:pPr>
        <w:spacing w:after="0" w:line="240" w:lineRule="auto"/>
        <w:rPr>
          <w:rFonts w:ascii="Trebuchet MS" w:hAnsi="Trebuchet MS"/>
          <w:color w:val="000000"/>
          <w:szCs w:val="24"/>
          <w:u w:color="000000"/>
        </w:rPr>
      </w:pPr>
    </w:p>
    <w:p w:rsidR="005C1643" w:rsidRPr="005C1643" w:rsidRDefault="005C1643" w:rsidP="005C1643">
      <w:pPr>
        <w:numPr>
          <w:ilvl w:val="0"/>
          <w:numId w:val="2"/>
        </w:numPr>
        <w:spacing w:after="0" w:line="240" w:lineRule="auto"/>
        <w:rPr>
          <w:rFonts w:ascii="Trebuchet MS" w:hAnsi="Trebuchet MS"/>
          <w:color w:val="000000"/>
          <w:szCs w:val="24"/>
          <w:u w:color="000000"/>
        </w:rPr>
      </w:pPr>
      <w:r w:rsidRPr="005C1643">
        <w:rPr>
          <w:rFonts w:ascii="Trebuchet MS" w:hAnsi="Trebuchet MS"/>
          <w:color w:val="000000"/>
          <w:szCs w:val="24"/>
          <w:u w:color="000000"/>
        </w:rPr>
        <w:t>The process of registration has to be kept simple. Otherwise smaller Non-Financials or natural persons will possibly not be able to use OTC products for hedging their risks any longer. This is a competitive disadvantage.</w:t>
      </w:r>
    </w:p>
    <w:p w:rsidR="005C1643" w:rsidRPr="005C1643" w:rsidRDefault="005C1643" w:rsidP="005C1643">
      <w:pPr>
        <w:numPr>
          <w:ilvl w:val="0"/>
          <w:numId w:val="2"/>
        </w:numPr>
        <w:spacing w:after="0" w:line="240" w:lineRule="auto"/>
        <w:rPr>
          <w:rFonts w:ascii="Trebuchet MS" w:hAnsi="Trebuchet MS"/>
          <w:color w:val="000000"/>
          <w:szCs w:val="24"/>
          <w:u w:color="000000"/>
        </w:rPr>
      </w:pPr>
      <w:r w:rsidRPr="005C1643">
        <w:rPr>
          <w:rFonts w:ascii="Trebuchet MS" w:hAnsi="Trebuchet MS"/>
          <w:color w:val="000000"/>
          <w:szCs w:val="24"/>
          <w:u w:color="000000"/>
        </w:rPr>
        <w:t>There has to be a clear workflow how amendments, deletion and opening of codes is communicated within the industry</w:t>
      </w:r>
    </w:p>
    <w:p w:rsidR="005C1643" w:rsidRPr="005C1643" w:rsidRDefault="005C1643" w:rsidP="005C1643">
      <w:pPr>
        <w:numPr>
          <w:ilvl w:val="0"/>
          <w:numId w:val="2"/>
        </w:numPr>
        <w:spacing w:after="0" w:line="240" w:lineRule="auto"/>
        <w:rPr>
          <w:rFonts w:ascii="Trebuchet MS" w:hAnsi="Trebuchet MS"/>
          <w:color w:val="000000"/>
          <w:szCs w:val="24"/>
          <w:u w:color="000000"/>
        </w:rPr>
      </w:pPr>
      <w:r w:rsidRPr="005C1643">
        <w:rPr>
          <w:rFonts w:ascii="Trebuchet MS" w:hAnsi="Trebuchet MS"/>
          <w:color w:val="000000"/>
          <w:szCs w:val="24"/>
          <w:u w:color="000000"/>
        </w:rPr>
        <w:t>The codes have to be valid for all Trade repositories.</w:t>
      </w:r>
    </w:p>
    <w:p w:rsidR="005C1643" w:rsidRPr="005C1643" w:rsidRDefault="005C1643" w:rsidP="005C1643">
      <w:pPr>
        <w:numPr>
          <w:ilvl w:val="0"/>
          <w:numId w:val="2"/>
        </w:numPr>
        <w:spacing w:after="0" w:line="240" w:lineRule="auto"/>
        <w:rPr>
          <w:rFonts w:ascii="Trebuchet MS" w:hAnsi="Trebuchet MS"/>
          <w:color w:val="000000"/>
          <w:szCs w:val="24"/>
          <w:u w:color="000000"/>
        </w:rPr>
      </w:pPr>
      <w:r w:rsidRPr="005C1643">
        <w:rPr>
          <w:rFonts w:ascii="Trebuchet MS" w:hAnsi="Trebuchet MS"/>
          <w:color w:val="000000"/>
          <w:szCs w:val="24"/>
          <w:u w:color="000000"/>
        </w:rPr>
        <w:t xml:space="preserve">The set up of a new code on clients request to be done immediately. Otherwise trades </w:t>
      </w:r>
      <w:proofErr w:type="spellStart"/>
      <w:r w:rsidRPr="005C1643">
        <w:rPr>
          <w:rFonts w:ascii="Trebuchet MS" w:hAnsi="Trebuchet MS"/>
          <w:color w:val="000000"/>
          <w:szCs w:val="24"/>
          <w:u w:color="000000"/>
        </w:rPr>
        <w:t>can not</w:t>
      </w:r>
      <w:proofErr w:type="spellEnd"/>
      <w:r w:rsidRPr="005C1643">
        <w:rPr>
          <w:rFonts w:ascii="Trebuchet MS" w:hAnsi="Trebuchet MS"/>
          <w:color w:val="000000"/>
          <w:szCs w:val="24"/>
          <w:u w:color="000000"/>
        </w:rPr>
        <w:t xml:space="preserve"> be executed, confirmed and reported within the narrow time frames.</w:t>
      </w:r>
    </w:p>
    <w:p w:rsidR="005C1643" w:rsidRPr="005C1643" w:rsidRDefault="005C1643" w:rsidP="005C1643">
      <w:pPr>
        <w:numPr>
          <w:ilvl w:val="0"/>
          <w:numId w:val="2"/>
        </w:numPr>
        <w:spacing w:after="0" w:line="240" w:lineRule="auto"/>
        <w:rPr>
          <w:rFonts w:ascii="Trebuchet MS" w:hAnsi="Trebuchet MS"/>
          <w:color w:val="000000"/>
          <w:szCs w:val="24"/>
          <w:u w:color="000000"/>
        </w:rPr>
      </w:pPr>
      <w:r w:rsidRPr="005C1643">
        <w:rPr>
          <w:rFonts w:ascii="Trebuchet MS" w:hAnsi="Trebuchet MS"/>
          <w:color w:val="000000"/>
          <w:szCs w:val="24"/>
          <w:u w:color="000000"/>
        </w:rPr>
        <w:t>Repositories need to install a process to inform the reporting parties on any mistake (codes no longer existing, wrong format, etc.)</w:t>
      </w:r>
    </w:p>
    <w:p w:rsidR="005C1643" w:rsidRPr="005C1643" w:rsidRDefault="005C1643" w:rsidP="005C1643">
      <w:pPr>
        <w:spacing w:after="0" w:line="240" w:lineRule="auto"/>
        <w:rPr>
          <w:rFonts w:ascii="Trebuchet MS" w:hAnsi="Trebuchet MS"/>
          <w:color w:val="000000"/>
          <w:szCs w:val="24"/>
          <w:u w:color="000000"/>
        </w:rPr>
      </w:pPr>
    </w:p>
    <w:p w:rsidR="005C1643" w:rsidRPr="005C1643" w:rsidRDefault="005C1643" w:rsidP="005C1643">
      <w:pPr>
        <w:spacing w:after="0" w:line="240" w:lineRule="auto"/>
        <w:rPr>
          <w:rFonts w:ascii="Trebuchet MS" w:hAnsi="Trebuchet MS"/>
          <w:color w:val="000000"/>
          <w:szCs w:val="24"/>
          <w:u w:color="000000"/>
        </w:rPr>
      </w:pPr>
      <w:r w:rsidRPr="005C1643">
        <w:rPr>
          <w:rFonts w:ascii="Trebuchet MS" w:hAnsi="Trebuchet MS"/>
          <w:color w:val="000000"/>
          <w:szCs w:val="24"/>
          <w:u w:color="000000"/>
        </w:rPr>
        <w:t>The current Swift solution using BIC´s, BEI´s and Counterparty Long Name should be taken into consideration.</w:t>
      </w:r>
    </w:p>
    <w:p w:rsidR="005C1643" w:rsidRPr="005C1643" w:rsidRDefault="005C1643" w:rsidP="005C1643">
      <w:pPr>
        <w:spacing w:after="0" w:line="240" w:lineRule="auto"/>
        <w:rPr>
          <w:rFonts w:ascii="Trebuchet MS" w:hAnsi="Trebuchet MS"/>
          <w:color w:val="000000"/>
          <w:szCs w:val="24"/>
          <w:u w:color="000000"/>
        </w:rPr>
      </w:pPr>
    </w:p>
    <w:p w:rsidR="005C1643" w:rsidRPr="005C1643" w:rsidRDefault="005C1643" w:rsidP="005C1643">
      <w:pPr>
        <w:spacing w:after="0" w:line="240" w:lineRule="auto"/>
        <w:rPr>
          <w:rFonts w:ascii="Trebuchet MS" w:hAnsi="Trebuchet MS"/>
          <w:color w:val="000000"/>
          <w:szCs w:val="24"/>
          <w:u w:color="000000"/>
        </w:rPr>
      </w:pPr>
      <w:r w:rsidRPr="005C1643">
        <w:rPr>
          <w:rFonts w:ascii="Trebuchet MS" w:hAnsi="Trebuchet MS"/>
          <w:color w:val="000000"/>
          <w:szCs w:val="24"/>
          <w:u w:color="000000"/>
        </w:rPr>
        <w:t>Standard Settlement Instructions for payments could use IBAN. These unique account numbers make it easier to identify counterparties and can be used in reporting too.</w:t>
      </w:r>
    </w:p>
    <w:p w:rsidR="005C1643" w:rsidRPr="005C1643" w:rsidRDefault="005C1643" w:rsidP="005C1643">
      <w:pPr>
        <w:spacing w:after="0" w:line="240" w:lineRule="auto"/>
        <w:rPr>
          <w:rFonts w:ascii="Trebuchet MS" w:hAnsi="Trebuchet MS"/>
          <w:color w:val="000000"/>
          <w:szCs w:val="24"/>
          <w:u w:color="000000"/>
        </w:rPr>
      </w:pPr>
    </w:p>
    <w:p w:rsidR="005C1643" w:rsidRPr="005C1643" w:rsidRDefault="005C1643" w:rsidP="005C1643">
      <w:pPr>
        <w:spacing w:after="0" w:line="240" w:lineRule="auto"/>
        <w:rPr>
          <w:rFonts w:ascii="Trebuchet MS" w:hAnsi="Trebuchet MS"/>
          <w:color w:val="000000"/>
          <w:szCs w:val="24"/>
          <w:u w:color="000000"/>
        </w:rPr>
      </w:pPr>
      <w:r w:rsidRPr="005C1643">
        <w:rPr>
          <w:rFonts w:ascii="Trebuchet MS" w:hAnsi="Trebuchet MS"/>
          <w:color w:val="000000"/>
          <w:szCs w:val="24"/>
          <w:u w:color="000000"/>
        </w:rPr>
        <w:lastRenderedPageBreak/>
        <w:t xml:space="preserve">We would advise to design a consistent system of identification of </w:t>
      </w:r>
      <w:proofErr w:type="gramStart"/>
      <w:r w:rsidRPr="005C1643">
        <w:rPr>
          <w:rFonts w:ascii="Trebuchet MS" w:hAnsi="Trebuchet MS"/>
          <w:color w:val="000000"/>
          <w:szCs w:val="24"/>
          <w:u w:color="000000"/>
        </w:rPr>
        <w:t>companies,</w:t>
      </w:r>
      <w:proofErr w:type="gramEnd"/>
      <w:r w:rsidRPr="005C1643">
        <w:rPr>
          <w:rFonts w:ascii="Trebuchet MS" w:hAnsi="Trebuchet MS"/>
          <w:color w:val="000000"/>
          <w:szCs w:val="24"/>
          <w:u w:color="000000"/>
        </w:rPr>
        <w:t xml:space="preserve"> especially clearing up situations were more than one “unique” identifier (like in the case of the BIC) can exist within a </w:t>
      </w:r>
      <w:proofErr w:type="spellStart"/>
      <w:r w:rsidRPr="005C1643">
        <w:rPr>
          <w:rFonts w:ascii="Trebuchet MS" w:hAnsi="Trebuchet MS"/>
          <w:color w:val="000000"/>
          <w:szCs w:val="24"/>
          <w:u w:color="000000"/>
        </w:rPr>
        <w:t>multicorporate</w:t>
      </w:r>
      <w:proofErr w:type="spellEnd"/>
      <w:r w:rsidRPr="005C1643">
        <w:rPr>
          <w:rFonts w:ascii="Trebuchet MS" w:hAnsi="Trebuchet MS"/>
          <w:color w:val="000000"/>
          <w:szCs w:val="24"/>
          <w:u w:color="000000"/>
        </w:rPr>
        <w:t xml:space="preserve"> enterprise.</w:t>
      </w:r>
    </w:p>
    <w:p w:rsidR="005C1643" w:rsidRPr="005C1643" w:rsidRDefault="005C1643" w:rsidP="005C1643">
      <w:pPr>
        <w:spacing w:after="0" w:line="240" w:lineRule="auto"/>
        <w:rPr>
          <w:rFonts w:ascii="Trebuchet MS" w:hAnsi="Trebuchet MS"/>
          <w:color w:val="000000"/>
          <w:szCs w:val="24"/>
          <w:u w:color="000000"/>
        </w:rPr>
      </w:pPr>
    </w:p>
    <w:p w:rsidR="005C1643" w:rsidRPr="005C1643" w:rsidRDefault="005C1643" w:rsidP="005C1643">
      <w:pPr>
        <w:spacing w:after="0" w:line="240" w:lineRule="auto"/>
        <w:rPr>
          <w:rFonts w:ascii="Trebuchet MS" w:hAnsi="Trebuchet MS"/>
          <w:color w:val="000000"/>
          <w:szCs w:val="24"/>
          <w:u w:color="000000"/>
        </w:rPr>
      </w:pPr>
      <w:r w:rsidRPr="005C1643">
        <w:rPr>
          <w:rFonts w:ascii="Trebuchet MS" w:hAnsi="Trebuchet MS"/>
          <w:color w:val="000000"/>
          <w:szCs w:val="24"/>
          <w:u w:color="000000"/>
        </w:rPr>
        <w:t>We are not very fond of a solution including the application of the “LEI”. It would on the one hand in its present setup not work for individual persons - on the other hand if it were made applicable to individuals it would give rise to great concerns regarding data protection matters.</w:t>
      </w:r>
    </w:p>
    <w:p w:rsidR="005C1643" w:rsidRPr="005C1643" w:rsidRDefault="005C1643" w:rsidP="005C1643">
      <w:pPr>
        <w:spacing w:after="0" w:line="240" w:lineRule="auto"/>
        <w:rPr>
          <w:rFonts w:ascii="Trebuchet MS" w:hAnsi="Trebuchet MS"/>
          <w:color w:val="000000"/>
          <w:szCs w:val="24"/>
          <w:u w:color="000000"/>
        </w:rPr>
      </w:pPr>
    </w:p>
    <w:p w:rsidR="005C1643" w:rsidRPr="005C1643" w:rsidRDefault="005C1643" w:rsidP="005C1643">
      <w:pPr>
        <w:spacing w:after="0" w:line="240" w:lineRule="auto"/>
        <w:rPr>
          <w:rFonts w:ascii="Trebuchet MS" w:hAnsi="Trebuchet MS"/>
          <w:b/>
          <w:color w:val="000000"/>
          <w:szCs w:val="24"/>
          <w:u w:color="000000"/>
        </w:rPr>
      </w:pPr>
      <w:r w:rsidRPr="005C1643">
        <w:rPr>
          <w:rFonts w:ascii="Trebuchet MS" w:hAnsi="Trebuchet MS"/>
          <w:b/>
          <w:color w:val="000000"/>
          <w:szCs w:val="24"/>
          <w:u w:color="000000"/>
        </w:rPr>
        <w:t>Question 73:</w:t>
      </w:r>
    </w:p>
    <w:p w:rsidR="005C1643" w:rsidRPr="005C1643" w:rsidRDefault="005C1643" w:rsidP="005C1643">
      <w:pPr>
        <w:spacing w:after="0" w:line="240" w:lineRule="auto"/>
        <w:rPr>
          <w:rFonts w:ascii="Trebuchet MS" w:hAnsi="Trebuchet MS"/>
          <w:color w:val="000000"/>
          <w:szCs w:val="24"/>
          <w:u w:color="000000"/>
        </w:rPr>
      </w:pPr>
    </w:p>
    <w:p w:rsidR="005C1643" w:rsidRPr="005C1643" w:rsidRDefault="005C1643" w:rsidP="005C1643">
      <w:pPr>
        <w:spacing w:after="0" w:line="240" w:lineRule="auto"/>
        <w:rPr>
          <w:rFonts w:ascii="Trebuchet MS" w:hAnsi="Trebuchet MS"/>
          <w:color w:val="000000"/>
          <w:szCs w:val="24"/>
          <w:u w:color="000000"/>
        </w:rPr>
      </w:pPr>
      <w:r w:rsidRPr="005C1643">
        <w:rPr>
          <w:rFonts w:ascii="Trebuchet MS" w:hAnsi="Trebuchet MS"/>
          <w:color w:val="000000"/>
          <w:szCs w:val="24"/>
          <w:u w:color="000000"/>
        </w:rPr>
        <w:t>With respect to identification of products:</w:t>
      </w:r>
    </w:p>
    <w:p w:rsidR="005C1643" w:rsidRPr="005C1643" w:rsidRDefault="005C1643" w:rsidP="005C1643">
      <w:pPr>
        <w:spacing w:after="0" w:line="240" w:lineRule="auto"/>
        <w:rPr>
          <w:rFonts w:ascii="Trebuchet MS" w:hAnsi="Trebuchet MS"/>
          <w:color w:val="000000"/>
          <w:szCs w:val="24"/>
          <w:u w:color="000000"/>
        </w:rPr>
      </w:pPr>
    </w:p>
    <w:p w:rsidR="005C1643" w:rsidRPr="005C1643" w:rsidRDefault="005C1643" w:rsidP="005C1643">
      <w:pPr>
        <w:numPr>
          <w:ilvl w:val="0"/>
          <w:numId w:val="3"/>
        </w:numPr>
        <w:spacing w:after="0" w:line="240" w:lineRule="auto"/>
        <w:rPr>
          <w:rFonts w:ascii="Trebuchet MS" w:hAnsi="Trebuchet MS"/>
          <w:color w:val="000000"/>
          <w:szCs w:val="24"/>
          <w:u w:color="000000"/>
        </w:rPr>
      </w:pPr>
      <w:r w:rsidRPr="005C1643">
        <w:rPr>
          <w:rFonts w:ascii="Trebuchet MS" w:hAnsi="Trebuchet MS"/>
          <w:color w:val="000000"/>
          <w:szCs w:val="24"/>
          <w:u w:color="000000"/>
        </w:rPr>
        <w:t>UPI´s could be a solution for Plain Vanilla Products or already existing products but difficult for new strategies or products which regularly are tailor made for the different needs of a client.</w:t>
      </w:r>
    </w:p>
    <w:p w:rsidR="005C1643" w:rsidRPr="005C1643" w:rsidRDefault="005C1643" w:rsidP="005C1643">
      <w:pPr>
        <w:numPr>
          <w:ilvl w:val="0"/>
          <w:numId w:val="3"/>
        </w:numPr>
        <w:spacing w:after="0" w:line="240" w:lineRule="auto"/>
        <w:rPr>
          <w:rFonts w:ascii="Trebuchet MS" w:hAnsi="Trebuchet MS"/>
          <w:color w:val="000000"/>
          <w:szCs w:val="24"/>
          <w:u w:color="000000"/>
        </w:rPr>
      </w:pPr>
      <w:r w:rsidRPr="005C1643">
        <w:rPr>
          <w:rFonts w:ascii="Trebuchet MS" w:hAnsi="Trebuchet MS"/>
          <w:color w:val="000000"/>
          <w:szCs w:val="24"/>
          <w:u w:color="000000"/>
        </w:rPr>
        <w:t>There should be some kind of UPI´s where you can cover different kind of structured products. Delivering all data will make it possible to monitor volumes and risks and for a detailed view on such strategies local authorities should check internal product approval processes for these products.  </w:t>
      </w:r>
    </w:p>
    <w:p w:rsidR="005C1643" w:rsidRPr="005C1643" w:rsidRDefault="005C1643" w:rsidP="005C1643">
      <w:pPr>
        <w:numPr>
          <w:ilvl w:val="0"/>
          <w:numId w:val="3"/>
        </w:numPr>
        <w:spacing w:after="0" w:line="240" w:lineRule="auto"/>
        <w:rPr>
          <w:rFonts w:ascii="Trebuchet MS" w:hAnsi="Trebuchet MS"/>
          <w:color w:val="000000"/>
          <w:szCs w:val="24"/>
          <w:u w:color="000000"/>
        </w:rPr>
      </w:pPr>
      <w:r w:rsidRPr="005C1643">
        <w:rPr>
          <w:rFonts w:ascii="Trebuchet MS" w:hAnsi="Trebuchet MS"/>
          <w:color w:val="000000"/>
          <w:szCs w:val="24"/>
          <w:u w:color="000000"/>
        </w:rPr>
        <w:t>Who has the authority to decide on an UPI?</w:t>
      </w:r>
    </w:p>
    <w:p w:rsidR="005C1643" w:rsidRPr="005C1643" w:rsidRDefault="005C1643" w:rsidP="005C1643">
      <w:pPr>
        <w:spacing w:after="0" w:line="240" w:lineRule="auto"/>
        <w:rPr>
          <w:rFonts w:ascii="Trebuchet MS" w:hAnsi="Trebuchet MS"/>
          <w:color w:val="000000"/>
          <w:szCs w:val="24"/>
          <w:u w:color="000000"/>
        </w:rPr>
      </w:pPr>
    </w:p>
    <w:p w:rsidR="005C1643" w:rsidRPr="005C1643" w:rsidRDefault="005C1643" w:rsidP="005C1643">
      <w:pPr>
        <w:spacing w:after="0" w:line="240" w:lineRule="auto"/>
        <w:rPr>
          <w:rFonts w:ascii="Trebuchet MS" w:hAnsi="Trebuchet MS"/>
          <w:color w:val="000000"/>
          <w:szCs w:val="24"/>
          <w:u w:color="000000"/>
        </w:rPr>
      </w:pPr>
    </w:p>
    <w:p w:rsidR="005C1643" w:rsidRPr="005C1643" w:rsidRDefault="005C1643" w:rsidP="005C1643">
      <w:pPr>
        <w:spacing w:after="0" w:line="240" w:lineRule="auto"/>
        <w:rPr>
          <w:rFonts w:ascii="Trebuchet MS" w:hAnsi="Trebuchet MS"/>
          <w:b/>
          <w:color w:val="000000"/>
          <w:szCs w:val="24"/>
          <w:u w:color="000000"/>
        </w:rPr>
      </w:pPr>
      <w:r w:rsidRPr="005C1643">
        <w:rPr>
          <w:rFonts w:ascii="Trebuchet MS" w:hAnsi="Trebuchet MS"/>
          <w:b/>
          <w:color w:val="000000"/>
          <w:szCs w:val="24"/>
          <w:u w:color="000000"/>
        </w:rPr>
        <w:t>Question 76:</w:t>
      </w:r>
    </w:p>
    <w:p w:rsidR="005C1643" w:rsidRPr="005C1643" w:rsidRDefault="005C1643" w:rsidP="005C1643">
      <w:pPr>
        <w:spacing w:after="0" w:line="240" w:lineRule="auto"/>
        <w:rPr>
          <w:rFonts w:ascii="Trebuchet MS" w:hAnsi="Trebuchet MS"/>
          <w:color w:val="000000"/>
          <w:szCs w:val="24"/>
          <w:u w:color="000000"/>
        </w:rPr>
      </w:pPr>
    </w:p>
    <w:p w:rsidR="005C1643" w:rsidRPr="005C1643" w:rsidRDefault="005C1643" w:rsidP="005C1643">
      <w:pPr>
        <w:spacing w:after="0" w:line="240" w:lineRule="auto"/>
        <w:rPr>
          <w:rFonts w:ascii="Trebuchet MS" w:hAnsi="Trebuchet MS"/>
          <w:color w:val="000000"/>
          <w:szCs w:val="24"/>
          <w:u w:color="000000"/>
        </w:rPr>
      </w:pPr>
      <w:r w:rsidRPr="005C1643">
        <w:rPr>
          <w:rFonts w:ascii="Trebuchet MS" w:hAnsi="Trebuchet MS"/>
          <w:color w:val="000000"/>
          <w:szCs w:val="24"/>
          <w:u w:color="000000"/>
        </w:rPr>
        <w:t>Granularity level of reporting information:</w:t>
      </w:r>
    </w:p>
    <w:p w:rsidR="005C1643" w:rsidRPr="005C1643" w:rsidRDefault="005C1643" w:rsidP="005C1643">
      <w:pPr>
        <w:spacing w:after="0" w:line="240" w:lineRule="auto"/>
        <w:rPr>
          <w:rFonts w:ascii="Trebuchet MS" w:hAnsi="Trebuchet MS"/>
          <w:color w:val="000000"/>
          <w:szCs w:val="24"/>
          <w:u w:val="single" w:color="000000"/>
        </w:rPr>
      </w:pPr>
    </w:p>
    <w:p w:rsidR="005C1643" w:rsidRPr="005C1643" w:rsidRDefault="005C1643" w:rsidP="005C1643">
      <w:pPr>
        <w:spacing w:after="0" w:line="240" w:lineRule="auto"/>
        <w:rPr>
          <w:rFonts w:ascii="Trebuchet MS" w:hAnsi="Trebuchet MS"/>
          <w:color w:val="000000"/>
          <w:szCs w:val="24"/>
          <w:u w:color="000000"/>
          <w:lang w:val="en-GB"/>
        </w:rPr>
      </w:pPr>
      <w:r w:rsidRPr="005C1643">
        <w:rPr>
          <w:rFonts w:ascii="Trebuchet MS" w:hAnsi="Trebuchet MS"/>
          <w:color w:val="000000"/>
          <w:szCs w:val="24"/>
          <w:u w:color="000000"/>
        </w:rPr>
        <w:t>Due to the characteristic of OTC business you have a lot of trades where a clear filling of fields is not possible. While we believe that for operability reasons the granularity level of reporting should not become too high (e.g. limited to information related to maturity, notional, market value/mark-to-model, floating rate receiver) it has to be defined more precisely what counterparties actually have to deliver. Standardization in this respect should also include Local Master Agreements.</w:t>
      </w:r>
    </w:p>
    <w:p w:rsidR="005C1643" w:rsidRPr="005C1643" w:rsidRDefault="005C1643" w:rsidP="005C1643">
      <w:pPr>
        <w:spacing w:after="0" w:line="240" w:lineRule="auto"/>
        <w:rPr>
          <w:rFonts w:ascii="Trebuchet MS" w:hAnsi="Trebuchet MS"/>
          <w:color w:val="000000"/>
          <w:szCs w:val="24"/>
          <w:u w:color="000000"/>
        </w:rPr>
      </w:pPr>
    </w:p>
    <w:p w:rsidR="005C1643" w:rsidRPr="005C1643" w:rsidRDefault="005C1643" w:rsidP="005C1643">
      <w:pPr>
        <w:spacing w:after="0" w:line="240" w:lineRule="auto"/>
        <w:rPr>
          <w:rFonts w:ascii="Trebuchet MS" w:hAnsi="Trebuchet MS"/>
          <w:color w:val="000000"/>
          <w:szCs w:val="24"/>
          <w:u w:color="000000"/>
          <w:lang w:val="en-GB"/>
        </w:rPr>
      </w:pPr>
    </w:p>
    <w:p w:rsidR="00142339" w:rsidRPr="00142339" w:rsidRDefault="00142339" w:rsidP="00142339">
      <w:pPr>
        <w:spacing w:after="0" w:line="240" w:lineRule="auto"/>
        <w:rPr>
          <w:rFonts w:ascii="Trebuchet MS" w:hAnsi="Trebuchet MS"/>
          <w:color w:val="000000"/>
          <w:szCs w:val="24"/>
          <w:u w:color="000000"/>
          <w:lang w:val="en-GB"/>
        </w:rPr>
      </w:pPr>
    </w:p>
    <w:p w:rsidR="00142339" w:rsidRPr="00142339" w:rsidRDefault="00142339" w:rsidP="00142339">
      <w:pPr>
        <w:spacing w:after="0" w:line="240" w:lineRule="auto"/>
        <w:rPr>
          <w:rFonts w:ascii="Trebuchet MS" w:hAnsi="Trebuchet MS"/>
          <w:color w:val="000000"/>
          <w:szCs w:val="24"/>
          <w:u w:color="000000"/>
          <w:lang w:val="en-GB"/>
        </w:rPr>
      </w:pPr>
    </w:p>
    <w:p w:rsidR="00142339" w:rsidRPr="00142339" w:rsidRDefault="00142339" w:rsidP="00142339">
      <w:pPr>
        <w:spacing w:after="0" w:line="240" w:lineRule="auto"/>
        <w:rPr>
          <w:rFonts w:ascii="Trebuchet MS" w:hAnsi="Trebuchet MS"/>
          <w:color w:val="000000"/>
          <w:szCs w:val="24"/>
          <w:u w:color="000000"/>
          <w:lang w:val="en-GB"/>
        </w:rPr>
      </w:pPr>
      <w:r w:rsidRPr="00142339">
        <w:rPr>
          <w:rFonts w:ascii="Trebuchet MS" w:hAnsi="Trebuchet MS"/>
          <w:color w:val="000000"/>
          <w:szCs w:val="24"/>
          <w:u w:color="000000"/>
          <w:lang w:val="en-GB"/>
        </w:rPr>
        <w:t>Kindly give our remarks due consideration.</w:t>
      </w:r>
    </w:p>
    <w:p w:rsidR="00142339" w:rsidRPr="00142339" w:rsidRDefault="00142339" w:rsidP="00142339">
      <w:pPr>
        <w:spacing w:after="0" w:line="240" w:lineRule="auto"/>
        <w:rPr>
          <w:rFonts w:ascii="Trebuchet MS" w:hAnsi="Trebuchet MS"/>
          <w:color w:val="000000"/>
          <w:szCs w:val="24"/>
          <w:u w:color="000000"/>
          <w:lang w:val="en-GB"/>
        </w:rPr>
      </w:pPr>
    </w:p>
    <w:p w:rsidR="00142339" w:rsidRPr="00142339" w:rsidRDefault="00142339" w:rsidP="00142339">
      <w:pPr>
        <w:spacing w:after="0" w:line="240" w:lineRule="auto"/>
        <w:rPr>
          <w:rFonts w:ascii="Trebuchet MS" w:hAnsi="Trebuchet MS"/>
          <w:color w:val="000000"/>
          <w:szCs w:val="24"/>
          <w:u w:color="000000"/>
          <w:lang w:val="en-GB"/>
        </w:rPr>
      </w:pPr>
      <w:r w:rsidRPr="00142339">
        <w:rPr>
          <w:rFonts w:ascii="Trebuchet MS" w:hAnsi="Trebuchet MS"/>
          <w:color w:val="000000"/>
          <w:szCs w:val="24"/>
          <w:u w:color="000000"/>
          <w:lang w:val="en-GB"/>
        </w:rPr>
        <w:t>Yours sincerely,</w:t>
      </w:r>
    </w:p>
    <w:p w:rsidR="00142339" w:rsidRPr="00142339" w:rsidRDefault="00142339" w:rsidP="00142339">
      <w:pPr>
        <w:spacing w:after="0" w:line="240" w:lineRule="auto"/>
        <w:rPr>
          <w:rFonts w:ascii="Trebuchet MS" w:hAnsi="Trebuchet MS"/>
          <w:color w:val="000000"/>
          <w:szCs w:val="24"/>
          <w:u w:color="000000"/>
          <w:lang w:val="en-GB"/>
        </w:rPr>
      </w:pPr>
    </w:p>
    <w:p w:rsidR="00142339" w:rsidRPr="00142339" w:rsidRDefault="00142339" w:rsidP="00142339">
      <w:pPr>
        <w:spacing w:after="0" w:line="240" w:lineRule="auto"/>
        <w:rPr>
          <w:rFonts w:ascii="Trebuchet MS" w:hAnsi="Trebuchet MS"/>
          <w:color w:val="000000"/>
          <w:szCs w:val="24"/>
          <w:u w:color="000000"/>
          <w:lang w:val="en-GB"/>
        </w:rPr>
      </w:pPr>
    </w:p>
    <w:p w:rsidR="00142339" w:rsidRPr="00142339" w:rsidRDefault="00142339" w:rsidP="00142339">
      <w:pPr>
        <w:spacing w:after="0" w:line="240" w:lineRule="auto"/>
        <w:rPr>
          <w:rFonts w:ascii="Trebuchet MS" w:hAnsi="Trebuchet MS"/>
          <w:color w:val="000000"/>
          <w:szCs w:val="24"/>
          <w:u w:color="000000"/>
          <w:lang w:val="en-GB"/>
        </w:rPr>
      </w:pPr>
    </w:p>
    <w:p w:rsidR="00142339" w:rsidRPr="00142339" w:rsidRDefault="00142339" w:rsidP="00142339">
      <w:pPr>
        <w:spacing w:after="0" w:line="240" w:lineRule="auto"/>
        <w:rPr>
          <w:rFonts w:ascii="Trebuchet MS" w:hAnsi="Trebuchet MS"/>
          <w:color w:val="000000"/>
          <w:szCs w:val="24"/>
          <w:u w:color="000000"/>
          <w:lang w:val="en-GB"/>
        </w:rPr>
      </w:pPr>
      <w:r w:rsidRPr="00142339">
        <w:rPr>
          <w:rFonts w:ascii="Trebuchet MS" w:hAnsi="Trebuchet MS"/>
          <w:color w:val="000000"/>
          <w:szCs w:val="24"/>
          <w:u w:color="000000"/>
          <w:lang w:val="en-GB"/>
        </w:rPr>
        <w:t>Dr. Herbert Pichler</w:t>
      </w:r>
    </w:p>
    <w:p w:rsidR="00142339" w:rsidRPr="00142339" w:rsidRDefault="00142339" w:rsidP="00142339">
      <w:pPr>
        <w:spacing w:after="0" w:line="240" w:lineRule="auto"/>
        <w:rPr>
          <w:rFonts w:ascii="Trebuchet MS" w:hAnsi="Trebuchet MS"/>
          <w:color w:val="000000"/>
          <w:szCs w:val="24"/>
          <w:u w:color="000000"/>
          <w:lang w:val="en-GB"/>
        </w:rPr>
      </w:pPr>
      <w:r w:rsidRPr="00142339">
        <w:rPr>
          <w:rFonts w:ascii="Trebuchet MS" w:hAnsi="Trebuchet MS"/>
          <w:color w:val="000000"/>
          <w:szCs w:val="24"/>
          <w:u w:color="000000"/>
          <w:lang w:val="en-GB"/>
        </w:rPr>
        <w:t>Managing Director</w:t>
      </w:r>
    </w:p>
    <w:p w:rsidR="00142339" w:rsidRPr="00142339" w:rsidRDefault="00142339" w:rsidP="00142339">
      <w:pPr>
        <w:spacing w:after="0" w:line="240" w:lineRule="auto"/>
        <w:rPr>
          <w:rFonts w:ascii="Trebuchet MS" w:hAnsi="Trebuchet MS"/>
          <w:color w:val="000000"/>
          <w:szCs w:val="24"/>
          <w:u w:color="000000"/>
          <w:lang w:val="en-GB"/>
        </w:rPr>
      </w:pPr>
      <w:r w:rsidRPr="00142339">
        <w:rPr>
          <w:rFonts w:ascii="Trebuchet MS" w:hAnsi="Trebuchet MS"/>
          <w:color w:val="000000"/>
          <w:szCs w:val="24"/>
          <w:u w:color="000000"/>
          <w:lang w:val="en-GB"/>
        </w:rPr>
        <w:t xml:space="preserve">Division Bank &amp; Insurance </w:t>
      </w:r>
    </w:p>
    <w:p w:rsidR="00142339" w:rsidRPr="00142339" w:rsidRDefault="00142339" w:rsidP="00142339">
      <w:pPr>
        <w:spacing w:after="0" w:line="240" w:lineRule="auto"/>
        <w:rPr>
          <w:rFonts w:ascii="Trebuchet MS" w:hAnsi="Trebuchet MS"/>
          <w:b/>
          <w:color w:val="000000"/>
          <w:szCs w:val="24"/>
          <w:u w:color="000000"/>
          <w:lang w:val="en-GB"/>
        </w:rPr>
      </w:pPr>
      <w:r w:rsidRPr="00142339">
        <w:rPr>
          <w:rFonts w:ascii="Trebuchet MS" w:hAnsi="Trebuchet MS"/>
          <w:color w:val="000000"/>
          <w:szCs w:val="24"/>
          <w:u w:color="000000"/>
          <w:lang w:val="en-GB"/>
        </w:rPr>
        <w:t>Austrian Federal Economic Chamber</w:t>
      </w:r>
      <w:bookmarkStart w:id="2" w:name="_PictureBullets"/>
      <w:r w:rsidRPr="00142339">
        <w:rPr>
          <w:rFonts w:ascii="Trebuchet MS" w:hAnsi="Trebuchet MS"/>
          <w:b/>
          <w:vanish/>
          <w:color w:val="000000"/>
          <w:szCs w:val="24"/>
          <w:u w:color="000000"/>
          <w:lang w:val="de-AT"/>
        </w:rPr>
        <w:drawing>
          <wp:inline distT="0" distB="0" distL="0" distR="0">
            <wp:extent cx="146050" cy="146050"/>
            <wp:effectExtent l="19050" t="0" r="635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6050" cy="146050"/>
                    </a:xfrm>
                    <a:prstGeom prst="rect">
                      <a:avLst/>
                    </a:prstGeom>
                    <a:noFill/>
                    <a:ln w="9525">
                      <a:noFill/>
                      <a:miter lim="800000"/>
                      <a:headEnd/>
                      <a:tailEnd/>
                    </a:ln>
                  </pic:spPr>
                </pic:pic>
              </a:graphicData>
            </a:graphic>
          </wp:inline>
        </w:drawing>
      </w:r>
      <w:bookmarkEnd w:id="2"/>
    </w:p>
    <w:p w:rsidR="00142339" w:rsidRPr="00142339" w:rsidRDefault="00142339" w:rsidP="00142339">
      <w:pPr>
        <w:spacing w:after="0" w:line="240" w:lineRule="auto"/>
        <w:rPr>
          <w:rFonts w:ascii="Trebuchet MS" w:hAnsi="Trebuchet MS"/>
          <w:b/>
          <w:color w:val="000000"/>
          <w:szCs w:val="24"/>
          <w:u w:color="000000"/>
          <w:lang w:val="en-GB"/>
        </w:rPr>
      </w:pPr>
    </w:p>
    <w:p w:rsidR="00243139" w:rsidRPr="00617001" w:rsidRDefault="00243139" w:rsidP="00983530">
      <w:pPr>
        <w:spacing w:after="0" w:line="240" w:lineRule="auto"/>
        <w:rPr>
          <w:rFonts w:ascii="Trebuchet MS" w:hAnsi="Trebuchet MS"/>
          <w:lang w:val="en-GB"/>
        </w:rPr>
      </w:pPr>
    </w:p>
    <w:sectPr w:rsidR="00243139" w:rsidRPr="00617001">
      <w:headerReference w:type="even" r:id="rId8"/>
      <w:headerReference w:type="default" r:id="rId9"/>
      <w:footerReference w:type="even" r:id="rId10"/>
      <w:footerReference w:type="default" r:id="rId11"/>
      <w:headerReference w:type="first" r:id="rId12"/>
      <w:footerReference w:type="first" r:id="rId13"/>
      <w:pgSz w:w="11906" w:h="16838"/>
      <w:pgMar w:top="1701" w:right="1133"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E6E" w:rsidRDefault="00275E6E">
      <w:pPr>
        <w:spacing w:after="0" w:line="240" w:lineRule="auto"/>
        <w:rPr>
          <w:szCs w:val="24"/>
        </w:rPr>
      </w:pPr>
      <w:r>
        <w:rPr>
          <w:szCs w:val="24"/>
        </w:rPr>
        <w:separator/>
      </w:r>
    </w:p>
  </w:endnote>
  <w:endnote w:type="continuationSeparator" w:id="0">
    <w:p w:rsidR="00275E6E" w:rsidRDefault="00275E6E">
      <w:pPr>
        <w:spacing w:after="0" w:line="240" w:lineRule="auto"/>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A3E" w:rsidRDefault="00027A3E">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A3E" w:rsidRDefault="00027A3E">
    <w:pPr>
      <w:pStyle w:val="Fuzeile"/>
      <w:rPr>
        <w:szCs w:val="24"/>
      </w:rPr>
    </w:pPr>
    <w:r>
      <w:rPr>
        <w:sz w:val="16"/>
        <w:szCs w:val="24"/>
      </w:rPr>
      <w:tab/>
    </w:r>
    <w:r w:rsidRPr="001C23F3">
      <w:rPr>
        <w:szCs w:val="24"/>
      </w:rPr>
      <w:t xml:space="preserve">- </w:t>
    </w:r>
    <w:r w:rsidRPr="001C23F3">
      <w:rPr>
        <w:szCs w:val="24"/>
      </w:rPr>
      <w:fldChar w:fldCharType="begin"/>
    </w:r>
    <w:r w:rsidRPr="001C23F3">
      <w:rPr>
        <w:szCs w:val="24"/>
      </w:rPr>
      <w:instrText xml:space="preserve"> PAGE </w:instrText>
    </w:r>
    <w:r w:rsidRPr="001C23F3">
      <w:rPr>
        <w:szCs w:val="24"/>
      </w:rPr>
      <w:fldChar w:fldCharType="separate"/>
    </w:r>
    <w:r w:rsidR="00860A70">
      <w:rPr>
        <w:noProof/>
        <w:szCs w:val="24"/>
      </w:rPr>
      <w:t>2</w:t>
    </w:r>
    <w:r w:rsidRPr="001C23F3">
      <w:rPr>
        <w:szCs w:val="24"/>
      </w:rPr>
      <w:fldChar w:fldCharType="end"/>
    </w:r>
    <w:r w:rsidRPr="001C23F3">
      <w:rPr>
        <w:szCs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A3E" w:rsidRDefault="00027A3E" w:rsidP="000E0484">
    <w:pPr>
      <w:pStyle w:val="Fuzeile"/>
      <w:tabs>
        <w:tab w:val="left" w:pos="3630"/>
      </w:tabs>
      <w:jc w:val="center"/>
      <w:rPr>
        <w:color w:val="000000"/>
        <w:szCs w:val="24"/>
        <w:u w:color="000000"/>
      </w:rPr>
    </w:pPr>
    <w:r w:rsidRPr="00AF4D2C">
      <w:rPr>
        <w:color w:val="000000"/>
        <w:szCs w:val="24"/>
        <w:u w:color="000000"/>
      </w:rPr>
      <w:t xml:space="preserve">- </w:t>
    </w:r>
    <w:r w:rsidRPr="00AF4D2C">
      <w:rPr>
        <w:color w:val="000000"/>
        <w:szCs w:val="24"/>
        <w:u w:color="000000"/>
      </w:rPr>
      <w:fldChar w:fldCharType="begin"/>
    </w:r>
    <w:r w:rsidRPr="00AF4D2C">
      <w:rPr>
        <w:color w:val="000000"/>
        <w:szCs w:val="24"/>
        <w:u w:color="000000"/>
      </w:rPr>
      <w:instrText xml:space="preserve"> PAGE </w:instrText>
    </w:r>
    <w:r w:rsidRPr="00AF4D2C">
      <w:rPr>
        <w:color w:val="000000"/>
        <w:szCs w:val="24"/>
        <w:u w:color="000000"/>
      </w:rPr>
      <w:fldChar w:fldCharType="separate"/>
    </w:r>
    <w:r w:rsidR="00860A70">
      <w:rPr>
        <w:noProof/>
        <w:color w:val="000000"/>
        <w:szCs w:val="24"/>
        <w:u w:color="000000"/>
      </w:rPr>
      <w:t>1</w:t>
    </w:r>
    <w:r w:rsidRPr="00AF4D2C">
      <w:rPr>
        <w:color w:val="000000"/>
        <w:szCs w:val="24"/>
        <w:u w:color="000000"/>
      </w:rPr>
      <w:fldChar w:fldCharType="end"/>
    </w:r>
    <w:r w:rsidRPr="00AF4D2C">
      <w:rPr>
        <w:color w:val="000000"/>
        <w:szCs w:val="24"/>
        <w:u w:color="000000"/>
      </w:rPr>
      <w:t xml:space="preserve"> </w:t>
    </w:r>
    <w:r>
      <w:rPr>
        <w:color w:val="000000"/>
        <w:szCs w:val="24"/>
        <w:u w:color="000000"/>
      </w:rPr>
      <w:t>–</w:t>
    </w:r>
  </w:p>
  <w:p w:rsidR="00027A3E" w:rsidRPr="00FD7485" w:rsidRDefault="00027A3E" w:rsidP="004C5794">
    <w:pPr>
      <w:pStyle w:val="Fuzeile"/>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E6E" w:rsidRDefault="00275E6E">
      <w:pPr>
        <w:spacing w:after="0" w:line="240" w:lineRule="auto"/>
        <w:rPr>
          <w:szCs w:val="24"/>
        </w:rPr>
      </w:pPr>
      <w:r>
        <w:rPr>
          <w:szCs w:val="24"/>
        </w:rPr>
        <w:separator/>
      </w:r>
    </w:p>
  </w:footnote>
  <w:footnote w:type="continuationSeparator" w:id="0">
    <w:p w:rsidR="00275E6E" w:rsidRDefault="00275E6E">
      <w:pPr>
        <w:spacing w:after="0" w:line="240" w:lineRule="auto"/>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A3E" w:rsidRDefault="00027A3E">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A3E" w:rsidRDefault="00027A3E">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A3E" w:rsidRDefault="000F47AD">
    <w:pPr>
      <w:pStyle w:val="Kopfzeile"/>
      <w:tabs>
        <w:tab w:val="clear" w:pos="9072"/>
        <w:tab w:val="right" w:pos="9498"/>
      </w:tabs>
      <w:jc w:val="right"/>
      <w:rPr>
        <w:szCs w:val="24"/>
      </w:rPr>
    </w:pPr>
    <w:r>
      <w:rPr>
        <w:noProof/>
        <w:snapToGrid/>
        <w:szCs w:val="24"/>
        <w:lang w:val="de-AT" w:eastAsia="de-AT"/>
      </w:rPr>
      <w:drawing>
        <wp:anchor distT="0" distB="0" distL="114300" distR="114300" simplePos="0" relativeHeight="251657728" behindDoc="0" locked="1" layoutInCell="1" allowOverlap="1">
          <wp:simplePos x="0" y="0"/>
          <wp:positionH relativeFrom="page">
            <wp:posOffset>4859655</wp:posOffset>
          </wp:positionH>
          <wp:positionV relativeFrom="page">
            <wp:posOffset>197485</wp:posOffset>
          </wp:positionV>
          <wp:extent cx="2210435" cy="861695"/>
          <wp:effectExtent l="19050" t="0" r="0" b="0"/>
          <wp:wrapTopAndBottom/>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210435" cy="86169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73F99"/>
    <w:multiLevelType w:val="hybridMultilevel"/>
    <w:tmpl w:val="5126AC16"/>
    <w:lvl w:ilvl="0" w:tplc="A08E153C">
      <w:numFmt w:val="bullet"/>
      <w:lvlText w:val=""/>
      <w:lvlJc w:val="left"/>
      <w:pPr>
        <w:ind w:left="720" w:hanging="360"/>
      </w:pPr>
      <w:rPr>
        <w:rFonts w:ascii="Symbol" w:eastAsia="Calibri" w:hAnsi="Symbo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nsid w:val="3B89302C"/>
    <w:multiLevelType w:val="hybridMultilevel"/>
    <w:tmpl w:val="0E2CEC88"/>
    <w:lvl w:ilvl="0" w:tplc="A08E153C">
      <w:numFmt w:val="bullet"/>
      <w:lvlText w:val=""/>
      <w:lvlJc w:val="left"/>
      <w:pPr>
        <w:ind w:left="720" w:hanging="360"/>
      </w:pPr>
      <w:rPr>
        <w:rFonts w:ascii="Symbol" w:eastAsia="Calibri" w:hAnsi="Symbo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nsid w:val="42422E84"/>
    <w:multiLevelType w:val="hybridMultilevel"/>
    <w:tmpl w:val="1CEABB06"/>
    <w:lvl w:ilvl="0" w:tplc="A08E153C">
      <w:numFmt w:val="bullet"/>
      <w:lvlText w:val=""/>
      <w:lvlJc w:val="left"/>
      <w:pPr>
        <w:ind w:left="720" w:hanging="360"/>
      </w:pPr>
      <w:rPr>
        <w:rFonts w:ascii="Symbol" w:eastAsia="Calibri" w:hAnsi="Symbo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GB" w:vendorID="64" w:dllVersion="131078" w:nlCheck="1" w:checkStyle="1"/>
  <w:activeWritingStyle w:appName="MSWord" w:lang="de-DE" w:vendorID="64" w:dllVersion="131078" w:nlCheck="1" w:checkStyle="1"/>
  <w:activeWritingStyle w:appName="MSWord" w:lang="de-AT"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2E1374"/>
    <w:rsid w:val="000036F0"/>
    <w:rsid w:val="00014245"/>
    <w:rsid w:val="000241AC"/>
    <w:rsid w:val="00024526"/>
    <w:rsid w:val="00027A3E"/>
    <w:rsid w:val="00043088"/>
    <w:rsid w:val="000551B8"/>
    <w:rsid w:val="00067D18"/>
    <w:rsid w:val="0007733F"/>
    <w:rsid w:val="00077B48"/>
    <w:rsid w:val="000805B4"/>
    <w:rsid w:val="00091316"/>
    <w:rsid w:val="000A1122"/>
    <w:rsid w:val="000C054F"/>
    <w:rsid w:val="000C4266"/>
    <w:rsid w:val="000D626E"/>
    <w:rsid w:val="000E0484"/>
    <w:rsid w:val="000E3C49"/>
    <w:rsid w:val="000E7095"/>
    <w:rsid w:val="000F3C31"/>
    <w:rsid w:val="000F47AD"/>
    <w:rsid w:val="001120B8"/>
    <w:rsid w:val="00117183"/>
    <w:rsid w:val="001304E3"/>
    <w:rsid w:val="001329F1"/>
    <w:rsid w:val="00142339"/>
    <w:rsid w:val="00154910"/>
    <w:rsid w:val="0016458F"/>
    <w:rsid w:val="00165A0B"/>
    <w:rsid w:val="00171B1E"/>
    <w:rsid w:val="001A1AB2"/>
    <w:rsid w:val="001B0329"/>
    <w:rsid w:val="001C2157"/>
    <w:rsid w:val="001C23F3"/>
    <w:rsid w:val="001D05AE"/>
    <w:rsid w:val="001D600E"/>
    <w:rsid w:val="001E0339"/>
    <w:rsid w:val="001F250E"/>
    <w:rsid w:val="001F2CA5"/>
    <w:rsid w:val="001F4FD5"/>
    <w:rsid w:val="002008F0"/>
    <w:rsid w:val="002034C5"/>
    <w:rsid w:val="002049F3"/>
    <w:rsid w:val="00207881"/>
    <w:rsid w:val="00216FEB"/>
    <w:rsid w:val="00220D6B"/>
    <w:rsid w:val="00222FE0"/>
    <w:rsid w:val="0022389A"/>
    <w:rsid w:val="00231990"/>
    <w:rsid w:val="00231F5B"/>
    <w:rsid w:val="00231F91"/>
    <w:rsid w:val="00241482"/>
    <w:rsid w:val="00243139"/>
    <w:rsid w:val="002503C2"/>
    <w:rsid w:val="0025303B"/>
    <w:rsid w:val="00262450"/>
    <w:rsid w:val="00262F87"/>
    <w:rsid w:val="0026633F"/>
    <w:rsid w:val="00271F3A"/>
    <w:rsid w:val="00275E6E"/>
    <w:rsid w:val="00285628"/>
    <w:rsid w:val="002901CA"/>
    <w:rsid w:val="00291FCA"/>
    <w:rsid w:val="0029640F"/>
    <w:rsid w:val="002A06FF"/>
    <w:rsid w:val="002A2523"/>
    <w:rsid w:val="002A5C2C"/>
    <w:rsid w:val="002A5E17"/>
    <w:rsid w:val="002C7A03"/>
    <w:rsid w:val="002E1374"/>
    <w:rsid w:val="00304495"/>
    <w:rsid w:val="0031071C"/>
    <w:rsid w:val="00344A83"/>
    <w:rsid w:val="00346BA6"/>
    <w:rsid w:val="0034700F"/>
    <w:rsid w:val="00352B58"/>
    <w:rsid w:val="0035625C"/>
    <w:rsid w:val="00356B1B"/>
    <w:rsid w:val="003743FA"/>
    <w:rsid w:val="00374755"/>
    <w:rsid w:val="0038205F"/>
    <w:rsid w:val="00397B21"/>
    <w:rsid w:val="003B0BDF"/>
    <w:rsid w:val="003D5661"/>
    <w:rsid w:val="003E631A"/>
    <w:rsid w:val="003F69C4"/>
    <w:rsid w:val="00404995"/>
    <w:rsid w:val="004109F0"/>
    <w:rsid w:val="00413FAF"/>
    <w:rsid w:val="00425843"/>
    <w:rsid w:val="00446C4B"/>
    <w:rsid w:val="0046385B"/>
    <w:rsid w:val="00490AE1"/>
    <w:rsid w:val="004B03EC"/>
    <w:rsid w:val="004B60DA"/>
    <w:rsid w:val="004C5794"/>
    <w:rsid w:val="004C6B75"/>
    <w:rsid w:val="004D4724"/>
    <w:rsid w:val="004F035A"/>
    <w:rsid w:val="004F6BF6"/>
    <w:rsid w:val="0050566F"/>
    <w:rsid w:val="0051528F"/>
    <w:rsid w:val="00524547"/>
    <w:rsid w:val="00527224"/>
    <w:rsid w:val="00535507"/>
    <w:rsid w:val="0054000F"/>
    <w:rsid w:val="00564DC6"/>
    <w:rsid w:val="005829C4"/>
    <w:rsid w:val="005965BC"/>
    <w:rsid w:val="005A3259"/>
    <w:rsid w:val="005A773D"/>
    <w:rsid w:val="005B3EEA"/>
    <w:rsid w:val="005C1643"/>
    <w:rsid w:val="005C50E8"/>
    <w:rsid w:val="005C554A"/>
    <w:rsid w:val="005D2217"/>
    <w:rsid w:val="005D5C59"/>
    <w:rsid w:val="005E25B5"/>
    <w:rsid w:val="005E569D"/>
    <w:rsid w:val="00606EC4"/>
    <w:rsid w:val="00610162"/>
    <w:rsid w:val="00613664"/>
    <w:rsid w:val="00617001"/>
    <w:rsid w:val="00622431"/>
    <w:rsid w:val="006309BA"/>
    <w:rsid w:val="00635073"/>
    <w:rsid w:val="00642594"/>
    <w:rsid w:val="00646209"/>
    <w:rsid w:val="00647F45"/>
    <w:rsid w:val="00663398"/>
    <w:rsid w:val="0066389D"/>
    <w:rsid w:val="006643B0"/>
    <w:rsid w:val="00670F17"/>
    <w:rsid w:val="00673223"/>
    <w:rsid w:val="00673E06"/>
    <w:rsid w:val="0068344C"/>
    <w:rsid w:val="0069268F"/>
    <w:rsid w:val="006A07A7"/>
    <w:rsid w:val="006A0915"/>
    <w:rsid w:val="006A5926"/>
    <w:rsid w:val="006C41A0"/>
    <w:rsid w:val="006D1341"/>
    <w:rsid w:val="006E4B75"/>
    <w:rsid w:val="006F4040"/>
    <w:rsid w:val="0070355D"/>
    <w:rsid w:val="00711793"/>
    <w:rsid w:val="0071471D"/>
    <w:rsid w:val="00725A89"/>
    <w:rsid w:val="007309D6"/>
    <w:rsid w:val="00732881"/>
    <w:rsid w:val="007531FE"/>
    <w:rsid w:val="00753A2E"/>
    <w:rsid w:val="00763765"/>
    <w:rsid w:val="00776316"/>
    <w:rsid w:val="007914CE"/>
    <w:rsid w:val="0079285F"/>
    <w:rsid w:val="00793397"/>
    <w:rsid w:val="007A2081"/>
    <w:rsid w:val="007A5DD4"/>
    <w:rsid w:val="007B47E4"/>
    <w:rsid w:val="007B6A02"/>
    <w:rsid w:val="007B7F43"/>
    <w:rsid w:val="007C2C38"/>
    <w:rsid w:val="007D0671"/>
    <w:rsid w:val="007E6295"/>
    <w:rsid w:val="007F385F"/>
    <w:rsid w:val="007F7058"/>
    <w:rsid w:val="00813A11"/>
    <w:rsid w:val="00815B74"/>
    <w:rsid w:val="00815D55"/>
    <w:rsid w:val="00834F36"/>
    <w:rsid w:val="008522AD"/>
    <w:rsid w:val="00860A70"/>
    <w:rsid w:val="008669AC"/>
    <w:rsid w:val="008672C9"/>
    <w:rsid w:val="008672E5"/>
    <w:rsid w:val="008C2D56"/>
    <w:rsid w:val="008C71C4"/>
    <w:rsid w:val="008C7CA8"/>
    <w:rsid w:val="008D4A1D"/>
    <w:rsid w:val="008D7819"/>
    <w:rsid w:val="008E4C55"/>
    <w:rsid w:val="00905AC7"/>
    <w:rsid w:val="00911E9E"/>
    <w:rsid w:val="00934E71"/>
    <w:rsid w:val="009352C7"/>
    <w:rsid w:val="009355A2"/>
    <w:rsid w:val="009528E3"/>
    <w:rsid w:val="00965D76"/>
    <w:rsid w:val="00983530"/>
    <w:rsid w:val="009B0B6F"/>
    <w:rsid w:val="009B2855"/>
    <w:rsid w:val="009C0AE4"/>
    <w:rsid w:val="009D6CB1"/>
    <w:rsid w:val="009D7C64"/>
    <w:rsid w:val="009E3153"/>
    <w:rsid w:val="009E4A7F"/>
    <w:rsid w:val="009E5398"/>
    <w:rsid w:val="00A00C46"/>
    <w:rsid w:val="00A11B7B"/>
    <w:rsid w:val="00A14AEE"/>
    <w:rsid w:val="00A21EF8"/>
    <w:rsid w:val="00A249E9"/>
    <w:rsid w:val="00A33E35"/>
    <w:rsid w:val="00A52325"/>
    <w:rsid w:val="00A53EC4"/>
    <w:rsid w:val="00A6298F"/>
    <w:rsid w:val="00A656BE"/>
    <w:rsid w:val="00A85B1B"/>
    <w:rsid w:val="00A928AA"/>
    <w:rsid w:val="00A9544C"/>
    <w:rsid w:val="00A96AF3"/>
    <w:rsid w:val="00AA6538"/>
    <w:rsid w:val="00AB0E30"/>
    <w:rsid w:val="00AD0532"/>
    <w:rsid w:val="00AD4EF7"/>
    <w:rsid w:val="00AE7468"/>
    <w:rsid w:val="00AF494A"/>
    <w:rsid w:val="00AF4CEF"/>
    <w:rsid w:val="00AF4D2C"/>
    <w:rsid w:val="00AF7882"/>
    <w:rsid w:val="00B2116A"/>
    <w:rsid w:val="00B22793"/>
    <w:rsid w:val="00B22880"/>
    <w:rsid w:val="00B322C2"/>
    <w:rsid w:val="00B360D8"/>
    <w:rsid w:val="00B43B0B"/>
    <w:rsid w:val="00B53BAD"/>
    <w:rsid w:val="00B53BD7"/>
    <w:rsid w:val="00B5449F"/>
    <w:rsid w:val="00B64E67"/>
    <w:rsid w:val="00B81A44"/>
    <w:rsid w:val="00B81D48"/>
    <w:rsid w:val="00B861FF"/>
    <w:rsid w:val="00B8772B"/>
    <w:rsid w:val="00BA1B86"/>
    <w:rsid w:val="00BA7773"/>
    <w:rsid w:val="00BB7F8B"/>
    <w:rsid w:val="00BC147B"/>
    <w:rsid w:val="00BC4725"/>
    <w:rsid w:val="00BC7072"/>
    <w:rsid w:val="00BE6731"/>
    <w:rsid w:val="00C1511E"/>
    <w:rsid w:val="00C21BE4"/>
    <w:rsid w:val="00C23A74"/>
    <w:rsid w:val="00C26A60"/>
    <w:rsid w:val="00C356E7"/>
    <w:rsid w:val="00C508E8"/>
    <w:rsid w:val="00C574C7"/>
    <w:rsid w:val="00C802B3"/>
    <w:rsid w:val="00CA7D8B"/>
    <w:rsid w:val="00CB6BD4"/>
    <w:rsid w:val="00CB7771"/>
    <w:rsid w:val="00CB78BB"/>
    <w:rsid w:val="00CC32AC"/>
    <w:rsid w:val="00CD62B4"/>
    <w:rsid w:val="00CE3CA5"/>
    <w:rsid w:val="00D00506"/>
    <w:rsid w:val="00D042E8"/>
    <w:rsid w:val="00D10290"/>
    <w:rsid w:val="00D11289"/>
    <w:rsid w:val="00D13821"/>
    <w:rsid w:val="00D1592A"/>
    <w:rsid w:val="00D15AC4"/>
    <w:rsid w:val="00D33660"/>
    <w:rsid w:val="00D414D4"/>
    <w:rsid w:val="00D524F4"/>
    <w:rsid w:val="00D55363"/>
    <w:rsid w:val="00D5550A"/>
    <w:rsid w:val="00D742B0"/>
    <w:rsid w:val="00D76D91"/>
    <w:rsid w:val="00D850B9"/>
    <w:rsid w:val="00D871C7"/>
    <w:rsid w:val="00D95679"/>
    <w:rsid w:val="00DB0543"/>
    <w:rsid w:val="00DB5720"/>
    <w:rsid w:val="00DC42DF"/>
    <w:rsid w:val="00DD1B43"/>
    <w:rsid w:val="00DD5F9B"/>
    <w:rsid w:val="00DE0F50"/>
    <w:rsid w:val="00DE2327"/>
    <w:rsid w:val="00DF16C6"/>
    <w:rsid w:val="00E06D29"/>
    <w:rsid w:val="00E16EF5"/>
    <w:rsid w:val="00E244DB"/>
    <w:rsid w:val="00E26543"/>
    <w:rsid w:val="00E40619"/>
    <w:rsid w:val="00E52F63"/>
    <w:rsid w:val="00E535B2"/>
    <w:rsid w:val="00E570B5"/>
    <w:rsid w:val="00E6320E"/>
    <w:rsid w:val="00E74854"/>
    <w:rsid w:val="00E75326"/>
    <w:rsid w:val="00E96F32"/>
    <w:rsid w:val="00EC6852"/>
    <w:rsid w:val="00ED0397"/>
    <w:rsid w:val="00ED09A7"/>
    <w:rsid w:val="00ED0DBE"/>
    <w:rsid w:val="00F068E2"/>
    <w:rsid w:val="00F20DCE"/>
    <w:rsid w:val="00F32B59"/>
    <w:rsid w:val="00F35D97"/>
    <w:rsid w:val="00F51BA6"/>
    <w:rsid w:val="00F55C8A"/>
    <w:rsid w:val="00F61C41"/>
    <w:rsid w:val="00F67927"/>
    <w:rsid w:val="00FA278B"/>
    <w:rsid w:val="00FB2920"/>
    <w:rsid w:val="00FB5B45"/>
    <w:rsid w:val="00FB7AB2"/>
    <w:rsid w:val="00FC0778"/>
    <w:rsid w:val="00FC27B3"/>
    <w:rsid w:val="00FD0C9E"/>
    <w:rsid w:val="00FE2785"/>
    <w:rsid w:val="00FE29B8"/>
    <w:rsid w:val="00FF4AD5"/>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napToGrid w:val="0"/>
      <w:sz w:val="22"/>
      <w:szCs w:val="22"/>
      <w:lang w:val="en-US" w:eastAsia="en-GB"/>
    </w:rPr>
  </w:style>
  <w:style w:type="paragraph" w:styleId="berschrift1">
    <w:name w:val="heading 1"/>
    <w:basedOn w:val="Standard"/>
    <w:next w:val="Standard"/>
    <w:link w:val="berschrift1Zchn"/>
    <w:uiPriority w:val="9"/>
    <w:qFormat/>
    <w:pPr>
      <w:keepNext/>
      <w:pageBreakBefore/>
      <w:spacing w:after="360" w:line="280" w:lineRule="atLeast"/>
      <w:outlineLvl w:val="0"/>
    </w:pPr>
    <w:rPr>
      <w:rFonts w:ascii="Optima" w:hAnsi="Optima"/>
      <w:b/>
      <w:caps/>
      <w:kern w:val="28"/>
      <w:sz w:val="48"/>
      <w:szCs w:val="20"/>
      <w:lang w:val="de-DE"/>
    </w:rPr>
  </w:style>
  <w:style w:type="paragraph" w:styleId="berschrift2">
    <w:name w:val="heading 2"/>
    <w:aliases w:val="Überschrift 2 Zchn,Heading 2 Char1 Char Zchn Zchn Zchn"/>
    <w:basedOn w:val="Standard"/>
    <w:next w:val="Standard"/>
    <w:link w:val="Hyperlink"/>
    <w:uiPriority w:val="9"/>
    <w:qFormat/>
    <w:pPr>
      <w:keepNext/>
      <w:spacing w:before="240" w:after="240" w:line="280" w:lineRule="atLeast"/>
      <w:outlineLvl w:val="1"/>
    </w:pPr>
    <w:rPr>
      <w:rFonts w:ascii="Optima" w:hAnsi="Optima"/>
      <w:b/>
      <w:caps/>
      <w:sz w:val="32"/>
      <w:szCs w:val="20"/>
      <w:lang w:val="de-DE"/>
    </w:rPr>
  </w:style>
  <w:style w:type="paragraph" w:styleId="berschrift3">
    <w:name w:val="heading 3"/>
    <w:basedOn w:val="Standard"/>
    <w:next w:val="Standard"/>
    <w:link w:val="berschrift3Zchn"/>
    <w:uiPriority w:val="9"/>
    <w:qFormat/>
    <w:pPr>
      <w:keepNext/>
      <w:spacing w:before="240" w:after="240" w:line="280" w:lineRule="atLeast"/>
      <w:outlineLvl w:val="2"/>
    </w:pPr>
    <w:rPr>
      <w:rFonts w:ascii="Optima" w:hAnsi="Optima"/>
      <w:b/>
      <w:sz w:val="28"/>
      <w:szCs w:val="20"/>
      <w:lang w:val="de-DE"/>
    </w:rPr>
  </w:style>
  <w:style w:type="character" w:default="1" w:styleId="Absatz-Standardschriftart">
    <w:name w:val="Default Paragraph Font"/>
    <w:uiPriority w:val="1"/>
    <w:semiHidden/>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Optima" w:hAnsi="Optima" w:cs="Times New Roman"/>
      <w:b/>
      <w:caps/>
      <w:kern w:val="28"/>
      <w:sz w:val="20"/>
      <w:szCs w:val="20"/>
      <w:lang w:val="de-DE"/>
    </w:rPr>
  </w:style>
  <w:style w:type="character" w:customStyle="1" w:styleId="Heading2Char">
    <w:name w:val="Heading 2 Char"/>
    <w:basedOn w:val="Absatz-Standardschriftart"/>
    <w:link w:val="berschrift2"/>
    <w:uiPriority w:val="9"/>
    <w:locked/>
    <w:rPr>
      <w:rFonts w:ascii="Optima" w:hAnsi="Optima" w:cs="Times New Roman"/>
      <w:b/>
      <w:caps/>
      <w:sz w:val="20"/>
      <w:szCs w:val="20"/>
      <w:lang w:val="de-DE"/>
    </w:rPr>
  </w:style>
  <w:style w:type="character" w:customStyle="1" w:styleId="berschrift3Zchn">
    <w:name w:val="Überschrift 3 Zchn"/>
    <w:basedOn w:val="Absatz-Standardschriftart"/>
    <w:link w:val="berschrift3"/>
    <w:uiPriority w:val="9"/>
    <w:locked/>
    <w:rPr>
      <w:rFonts w:ascii="Optima" w:hAnsi="Optima" w:cs="Times New Roman"/>
      <w:b/>
      <w:sz w:val="20"/>
      <w:szCs w:val="20"/>
      <w:lang w:val="de-DE"/>
    </w:rPr>
  </w:style>
  <w:style w:type="paragraph" w:styleId="Funotentext">
    <w:name w:val="footnote text"/>
    <w:basedOn w:val="Standard"/>
    <w:link w:val="FunotentextZchn"/>
    <w:uiPriority w:val="99"/>
    <w:semiHidden/>
    <w:pPr>
      <w:spacing w:after="0" w:line="280" w:lineRule="atLeast"/>
    </w:pPr>
    <w:rPr>
      <w:rFonts w:ascii="Trebuchet MS" w:hAnsi="Trebuchet MS"/>
      <w:sz w:val="18"/>
      <w:szCs w:val="20"/>
      <w:lang w:val="de-DE"/>
    </w:rPr>
  </w:style>
  <w:style w:type="character" w:customStyle="1" w:styleId="FunotentextZchn">
    <w:name w:val="Fußnotentext Zchn"/>
    <w:basedOn w:val="Absatz-Standardschriftart"/>
    <w:link w:val="Funotentext"/>
    <w:uiPriority w:val="99"/>
    <w:semiHidden/>
    <w:locked/>
    <w:rPr>
      <w:rFonts w:ascii="Trebuchet MS" w:hAnsi="Trebuchet MS" w:cs="Times New Roman"/>
      <w:sz w:val="20"/>
      <w:szCs w:val="20"/>
      <w:lang w:val="de-DE"/>
    </w:rPr>
  </w:style>
  <w:style w:type="paragraph" w:styleId="Kopfzeile">
    <w:name w:val="header"/>
    <w:basedOn w:val="Standard"/>
    <w:link w:val="KopfzeileZchn"/>
    <w:uiPriority w:val="99"/>
    <w:pPr>
      <w:tabs>
        <w:tab w:val="center" w:pos="4536"/>
        <w:tab w:val="right" w:pos="9072"/>
      </w:tabs>
      <w:spacing w:after="0" w:line="280" w:lineRule="atLeast"/>
    </w:pPr>
    <w:rPr>
      <w:rFonts w:ascii="Trebuchet MS" w:hAnsi="Trebuchet MS"/>
      <w:szCs w:val="20"/>
      <w:lang w:val="de-DE"/>
    </w:rPr>
  </w:style>
  <w:style w:type="character" w:customStyle="1" w:styleId="KopfzeileZchn">
    <w:name w:val="Kopfzeile Zchn"/>
    <w:basedOn w:val="Absatz-Standardschriftart"/>
    <w:link w:val="Kopfzeile"/>
    <w:uiPriority w:val="99"/>
    <w:locked/>
    <w:rPr>
      <w:rFonts w:ascii="Trebuchet MS" w:hAnsi="Trebuchet MS" w:cs="Times New Roman"/>
      <w:sz w:val="20"/>
      <w:szCs w:val="20"/>
      <w:lang w:val="de-DE"/>
    </w:rPr>
  </w:style>
  <w:style w:type="paragraph" w:styleId="Fuzeile">
    <w:name w:val="footer"/>
    <w:basedOn w:val="Standard"/>
    <w:link w:val="FuzeileZchn"/>
    <w:uiPriority w:val="99"/>
    <w:pPr>
      <w:tabs>
        <w:tab w:val="center" w:pos="4536"/>
        <w:tab w:val="right" w:pos="9072"/>
      </w:tabs>
      <w:spacing w:after="0" w:line="280" w:lineRule="atLeast"/>
    </w:pPr>
    <w:rPr>
      <w:rFonts w:ascii="Trebuchet MS" w:hAnsi="Trebuchet MS"/>
      <w:szCs w:val="20"/>
      <w:lang w:val="de-DE"/>
    </w:rPr>
  </w:style>
  <w:style w:type="character" w:customStyle="1" w:styleId="FuzeileZchn">
    <w:name w:val="Fußzeile Zchn"/>
    <w:basedOn w:val="Absatz-Standardschriftart"/>
    <w:link w:val="Fuzeile"/>
    <w:uiPriority w:val="99"/>
    <w:locked/>
    <w:rPr>
      <w:rFonts w:ascii="Trebuchet MS" w:hAnsi="Trebuchet MS" w:cs="Times New Roman"/>
      <w:sz w:val="20"/>
      <w:szCs w:val="20"/>
      <w:lang w:val="de-DE"/>
    </w:rPr>
  </w:style>
  <w:style w:type="character" w:styleId="Seitenzahl">
    <w:name w:val="page number"/>
    <w:basedOn w:val="Absatz-Standardschriftart"/>
    <w:uiPriority w:val="99"/>
    <w:rPr>
      <w:rFonts w:cs="Times New Roman"/>
    </w:rPr>
  </w:style>
  <w:style w:type="paragraph" w:styleId="Sprechblasentext">
    <w:name w:val="Balloon Text"/>
    <w:basedOn w:val="Standard"/>
    <w:link w:val="SprechblasentextZchn"/>
    <w:uiPriority w:val="99"/>
    <w:semiHidden/>
    <w:pPr>
      <w:spacing w:after="0" w:line="280" w:lineRule="atLeast"/>
    </w:pPr>
    <w:rPr>
      <w:rFonts w:ascii="Times New Roman" w:hAnsi="Times New Roman"/>
      <w:sz w:val="16"/>
      <w:szCs w:val="16"/>
      <w:lang w:val="de-DE"/>
    </w:rPr>
  </w:style>
  <w:style w:type="character" w:customStyle="1" w:styleId="SprechblasentextZchn">
    <w:name w:val="Sprechblasentext Zchn"/>
    <w:basedOn w:val="Absatz-Standardschriftart"/>
    <w:link w:val="Sprechblasentext"/>
    <w:uiPriority w:val="99"/>
    <w:semiHidden/>
    <w:locked/>
    <w:rPr>
      <w:rFonts w:ascii="Times New Roman" w:hAnsi="Times New Roman" w:cs="Times New Roman"/>
      <w:sz w:val="16"/>
      <w:szCs w:val="16"/>
      <w:lang w:val="de-DE"/>
    </w:rPr>
  </w:style>
  <w:style w:type="character" w:styleId="Hyperlink">
    <w:name w:val="Hyperlink"/>
    <w:aliases w:val="Überschrift 2 Zchn1,Überschrift 2 Zchn Zchn,Heading 2 Char1 Char Zchn Zchn Zchn Zchn"/>
    <w:basedOn w:val="Absatz-Standardschriftart"/>
    <w:link w:val="berschrift2"/>
    <w:uiPriority w:val="99"/>
    <w:rPr>
      <w:rFonts w:cs="Times New Roman"/>
      <w:color w:val="0000FF"/>
      <w:u w:val="single"/>
    </w:rPr>
  </w:style>
  <w:style w:type="paragraph" w:styleId="StandardWeb">
    <w:name w:val="Normal (Web)"/>
    <w:basedOn w:val="Standard"/>
    <w:uiPriority w:val="99"/>
    <w:pPr>
      <w:spacing w:before="100" w:beforeAutospacing="1" w:after="100" w:afterAutospacing="1" w:line="240" w:lineRule="auto"/>
    </w:pPr>
    <w:rPr>
      <w:rFonts w:ascii="Times New Roman" w:hAnsi="Times New Roman"/>
      <w:sz w:val="24"/>
      <w:szCs w:val="24"/>
      <w:lang w:val="de-AT"/>
    </w:rPr>
  </w:style>
  <w:style w:type="character" w:styleId="Hervorhebung">
    <w:name w:val="Emphasis"/>
    <w:basedOn w:val="Absatz-Standardschriftart"/>
    <w:uiPriority w:val="20"/>
    <w:qFormat/>
    <w:rPr>
      <w:rFonts w:cs="Times New Roman"/>
      <w:i/>
      <w:iCs/>
    </w:rPr>
  </w:style>
  <w:style w:type="character" w:styleId="Funotenzeichen">
    <w:name w:val="footnote reference"/>
    <w:basedOn w:val="Absatz-Standardschriftart"/>
    <w:uiPriority w:val="99"/>
    <w:rPr>
      <w:rFonts w:cs="Times New Roman"/>
      <w:vertAlign w:val="superscript"/>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Listenabsatz">
    <w:name w:val="List Paragraph"/>
    <w:basedOn w:val="Standard"/>
    <w:uiPriority w:val="34"/>
    <w:qFormat/>
    <w:rsid w:val="00D5550A"/>
    <w:pPr>
      <w:ind w:left="708"/>
    </w:pPr>
  </w:style>
  <w:style w:type="paragraph" w:styleId="NurText">
    <w:name w:val="Plain Text"/>
    <w:basedOn w:val="Standard"/>
    <w:link w:val="NurTextZchn"/>
    <w:uiPriority w:val="99"/>
    <w:semiHidden/>
    <w:unhideWhenUsed/>
    <w:rsid w:val="00271F3A"/>
    <w:pPr>
      <w:spacing w:after="0" w:line="240" w:lineRule="auto"/>
    </w:pPr>
    <w:rPr>
      <w:rFonts w:ascii="Consolas" w:eastAsia="Calibri" w:hAnsi="Consolas"/>
      <w:snapToGrid/>
      <w:sz w:val="21"/>
      <w:szCs w:val="21"/>
      <w:lang w:val="de-AT" w:eastAsia="en-US"/>
    </w:rPr>
  </w:style>
  <w:style w:type="character" w:customStyle="1" w:styleId="NurTextZchn">
    <w:name w:val="Nur Text Zchn"/>
    <w:basedOn w:val="Absatz-Standardschriftart"/>
    <w:link w:val="NurText"/>
    <w:uiPriority w:val="99"/>
    <w:semiHidden/>
    <w:rsid w:val="00271F3A"/>
    <w:rPr>
      <w:rFonts w:ascii="Consolas" w:eastAsia="Calibri"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12071656">
      <w:bodyDiv w:val="1"/>
      <w:marLeft w:val="0"/>
      <w:marRight w:val="0"/>
      <w:marTop w:val="0"/>
      <w:marBottom w:val="0"/>
      <w:divBdr>
        <w:top w:val="none" w:sz="0" w:space="0" w:color="auto"/>
        <w:left w:val="none" w:sz="0" w:space="0" w:color="auto"/>
        <w:bottom w:val="none" w:sz="0" w:space="0" w:color="auto"/>
        <w:right w:val="none" w:sz="0" w:space="0" w:color="auto"/>
      </w:divBdr>
    </w:div>
    <w:div w:id="131948388">
      <w:bodyDiv w:val="1"/>
      <w:marLeft w:val="0"/>
      <w:marRight w:val="0"/>
      <w:marTop w:val="0"/>
      <w:marBottom w:val="0"/>
      <w:divBdr>
        <w:top w:val="none" w:sz="0" w:space="0" w:color="auto"/>
        <w:left w:val="none" w:sz="0" w:space="0" w:color="auto"/>
        <w:bottom w:val="none" w:sz="0" w:space="0" w:color="auto"/>
        <w:right w:val="none" w:sz="0" w:space="0" w:color="auto"/>
      </w:divBdr>
    </w:div>
    <w:div w:id="555896655">
      <w:bodyDiv w:val="1"/>
      <w:marLeft w:val="0"/>
      <w:marRight w:val="0"/>
      <w:marTop w:val="0"/>
      <w:marBottom w:val="0"/>
      <w:divBdr>
        <w:top w:val="none" w:sz="0" w:space="0" w:color="auto"/>
        <w:left w:val="none" w:sz="0" w:space="0" w:color="auto"/>
        <w:bottom w:val="none" w:sz="0" w:space="0" w:color="auto"/>
        <w:right w:val="none" w:sz="0" w:space="0" w:color="auto"/>
      </w:divBdr>
      <w:divsChild>
        <w:div w:id="151915742">
          <w:marLeft w:val="0"/>
          <w:marRight w:val="0"/>
          <w:marTop w:val="0"/>
          <w:marBottom w:val="0"/>
          <w:divBdr>
            <w:top w:val="none" w:sz="0" w:space="0" w:color="auto"/>
            <w:left w:val="none" w:sz="0" w:space="0" w:color="auto"/>
            <w:bottom w:val="none" w:sz="0" w:space="0" w:color="auto"/>
            <w:right w:val="none" w:sz="0" w:space="0" w:color="auto"/>
          </w:divBdr>
          <w:divsChild>
            <w:div w:id="1473521340">
              <w:marLeft w:val="0"/>
              <w:marRight w:val="0"/>
              <w:marTop w:val="0"/>
              <w:marBottom w:val="0"/>
              <w:divBdr>
                <w:top w:val="none" w:sz="0" w:space="0" w:color="auto"/>
                <w:left w:val="none" w:sz="0" w:space="0" w:color="auto"/>
                <w:bottom w:val="none" w:sz="0" w:space="0" w:color="auto"/>
                <w:right w:val="none" w:sz="0" w:space="0" w:color="auto"/>
              </w:divBdr>
              <w:divsChild>
                <w:div w:id="1628049848">
                  <w:marLeft w:val="0"/>
                  <w:marRight w:val="0"/>
                  <w:marTop w:val="0"/>
                  <w:marBottom w:val="0"/>
                  <w:divBdr>
                    <w:top w:val="none" w:sz="0" w:space="0" w:color="auto"/>
                    <w:left w:val="none" w:sz="0" w:space="0" w:color="auto"/>
                    <w:bottom w:val="none" w:sz="0" w:space="0" w:color="auto"/>
                    <w:right w:val="none" w:sz="0" w:space="0" w:color="auto"/>
                  </w:divBdr>
                  <w:divsChild>
                    <w:div w:id="516113282">
                      <w:marLeft w:val="0"/>
                      <w:marRight w:val="0"/>
                      <w:marTop w:val="0"/>
                      <w:marBottom w:val="0"/>
                      <w:divBdr>
                        <w:top w:val="none" w:sz="0" w:space="0" w:color="auto"/>
                        <w:left w:val="none" w:sz="0" w:space="0" w:color="auto"/>
                        <w:bottom w:val="none" w:sz="0" w:space="0" w:color="auto"/>
                        <w:right w:val="none" w:sz="0" w:space="0" w:color="auto"/>
                      </w:divBdr>
                      <w:divsChild>
                        <w:div w:id="842476271">
                          <w:marLeft w:val="0"/>
                          <w:marRight w:val="0"/>
                          <w:marTop w:val="0"/>
                          <w:marBottom w:val="0"/>
                          <w:divBdr>
                            <w:top w:val="none" w:sz="0" w:space="0" w:color="auto"/>
                            <w:left w:val="none" w:sz="0" w:space="0" w:color="auto"/>
                            <w:bottom w:val="none" w:sz="0" w:space="0" w:color="auto"/>
                            <w:right w:val="none" w:sz="0" w:space="0" w:color="auto"/>
                          </w:divBdr>
                          <w:divsChild>
                            <w:div w:id="81032905">
                              <w:marLeft w:val="0"/>
                              <w:marRight w:val="0"/>
                              <w:marTop w:val="0"/>
                              <w:marBottom w:val="0"/>
                              <w:divBdr>
                                <w:top w:val="none" w:sz="0" w:space="0" w:color="auto"/>
                                <w:left w:val="none" w:sz="0" w:space="0" w:color="auto"/>
                                <w:bottom w:val="none" w:sz="0" w:space="0" w:color="auto"/>
                                <w:right w:val="none" w:sz="0" w:space="0" w:color="auto"/>
                              </w:divBdr>
                              <w:divsChild>
                                <w:div w:id="1393190686">
                                  <w:marLeft w:val="0"/>
                                  <w:marRight w:val="0"/>
                                  <w:marTop w:val="0"/>
                                  <w:marBottom w:val="0"/>
                                  <w:divBdr>
                                    <w:top w:val="none" w:sz="0" w:space="0" w:color="auto"/>
                                    <w:left w:val="none" w:sz="0" w:space="0" w:color="auto"/>
                                    <w:bottom w:val="none" w:sz="0" w:space="0" w:color="auto"/>
                                    <w:right w:val="none" w:sz="0" w:space="0" w:color="auto"/>
                                  </w:divBdr>
                                  <w:divsChild>
                                    <w:div w:id="545027115">
                                      <w:marLeft w:val="0"/>
                                      <w:marRight w:val="0"/>
                                      <w:marTop w:val="0"/>
                                      <w:marBottom w:val="0"/>
                                      <w:divBdr>
                                        <w:top w:val="none" w:sz="0" w:space="0" w:color="auto"/>
                                        <w:left w:val="none" w:sz="0" w:space="0" w:color="auto"/>
                                        <w:bottom w:val="none" w:sz="0" w:space="0" w:color="auto"/>
                                        <w:right w:val="none" w:sz="0" w:space="0" w:color="auto"/>
                                      </w:divBdr>
                                      <w:divsChild>
                                        <w:div w:id="1057897614">
                                          <w:marLeft w:val="0"/>
                                          <w:marRight w:val="0"/>
                                          <w:marTop w:val="0"/>
                                          <w:marBottom w:val="0"/>
                                          <w:divBdr>
                                            <w:top w:val="none" w:sz="0" w:space="0" w:color="auto"/>
                                            <w:left w:val="none" w:sz="0" w:space="0" w:color="auto"/>
                                            <w:bottom w:val="none" w:sz="0" w:space="0" w:color="auto"/>
                                            <w:right w:val="none" w:sz="0" w:space="0" w:color="auto"/>
                                          </w:divBdr>
                                          <w:divsChild>
                                            <w:div w:id="1440837701">
                                              <w:marLeft w:val="0"/>
                                              <w:marRight w:val="0"/>
                                              <w:marTop w:val="0"/>
                                              <w:marBottom w:val="0"/>
                                              <w:divBdr>
                                                <w:top w:val="none" w:sz="0" w:space="0" w:color="auto"/>
                                                <w:left w:val="none" w:sz="0" w:space="0" w:color="auto"/>
                                                <w:bottom w:val="none" w:sz="0" w:space="0" w:color="auto"/>
                                                <w:right w:val="none" w:sz="0" w:space="0" w:color="auto"/>
                                              </w:divBdr>
                                              <w:divsChild>
                                                <w:div w:id="1078945037">
                                                  <w:marLeft w:val="0"/>
                                                  <w:marRight w:val="0"/>
                                                  <w:marTop w:val="0"/>
                                                  <w:marBottom w:val="0"/>
                                                  <w:divBdr>
                                                    <w:top w:val="none" w:sz="0" w:space="0" w:color="auto"/>
                                                    <w:left w:val="none" w:sz="0" w:space="0" w:color="auto"/>
                                                    <w:bottom w:val="none" w:sz="0" w:space="0" w:color="auto"/>
                                                    <w:right w:val="none" w:sz="0" w:space="0" w:color="auto"/>
                                                  </w:divBdr>
                                                  <w:divsChild>
                                                    <w:div w:id="1081490821">
                                                      <w:marLeft w:val="0"/>
                                                      <w:marRight w:val="0"/>
                                                      <w:marTop w:val="0"/>
                                                      <w:marBottom w:val="0"/>
                                                      <w:divBdr>
                                                        <w:top w:val="none" w:sz="0" w:space="0" w:color="auto"/>
                                                        <w:left w:val="none" w:sz="0" w:space="0" w:color="auto"/>
                                                        <w:bottom w:val="none" w:sz="0" w:space="0" w:color="auto"/>
                                                        <w:right w:val="none" w:sz="0" w:space="0" w:color="auto"/>
                                                      </w:divBdr>
                                                      <w:divsChild>
                                                        <w:div w:id="983697130">
                                                          <w:marLeft w:val="0"/>
                                                          <w:marRight w:val="0"/>
                                                          <w:marTop w:val="0"/>
                                                          <w:marBottom w:val="0"/>
                                                          <w:divBdr>
                                                            <w:top w:val="none" w:sz="0" w:space="0" w:color="auto"/>
                                                            <w:left w:val="none" w:sz="0" w:space="0" w:color="auto"/>
                                                            <w:bottom w:val="none" w:sz="0" w:space="0" w:color="auto"/>
                                                            <w:right w:val="none" w:sz="0" w:space="0" w:color="auto"/>
                                                          </w:divBdr>
                                                          <w:divsChild>
                                                            <w:div w:id="177499719">
                                                              <w:marLeft w:val="0"/>
                                                              <w:marRight w:val="0"/>
                                                              <w:marTop w:val="0"/>
                                                              <w:marBottom w:val="0"/>
                                                              <w:divBdr>
                                                                <w:top w:val="none" w:sz="0" w:space="0" w:color="auto"/>
                                                                <w:left w:val="none" w:sz="0" w:space="0" w:color="auto"/>
                                                                <w:bottom w:val="none" w:sz="0" w:space="0" w:color="auto"/>
                                                                <w:right w:val="none" w:sz="0" w:space="0" w:color="auto"/>
                                                              </w:divBdr>
                                                              <w:divsChild>
                                                                <w:div w:id="5081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6951787">
      <w:bodyDiv w:val="1"/>
      <w:marLeft w:val="0"/>
      <w:marRight w:val="0"/>
      <w:marTop w:val="0"/>
      <w:marBottom w:val="0"/>
      <w:divBdr>
        <w:top w:val="none" w:sz="0" w:space="0" w:color="auto"/>
        <w:left w:val="none" w:sz="0" w:space="0" w:color="auto"/>
        <w:bottom w:val="none" w:sz="0" w:space="0" w:color="auto"/>
        <w:right w:val="none" w:sz="0" w:space="0" w:color="auto"/>
      </w:divBdr>
    </w:div>
    <w:div w:id="957948724">
      <w:bodyDiv w:val="1"/>
      <w:marLeft w:val="0"/>
      <w:marRight w:val="0"/>
      <w:marTop w:val="0"/>
      <w:marBottom w:val="0"/>
      <w:divBdr>
        <w:top w:val="none" w:sz="0" w:space="0" w:color="auto"/>
        <w:left w:val="none" w:sz="0" w:space="0" w:color="auto"/>
        <w:bottom w:val="none" w:sz="0" w:space="0" w:color="auto"/>
        <w:right w:val="none" w:sz="0" w:space="0" w:color="auto"/>
      </w:divBdr>
    </w:div>
    <w:div w:id="994531088">
      <w:bodyDiv w:val="1"/>
      <w:marLeft w:val="0"/>
      <w:marRight w:val="0"/>
      <w:marTop w:val="0"/>
      <w:marBottom w:val="0"/>
      <w:divBdr>
        <w:top w:val="none" w:sz="0" w:space="0" w:color="auto"/>
        <w:left w:val="none" w:sz="0" w:space="0" w:color="auto"/>
        <w:bottom w:val="none" w:sz="0" w:space="0" w:color="auto"/>
        <w:right w:val="none" w:sz="0" w:space="0" w:color="auto"/>
      </w:divBdr>
    </w:div>
    <w:div w:id="1453094728">
      <w:bodyDiv w:val="1"/>
      <w:marLeft w:val="0"/>
      <w:marRight w:val="0"/>
      <w:marTop w:val="0"/>
      <w:marBottom w:val="0"/>
      <w:divBdr>
        <w:top w:val="none" w:sz="0" w:space="0" w:color="auto"/>
        <w:left w:val="none" w:sz="0" w:space="0" w:color="auto"/>
        <w:bottom w:val="none" w:sz="0" w:space="0" w:color="auto"/>
        <w:right w:val="none" w:sz="0" w:space="0" w:color="auto"/>
      </w:divBdr>
    </w:div>
    <w:div w:id="1466777653">
      <w:bodyDiv w:val="1"/>
      <w:marLeft w:val="0"/>
      <w:marRight w:val="0"/>
      <w:marTop w:val="0"/>
      <w:marBottom w:val="0"/>
      <w:divBdr>
        <w:top w:val="none" w:sz="0" w:space="0" w:color="auto"/>
        <w:left w:val="none" w:sz="0" w:space="0" w:color="auto"/>
        <w:bottom w:val="none" w:sz="0" w:space="0" w:color="auto"/>
        <w:right w:val="none" w:sz="0" w:space="0" w:color="auto"/>
      </w:divBdr>
    </w:div>
    <w:div w:id="1891653737">
      <w:bodyDiv w:val="1"/>
      <w:marLeft w:val="0"/>
      <w:marRight w:val="0"/>
      <w:marTop w:val="0"/>
      <w:marBottom w:val="0"/>
      <w:divBdr>
        <w:top w:val="none" w:sz="0" w:space="0" w:color="auto"/>
        <w:left w:val="none" w:sz="0" w:space="0" w:color="auto"/>
        <w:bottom w:val="none" w:sz="0" w:space="0" w:color="auto"/>
        <w:right w:val="none" w:sz="0" w:space="0" w:color="auto"/>
      </w:divBdr>
    </w:div>
    <w:div w:id="2030568688">
      <w:bodyDiv w:val="1"/>
      <w:marLeft w:val="0"/>
      <w:marRight w:val="0"/>
      <w:marTop w:val="0"/>
      <w:marBottom w:val="0"/>
      <w:divBdr>
        <w:top w:val="none" w:sz="0" w:space="0" w:color="auto"/>
        <w:left w:val="none" w:sz="0" w:space="0" w:color="auto"/>
        <w:bottom w:val="none" w:sz="0" w:space="0" w:color="auto"/>
        <w:right w:val="none" w:sz="0" w:space="0" w:color="auto"/>
      </w:divBdr>
    </w:div>
    <w:div w:id="2042851592">
      <w:bodyDiv w:val="1"/>
      <w:marLeft w:val="0"/>
      <w:marRight w:val="0"/>
      <w:marTop w:val="0"/>
      <w:marBottom w:val="0"/>
      <w:divBdr>
        <w:top w:val="none" w:sz="0" w:space="0" w:color="auto"/>
        <w:left w:val="none" w:sz="0" w:space="0" w:color="auto"/>
        <w:bottom w:val="none" w:sz="0" w:space="0" w:color="auto"/>
        <w:right w:val="none" w:sz="0" w:space="0" w:color="auto"/>
      </w:divBdr>
    </w:div>
    <w:div w:id="208472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1548</Words>
  <Characters>8400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Translation: www.brainstorm.at</vt:lpstr>
    </vt:vector>
  </TitlesOfParts>
  <Company>Translation: www.brainstorm.at</Company>
  <LinksUpToDate>false</LinksUpToDate>
  <CharactersWithSpaces>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Translation: www.brainstorm.at</dc:title>
  <dc:creator>Translation: www.brainstorm.at</dc:creator>
  <dc:description>Translation: www.brainstorm.at</dc:description>
  <cp:lastModifiedBy>Silvia Streuer</cp:lastModifiedBy>
  <cp:revision>6</cp:revision>
  <cp:lastPrinted>2012-03-19T07:35:00Z</cp:lastPrinted>
  <dcterms:created xsi:type="dcterms:W3CDTF">2012-03-19T07:26:00Z</dcterms:created>
  <dcterms:modified xsi:type="dcterms:W3CDTF">2012-03-19T08:43:00Z</dcterms:modified>
  <cp:category>Translation: www.brainstorm.at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ion">
    <vt:lpwstr>Translation: www.brainstorm.at</vt:lpwstr>
  </property>
  <property fmtid="{D5CDD505-2E9C-101B-9397-08002B2CF9AE}" pid="3" name="_NewReviewCycle">
    <vt:lpwstr/>
  </property>
</Properties>
</file>