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75F" w:rsidRDefault="007A175F">
      <w:r>
        <w:rPr>
          <w:noProof/>
          <w:lang w:val="de-AT" w:eastAsia="de-AT"/>
        </w:rPr>
        <w:drawing>
          <wp:anchor distT="0" distB="0" distL="114300" distR="114300" simplePos="0" relativeHeight="251659264" behindDoc="0" locked="1" layoutInCell="1" allowOverlap="1" wp14:anchorId="32D499B6" wp14:editId="2119B9E7">
            <wp:simplePos x="0" y="0"/>
            <wp:positionH relativeFrom="page">
              <wp:posOffset>5012055</wp:posOffset>
            </wp:positionH>
            <wp:positionV relativeFrom="page">
              <wp:posOffset>349885</wp:posOffset>
            </wp:positionV>
            <wp:extent cx="2210435" cy="861695"/>
            <wp:effectExtent l="0" t="0" r="0" b="0"/>
            <wp:wrapTopAndBottom/>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861695"/>
                    </a:xfrm>
                    <a:prstGeom prst="rect">
                      <a:avLst/>
                    </a:prstGeom>
                    <a:noFill/>
                  </pic:spPr>
                </pic:pic>
              </a:graphicData>
            </a:graphic>
          </wp:anchor>
        </w:drawing>
      </w:r>
    </w:p>
    <w:tbl>
      <w:tblPr>
        <w:tblW w:w="9751" w:type="dxa"/>
        <w:tblInd w:w="-68" w:type="dxa"/>
        <w:tblLayout w:type="fixed"/>
        <w:tblCellMar>
          <w:left w:w="70" w:type="dxa"/>
          <w:right w:w="70" w:type="dxa"/>
        </w:tblCellMar>
        <w:tblLook w:val="0000" w:firstRow="0" w:lastRow="0" w:firstColumn="0" w:lastColumn="0" w:noHBand="0" w:noVBand="0"/>
      </w:tblPr>
      <w:tblGrid>
        <w:gridCol w:w="4800"/>
        <w:gridCol w:w="4951"/>
      </w:tblGrid>
      <w:tr w:rsidR="007A175F" w:rsidRPr="003F67EF" w:rsidTr="00F15FF4">
        <w:trPr>
          <w:trHeight w:hRule="exact" w:val="3261"/>
        </w:trPr>
        <w:tc>
          <w:tcPr>
            <w:tcW w:w="4800" w:type="dxa"/>
          </w:tcPr>
          <w:p w:rsidR="007A175F" w:rsidRPr="00616F48" w:rsidRDefault="007A175F" w:rsidP="00F15FF4">
            <w:pPr>
              <w:tabs>
                <w:tab w:val="center" w:pos="2481"/>
              </w:tabs>
              <w:ind w:right="-1"/>
              <w:rPr>
                <w:lang w:val="en-GB"/>
              </w:rPr>
            </w:pPr>
          </w:p>
          <w:p w:rsidR="007A175F" w:rsidRDefault="007A175F" w:rsidP="00F15FF4">
            <w:pPr>
              <w:tabs>
                <w:tab w:val="center" w:pos="2481"/>
              </w:tabs>
              <w:ind w:right="-1"/>
              <w:rPr>
                <w:lang w:val="de-AT"/>
              </w:rPr>
            </w:pPr>
          </w:p>
          <w:p w:rsidR="007A175F" w:rsidRDefault="003F67EF" w:rsidP="00F15FF4">
            <w:pPr>
              <w:rPr>
                <w:lang w:val="de-AT"/>
              </w:rPr>
            </w:pPr>
            <w:proofErr w:type="spellStart"/>
            <w:r>
              <w:t>To</w:t>
            </w:r>
            <w:proofErr w:type="spellEnd"/>
            <w:r>
              <w:t xml:space="preserve"> ESMA</w:t>
            </w:r>
          </w:p>
          <w:p w:rsidR="007A175F" w:rsidRDefault="007A175F" w:rsidP="00F15FF4">
            <w:pPr>
              <w:rPr>
                <w:lang w:val="de-AT"/>
              </w:rPr>
            </w:pPr>
          </w:p>
          <w:p w:rsidR="007A175F" w:rsidRPr="00D04A2A" w:rsidRDefault="007A175F" w:rsidP="00F15FF4">
            <w:pPr>
              <w:rPr>
                <w:lang w:val="de-AT"/>
              </w:rPr>
            </w:pPr>
            <w:bookmarkStart w:id="0" w:name="_GoBack"/>
            <w:bookmarkEnd w:id="0"/>
          </w:p>
        </w:tc>
        <w:tc>
          <w:tcPr>
            <w:tcW w:w="4951" w:type="dxa"/>
          </w:tcPr>
          <w:p w:rsidR="007A175F" w:rsidRPr="009713ED" w:rsidRDefault="007A175F" w:rsidP="00F15FF4">
            <w:pPr>
              <w:spacing w:line="220" w:lineRule="atLeast"/>
              <w:ind w:right="255"/>
              <w:jc w:val="right"/>
              <w:rPr>
                <w:lang w:val="en-GB"/>
              </w:rPr>
            </w:pPr>
          </w:p>
          <w:p w:rsidR="007A175F" w:rsidRPr="009713ED" w:rsidRDefault="007A175F" w:rsidP="00F15FF4">
            <w:pPr>
              <w:spacing w:line="220" w:lineRule="atLeast"/>
              <w:ind w:right="255"/>
              <w:jc w:val="right"/>
              <w:rPr>
                <w:lang w:val="en-GB"/>
              </w:rPr>
            </w:pPr>
          </w:p>
          <w:p w:rsidR="007A175F" w:rsidRPr="009713ED" w:rsidRDefault="007A175F" w:rsidP="00F15FF4">
            <w:pPr>
              <w:spacing w:line="220" w:lineRule="atLeast"/>
              <w:ind w:right="255"/>
              <w:jc w:val="right"/>
              <w:rPr>
                <w:lang w:val="en-GB"/>
              </w:rPr>
            </w:pPr>
          </w:p>
          <w:p w:rsidR="007A175F" w:rsidRPr="00616F48" w:rsidRDefault="007A175F" w:rsidP="00F15FF4">
            <w:pPr>
              <w:spacing w:line="260" w:lineRule="atLeast"/>
              <w:ind w:right="255"/>
              <w:jc w:val="right"/>
              <w:rPr>
                <w:lang w:val="en-GB"/>
              </w:rPr>
            </w:pPr>
            <w:r w:rsidRPr="00616F48">
              <w:rPr>
                <w:lang w:val="en-GB"/>
              </w:rPr>
              <w:t>Division Bank and Insurance</w:t>
            </w:r>
            <w:bookmarkStart w:id="1" w:name="abs1"/>
            <w:bookmarkEnd w:id="1"/>
          </w:p>
          <w:p w:rsidR="007A175F" w:rsidRPr="00616F48" w:rsidRDefault="007A175F" w:rsidP="00F15FF4">
            <w:pPr>
              <w:spacing w:line="260" w:lineRule="atLeast"/>
              <w:ind w:right="255"/>
              <w:jc w:val="right"/>
              <w:rPr>
                <w:lang w:val="en-GB"/>
              </w:rPr>
            </w:pPr>
            <w:r w:rsidRPr="00616F48">
              <w:rPr>
                <w:lang w:val="en-GB"/>
              </w:rPr>
              <w:t>Austrian Federal Economic Chamber</w:t>
            </w:r>
          </w:p>
          <w:p w:rsidR="007A175F" w:rsidRPr="007A175F" w:rsidRDefault="007A175F" w:rsidP="00F15FF4">
            <w:pPr>
              <w:spacing w:line="260" w:lineRule="atLeast"/>
              <w:ind w:right="255"/>
              <w:jc w:val="right"/>
              <w:rPr>
                <w:lang w:val="de-AT"/>
              </w:rPr>
            </w:pPr>
            <w:r w:rsidRPr="007A175F">
              <w:rPr>
                <w:lang w:val="de-AT"/>
              </w:rPr>
              <w:t>Wiedner Hauptstraße 63 | P.O. Box 320</w:t>
            </w:r>
          </w:p>
          <w:p w:rsidR="007A175F" w:rsidRPr="00C34132" w:rsidRDefault="007A175F" w:rsidP="00F15FF4">
            <w:pPr>
              <w:spacing w:line="260" w:lineRule="atLeast"/>
              <w:ind w:right="255"/>
              <w:jc w:val="right"/>
              <w:rPr>
                <w:lang w:val="en-GB"/>
              </w:rPr>
            </w:pPr>
            <w:r w:rsidRPr="00C34132">
              <w:rPr>
                <w:lang w:val="en-GB"/>
              </w:rPr>
              <w:t>1045 Vienna</w:t>
            </w:r>
          </w:p>
          <w:p w:rsidR="007A175F" w:rsidRPr="007A175F" w:rsidRDefault="007A175F" w:rsidP="00F15FF4">
            <w:pPr>
              <w:spacing w:line="260" w:lineRule="atLeast"/>
              <w:ind w:right="255"/>
              <w:jc w:val="right"/>
              <w:rPr>
                <w:lang w:val="en-GB"/>
              </w:rPr>
            </w:pPr>
            <w:r w:rsidRPr="007A175F">
              <w:rPr>
                <w:lang w:val="en-GB"/>
              </w:rPr>
              <w:t>T +43 (0)5 90 900-ext | F +43 (0)5 90 900-272</w:t>
            </w:r>
          </w:p>
          <w:p w:rsidR="007A175F" w:rsidRPr="007A175F" w:rsidRDefault="007A175F" w:rsidP="00F15FF4">
            <w:pPr>
              <w:spacing w:line="260" w:lineRule="atLeast"/>
              <w:ind w:right="255"/>
              <w:jc w:val="right"/>
              <w:rPr>
                <w:lang w:val="en-GB"/>
              </w:rPr>
            </w:pPr>
            <w:r w:rsidRPr="007A175F">
              <w:rPr>
                <w:lang w:val="en-GB"/>
              </w:rPr>
              <w:t>Ebsbv@wko.at</w:t>
            </w:r>
          </w:p>
          <w:p w:rsidR="007A175F" w:rsidRPr="00723903" w:rsidRDefault="007A175F" w:rsidP="00F15FF4">
            <w:pPr>
              <w:spacing w:line="260" w:lineRule="atLeast"/>
              <w:ind w:right="255"/>
              <w:jc w:val="right"/>
              <w:rPr>
                <w:lang w:val="en-GB"/>
              </w:rPr>
            </w:pPr>
            <w:r w:rsidRPr="00723903">
              <w:rPr>
                <w:lang w:val="en-GB"/>
              </w:rPr>
              <w:t>W  http://wko.at/bsbv</w:t>
            </w:r>
          </w:p>
        </w:tc>
      </w:tr>
    </w:tbl>
    <w:p w:rsidR="007A175F" w:rsidRPr="007A175F" w:rsidRDefault="007A175F">
      <w:pPr>
        <w:rPr>
          <w:lang w:val="en-GB"/>
        </w:rPr>
      </w:pPr>
    </w:p>
    <w:p w:rsidR="003622EC" w:rsidRPr="00616F48" w:rsidRDefault="003622EC" w:rsidP="007A175F">
      <w:pPr>
        <w:spacing w:line="240" w:lineRule="auto"/>
        <w:ind w:right="-1"/>
        <w:rPr>
          <w:lang w:val="en-GB"/>
        </w:rPr>
      </w:pPr>
    </w:p>
    <w:p w:rsidR="009B7CB9" w:rsidRDefault="009B7CB9" w:rsidP="009B7CB9">
      <w:pPr>
        <w:spacing w:line="240" w:lineRule="auto"/>
        <w:ind w:right="-1"/>
        <w:rPr>
          <w:b/>
          <w:bCs/>
          <w:lang w:val="en-GB"/>
        </w:rPr>
      </w:pPr>
      <w:r w:rsidRPr="009B7CB9">
        <w:rPr>
          <w:b/>
          <w:bCs/>
          <w:lang w:val="en-GB"/>
        </w:rPr>
        <w:t xml:space="preserve">ESMA’s policy orientations on </w:t>
      </w:r>
    </w:p>
    <w:p w:rsidR="0017298B" w:rsidRDefault="009B7CB9" w:rsidP="009B7CB9">
      <w:pPr>
        <w:spacing w:line="240" w:lineRule="auto"/>
        <w:ind w:right="-1"/>
        <w:rPr>
          <w:b/>
          <w:bCs/>
          <w:lang w:val="en-GB"/>
        </w:rPr>
      </w:pPr>
      <w:proofErr w:type="gramStart"/>
      <w:r w:rsidRPr="009B7CB9">
        <w:rPr>
          <w:b/>
          <w:bCs/>
          <w:lang w:val="en-GB"/>
        </w:rPr>
        <w:t>possible</w:t>
      </w:r>
      <w:proofErr w:type="gramEnd"/>
      <w:r w:rsidRPr="009B7CB9">
        <w:rPr>
          <w:b/>
          <w:bCs/>
          <w:lang w:val="en-GB"/>
        </w:rPr>
        <w:t xml:space="preserve"> implementing measures</w:t>
      </w:r>
      <w:r>
        <w:rPr>
          <w:b/>
          <w:bCs/>
          <w:lang w:val="en-GB"/>
        </w:rPr>
        <w:t xml:space="preserve"> </w:t>
      </w:r>
      <w:r w:rsidRPr="009B7CB9">
        <w:rPr>
          <w:b/>
          <w:bCs/>
          <w:lang w:val="en-GB"/>
        </w:rPr>
        <w:t>under the Market Abuse Regulati</w:t>
      </w:r>
      <w:r>
        <w:rPr>
          <w:b/>
          <w:bCs/>
          <w:lang w:val="en-GB"/>
        </w:rPr>
        <w:t>on</w:t>
      </w:r>
    </w:p>
    <w:p w:rsidR="0017298B" w:rsidRDefault="0017298B" w:rsidP="0017298B">
      <w:pPr>
        <w:spacing w:line="240" w:lineRule="auto"/>
        <w:ind w:right="-1"/>
        <w:rPr>
          <w:lang w:val="en-GB"/>
        </w:rPr>
      </w:pPr>
    </w:p>
    <w:p w:rsidR="0017298B" w:rsidRDefault="0017298B" w:rsidP="009B7CB9">
      <w:pPr>
        <w:rPr>
          <w:lang w:val="en-GB"/>
        </w:rPr>
      </w:pPr>
      <w:r>
        <w:rPr>
          <w:lang w:val="en-GB"/>
        </w:rPr>
        <w:t xml:space="preserve">The Division Bank and Insurance of the Austrian Federal Economic Chamber, as representative of the entire Austrian banking industry, appreciates the possibility to comment on the </w:t>
      </w:r>
      <w:r w:rsidR="009B7CB9">
        <w:rPr>
          <w:lang w:val="en-GB"/>
        </w:rPr>
        <w:t>ESMA Discussion Paper</w:t>
      </w:r>
      <w:r>
        <w:rPr>
          <w:lang w:val="en-GB"/>
        </w:rPr>
        <w:t xml:space="preserve"> regarding </w:t>
      </w:r>
      <w:r w:rsidR="009B7CB9" w:rsidRPr="009B7CB9">
        <w:rPr>
          <w:lang w:val="en-GB"/>
        </w:rPr>
        <w:t>ESMA’s policy orientations on possible implementing measures under the Market Abuse Regulation</w:t>
      </w:r>
      <w:r>
        <w:rPr>
          <w:lang w:val="en-GB"/>
        </w:rPr>
        <w:t xml:space="preserve"> and would like to submit the following position:</w:t>
      </w:r>
    </w:p>
    <w:p w:rsidR="0017298B" w:rsidRDefault="0017298B" w:rsidP="0017298B">
      <w:pPr>
        <w:rPr>
          <w:u w:val="single"/>
          <w:lang w:val="en-GB"/>
        </w:rPr>
      </w:pPr>
    </w:p>
    <w:p w:rsidR="009B7CB9" w:rsidRPr="001229E8" w:rsidRDefault="009B7CB9" w:rsidP="00AB13FF">
      <w:pPr>
        <w:tabs>
          <w:tab w:val="left" w:pos="709"/>
        </w:tabs>
        <w:ind w:left="705" w:hanging="705"/>
        <w:rPr>
          <w:lang w:val="en-GB"/>
        </w:rPr>
      </w:pPr>
      <w:r w:rsidRPr="001229E8">
        <w:rPr>
          <w:lang w:val="en-GB"/>
        </w:rPr>
        <w:t xml:space="preserve">Q1: </w:t>
      </w:r>
      <w:r w:rsidR="00D57C14">
        <w:rPr>
          <w:lang w:val="en-GB"/>
        </w:rPr>
        <w:tab/>
      </w:r>
      <w:r w:rsidR="006E5DC6">
        <w:rPr>
          <w:lang w:val="en-GB"/>
        </w:rPr>
        <w:t>Yes, w</w:t>
      </w:r>
      <w:r w:rsidRPr="001229E8">
        <w:rPr>
          <w:lang w:val="en-GB"/>
        </w:rPr>
        <w:t>e agree</w:t>
      </w:r>
      <w:r w:rsidR="00AB13FF">
        <w:rPr>
          <w:lang w:val="en-GB"/>
        </w:rPr>
        <w:t xml:space="preserve"> </w:t>
      </w:r>
      <w:r w:rsidR="00AB13FF" w:rsidRPr="00AB13FF">
        <w:rPr>
          <w:lang w:val="en-GB"/>
        </w:rPr>
        <w:t>that the mechanism used in the Transparency Directive or comparable mechanism should be used for public disclosure regarding buy-backs</w:t>
      </w:r>
      <w:r w:rsidRPr="001229E8">
        <w:rPr>
          <w:lang w:val="en-GB"/>
        </w:rPr>
        <w:t>.</w:t>
      </w:r>
    </w:p>
    <w:p w:rsidR="009B7CB9" w:rsidRPr="001229E8" w:rsidRDefault="009B7CB9" w:rsidP="00C8031C">
      <w:pPr>
        <w:tabs>
          <w:tab w:val="left" w:pos="709"/>
        </w:tabs>
        <w:ind w:left="705" w:hanging="705"/>
        <w:rPr>
          <w:lang w:val="en-GB"/>
        </w:rPr>
      </w:pPr>
      <w:r w:rsidRPr="001229E8">
        <w:rPr>
          <w:lang w:val="en-GB"/>
        </w:rPr>
        <w:t xml:space="preserve">Q2: </w:t>
      </w:r>
      <w:r w:rsidR="00D57C14">
        <w:rPr>
          <w:lang w:val="en-GB"/>
        </w:rPr>
        <w:tab/>
      </w:r>
      <w:r w:rsidRPr="001229E8">
        <w:rPr>
          <w:lang w:val="en-GB"/>
        </w:rPr>
        <w:t>We definitely agree that aggregated figures on a daily basis would be sufficient for</w:t>
      </w:r>
      <w:r w:rsidR="00C8031C">
        <w:rPr>
          <w:lang w:val="en-GB"/>
        </w:rPr>
        <w:br/>
      </w:r>
      <w:r w:rsidRPr="001229E8">
        <w:rPr>
          <w:lang w:val="en-GB"/>
        </w:rPr>
        <w:t xml:space="preserve">public disclosure. </w:t>
      </w:r>
    </w:p>
    <w:p w:rsidR="009B7CB9" w:rsidRPr="001229E8" w:rsidRDefault="009B7CB9" w:rsidP="00C8031C">
      <w:pPr>
        <w:tabs>
          <w:tab w:val="left" w:pos="709"/>
        </w:tabs>
        <w:ind w:left="705" w:hanging="705"/>
        <w:rPr>
          <w:lang w:val="en-GB"/>
        </w:rPr>
      </w:pPr>
      <w:r w:rsidRPr="001229E8">
        <w:rPr>
          <w:lang w:val="en-GB"/>
        </w:rPr>
        <w:t xml:space="preserve">Q3: </w:t>
      </w:r>
      <w:r w:rsidR="00D57C14">
        <w:rPr>
          <w:lang w:val="en-GB"/>
        </w:rPr>
        <w:tab/>
      </w:r>
      <w:r w:rsidRPr="001229E8">
        <w:rPr>
          <w:lang w:val="en-GB"/>
        </w:rPr>
        <w:t>We feel that the current deadline works very well</w:t>
      </w:r>
      <w:r w:rsidR="00C8031C">
        <w:rPr>
          <w:lang w:val="en-GB"/>
        </w:rPr>
        <w:t xml:space="preserve"> and therefore see no reason to</w:t>
      </w:r>
      <w:r w:rsidR="00C8031C">
        <w:rPr>
          <w:lang w:val="en-GB"/>
        </w:rPr>
        <w:br/>
      </w:r>
      <w:r w:rsidRPr="001229E8">
        <w:rPr>
          <w:lang w:val="en-GB"/>
        </w:rPr>
        <w:t>change it.</w:t>
      </w:r>
    </w:p>
    <w:p w:rsidR="009B7CB9" w:rsidRPr="001229E8" w:rsidRDefault="009B7CB9" w:rsidP="00C8031C">
      <w:pPr>
        <w:tabs>
          <w:tab w:val="left" w:pos="709"/>
        </w:tabs>
        <w:ind w:left="705" w:hanging="705"/>
        <w:rPr>
          <w:lang w:val="en-GB"/>
        </w:rPr>
      </w:pPr>
      <w:r w:rsidRPr="001229E8">
        <w:rPr>
          <w:lang w:val="en-GB"/>
        </w:rPr>
        <w:t xml:space="preserve">Q4: </w:t>
      </w:r>
      <w:r w:rsidR="00D57C14">
        <w:rPr>
          <w:lang w:val="en-GB"/>
        </w:rPr>
        <w:tab/>
      </w:r>
      <w:r w:rsidRPr="001229E8">
        <w:rPr>
          <w:lang w:val="en-GB"/>
        </w:rPr>
        <w:t>The same deadline for disclosure towards a competent authority as the one chosen</w:t>
      </w:r>
      <w:r w:rsidR="00C8031C">
        <w:rPr>
          <w:lang w:val="en-GB"/>
        </w:rPr>
        <w:br/>
      </w:r>
      <w:r w:rsidRPr="001229E8">
        <w:rPr>
          <w:lang w:val="en-GB"/>
        </w:rPr>
        <w:t>of public disclosure makes sense.</w:t>
      </w:r>
    </w:p>
    <w:p w:rsidR="009B7CB9" w:rsidRPr="001229E8" w:rsidRDefault="009B7CB9" w:rsidP="00C8031C">
      <w:pPr>
        <w:tabs>
          <w:tab w:val="left" w:pos="709"/>
        </w:tabs>
        <w:ind w:left="705" w:hanging="705"/>
        <w:rPr>
          <w:lang w:val="en-GB"/>
        </w:rPr>
      </w:pPr>
      <w:r w:rsidRPr="001229E8">
        <w:rPr>
          <w:lang w:val="en-GB"/>
        </w:rPr>
        <w:t xml:space="preserve">Q5: </w:t>
      </w:r>
      <w:r w:rsidR="00D57C14">
        <w:rPr>
          <w:lang w:val="en-GB"/>
        </w:rPr>
        <w:tab/>
      </w:r>
      <w:r w:rsidRPr="001229E8">
        <w:rPr>
          <w:lang w:val="en-GB"/>
        </w:rPr>
        <w:t xml:space="preserve">The determination of one single </w:t>
      </w:r>
      <w:r w:rsidR="001229E8">
        <w:rPr>
          <w:lang w:val="en-GB"/>
        </w:rPr>
        <w:t>competent authority makes sense.</w:t>
      </w:r>
      <w:r w:rsidRPr="001229E8">
        <w:rPr>
          <w:lang w:val="en-GB"/>
        </w:rPr>
        <w:t xml:space="preserve"> </w:t>
      </w:r>
      <w:r w:rsidR="001229E8">
        <w:rPr>
          <w:lang w:val="en-GB"/>
        </w:rPr>
        <w:t>H</w:t>
      </w:r>
      <w:r w:rsidRPr="001229E8">
        <w:rPr>
          <w:lang w:val="en-GB"/>
        </w:rPr>
        <w:t xml:space="preserve">owever, we do </w:t>
      </w:r>
      <w:r w:rsidR="00C8031C">
        <w:rPr>
          <w:lang w:val="en-GB"/>
        </w:rPr>
        <w:br/>
        <w:t>n</w:t>
      </w:r>
      <w:r w:rsidRPr="001229E8">
        <w:rPr>
          <w:lang w:val="en-GB"/>
        </w:rPr>
        <w:t xml:space="preserve">ot have a preference </w:t>
      </w:r>
      <w:r w:rsidR="001229E8">
        <w:rPr>
          <w:lang w:val="en-GB"/>
        </w:rPr>
        <w:t>for</w:t>
      </w:r>
      <w:r w:rsidRPr="001229E8">
        <w:rPr>
          <w:lang w:val="en-GB"/>
        </w:rPr>
        <w:t xml:space="preserve"> one of the proposed options.</w:t>
      </w:r>
    </w:p>
    <w:p w:rsidR="009B7CB9" w:rsidRPr="001229E8" w:rsidRDefault="009B7CB9" w:rsidP="00AB13FF">
      <w:pPr>
        <w:tabs>
          <w:tab w:val="left" w:pos="709"/>
        </w:tabs>
        <w:ind w:left="705" w:hanging="705"/>
        <w:rPr>
          <w:lang w:val="en-GB"/>
        </w:rPr>
      </w:pPr>
      <w:r w:rsidRPr="001229E8">
        <w:rPr>
          <w:lang w:val="en-GB"/>
        </w:rPr>
        <w:t>Q6:</w:t>
      </w:r>
      <w:r w:rsidR="00D57C14">
        <w:rPr>
          <w:lang w:val="en-GB"/>
        </w:rPr>
        <w:tab/>
      </w:r>
      <w:r w:rsidR="006E5DC6">
        <w:rPr>
          <w:lang w:val="en-GB"/>
        </w:rPr>
        <w:t>Yes we</w:t>
      </w:r>
      <w:r w:rsidRPr="001229E8">
        <w:rPr>
          <w:lang w:val="en-GB"/>
        </w:rPr>
        <w:t xml:space="preserve"> agree</w:t>
      </w:r>
      <w:r w:rsidR="00AB13FF">
        <w:rPr>
          <w:lang w:val="en-GB"/>
        </w:rPr>
        <w:t xml:space="preserve"> </w:t>
      </w:r>
      <w:r w:rsidR="00AB13FF" w:rsidRPr="00AB13FF">
        <w:rPr>
          <w:lang w:val="en-GB"/>
        </w:rPr>
        <w:t>that with multi-listed shares the price should not be higher than the last traded price or last curren</w:t>
      </w:r>
      <w:r w:rsidR="00AB13FF">
        <w:rPr>
          <w:lang w:val="en-GB"/>
        </w:rPr>
        <w:t>t bid on the most liquid market</w:t>
      </w:r>
      <w:r w:rsidRPr="001229E8">
        <w:rPr>
          <w:lang w:val="en-GB"/>
        </w:rPr>
        <w:t>.</w:t>
      </w:r>
    </w:p>
    <w:p w:rsidR="009B7CB9" w:rsidRPr="001229E8" w:rsidRDefault="009B7CB9" w:rsidP="00AB13FF">
      <w:pPr>
        <w:tabs>
          <w:tab w:val="left" w:pos="709"/>
        </w:tabs>
        <w:ind w:left="705" w:hanging="705"/>
        <w:rPr>
          <w:lang w:val="en-GB"/>
        </w:rPr>
      </w:pPr>
      <w:r w:rsidRPr="001229E8">
        <w:rPr>
          <w:lang w:val="en-GB"/>
        </w:rPr>
        <w:t xml:space="preserve">Q7: </w:t>
      </w:r>
      <w:r w:rsidR="00D57C14">
        <w:rPr>
          <w:lang w:val="en-GB"/>
        </w:rPr>
        <w:tab/>
      </w:r>
      <w:r w:rsidR="006E5DC6">
        <w:rPr>
          <w:lang w:val="en-GB"/>
        </w:rPr>
        <w:t>Yes, w</w:t>
      </w:r>
      <w:r w:rsidRPr="001229E8">
        <w:rPr>
          <w:lang w:val="en-GB"/>
        </w:rPr>
        <w:t>e agree</w:t>
      </w:r>
      <w:r w:rsidR="00AB13FF">
        <w:rPr>
          <w:lang w:val="en-GB"/>
        </w:rPr>
        <w:t xml:space="preserve"> </w:t>
      </w:r>
      <w:r w:rsidR="00AB13FF" w:rsidRPr="00AB13FF">
        <w:rPr>
          <w:lang w:val="en-GB"/>
        </w:rPr>
        <w:t>that during the last third of the regular time of an auction the issuer must not enter any orders to purchase shares</w:t>
      </w:r>
      <w:r w:rsidRPr="001229E8">
        <w:rPr>
          <w:lang w:val="en-GB"/>
        </w:rPr>
        <w:t>.</w:t>
      </w:r>
    </w:p>
    <w:p w:rsidR="009B7CB9" w:rsidRPr="001229E8" w:rsidRDefault="009B7CB9" w:rsidP="00B469A7">
      <w:pPr>
        <w:tabs>
          <w:tab w:val="left" w:pos="709"/>
        </w:tabs>
        <w:ind w:left="705" w:hanging="705"/>
        <w:rPr>
          <w:lang w:val="en-GB"/>
        </w:rPr>
      </w:pPr>
      <w:r w:rsidRPr="001229E8">
        <w:rPr>
          <w:lang w:val="en-GB"/>
        </w:rPr>
        <w:t xml:space="preserve">Q8: </w:t>
      </w:r>
      <w:r w:rsidR="00D57C14">
        <w:rPr>
          <w:lang w:val="en-GB"/>
        </w:rPr>
        <w:tab/>
      </w:r>
      <w:r w:rsidR="006E5DC6">
        <w:rPr>
          <w:lang w:val="en-GB"/>
        </w:rPr>
        <w:t xml:space="preserve">Yes, </w:t>
      </w:r>
      <w:r w:rsidR="006E5DC6" w:rsidRPr="006E5DC6">
        <w:rPr>
          <w:lang w:val="en-GB"/>
        </w:rPr>
        <w:t>w</w:t>
      </w:r>
      <w:r w:rsidRPr="006E5DC6">
        <w:rPr>
          <w:lang w:val="en-GB"/>
        </w:rPr>
        <w:t>e agree</w:t>
      </w:r>
      <w:r w:rsidR="00B469A7" w:rsidRPr="006E5DC6">
        <w:rPr>
          <w:lang w:val="en-GB"/>
        </w:rPr>
        <w:t xml:space="preserve"> with the </w:t>
      </w:r>
      <w:r w:rsidR="006E5DC6" w:rsidRPr="006E5DC6">
        <w:rPr>
          <w:lang w:val="en-GB"/>
        </w:rPr>
        <w:t xml:space="preserve">proposed </w:t>
      </w:r>
      <w:r w:rsidR="00B469A7" w:rsidRPr="006E5DC6">
        <w:rPr>
          <w:lang w:val="en-GB"/>
        </w:rPr>
        <w:t>cumulative criteria for extreme low liquidity.</w:t>
      </w:r>
    </w:p>
    <w:p w:rsidR="009B7CB9" w:rsidRPr="001229E8" w:rsidRDefault="009B7CB9" w:rsidP="00910272">
      <w:pPr>
        <w:tabs>
          <w:tab w:val="left" w:pos="709"/>
        </w:tabs>
        <w:ind w:left="705" w:hanging="705"/>
        <w:rPr>
          <w:lang w:val="en-GB"/>
        </w:rPr>
      </w:pPr>
      <w:r w:rsidRPr="001229E8">
        <w:rPr>
          <w:lang w:val="en-GB"/>
        </w:rPr>
        <w:t xml:space="preserve">Q10: </w:t>
      </w:r>
      <w:r w:rsidR="00D57C14">
        <w:rPr>
          <w:lang w:val="en-GB"/>
        </w:rPr>
        <w:tab/>
      </w:r>
      <w:r w:rsidR="00910272">
        <w:rPr>
          <w:lang w:val="en-GB"/>
        </w:rPr>
        <w:t xml:space="preserve">Yes, we think that </w:t>
      </w:r>
      <w:r w:rsidR="00910272" w:rsidRPr="00910272">
        <w:rPr>
          <w:lang w:val="en-GB"/>
        </w:rPr>
        <w:t>for the calculation of the volume limit, the significant volumes on all trading venues should be taken into account and that issuers are best placed to perform calculations.</w:t>
      </w:r>
    </w:p>
    <w:p w:rsidR="009B7CB9" w:rsidRPr="001229E8" w:rsidRDefault="009B7CB9" w:rsidP="00A34023">
      <w:pPr>
        <w:tabs>
          <w:tab w:val="left" w:pos="709"/>
        </w:tabs>
        <w:ind w:left="705" w:hanging="705"/>
        <w:rPr>
          <w:lang w:val="en-GB"/>
        </w:rPr>
      </w:pPr>
      <w:r w:rsidRPr="001229E8">
        <w:rPr>
          <w:lang w:val="en-GB"/>
        </w:rPr>
        <w:t xml:space="preserve">Q11: </w:t>
      </w:r>
      <w:r w:rsidR="00D57C14">
        <w:rPr>
          <w:lang w:val="en-GB"/>
        </w:rPr>
        <w:tab/>
      </w:r>
      <w:r w:rsidR="006E5DC6">
        <w:rPr>
          <w:lang w:val="en-GB"/>
        </w:rPr>
        <w:t>Yes, w</w:t>
      </w:r>
      <w:r w:rsidRPr="001229E8">
        <w:rPr>
          <w:lang w:val="en-GB"/>
        </w:rPr>
        <w:t>e agree</w:t>
      </w:r>
      <w:r w:rsidR="00A34023">
        <w:rPr>
          <w:lang w:val="en-GB"/>
        </w:rPr>
        <w:t xml:space="preserve"> </w:t>
      </w:r>
      <w:r w:rsidR="00A34023" w:rsidRPr="00A34023">
        <w:rPr>
          <w:lang w:val="en-GB"/>
        </w:rPr>
        <w:t>with the approach suggested to maintain the trading and selling restrictions during the buy-back and the related exemptions</w:t>
      </w:r>
      <w:r w:rsidR="00A34023">
        <w:rPr>
          <w:lang w:val="en-GB"/>
        </w:rPr>
        <w:t>.</w:t>
      </w:r>
    </w:p>
    <w:p w:rsidR="009B7CB9" w:rsidRPr="001229E8" w:rsidRDefault="009B7CB9" w:rsidP="00597E44">
      <w:pPr>
        <w:tabs>
          <w:tab w:val="left" w:pos="709"/>
        </w:tabs>
        <w:ind w:left="705" w:hanging="705"/>
        <w:rPr>
          <w:lang w:val="en-GB"/>
        </w:rPr>
      </w:pPr>
      <w:r w:rsidRPr="001229E8">
        <w:rPr>
          <w:lang w:val="en-GB"/>
        </w:rPr>
        <w:t xml:space="preserve">Q12: </w:t>
      </w:r>
      <w:r w:rsidR="00D57C14">
        <w:rPr>
          <w:lang w:val="en-GB"/>
        </w:rPr>
        <w:tab/>
      </w:r>
      <w:r w:rsidR="006E5DC6">
        <w:rPr>
          <w:lang w:val="en-GB"/>
        </w:rPr>
        <w:t xml:space="preserve">Yes, </w:t>
      </w:r>
      <w:r w:rsidR="006E5DC6" w:rsidRPr="006E5DC6">
        <w:rPr>
          <w:lang w:val="en-GB"/>
        </w:rPr>
        <w:t>w</w:t>
      </w:r>
      <w:r w:rsidRPr="006E5DC6">
        <w:rPr>
          <w:lang w:val="en-GB"/>
        </w:rPr>
        <w:t>e agree</w:t>
      </w:r>
      <w:r w:rsidR="00597E44" w:rsidRPr="006E5DC6">
        <w:rPr>
          <w:lang w:val="en-GB"/>
        </w:rPr>
        <w:t xml:space="preserve"> with the </w:t>
      </w:r>
      <w:r w:rsidR="006E5DC6" w:rsidRPr="006E5DC6">
        <w:rPr>
          <w:lang w:val="en-GB"/>
        </w:rPr>
        <w:t xml:space="preserve">proposed </w:t>
      </w:r>
      <w:r w:rsidR="00597E44" w:rsidRPr="006E5DC6">
        <w:rPr>
          <w:lang w:val="en-GB"/>
        </w:rPr>
        <w:t>specifications of duration and calculation of the stabilisation period</w:t>
      </w:r>
      <w:r w:rsidRPr="006E5DC6">
        <w:rPr>
          <w:lang w:val="en-GB"/>
        </w:rPr>
        <w:t>.</w:t>
      </w:r>
    </w:p>
    <w:p w:rsidR="009B7CB9" w:rsidRPr="001229E8" w:rsidRDefault="009B7CB9" w:rsidP="00C8031C">
      <w:pPr>
        <w:tabs>
          <w:tab w:val="left" w:pos="709"/>
        </w:tabs>
        <w:rPr>
          <w:lang w:val="en-GB"/>
        </w:rPr>
      </w:pPr>
      <w:r w:rsidRPr="001229E8">
        <w:rPr>
          <w:lang w:val="en-GB"/>
        </w:rPr>
        <w:t xml:space="preserve">Q13: </w:t>
      </w:r>
      <w:r w:rsidR="00D57C14">
        <w:rPr>
          <w:lang w:val="en-GB"/>
        </w:rPr>
        <w:tab/>
      </w:r>
      <w:r w:rsidRPr="001229E8">
        <w:rPr>
          <w:lang w:val="en-GB"/>
        </w:rPr>
        <w:t>We think that the disclosure provided for under PD is sufficient.</w:t>
      </w:r>
    </w:p>
    <w:p w:rsidR="009B7CB9" w:rsidRPr="001229E8" w:rsidRDefault="009B7CB9" w:rsidP="00C8031C">
      <w:pPr>
        <w:tabs>
          <w:tab w:val="left" w:pos="709"/>
        </w:tabs>
        <w:ind w:left="705" w:hanging="705"/>
        <w:rPr>
          <w:lang w:val="en-GB"/>
        </w:rPr>
      </w:pPr>
      <w:r w:rsidRPr="001229E8">
        <w:rPr>
          <w:lang w:val="en-GB"/>
        </w:rPr>
        <w:lastRenderedPageBreak/>
        <w:t xml:space="preserve">Q14: </w:t>
      </w:r>
      <w:r w:rsidR="00D57C14">
        <w:rPr>
          <w:lang w:val="en-GB"/>
        </w:rPr>
        <w:tab/>
      </w:r>
      <w:r w:rsidRPr="001229E8">
        <w:rPr>
          <w:lang w:val="en-GB"/>
        </w:rPr>
        <w:t xml:space="preserve">We think that transparency conditions for offers not </w:t>
      </w:r>
      <w:r w:rsidR="001229E8">
        <w:rPr>
          <w:lang w:val="en-GB"/>
        </w:rPr>
        <w:t>falling within</w:t>
      </w:r>
      <w:r w:rsidRPr="001229E8">
        <w:rPr>
          <w:lang w:val="en-GB"/>
        </w:rPr>
        <w:t xml:space="preserve"> the scope of the</w:t>
      </w:r>
      <w:r w:rsidR="00C8031C">
        <w:rPr>
          <w:lang w:val="en-GB"/>
        </w:rPr>
        <w:br/>
      </w:r>
      <w:r w:rsidRPr="001229E8">
        <w:rPr>
          <w:lang w:val="en-GB"/>
        </w:rPr>
        <w:t>Prospectus Directive should be aligned with the ones for offers falling under that Directive.</w:t>
      </w:r>
    </w:p>
    <w:p w:rsidR="009B7CB9" w:rsidRPr="001229E8" w:rsidRDefault="009B7CB9" w:rsidP="00C8031C">
      <w:pPr>
        <w:tabs>
          <w:tab w:val="left" w:pos="709"/>
        </w:tabs>
        <w:ind w:left="705" w:hanging="705"/>
        <w:rPr>
          <w:lang w:val="en-GB"/>
        </w:rPr>
      </w:pPr>
      <w:r w:rsidRPr="001229E8">
        <w:rPr>
          <w:lang w:val="en-GB"/>
        </w:rPr>
        <w:t>Q15 and 16</w:t>
      </w:r>
      <w:proofErr w:type="gramStart"/>
      <w:r w:rsidRPr="001229E8">
        <w:rPr>
          <w:lang w:val="en-GB"/>
        </w:rPr>
        <w:t>:</w:t>
      </w:r>
      <w:proofErr w:type="gramEnd"/>
      <w:r w:rsidR="00C8031C">
        <w:rPr>
          <w:lang w:val="en-GB"/>
        </w:rPr>
        <w:br/>
      </w:r>
      <w:r w:rsidRPr="001229E8">
        <w:rPr>
          <w:lang w:val="en-GB"/>
        </w:rPr>
        <w:t>A clear allocation of responsibilities is essential. We prefer to entrust the</w:t>
      </w:r>
      <w:r w:rsidR="00C8031C">
        <w:rPr>
          <w:lang w:val="en-GB"/>
        </w:rPr>
        <w:br/>
      </w:r>
      <w:r w:rsidRPr="001229E8">
        <w:rPr>
          <w:lang w:val="en-GB"/>
        </w:rPr>
        <w:t>entity</w:t>
      </w:r>
      <w:r w:rsidR="00BB757C">
        <w:rPr>
          <w:lang w:val="en-GB"/>
        </w:rPr>
        <w:t>,</w:t>
      </w:r>
      <w:r w:rsidRPr="001229E8">
        <w:rPr>
          <w:lang w:val="en-GB"/>
        </w:rPr>
        <w:t xml:space="preserve"> which is actually undertaking the stabilization</w:t>
      </w:r>
      <w:r w:rsidR="00BB757C">
        <w:rPr>
          <w:lang w:val="en-GB"/>
        </w:rPr>
        <w:t>,</w:t>
      </w:r>
      <w:r w:rsidRPr="001229E8">
        <w:rPr>
          <w:lang w:val="en-GB"/>
        </w:rPr>
        <w:t xml:space="preserve"> with the responsibility to comply with both the transparency and the reporting obligations.</w:t>
      </w:r>
    </w:p>
    <w:p w:rsidR="009B7CB9" w:rsidRPr="001229E8" w:rsidRDefault="009B7CB9" w:rsidP="00C8031C">
      <w:pPr>
        <w:tabs>
          <w:tab w:val="left" w:pos="709"/>
        </w:tabs>
        <w:ind w:left="705" w:hanging="705"/>
        <w:rPr>
          <w:lang w:val="en-GB"/>
        </w:rPr>
      </w:pPr>
      <w:r w:rsidRPr="001229E8">
        <w:rPr>
          <w:lang w:val="en-GB"/>
        </w:rPr>
        <w:t xml:space="preserve">Q17: </w:t>
      </w:r>
      <w:r w:rsidR="00C8031C">
        <w:rPr>
          <w:lang w:val="en-GB"/>
        </w:rPr>
        <w:tab/>
      </w:r>
      <w:r w:rsidRPr="001229E8">
        <w:rPr>
          <w:lang w:val="en-GB"/>
        </w:rPr>
        <w:t>Yes, we think that the reporting regime should be centralised by one competent</w:t>
      </w:r>
      <w:r w:rsidR="00C8031C">
        <w:rPr>
          <w:lang w:val="en-GB"/>
        </w:rPr>
        <w:br/>
      </w:r>
      <w:r w:rsidRPr="001229E8">
        <w:rPr>
          <w:lang w:val="en-GB"/>
        </w:rPr>
        <w:t xml:space="preserve">authority. </w:t>
      </w:r>
    </w:p>
    <w:p w:rsidR="009B7CB9" w:rsidRPr="001229E8" w:rsidRDefault="009B7CB9" w:rsidP="0023104C">
      <w:pPr>
        <w:tabs>
          <w:tab w:val="left" w:pos="709"/>
        </w:tabs>
        <w:ind w:left="705" w:hanging="705"/>
        <w:rPr>
          <w:lang w:val="en-GB"/>
        </w:rPr>
      </w:pPr>
      <w:r w:rsidRPr="001229E8">
        <w:rPr>
          <w:lang w:val="en-GB"/>
        </w:rPr>
        <w:t xml:space="preserve">Q18: </w:t>
      </w:r>
      <w:r w:rsidR="00C8031C">
        <w:rPr>
          <w:lang w:val="en-GB"/>
        </w:rPr>
        <w:tab/>
      </w:r>
      <w:r w:rsidR="00146ABE">
        <w:rPr>
          <w:lang w:val="en-GB"/>
        </w:rPr>
        <w:t>Yes, w</w:t>
      </w:r>
      <w:r w:rsidRPr="001229E8">
        <w:rPr>
          <w:lang w:val="en-GB"/>
        </w:rPr>
        <w:t>e agree</w:t>
      </w:r>
      <w:r w:rsidR="0023104C">
        <w:rPr>
          <w:lang w:val="en-GB"/>
        </w:rPr>
        <w:t xml:space="preserve"> </w:t>
      </w:r>
      <w:r w:rsidR="0023104C" w:rsidRPr="0023104C">
        <w:rPr>
          <w:lang w:val="en-GB"/>
        </w:rPr>
        <w:t>with these price conditions for shares/other securities equivalent to shares and for securitised debt convertible or exchangeable of shares/other securities equivalent to share</w:t>
      </w:r>
      <w:r w:rsidR="001229E8">
        <w:rPr>
          <w:lang w:val="en-GB"/>
        </w:rPr>
        <w:t>.</w:t>
      </w:r>
    </w:p>
    <w:p w:rsidR="009B7CB9" w:rsidRPr="001229E8" w:rsidRDefault="009B7CB9" w:rsidP="00C8031C">
      <w:pPr>
        <w:tabs>
          <w:tab w:val="left" w:pos="709"/>
        </w:tabs>
        <w:rPr>
          <w:lang w:val="en-GB"/>
        </w:rPr>
      </w:pPr>
      <w:r w:rsidRPr="001229E8">
        <w:rPr>
          <w:lang w:val="en-GB"/>
        </w:rPr>
        <w:t xml:space="preserve">Q20: </w:t>
      </w:r>
      <w:r w:rsidR="00C8031C">
        <w:rPr>
          <w:lang w:val="en-GB"/>
        </w:rPr>
        <w:tab/>
      </w:r>
      <w:r w:rsidR="00CE1B86">
        <w:rPr>
          <w:lang w:val="en-GB"/>
        </w:rPr>
        <w:t xml:space="preserve">Yes, we agree </w:t>
      </w:r>
      <w:r w:rsidR="00CE1B86" w:rsidRPr="00CE1B86">
        <w:rPr>
          <w:lang w:val="en-GB"/>
        </w:rPr>
        <w:t>with the proposed conditions for ancillary stabilisation.</w:t>
      </w:r>
    </w:p>
    <w:p w:rsidR="009B7CB9" w:rsidRPr="001229E8" w:rsidRDefault="009B7CB9" w:rsidP="00F67460">
      <w:pPr>
        <w:tabs>
          <w:tab w:val="left" w:pos="709"/>
        </w:tabs>
        <w:ind w:left="705" w:hanging="705"/>
        <w:rPr>
          <w:lang w:val="en-GB"/>
        </w:rPr>
      </w:pPr>
      <w:r w:rsidRPr="001229E8">
        <w:rPr>
          <w:lang w:val="en-GB"/>
        </w:rPr>
        <w:t xml:space="preserve">Q21: </w:t>
      </w:r>
      <w:r w:rsidR="00C8031C">
        <w:rPr>
          <w:lang w:val="en-GB"/>
        </w:rPr>
        <w:tab/>
      </w:r>
      <w:r w:rsidR="00F67460">
        <w:rPr>
          <w:lang w:val="en-GB"/>
        </w:rPr>
        <w:t xml:space="preserve">Yes, we agree with ESMA </w:t>
      </w:r>
      <w:r w:rsidR="00F67460" w:rsidRPr="00F67460">
        <w:rPr>
          <w:lang w:val="en-GB"/>
        </w:rPr>
        <w:t>that sell side trading cannot be subject to the exemption provided by Article 3(1) of MAR and that therefore “refreshing the green shoe” does not fall under the safe harbour.</w:t>
      </w:r>
    </w:p>
    <w:p w:rsidR="009B7CB9" w:rsidRPr="001229E8" w:rsidRDefault="009B7CB9" w:rsidP="00142008">
      <w:pPr>
        <w:tabs>
          <w:tab w:val="left" w:pos="709"/>
        </w:tabs>
        <w:ind w:left="705" w:hanging="705"/>
        <w:rPr>
          <w:lang w:val="en-GB"/>
        </w:rPr>
      </w:pPr>
      <w:r w:rsidRPr="001229E8">
        <w:rPr>
          <w:lang w:val="en-GB"/>
        </w:rPr>
        <w:t xml:space="preserve">Q22: </w:t>
      </w:r>
      <w:r w:rsidR="00C8031C">
        <w:rPr>
          <w:lang w:val="en-GB"/>
        </w:rPr>
        <w:tab/>
      </w:r>
      <w:r w:rsidR="00146ABE">
        <w:rPr>
          <w:lang w:val="en-GB"/>
        </w:rPr>
        <w:t>Yes, w</w:t>
      </w:r>
      <w:r w:rsidRPr="001229E8">
        <w:rPr>
          <w:lang w:val="en-GB"/>
        </w:rPr>
        <w:t>e agree</w:t>
      </w:r>
      <w:r w:rsidR="00142008">
        <w:rPr>
          <w:lang w:val="en-GB"/>
        </w:rPr>
        <w:t xml:space="preserve"> </w:t>
      </w:r>
      <w:r w:rsidR="00142008" w:rsidRPr="00142008">
        <w:rPr>
          <w:lang w:val="en-GB"/>
        </w:rPr>
        <w:t>that “block-trades” cannot be subject to the exemption provided by Article 3(1) of MAR</w:t>
      </w:r>
      <w:r w:rsidRPr="001229E8">
        <w:rPr>
          <w:lang w:val="en-GB"/>
        </w:rPr>
        <w:t>.</w:t>
      </w:r>
    </w:p>
    <w:p w:rsidR="009B7CB9" w:rsidRPr="001229E8" w:rsidRDefault="009B7CB9" w:rsidP="00142008">
      <w:pPr>
        <w:tabs>
          <w:tab w:val="left" w:pos="709"/>
        </w:tabs>
        <w:ind w:left="705" w:hanging="705"/>
        <w:rPr>
          <w:lang w:val="en-GB"/>
        </w:rPr>
      </w:pPr>
      <w:r w:rsidRPr="001229E8">
        <w:rPr>
          <w:lang w:val="en-GB"/>
        </w:rPr>
        <w:t xml:space="preserve">Q23: </w:t>
      </w:r>
      <w:r w:rsidR="00C8031C">
        <w:rPr>
          <w:lang w:val="en-GB"/>
        </w:rPr>
        <w:tab/>
      </w:r>
      <w:r w:rsidRPr="001229E8">
        <w:rPr>
          <w:lang w:val="en-GB"/>
        </w:rPr>
        <w:t>Yes, we agree</w:t>
      </w:r>
      <w:r w:rsidR="00142008">
        <w:rPr>
          <w:lang w:val="en-GB"/>
        </w:rPr>
        <w:t xml:space="preserve"> </w:t>
      </w:r>
      <w:r w:rsidR="00142008" w:rsidRPr="00142008">
        <w:rPr>
          <w:lang w:val="en-GB"/>
        </w:rPr>
        <w:t>with ESMA’s proposals for the standards that should apply prior to conducting a market sounding</w:t>
      </w:r>
      <w:r w:rsidRPr="001229E8">
        <w:rPr>
          <w:lang w:val="en-GB"/>
        </w:rPr>
        <w:t>.</w:t>
      </w:r>
    </w:p>
    <w:p w:rsidR="009B7CB9" w:rsidRPr="001229E8" w:rsidRDefault="009B7CB9" w:rsidP="00C8031C">
      <w:pPr>
        <w:tabs>
          <w:tab w:val="left" w:pos="709"/>
        </w:tabs>
        <w:ind w:left="705" w:hanging="705"/>
        <w:rPr>
          <w:lang w:val="en-GB"/>
        </w:rPr>
      </w:pPr>
      <w:r w:rsidRPr="001229E8">
        <w:rPr>
          <w:lang w:val="en-GB"/>
        </w:rPr>
        <w:t xml:space="preserve">Q27: </w:t>
      </w:r>
      <w:r w:rsidR="00C8031C">
        <w:rPr>
          <w:lang w:val="en-GB"/>
        </w:rPr>
        <w:tab/>
      </w:r>
      <w:r w:rsidRPr="001229E8">
        <w:rPr>
          <w:lang w:val="en-GB"/>
        </w:rPr>
        <w:t>In general, we agree with the proposals regarding sounding lists. Regarding the</w:t>
      </w:r>
      <w:r w:rsidR="00C8031C">
        <w:rPr>
          <w:lang w:val="en-GB"/>
        </w:rPr>
        <w:br/>
      </w:r>
      <w:r w:rsidRPr="001229E8">
        <w:rPr>
          <w:lang w:val="en-GB"/>
        </w:rPr>
        <w:t>access of such information to regulators, it should be clarified that access should be provided only upon request of the regulator. An automatic or electronic access of the regulator to such systems would be too far-reaching.</w:t>
      </w:r>
    </w:p>
    <w:p w:rsidR="009B7CB9" w:rsidRPr="001229E8" w:rsidRDefault="001229E8" w:rsidP="00A802EB">
      <w:pPr>
        <w:tabs>
          <w:tab w:val="left" w:pos="709"/>
        </w:tabs>
        <w:ind w:left="705" w:hanging="705"/>
        <w:rPr>
          <w:lang w:val="en-GB"/>
        </w:rPr>
      </w:pPr>
      <w:r>
        <w:rPr>
          <w:lang w:val="en-GB"/>
        </w:rPr>
        <w:t xml:space="preserve">Q28: </w:t>
      </w:r>
      <w:r w:rsidR="00C8031C">
        <w:rPr>
          <w:lang w:val="en-GB"/>
        </w:rPr>
        <w:tab/>
      </w:r>
      <w:r w:rsidR="00146ABE">
        <w:rPr>
          <w:lang w:val="en-GB"/>
        </w:rPr>
        <w:t>Yes, w</w:t>
      </w:r>
      <w:r w:rsidR="009B7CB9" w:rsidRPr="001229E8">
        <w:rPr>
          <w:lang w:val="en-GB"/>
        </w:rPr>
        <w:t>e agree</w:t>
      </w:r>
      <w:r w:rsidR="00A802EB">
        <w:rPr>
          <w:lang w:val="en-GB"/>
        </w:rPr>
        <w:t xml:space="preserve"> </w:t>
      </w:r>
      <w:r w:rsidR="00A802EB" w:rsidRPr="00A802EB">
        <w:rPr>
          <w:lang w:val="en-GB"/>
        </w:rPr>
        <w:t>with the requirement for disclosing market participants set out in paragraph 89</w:t>
      </w:r>
      <w:r>
        <w:rPr>
          <w:lang w:val="en-GB"/>
        </w:rPr>
        <w:t>.</w:t>
      </w:r>
    </w:p>
    <w:p w:rsidR="009B7CB9" w:rsidRPr="001229E8" w:rsidRDefault="001229E8" w:rsidP="00C8031C">
      <w:pPr>
        <w:tabs>
          <w:tab w:val="left" w:pos="709"/>
        </w:tabs>
        <w:rPr>
          <w:lang w:val="en-GB"/>
        </w:rPr>
      </w:pPr>
      <w:r>
        <w:rPr>
          <w:lang w:val="en-GB"/>
        </w:rPr>
        <w:t xml:space="preserve">Q29: </w:t>
      </w:r>
      <w:r w:rsidR="00C8031C">
        <w:rPr>
          <w:lang w:val="en-GB"/>
        </w:rPr>
        <w:tab/>
      </w:r>
      <w:r>
        <w:rPr>
          <w:lang w:val="en-GB"/>
        </w:rPr>
        <w:t>Y</w:t>
      </w:r>
      <w:r w:rsidR="009B7CB9" w:rsidRPr="001229E8">
        <w:rPr>
          <w:lang w:val="en-GB"/>
        </w:rPr>
        <w:t>es</w:t>
      </w:r>
      <w:r w:rsidR="009A254F">
        <w:rPr>
          <w:lang w:val="en-GB"/>
        </w:rPr>
        <w:t xml:space="preserve">, we </w:t>
      </w:r>
      <w:r w:rsidR="009A254F" w:rsidRPr="009A254F">
        <w:rPr>
          <w:lang w:val="en-GB"/>
        </w:rPr>
        <w:t>agree with the proposals regarding recorded lines</w:t>
      </w:r>
      <w:r>
        <w:rPr>
          <w:lang w:val="en-GB"/>
        </w:rPr>
        <w:t>.</w:t>
      </w:r>
    </w:p>
    <w:p w:rsidR="009B7CB9" w:rsidRPr="001229E8" w:rsidRDefault="009B7CB9" w:rsidP="00C8031C">
      <w:pPr>
        <w:tabs>
          <w:tab w:val="left" w:pos="709"/>
        </w:tabs>
        <w:rPr>
          <w:lang w:val="en-GB"/>
        </w:rPr>
      </w:pPr>
      <w:r w:rsidRPr="001229E8">
        <w:rPr>
          <w:lang w:val="en-GB"/>
        </w:rPr>
        <w:t xml:space="preserve">Q30: </w:t>
      </w:r>
      <w:r w:rsidR="00C8031C">
        <w:rPr>
          <w:lang w:val="en-GB"/>
        </w:rPr>
        <w:tab/>
      </w:r>
      <w:r w:rsidR="00146ABE">
        <w:rPr>
          <w:lang w:val="en-GB"/>
        </w:rPr>
        <w:t>Yes, w</w:t>
      </w:r>
      <w:r w:rsidRPr="001229E8">
        <w:rPr>
          <w:lang w:val="en-GB"/>
        </w:rPr>
        <w:t>e definitely support an ex post confirmation procedure.</w:t>
      </w:r>
    </w:p>
    <w:p w:rsidR="009B7CB9" w:rsidRPr="001229E8" w:rsidRDefault="001229E8" w:rsidP="00C8031C">
      <w:pPr>
        <w:tabs>
          <w:tab w:val="left" w:pos="709"/>
        </w:tabs>
        <w:rPr>
          <w:lang w:val="en-GB"/>
        </w:rPr>
      </w:pPr>
      <w:r>
        <w:rPr>
          <w:lang w:val="en-GB"/>
        </w:rPr>
        <w:t xml:space="preserve">Q31: </w:t>
      </w:r>
      <w:r w:rsidR="00C8031C">
        <w:rPr>
          <w:lang w:val="en-GB"/>
        </w:rPr>
        <w:tab/>
      </w:r>
      <w:r w:rsidR="00146ABE">
        <w:rPr>
          <w:lang w:val="en-GB"/>
        </w:rPr>
        <w:t>Yes, w</w:t>
      </w:r>
      <w:r w:rsidR="009B7CB9" w:rsidRPr="001229E8">
        <w:rPr>
          <w:lang w:val="en-GB"/>
        </w:rPr>
        <w:t xml:space="preserve">e </w:t>
      </w:r>
      <w:r w:rsidR="00D04C94">
        <w:rPr>
          <w:lang w:val="en-GB"/>
        </w:rPr>
        <w:t xml:space="preserve">agree </w:t>
      </w:r>
      <w:r w:rsidR="009B7CB9" w:rsidRPr="001229E8">
        <w:rPr>
          <w:lang w:val="en-GB"/>
        </w:rPr>
        <w:t>with such an approach.</w:t>
      </w:r>
    </w:p>
    <w:p w:rsidR="009B7CB9" w:rsidRPr="001229E8" w:rsidRDefault="001229E8" w:rsidP="009A254F">
      <w:pPr>
        <w:tabs>
          <w:tab w:val="left" w:pos="709"/>
        </w:tabs>
        <w:ind w:left="705" w:hanging="705"/>
        <w:rPr>
          <w:lang w:val="en-GB"/>
        </w:rPr>
      </w:pPr>
      <w:r>
        <w:rPr>
          <w:lang w:val="en-GB"/>
        </w:rPr>
        <w:t xml:space="preserve">Q32: </w:t>
      </w:r>
      <w:r w:rsidR="00C8031C">
        <w:rPr>
          <w:lang w:val="en-GB"/>
        </w:rPr>
        <w:tab/>
      </w:r>
      <w:r>
        <w:rPr>
          <w:lang w:val="en-GB"/>
        </w:rPr>
        <w:t>Y</w:t>
      </w:r>
      <w:r w:rsidR="009B7CB9" w:rsidRPr="001229E8">
        <w:rPr>
          <w:lang w:val="en-GB"/>
        </w:rPr>
        <w:t>es</w:t>
      </w:r>
      <w:r w:rsidR="009A254F">
        <w:rPr>
          <w:lang w:val="en-GB"/>
        </w:rPr>
        <w:t xml:space="preserve">, we agree </w:t>
      </w:r>
      <w:r w:rsidR="009A254F" w:rsidRPr="009A254F">
        <w:rPr>
          <w:lang w:val="en-GB"/>
        </w:rPr>
        <w:t>with the proposals regarding disclosing market participants’ internal processes and controls</w:t>
      </w:r>
      <w:r w:rsidR="009B7CB9" w:rsidRPr="001229E8">
        <w:rPr>
          <w:lang w:val="en-GB"/>
        </w:rPr>
        <w:t>.</w:t>
      </w:r>
    </w:p>
    <w:p w:rsidR="009B7CB9" w:rsidRPr="001229E8" w:rsidRDefault="009B7CB9" w:rsidP="00C8031C">
      <w:pPr>
        <w:tabs>
          <w:tab w:val="left" w:pos="709"/>
        </w:tabs>
        <w:rPr>
          <w:lang w:val="en-GB"/>
        </w:rPr>
      </w:pPr>
      <w:r w:rsidRPr="001229E8">
        <w:rPr>
          <w:lang w:val="en-GB"/>
        </w:rPr>
        <w:t xml:space="preserve">Q33: </w:t>
      </w:r>
      <w:r w:rsidR="00C8031C">
        <w:rPr>
          <w:lang w:val="en-GB"/>
        </w:rPr>
        <w:tab/>
      </w:r>
      <w:r w:rsidRPr="001229E8">
        <w:rPr>
          <w:lang w:val="en-GB"/>
        </w:rPr>
        <w:t xml:space="preserve">In our view, </w:t>
      </w:r>
      <w:r w:rsidR="001229E8">
        <w:rPr>
          <w:lang w:val="en-GB"/>
        </w:rPr>
        <w:t xml:space="preserve">the </w:t>
      </w:r>
      <w:r w:rsidRPr="001229E8">
        <w:rPr>
          <w:lang w:val="en-GB"/>
        </w:rPr>
        <w:t>buy side should also always do their own assessment.</w:t>
      </w:r>
    </w:p>
    <w:p w:rsidR="009B7CB9" w:rsidRPr="001229E8" w:rsidRDefault="009B7CB9" w:rsidP="00C8031C">
      <w:pPr>
        <w:tabs>
          <w:tab w:val="left" w:pos="709"/>
        </w:tabs>
        <w:ind w:left="705" w:hanging="705"/>
        <w:rPr>
          <w:lang w:val="en-GB"/>
        </w:rPr>
      </w:pPr>
      <w:r w:rsidRPr="001229E8">
        <w:rPr>
          <w:lang w:val="en-GB"/>
        </w:rPr>
        <w:t>Q35:</w:t>
      </w:r>
      <w:r w:rsidR="00C8031C">
        <w:rPr>
          <w:lang w:val="en-GB"/>
        </w:rPr>
        <w:tab/>
      </w:r>
      <w:r w:rsidRPr="001229E8">
        <w:rPr>
          <w:lang w:val="en-GB"/>
        </w:rPr>
        <w:t>We think that the risk could be reduced and appropriate action could be taken if</w:t>
      </w:r>
      <w:r w:rsidR="00C8031C">
        <w:rPr>
          <w:lang w:val="en-GB"/>
        </w:rPr>
        <w:br/>
      </w:r>
      <w:r w:rsidR="001229E8">
        <w:rPr>
          <w:lang w:val="en-GB"/>
        </w:rPr>
        <w:t>the buy side also informs the</w:t>
      </w:r>
      <w:r w:rsidRPr="001229E8">
        <w:rPr>
          <w:lang w:val="en-GB"/>
        </w:rPr>
        <w:t xml:space="preserve"> sell side in case where the sell side considers information not to be inside information, but the buy side does.</w:t>
      </w:r>
    </w:p>
    <w:p w:rsidR="009B7CB9" w:rsidRPr="001229E8" w:rsidRDefault="009B7CB9" w:rsidP="00C8031C">
      <w:pPr>
        <w:tabs>
          <w:tab w:val="left" w:pos="709"/>
        </w:tabs>
        <w:ind w:left="705" w:hanging="705"/>
        <w:rPr>
          <w:lang w:val="en-GB"/>
        </w:rPr>
      </w:pPr>
      <w:r w:rsidRPr="001229E8">
        <w:rPr>
          <w:lang w:val="en-GB"/>
        </w:rPr>
        <w:t xml:space="preserve">Q36: </w:t>
      </w:r>
      <w:r w:rsidR="00C8031C">
        <w:rPr>
          <w:lang w:val="en-GB"/>
        </w:rPr>
        <w:tab/>
      </w:r>
      <w:r w:rsidRPr="001229E8">
        <w:rPr>
          <w:lang w:val="en-GB"/>
        </w:rPr>
        <w:t>In general, we agree, but we think that when</w:t>
      </w:r>
      <w:r w:rsidR="001229E8">
        <w:rPr>
          <w:lang w:val="en-GB"/>
        </w:rPr>
        <w:t xml:space="preserve"> the</w:t>
      </w:r>
      <w:r w:rsidRPr="001229E8">
        <w:rPr>
          <w:lang w:val="en-GB"/>
        </w:rPr>
        <w:t xml:space="preserve"> buy side believes </w:t>
      </w:r>
      <w:r w:rsidR="001229E8">
        <w:rPr>
          <w:lang w:val="en-GB"/>
        </w:rPr>
        <w:t xml:space="preserve">that the </w:t>
      </w:r>
      <w:r w:rsidRPr="001229E8">
        <w:rPr>
          <w:lang w:val="en-GB"/>
        </w:rPr>
        <w:t>sell</w:t>
      </w:r>
      <w:r w:rsidR="00C8031C">
        <w:rPr>
          <w:lang w:val="en-GB"/>
        </w:rPr>
        <w:br/>
      </w:r>
      <w:r w:rsidRPr="001229E8">
        <w:rPr>
          <w:lang w:val="en-GB"/>
        </w:rPr>
        <w:t xml:space="preserve">side disclosed inside information (in contrary to the sell side) it should inform </w:t>
      </w:r>
      <w:r w:rsidR="001229E8">
        <w:rPr>
          <w:lang w:val="en-GB"/>
        </w:rPr>
        <w:t xml:space="preserve">the </w:t>
      </w:r>
      <w:r w:rsidRPr="001229E8">
        <w:rPr>
          <w:lang w:val="en-GB"/>
        </w:rPr>
        <w:t>sell side (see Q35).</w:t>
      </w:r>
    </w:p>
    <w:p w:rsidR="009B7CB9" w:rsidRPr="001229E8" w:rsidRDefault="009B7CB9" w:rsidP="00C8031C">
      <w:pPr>
        <w:tabs>
          <w:tab w:val="left" w:pos="709"/>
        </w:tabs>
        <w:rPr>
          <w:lang w:val="en-GB"/>
        </w:rPr>
      </w:pPr>
      <w:r w:rsidRPr="001229E8">
        <w:rPr>
          <w:lang w:val="en-GB"/>
        </w:rPr>
        <w:t xml:space="preserve">Q38: </w:t>
      </w:r>
      <w:r w:rsidR="00C8031C">
        <w:rPr>
          <w:lang w:val="en-GB"/>
        </w:rPr>
        <w:tab/>
      </w:r>
      <w:r w:rsidRPr="001229E8">
        <w:rPr>
          <w:lang w:val="en-GB"/>
        </w:rPr>
        <w:t>No</w:t>
      </w:r>
      <w:r w:rsidR="00EC7F62">
        <w:rPr>
          <w:lang w:val="en-GB"/>
        </w:rPr>
        <w:t xml:space="preserve">, </w:t>
      </w:r>
      <w:r w:rsidR="00261367">
        <w:rPr>
          <w:lang w:val="en-GB"/>
        </w:rPr>
        <w:t xml:space="preserve">we believe that </w:t>
      </w:r>
      <w:r w:rsidR="00EC7F62">
        <w:rPr>
          <w:lang w:val="en-GB"/>
        </w:rPr>
        <w:t>the proposed content regarding the buy-side is sufficient</w:t>
      </w:r>
      <w:r w:rsidRPr="001229E8">
        <w:rPr>
          <w:lang w:val="en-GB"/>
        </w:rPr>
        <w:t>.</w:t>
      </w:r>
    </w:p>
    <w:p w:rsidR="009B7CB9" w:rsidRPr="001229E8" w:rsidRDefault="009B7CB9" w:rsidP="00C8031C">
      <w:pPr>
        <w:tabs>
          <w:tab w:val="left" w:pos="709"/>
        </w:tabs>
        <w:ind w:left="705" w:hanging="705"/>
        <w:rPr>
          <w:lang w:val="en-GB"/>
        </w:rPr>
      </w:pPr>
      <w:r w:rsidRPr="001229E8">
        <w:rPr>
          <w:lang w:val="en-GB"/>
        </w:rPr>
        <w:t xml:space="preserve">Q39: </w:t>
      </w:r>
      <w:r w:rsidR="00C8031C">
        <w:rPr>
          <w:lang w:val="en-GB"/>
        </w:rPr>
        <w:tab/>
      </w:r>
      <w:r w:rsidRPr="001229E8">
        <w:rPr>
          <w:lang w:val="en-GB"/>
        </w:rPr>
        <w:t>Under option 1, financial institutions will/can have different cleansing strategies</w:t>
      </w:r>
      <w:r w:rsidR="00C8031C">
        <w:rPr>
          <w:lang w:val="en-GB"/>
        </w:rPr>
        <w:br/>
      </w:r>
      <w:r w:rsidRPr="001229E8">
        <w:rPr>
          <w:lang w:val="en-GB"/>
        </w:rPr>
        <w:t>with different investors; this could cause a risk. We are therefore in favour of option 2.</w:t>
      </w:r>
    </w:p>
    <w:p w:rsidR="00C8031C" w:rsidRDefault="009B7CB9" w:rsidP="00C8031C">
      <w:pPr>
        <w:tabs>
          <w:tab w:val="left" w:pos="709"/>
        </w:tabs>
        <w:rPr>
          <w:lang w:val="en-GB"/>
        </w:rPr>
      </w:pPr>
      <w:r w:rsidRPr="001229E8">
        <w:rPr>
          <w:lang w:val="en-GB"/>
        </w:rPr>
        <w:t>Q48 and 49:</w:t>
      </w:r>
    </w:p>
    <w:p w:rsidR="009B7CB9" w:rsidRPr="001229E8" w:rsidRDefault="009109E5" w:rsidP="00C8031C">
      <w:pPr>
        <w:tabs>
          <w:tab w:val="left" w:pos="709"/>
        </w:tabs>
        <w:ind w:left="705"/>
        <w:rPr>
          <w:lang w:val="en-GB"/>
        </w:rPr>
      </w:pPr>
      <w:r>
        <w:rPr>
          <w:lang w:val="en-GB"/>
        </w:rPr>
        <w:t xml:space="preserve">Yes, we agree with the proposed approach regarding </w:t>
      </w:r>
      <w:r w:rsidRPr="009109E5">
        <w:rPr>
          <w:lang w:val="en-GB"/>
        </w:rPr>
        <w:t>OTC trading as well as entities which can perform or execute an AMP</w:t>
      </w:r>
      <w:r>
        <w:rPr>
          <w:lang w:val="en-GB"/>
        </w:rPr>
        <w:t>.</w:t>
      </w:r>
    </w:p>
    <w:p w:rsidR="009B7CB9" w:rsidRPr="001229E8" w:rsidRDefault="009B7CB9" w:rsidP="00352396">
      <w:pPr>
        <w:tabs>
          <w:tab w:val="left" w:pos="709"/>
        </w:tabs>
        <w:ind w:left="705" w:hanging="705"/>
        <w:rPr>
          <w:lang w:val="en-GB"/>
        </w:rPr>
      </w:pPr>
      <w:r w:rsidRPr="001229E8">
        <w:rPr>
          <w:lang w:val="en-GB"/>
        </w:rPr>
        <w:t>Q51:</w:t>
      </w:r>
      <w:r w:rsidR="001229E8">
        <w:rPr>
          <w:lang w:val="en-GB"/>
        </w:rPr>
        <w:t xml:space="preserve"> </w:t>
      </w:r>
      <w:r w:rsidR="00C8031C">
        <w:rPr>
          <w:lang w:val="en-GB"/>
        </w:rPr>
        <w:tab/>
      </w:r>
      <w:r w:rsidR="001229E8">
        <w:rPr>
          <w:lang w:val="en-GB"/>
        </w:rPr>
        <w:t>N</w:t>
      </w:r>
      <w:r w:rsidRPr="001229E8">
        <w:rPr>
          <w:lang w:val="en-GB"/>
        </w:rPr>
        <w:t>o</w:t>
      </w:r>
      <w:r w:rsidR="00352396">
        <w:rPr>
          <w:lang w:val="en-GB"/>
        </w:rPr>
        <w:t xml:space="preserve">, we do not </w:t>
      </w:r>
      <w:r w:rsidR="00352396" w:rsidRPr="00352396">
        <w:rPr>
          <w:lang w:val="en-GB"/>
        </w:rPr>
        <w:t>you consider that there is specific additional information that should be disclosed when executing an AMP</w:t>
      </w:r>
      <w:r w:rsidRPr="001229E8">
        <w:rPr>
          <w:lang w:val="en-GB"/>
        </w:rPr>
        <w:t>.</w:t>
      </w:r>
    </w:p>
    <w:p w:rsidR="009B7CB9" w:rsidRPr="001229E8" w:rsidRDefault="009B7CB9" w:rsidP="00F4230E">
      <w:pPr>
        <w:tabs>
          <w:tab w:val="left" w:pos="709"/>
        </w:tabs>
        <w:ind w:left="705" w:hanging="705"/>
        <w:rPr>
          <w:lang w:val="en-GB"/>
        </w:rPr>
      </w:pPr>
      <w:r w:rsidRPr="001229E8">
        <w:rPr>
          <w:lang w:val="en-GB"/>
        </w:rPr>
        <w:t>Q52:</w:t>
      </w:r>
      <w:r w:rsidR="001229E8">
        <w:rPr>
          <w:lang w:val="en-GB"/>
        </w:rPr>
        <w:t xml:space="preserve"> </w:t>
      </w:r>
      <w:r w:rsidR="00C8031C">
        <w:rPr>
          <w:lang w:val="en-GB"/>
        </w:rPr>
        <w:tab/>
      </w:r>
      <w:r w:rsidR="001229E8">
        <w:rPr>
          <w:lang w:val="en-GB"/>
        </w:rPr>
        <w:t>Y</w:t>
      </w:r>
      <w:r w:rsidRPr="001229E8">
        <w:rPr>
          <w:lang w:val="en-GB"/>
        </w:rPr>
        <w:t>es</w:t>
      </w:r>
      <w:r w:rsidR="00F4230E">
        <w:rPr>
          <w:lang w:val="en-GB"/>
        </w:rPr>
        <w:t xml:space="preserve">, we agree that </w:t>
      </w:r>
      <w:r w:rsidR="00F4230E" w:rsidRPr="00F4230E">
        <w:rPr>
          <w:lang w:val="en-GB"/>
        </w:rPr>
        <w:t>the factors listed seek to ensure a high degree of safeguards and proper interplay of forces of supply and demand</w:t>
      </w:r>
      <w:r w:rsidR="001229E8">
        <w:rPr>
          <w:lang w:val="en-GB"/>
        </w:rPr>
        <w:t>.</w:t>
      </w:r>
    </w:p>
    <w:p w:rsidR="009B7CB9" w:rsidRPr="001229E8" w:rsidRDefault="001229E8" w:rsidP="00F4230E">
      <w:pPr>
        <w:tabs>
          <w:tab w:val="left" w:pos="709"/>
        </w:tabs>
        <w:ind w:left="705" w:hanging="705"/>
        <w:rPr>
          <w:lang w:val="en-GB"/>
        </w:rPr>
      </w:pPr>
      <w:r>
        <w:rPr>
          <w:lang w:val="en-GB"/>
        </w:rPr>
        <w:lastRenderedPageBreak/>
        <w:t xml:space="preserve">Q53: </w:t>
      </w:r>
      <w:r w:rsidR="00C8031C">
        <w:rPr>
          <w:lang w:val="en-GB"/>
        </w:rPr>
        <w:tab/>
      </w:r>
      <w:r w:rsidR="00146ABE">
        <w:rPr>
          <w:lang w:val="en-GB"/>
        </w:rPr>
        <w:t>Yes, w</w:t>
      </w:r>
      <w:r w:rsidR="009B7CB9" w:rsidRPr="001229E8">
        <w:rPr>
          <w:lang w:val="en-GB"/>
        </w:rPr>
        <w:t>e agree</w:t>
      </w:r>
      <w:r w:rsidR="00F4230E">
        <w:rPr>
          <w:lang w:val="en-GB"/>
        </w:rPr>
        <w:t xml:space="preserve"> that </w:t>
      </w:r>
      <w:r w:rsidR="00F4230E" w:rsidRPr="00F4230E">
        <w:rPr>
          <w:lang w:val="en-GB"/>
        </w:rPr>
        <w:t>the fact that AMPs may in some instances protect specific market participants.</w:t>
      </w:r>
    </w:p>
    <w:p w:rsidR="009B7CB9" w:rsidRPr="001229E8" w:rsidRDefault="009B7CB9" w:rsidP="00146ABE">
      <w:pPr>
        <w:tabs>
          <w:tab w:val="left" w:pos="709"/>
        </w:tabs>
        <w:ind w:left="705" w:hanging="705"/>
        <w:rPr>
          <w:lang w:val="en-GB"/>
        </w:rPr>
      </w:pPr>
      <w:r w:rsidRPr="001229E8">
        <w:rPr>
          <w:lang w:val="en-GB"/>
        </w:rPr>
        <w:t xml:space="preserve">Q54: </w:t>
      </w:r>
      <w:r w:rsidR="00C8031C">
        <w:rPr>
          <w:lang w:val="en-GB"/>
        </w:rPr>
        <w:tab/>
      </w:r>
      <w:r w:rsidR="00146ABE">
        <w:rPr>
          <w:lang w:val="en-GB"/>
        </w:rPr>
        <w:t>Yes, w</w:t>
      </w:r>
      <w:r w:rsidRPr="001229E8">
        <w:rPr>
          <w:lang w:val="en-GB"/>
        </w:rPr>
        <w:t>e agree with the principle of persons performing an AMP to act independently.</w:t>
      </w:r>
    </w:p>
    <w:p w:rsidR="009B7CB9" w:rsidRPr="001229E8" w:rsidRDefault="001229E8" w:rsidP="00F4230E">
      <w:pPr>
        <w:tabs>
          <w:tab w:val="left" w:pos="709"/>
        </w:tabs>
        <w:ind w:left="705" w:hanging="705"/>
        <w:rPr>
          <w:lang w:val="en-GB"/>
        </w:rPr>
      </w:pPr>
      <w:r>
        <w:rPr>
          <w:lang w:val="en-GB"/>
        </w:rPr>
        <w:t xml:space="preserve">Q56: </w:t>
      </w:r>
      <w:r w:rsidR="00C8031C">
        <w:rPr>
          <w:lang w:val="en-GB"/>
        </w:rPr>
        <w:tab/>
      </w:r>
      <w:r>
        <w:rPr>
          <w:lang w:val="en-GB"/>
        </w:rPr>
        <w:t>Y</w:t>
      </w:r>
      <w:r w:rsidR="00F4230E">
        <w:rPr>
          <w:lang w:val="en-GB"/>
        </w:rPr>
        <w:t xml:space="preserve">es, </w:t>
      </w:r>
      <w:r w:rsidR="00F4230E" w:rsidRPr="00F4230E">
        <w:rPr>
          <w:lang w:val="en-GB"/>
        </w:rPr>
        <w:t xml:space="preserve">an </w:t>
      </w:r>
      <w:proofErr w:type="spellStart"/>
      <w:r w:rsidR="00F4230E" w:rsidRPr="00F4230E">
        <w:rPr>
          <w:lang w:val="en-GB"/>
        </w:rPr>
        <w:t>ex ante</w:t>
      </w:r>
      <w:proofErr w:type="spellEnd"/>
      <w:r w:rsidR="00F4230E" w:rsidRPr="00F4230E">
        <w:rPr>
          <w:lang w:val="en-GB"/>
        </w:rPr>
        <w:t xml:space="preserve"> list of situations in which the AMP should be temporarily suspended or restricted should be established.</w:t>
      </w:r>
      <w:r w:rsidR="00F4230E">
        <w:rPr>
          <w:sz w:val="20"/>
          <w:szCs w:val="20"/>
          <w:lang w:val="en-GB"/>
        </w:rPr>
        <w:t xml:space="preserve"> </w:t>
      </w:r>
    </w:p>
    <w:p w:rsidR="009B7CB9" w:rsidRPr="001229E8" w:rsidRDefault="009B7CB9" w:rsidP="00C8031C">
      <w:pPr>
        <w:tabs>
          <w:tab w:val="left" w:pos="709"/>
        </w:tabs>
        <w:rPr>
          <w:lang w:val="en-GB"/>
        </w:rPr>
      </w:pPr>
      <w:r w:rsidRPr="001229E8">
        <w:rPr>
          <w:lang w:val="en-GB"/>
        </w:rPr>
        <w:t xml:space="preserve">Q57: </w:t>
      </w:r>
      <w:r w:rsidR="00C8031C">
        <w:rPr>
          <w:lang w:val="en-GB"/>
        </w:rPr>
        <w:tab/>
      </w:r>
      <w:r w:rsidR="00503D89">
        <w:rPr>
          <w:lang w:val="en-GB"/>
        </w:rPr>
        <w:t xml:space="preserve">In general we agree with the principles. </w:t>
      </w:r>
    </w:p>
    <w:p w:rsidR="009B7CB9" w:rsidRPr="001229E8" w:rsidRDefault="009B7CB9" w:rsidP="00C8031C">
      <w:pPr>
        <w:tabs>
          <w:tab w:val="left" w:pos="709"/>
        </w:tabs>
        <w:rPr>
          <w:lang w:val="en-GB"/>
        </w:rPr>
      </w:pPr>
      <w:r w:rsidRPr="001229E8">
        <w:rPr>
          <w:lang w:val="en-GB"/>
        </w:rPr>
        <w:t xml:space="preserve">Q59: </w:t>
      </w:r>
      <w:r w:rsidR="00C8031C">
        <w:rPr>
          <w:lang w:val="en-GB"/>
        </w:rPr>
        <w:tab/>
      </w:r>
      <w:r w:rsidR="00064CB6">
        <w:rPr>
          <w:lang w:val="en-GB"/>
        </w:rPr>
        <w:t>Yes, w</w:t>
      </w:r>
      <w:r w:rsidRPr="001229E8">
        <w:rPr>
          <w:lang w:val="en-GB"/>
        </w:rPr>
        <w:t>e agree</w:t>
      </w:r>
      <w:r w:rsidR="00503D89">
        <w:rPr>
          <w:lang w:val="en-GB"/>
        </w:rPr>
        <w:t xml:space="preserve"> with these principles</w:t>
      </w:r>
      <w:r w:rsidRPr="001229E8">
        <w:rPr>
          <w:lang w:val="en-GB"/>
        </w:rPr>
        <w:t>.</w:t>
      </w:r>
    </w:p>
    <w:p w:rsidR="009B7CB9" w:rsidRPr="001229E8" w:rsidRDefault="009B7CB9" w:rsidP="00C8031C">
      <w:pPr>
        <w:tabs>
          <w:tab w:val="left" w:pos="709"/>
        </w:tabs>
        <w:rPr>
          <w:lang w:val="en-GB"/>
        </w:rPr>
      </w:pPr>
      <w:r w:rsidRPr="001229E8">
        <w:rPr>
          <w:lang w:val="en-GB"/>
        </w:rPr>
        <w:t xml:space="preserve">Q60: </w:t>
      </w:r>
      <w:r w:rsidR="00C8031C">
        <w:rPr>
          <w:lang w:val="en-GB"/>
        </w:rPr>
        <w:tab/>
      </w:r>
      <w:r w:rsidR="00064CB6">
        <w:rPr>
          <w:lang w:val="en-GB"/>
        </w:rPr>
        <w:t>Yes, w</w:t>
      </w:r>
      <w:r w:rsidRPr="001229E8">
        <w:rPr>
          <w:lang w:val="en-GB"/>
        </w:rPr>
        <w:t>e agree with the analysis.</w:t>
      </w:r>
    </w:p>
    <w:p w:rsidR="009B7CB9" w:rsidRPr="001229E8" w:rsidRDefault="009B7CB9" w:rsidP="00503D89">
      <w:pPr>
        <w:tabs>
          <w:tab w:val="left" w:pos="709"/>
        </w:tabs>
        <w:ind w:left="705" w:hanging="705"/>
        <w:rPr>
          <w:lang w:val="en-GB"/>
        </w:rPr>
      </w:pPr>
      <w:r w:rsidRPr="001229E8">
        <w:rPr>
          <w:lang w:val="en-GB"/>
        </w:rPr>
        <w:t xml:space="preserve">Q61: </w:t>
      </w:r>
      <w:r w:rsidR="00C8031C">
        <w:rPr>
          <w:lang w:val="en-GB"/>
        </w:rPr>
        <w:tab/>
      </w:r>
      <w:r w:rsidR="00503D89">
        <w:rPr>
          <w:lang w:val="en-GB"/>
        </w:rPr>
        <w:t xml:space="preserve">Yes, we agree that the proposed </w:t>
      </w:r>
      <w:r w:rsidR="00503D89" w:rsidRPr="00503D89">
        <w:rPr>
          <w:lang w:val="en-GB"/>
        </w:rPr>
        <w:t>approach to timing of STR reporting strikes the right balance in practice</w:t>
      </w:r>
      <w:r w:rsidRPr="001229E8">
        <w:rPr>
          <w:lang w:val="en-GB"/>
        </w:rPr>
        <w:t>.</w:t>
      </w:r>
    </w:p>
    <w:p w:rsidR="009B7CB9" w:rsidRPr="001229E8" w:rsidRDefault="009B7CB9" w:rsidP="00C8031C">
      <w:pPr>
        <w:tabs>
          <w:tab w:val="left" w:pos="709"/>
        </w:tabs>
        <w:ind w:left="705" w:hanging="705"/>
        <w:rPr>
          <w:lang w:val="en-GB"/>
        </w:rPr>
      </w:pPr>
      <w:r w:rsidRPr="001229E8">
        <w:rPr>
          <w:lang w:val="en-GB"/>
        </w:rPr>
        <w:t>Q62</w:t>
      </w:r>
      <w:r w:rsidR="00C8031C">
        <w:rPr>
          <w:lang w:val="en-GB"/>
        </w:rPr>
        <w:t>:</w:t>
      </w:r>
      <w:r w:rsidRPr="001229E8">
        <w:rPr>
          <w:lang w:val="en-GB"/>
        </w:rPr>
        <w:t xml:space="preserve"> </w:t>
      </w:r>
      <w:r w:rsidR="00C8031C">
        <w:rPr>
          <w:lang w:val="en-GB"/>
        </w:rPr>
        <w:tab/>
      </w:r>
      <w:r w:rsidR="00064CB6">
        <w:rPr>
          <w:lang w:val="en-GB"/>
        </w:rPr>
        <w:t>Yes, w</w:t>
      </w:r>
      <w:r w:rsidRPr="001229E8">
        <w:rPr>
          <w:lang w:val="en-GB"/>
        </w:rPr>
        <w:t>e definitely agree, but do not have any particular views on what "good reasons"</w:t>
      </w:r>
      <w:r w:rsidR="00BD0C25">
        <w:rPr>
          <w:lang w:val="en-GB"/>
        </w:rPr>
        <w:t xml:space="preserve"> </w:t>
      </w:r>
      <w:r w:rsidRPr="001229E8">
        <w:rPr>
          <w:lang w:val="en-GB"/>
        </w:rPr>
        <w:t>could be.</w:t>
      </w:r>
    </w:p>
    <w:p w:rsidR="009B7CB9" w:rsidRPr="001229E8" w:rsidRDefault="009B7CB9" w:rsidP="00C8031C">
      <w:pPr>
        <w:tabs>
          <w:tab w:val="left" w:pos="709"/>
        </w:tabs>
        <w:ind w:left="705" w:hanging="705"/>
        <w:rPr>
          <w:lang w:val="en-GB"/>
        </w:rPr>
      </w:pPr>
      <w:r w:rsidRPr="001229E8">
        <w:rPr>
          <w:lang w:val="en-GB"/>
        </w:rPr>
        <w:t xml:space="preserve">Q64: </w:t>
      </w:r>
      <w:r w:rsidR="00C8031C">
        <w:rPr>
          <w:lang w:val="en-GB"/>
        </w:rPr>
        <w:tab/>
      </w:r>
      <w:r w:rsidRPr="001229E8">
        <w:rPr>
          <w:lang w:val="en-GB"/>
        </w:rPr>
        <w:t>Entities should be subject to a requirement to establish automated surveillance</w:t>
      </w:r>
      <w:r w:rsidR="00C8031C">
        <w:rPr>
          <w:lang w:val="en-GB"/>
        </w:rPr>
        <w:br/>
      </w:r>
      <w:r w:rsidRPr="001229E8">
        <w:rPr>
          <w:lang w:val="en-GB"/>
        </w:rPr>
        <w:t>systems. However</w:t>
      </w:r>
      <w:r w:rsidR="001229E8">
        <w:rPr>
          <w:lang w:val="en-GB"/>
        </w:rPr>
        <w:t>,</w:t>
      </w:r>
      <w:r w:rsidRPr="001229E8">
        <w:rPr>
          <w:lang w:val="en-GB"/>
        </w:rPr>
        <w:t xml:space="preserve"> this depends on the size and nature of the entity concerned as well as the particular activity it performs (see paragraph 205).</w:t>
      </w:r>
    </w:p>
    <w:p w:rsidR="009B7CB9" w:rsidRPr="001229E8" w:rsidRDefault="009B7CB9" w:rsidP="00564C18">
      <w:pPr>
        <w:tabs>
          <w:tab w:val="left" w:pos="709"/>
        </w:tabs>
        <w:ind w:left="705" w:hanging="705"/>
        <w:rPr>
          <w:lang w:val="en-GB"/>
        </w:rPr>
      </w:pPr>
      <w:r w:rsidRPr="001229E8">
        <w:rPr>
          <w:lang w:val="en-GB"/>
        </w:rPr>
        <w:t xml:space="preserve">Q65: </w:t>
      </w:r>
      <w:r w:rsidR="00C8031C">
        <w:rPr>
          <w:lang w:val="en-GB"/>
        </w:rPr>
        <w:tab/>
      </w:r>
      <w:r w:rsidRPr="001229E8">
        <w:rPr>
          <w:lang w:val="en-GB"/>
        </w:rPr>
        <w:t>Yes, tr</w:t>
      </w:r>
      <w:r w:rsidR="00564C18">
        <w:rPr>
          <w:lang w:val="en-GB"/>
        </w:rPr>
        <w:t>ading venues should be required</w:t>
      </w:r>
      <w:r w:rsidR="00564C18" w:rsidRPr="00564C18">
        <w:rPr>
          <w:lang w:val="en-GB"/>
        </w:rPr>
        <w:t xml:space="preserve"> to have an IT system allowing ex post reading and analysis of the order book</w:t>
      </w:r>
      <w:r w:rsidR="00564C18">
        <w:rPr>
          <w:lang w:val="en-GB"/>
        </w:rPr>
        <w:t>.</w:t>
      </w:r>
    </w:p>
    <w:p w:rsidR="009B7CB9" w:rsidRPr="001229E8" w:rsidRDefault="001229E8" w:rsidP="00765939">
      <w:pPr>
        <w:tabs>
          <w:tab w:val="left" w:pos="709"/>
        </w:tabs>
        <w:ind w:left="705" w:hanging="705"/>
        <w:rPr>
          <w:lang w:val="en-GB"/>
        </w:rPr>
      </w:pPr>
      <w:r>
        <w:rPr>
          <w:lang w:val="en-GB"/>
        </w:rPr>
        <w:t xml:space="preserve">Q67: </w:t>
      </w:r>
      <w:r w:rsidR="00C8031C">
        <w:rPr>
          <w:lang w:val="en-GB"/>
        </w:rPr>
        <w:tab/>
      </w:r>
      <w:r>
        <w:rPr>
          <w:lang w:val="en-GB"/>
        </w:rPr>
        <w:t>Y</w:t>
      </w:r>
      <w:r w:rsidR="009B7CB9" w:rsidRPr="001229E8">
        <w:rPr>
          <w:lang w:val="en-GB"/>
        </w:rPr>
        <w:t>es</w:t>
      </w:r>
      <w:r w:rsidR="00765939">
        <w:rPr>
          <w:lang w:val="en-GB"/>
        </w:rPr>
        <w:t xml:space="preserve">, we agree </w:t>
      </w:r>
      <w:r w:rsidR="00765939" w:rsidRPr="00765939">
        <w:rPr>
          <w:lang w:val="en-GB"/>
        </w:rPr>
        <w:t>with the proposed information to be included in, and the overall layout of the STRs</w:t>
      </w:r>
      <w:r w:rsidR="009B7CB9" w:rsidRPr="001229E8">
        <w:rPr>
          <w:lang w:val="en-GB"/>
        </w:rPr>
        <w:t>.</w:t>
      </w:r>
    </w:p>
    <w:p w:rsidR="009B7CB9" w:rsidRPr="001229E8" w:rsidRDefault="001229E8" w:rsidP="00765939">
      <w:pPr>
        <w:tabs>
          <w:tab w:val="left" w:pos="709"/>
        </w:tabs>
        <w:ind w:left="705" w:hanging="705"/>
        <w:rPr>
          <w:lang w:val="en-GB"/>
        </w:rPr>
      </w:pPr>
      <w:r>
        <w:rPr>
          <w:lang w:val="en-GB"/>
        </w:rPr>
        <w:t xml:space="preserve">Q68: </w:t>
      </w:r>
      <w:r w:rsidR="00C8031C">
        <w:rPr>
          <w:lang w:val="en-GB"/>
        </w:rPr>
        <w:tab/>
      </w:r>
      <w:r w:rsidR="00064CB6">
        <w:rPr>
          <w:lang w:val="en-GB"/>
        </w:rPr>
        <w:t>Yes, w</w:t>
      </w:r>
      <w:r w:rsidR="00765939">
        <w:rPr>
          <w:lang w:val="en-GB"/>
        </w:rPr>
        <w:t xml:space="preserve">e agree </w:t>
      </w:r>
      <w:r w:rsidR="00765939" w:rsidRPr="00765939">
        <w:rPr>
          <w:lang w:val="en-GB"/>
        </w:rPr>
        <w:t>that ESMA should substantially revise existing STR templates and develop a common electronic template</w:t>
      </w:r>
      <w:r w:rsidR="00765939">
        <w:rPr>
          <w:lang w:val="en-GB"/>
        </w:rPr>
        <w:t xml:space="preserve">. However, we do not have </w:t>
      </w:r>
      <w:r w:rsidR="00765939" w:rsidRPr="00765939">
        <w:rPr>
          <w:lang w:val="en-GB"/>
        </w:rPr>
        <w:t>any particular views on what ESMA should consider when developing these templates</w:t>
      </w:r>
      <w:r w:rsidR="00765939">
        <w:rPr>
          <w:lang w:val="en-GB"/>
        </w:rPr>
        <w:t>.</w:t>
      </w:r>
    </w:p>
    <w:p w:rsidR="009B7CB9" w:rsidRPr="001229E8" w:rsidRDefault="009B7CB9" w:rsidP="00C8031C">
      <w:pPr>
        <w:tabs>
          <w:tab w:val="left" w:pos="709"/>
        </w:tabs>
        <w:rPr>
          <w:lang w:val="en-GB"/>
        </w:rPr>
      </w:pPr>
      <w:r w:rsidRPr="001229E8">
        <w:rPr>
          <w:lang w:val="en-GB"/>
        </w:rPr>
        <w:t xml:space="preserve">Q69: </w:t>
      </w:r>
      <w:r w:rsidR="00C8031C">
        <w:rPr>
          <w:lang w:val="en-GB"/>
        </w:rPr>
        <w:tab/>
      </w:r>
      <w:r w:rsidR="00797D64">
        <w:rPr>
          <w:lang w:val="en-GB"/>
        </w:rPr>
        <w:t>Yes, w</w:t>
      </w:r>
      <w:r w:rsidR="00765939">
        <w:rPr>
          <w:lang w:val="en-GB"/>
        </w:rPr>
        <w:t>e agree with ESMA’s</w:t>
      </w:r>
      <w:r w:rsidRPr="001229E8">
        <w:rPr>
          <w:lang w:val="en-GB"/>
        </w:rPr>
        <w:t xml:space="preserve"> view.</w:t>
      </w:r>
    </w:p>
    <w:p w:rsidR="009B7CB9" w:rsidRPr="001229E8" w:rsidRDefault="001229E8" w:rsidP="00C8031C">
      <w:pPr>
        <w:tabs>
          <w:tab w:val="left" w:pos="709"/>
        </w:tabs>
        <w:rPr>
          <w:lang w:val="en-GB"/>
        </w:rPr>
      </w:pPr>
      <w:r>
        <w:rPr>
          <w:lang w:val="en-GB"/>
        </w:rPr>
        <w:t xml:space="preserve">Q70: </w:t>
      </w:r>
      <w:r w:rsidR="00C8031C">
        <w:rPr>
          <w:lang w:val="en-GB"/>
        </w:rPr>
        <w:tab/>
      </w:r>
      <w:r w:rsidR="00C60A05">
        <w:rPr>
          <w:lang w:val="en-GB"/>
        </w:rPr>
        <w:t>Yes, w</w:t>
      </w:r>
      <w:r w:rsidR="009B7CB9" w:rsidRPr="001229E8">
        <w:rPr>
          <w:lang w:val="en-GB"/>
        </w:rPr>
        <w:t>e agree</w:t>
      </w:r>
      <w:r w:rsidR="00C60A05">
        <w:rPr>
          <w:lang w:val="en-GB"/>
        </w:rPr>
        <w:t xml:space="preserve"> with this general approach</w:t>
      </w:r>
      <w:r>
        <w:rPr>
          <w:lang w:val="en-GB"/>
        </w:rPr>
        <w:t>.</w:t>
      </w:r>
    </w:p>
    <w:p w:rsidR="009B7CB9" w:rsidRPr="001229E8" w:rsidRDefault="001229E8" w:rsidP="000F19C6">
      <w:pPr>
        <w:tabs>
          <w:tab w:val="left" w:pos="709"/>
        </w:tabs>
        <w:ind w:left="705" w:hanging="705"/>
        <w:rPr>
          <w:lang w:val="en-GB"/>
        </w:rPr>
      </w:pPr>
      <w:r>
        <w:rPr>
          <w:lang w:val="en-GB"/>
        </w:rPr>
        <w:t xml:space="preserve">Q71: </w:t>
      </w:r>
      <w:r w:rsidR="00C8031C">
        <w:rPr>
          <w:lang w:val="en-GB"/>
        </w:rPr>
        <w:tab/>
      </w:r>
      <w:r>
        <w:rPr>
          <w:lang w:val="en-GB"/>
        </w:rPr>
        <w:t>W</w:t>
      </w:r>
      <w:r w:rsidR="009B7CB9" w:rsidRPr="001229E8">
        <w:rPr>
          <w:lang w:val="en-GB"/>
        </w:rPr>
        <w:t>e agree</w:t>
      </w:r>
      <w:r w:rsidR="000F19C6">
        <w:rPr>
          <w:lang w:val="en-GB"/>
        </w:rPr>
        <w:t xml:space="preserve"> that </w:t>
      </w:r>
      <w:r w:rsidR="000F19C6" w:rsidRPr="000F19C6">
        <w:rPr>
          <w:lang w:val="en-GB"/>
        </w:rPr>
        <w:t>applying similar requirements to those set out in the TD for the dissemination of information to all issuers of RM/MTF/OTF financial instruments would be adequate</w:t>
      </w:r>
      <w:r>
        <w:rPr>
          <w:lang w:val="en-GB"/>
        </w:rPr>
        <w:t>.</w:t>
      </w:r>
    </w:p>
    <w:p w:rsidR="009B7CB9" w:rsidRPr="001229E8" w:rsidRDefault="001229E8" w:rsidP="00F55D8F">
      <w:pPr>
        <w:tabs>
          <w:tab w:val="left" w:pos="709"/>
        </w:tabs>
        <w:ind w:left="705" w:hanging="705"/>
        <w:rPr>
          <w:lang w:val="en-GB"/>
        </w:rPr>
      </w:pPr>
      <w:r>
        <w:rPr>
          <w:lang w:val="en-GB"/>
        </w:rPr>
        <w:t xml:space="preserve">Q72: </w:t>
      </w:r>
      <w:r w:rsidR="00C8031C">
        <w:rPr>
          <w:lang w:val="en-GB"/>
        </w:rPr>
        <w:tab/>
      </w:r>
      <w:r w:rsidR="00F55D8F">
        <w:rPr>
          <w:lang w:val="en-GB"/>
        </w:rPr>
        <w:t>Yes, w</w:t>
      </w:r>
      <w:r w:rsidR="009B7CB9" w:rsidRPr="001229E8">
        <w:rPr>
          <w:lang w:val="en-GB"/>
        </w:rPr>
        <w:t>e agree</w:t>
      </w:r>
      <w:r w:rsidR="00F55D8F">
        <w:rPr>
          <w:lang w:val="en-GB"/>
        </w:rPr>
        <w:t xml:space="preserve"> </w:t>
      </w:r>
      <w:r w:rsidR="00F55D8F" w:rsidRPr="00F55D8F">
        <w:rPr>
          <w:lang w:val="en-GB"/>
        </w:rPr>
        <w:t>to include the requirement to disclose as soon as possible significant changes in already published inside information</w:t>
      </w:r>
      <w:r w:rsidR="00F55D8F">
        <w:rPr>
          <w:lang w:val="en-GB"/>
        </w:rPr>
        <w:t>.</w:t>
      </w:r>
    </w:p>
    <w:p w:rsidR="009B7CB9" w:rsidRPr="001229E8" w:rsidRDefault="001229E8" w:rsidP="00295857">
      <w:pPr>
        <w:tabs>
          <w:tab w:val="left" w:pos="709"/>
        </w:tabs>
        <w:ind w:left="705" w:hanging="705"/>
        <w:rPr>
          <w:lang w:val="en-GB"/>
        </w:rPr>
      </w:pPr>
      <w:r>
        <w:rPr>
          <w:lang w:val="en-GB"/>
        </w:rPr>
        <w:t xml:space="preserve">Q73: </w:t>
      </w:r>
      <w:r w:rsidR="00C8031C">
        <w:rPr>
          <w:lang w:val="en-GB"/>
        </w:rPr>
        <w:tab/>
      </w:r>
      <w:r w:rsidR="00295857">
        <w:rPr>
          <w:lang w:val="en-GB"/>
        </w:rPr>
        <w:t>Yes, w</w:t>
      </w:r>
      <w:r w:rsidR="009B7CB9" w:rsidRPr="001229E8">
        <w:rPr>
          <w:lang w:val="en-GB"/>
        </w:rPr>
        <w:t>e agree</w:t>
      </w:r>
      <w:r w:rsidR="00295857">
        <w:rPr>
          <w:lang w:val="en-GB"/>
        </w:rPr>
        <w:t xml:space="preserve"> </w:t>
      </w:r>
      <w:r w:rsidR="00295857" w:rsidRPr="00295857">
        <w:rPr>
          <w:lang w:val="en-GB"/>
        </w:rPr>
        <w:t>with the suggested criteria applicable to the website where the issuer is posting inside information</w:t>
      </w:r>
      <w:r>
        <w:rPr>
          <w:lang w:val="en-GB"/>
        </w:rPr>
        <w:t>.</w:t>
      </w:r>
    </w:p>
    <w:p w:rsidR="009B7CB9" w:rsidRPr="001229E8" w:rsidRDefault="001229E8" w:rsidP="00295857">
      <w:pPr>
        <w:tabs>
          <w:tab w:val="left" w:pos="709"/>
        </w:tabs>
        <w:ind w:left="705" w:hanging="705"/>
        <w:rPr>
          <w:lang w:val="en-GB"/>
        </w:rPr>
      </w:pPr>
      <w:r>
        <w:rPr>
          <w:lang w:val="en-GB"/>
        </w:rPr>
        <w:t xml:space="preserve">Q76: </w:t>
      </w:r>
      <w:r w:rsidR="00C8031C">
        <w:rPr>
          <w:lang w:val="en-GB"/>
        </w:rPr>
        <w:tab/>
      </w:r>
      <w:r w:rsidR="00295857">
        <w:rPr>
          <w:lang w:val="en-GB"/>
        </w:rPr>
        <w:t>Yes, w</w:t>
      </w:r>
      <w:r w:rsidR="009B7CB9" w:rsidRPr="001229E8">
        <w:rPr>
          <w:lang w:val="en-GB"/>
        </w:rPr>
        <w:t>e agree</w:t>
      </w:r>
      <w:r w:rsidR="00295857">
        <w:rPr>
          <w:lang w:val="en-GB"/>
        </w:rPr>
        <w:t xml:space="preserve"> </w:t>
      </w:r>
      <w:r w:rsidR="00295857" w:rsidRPr="00295857">
        <w:rPr>
          <w:lang w:val="en-GB"/>
        </w:rPr>
        <w:t>with the approach to the ex post notification of general delays and the ways to transmit the required information</w:t>
      </w:r>
      <w:r w:rsidR="009B7CB9" w:rsidRPr="001229E8">
        <w:rPr>
          <w:lang w:val="en-GB"/>
        </w:rPr>
        <w:t>.</w:t>
      </w:r>
    </w:p>
    <w:p w:rsidR="009B7CB9" w:rsidRPr="001229E8" w:rsidRDefault="001229E8" w:rsidP="00295857">
      <w:pPr>
        <w:tabs>
          <w:tab w:val="left" w:pos="709"/>
        </w:tabs>
        <w:ind w:left="705" w:hanging="705"/>
        <w:rPr>
          <w:lang w:val="en-GB"/>
        </w:rPr>
      </w:pPr>
      <w:r>
        <w:rPr>
          <w:lang w:val="en-GB"/>
        </w:rPr>
        <w:t xml:space="preserve">Q77: </w:t>
      </w:r>
      <w:r w:rsidR="00C8031C">
        <w:rPr>
          <w:lang w:val="en-GB"/>
        </w:rPr>
        <w:tab/>
      </w:r>
      <w:r w:rsidR="00064CB6">
        <w:rPr>
          <w:lang w:val="en-GB"/>
        </w:rPr>
        <w:t>Yes, w</w:t>
      </w:r>
      <w:r w:rsidR="009B7CB9" w:rsidRPr="001229E8">
        <w:rPr>
          <w:lang w:val="en-GB"/>
        </w:rPr>
        <w:t>e agree with the approach</w:t>
      </w:r>
      <w:r w:rsidR="00295857">
        <w:rPr>
          <w:lang w:val="en-GB"/>
        </w:rPr>
        <w:t xml:space="preserve"> </w:t>
      </w:r>
      <w:r w:rsidR="00295857" w:rsidRPr="00295857">
        <w:rPr>
          <w:lang w:val="en-GB"/>
        </w:rPr>
        <w:t>to require issuers to have minimum procedures and arrangement in place to ensure a sound and proper management of delays in disclosure of inside information</w:t>
      </w:r>
      <w:r>
        <w:rPr>
          <w:lang w:val="en-GB"/>
        </w:rPr>
        <w:t>.</w:t>
      </w:r>
    </w:p>
    <w:p w:rsidR="009B7CB9" w:rsidRPr="001229E8" w:rsidRDefault="001229E8" w:rsidP="00295857">
      <w:pPr>
        <w:tabs>
          <w:tab w:val="left" w:pos="709"/>
        </w:tabs>
        <w:ind w:left="705" w:hanging="705"/>
        <w:rPr>
          <w:lang w:val="en-GB"/>
        </w:rPr>
      </w:pPr>
      <w:r>
        <w:rPr>
          <w:lang w:val="en-GB"/>
        </w:rPr>
        <w:t xml:space="preserve">Q78: </w:t>
      </w:r>
      <w:r w:rsidR="00C8031C">
        <w:rPr>
          <w:lang w:val="en-GB"/>
        </w:rPr>
        <w:tab/>
      </w:r>
      <w:r>
        <w:rPr>
          <w:lang w:val="en-GB"/>
        </w:rPr>
        <w:t>Y</w:t>
      </w:r>
      <w:r w:rsidR="009B7CB9" w:rsidRPr="001229E8">
        <w:rPr>
          <w:lang w:val="en-GB"/>
        </w:rPr>
        <w:t>es</w:t>
      </w:r>
      <w:r w:rsidR="00295857">
        <w:rPr>
          <w:lang w:val="en-GB"/>
        </w:rPr>
        <w:t xml:space="preserve">, we agree </w:t>
      </w:r>
      <w:r w:rsidR="00295857" w:rsidRPr="00295857">
        <w:rPr>
          <w:lang w:val="en-GB"/>
        </w:rPr>
        <w:t>with the proposed content of the notification that will be sent to the competent authority to inform and explain a delay in disclosure of inside information</w:t>
      </w:r>
      <w:r w:rsidR="00295857">
        <w:rPr>
          <w:lang w:val="en-GB"/>
        </w:rPr>
        <w:t>.</w:t>
      </w:r>
    </w:p>
    <w:p w:rsidR="009B7CB9" w:rsidRPr="001229E8" w:rsidRDefault="009B7CB9" w:rsidP="00C8031C">
      <w:pPr>
        <w:tabs>
          <w:tab w:val="left" w:pos="709"/>
        </w:tabs>
        <w:rPr>
          <w:lang w:val="en-GB"/>
        </w:rPr>
      </w:pPr>
      <w:r w:rsidRPr="001229E8">
        <w:rPr>
          <w:lang w:val="en-GB"/>
        </w:rPr>
        <w:t xml:space="preserve">Q79: </w:t>
      </w:r>
      <w:r w:rsidR="00C8031C">
        <w:rPr>
          <w:lang w:val="en-GB"/>
        </w:rPr>
        <w:tab/>
      </w:r>
      <w:r w:rsidRPr="001229E8">
        <w:rPr>
          <w:lang w:val="en-GB"/>
        </w:rPr>
        <w:t>We do not consider additional content for the notifications.</w:t>
      </w:r>
    </w:p>
    <w:p w:rsidR="009B7CB9" w:rsidRPr="001229E8" w:rsidRDefault="001229E8" w:rsidP="00295857">
      <w:pPr>
        <w:tabs>
          <w:tab w:val="left" w:pos="709"/>
        </w:tabs>
        <w:ind w:left="705" w:hanging="705"/>
        <w:rPr>
          <w:lang w:val="en-GB"/>
        </w:rPr>
      </w:pPr>
      <w:r>
        <w:rPr>
          <w:lang w:val="en-GB"/>
        </w:rPr>
        <w:t xml:space="preserve">Q80: </w:t>
      </w:r>
      <w:r w:rsidR="00C8031C">
        <w:rPr>
          <w:lang w:val="en-GB"/>
        </w:rPr>
        <w:tab/>
      </w:r>
      <w:r>
        <w:rPr>
          <w:lang w:val="en-GB"/>
        </w:rPr>
        <w:t>Y</w:t>
      </w:r>
      <w:r w:rsidR="00295857">
        <w:rPr>
          <w:lang w:val="en-GB"/>
        </w:rPr>
        <w:t xml:space="preserve">es, we consider </w:t>
      </w:r>
      <w:r w:rsidR="00295857" w:rsidRPr="00295857">
        <w:rPr>
          <w:lang w:val="en-GB"/>
        </w:rPr>
        <w:t>necessary that common template for notifications of delays be designed.</w:t>
      </w:r>
    </w:p>
    <w:p w:rsidR="009B7CB9" w:rsidRPr="001229E8" w:rsidRDefault="001229E8" w:rsidP="00295857">
      <w:pPr>
        <w:tabs>
          <w:tab w:val="left" w:pos="709"/>
        </w:tabs>
        <w:ind w:left="705" w:hanging="705"/>
        <w:rPr>
          <w:lang w:val="en-GB"/>
        </w:rPr>
      </w:pPr>
      <w:r>
        <w:rPr>
          <w:lang w:val="en-GB"/>
        </w:rPr>
        <w:t xml:space="preserve">Q81: </w:t>
      </w:r>
      <w:r w:rsidR="00C8031C">
        <w:rPr>
          <w:lang w:val="en-GB"/>
        </w:rPr>
        <w:tab/>
      </w:r>
      <w:r w:rsidR="00295857">
        <w:rPr>
          <w:lang w:val="en-GB"/>
        </w:rPr>
        <w:t>Yes, w</w:t>
      </w:r>
      <w:r w:rsidR="009B7CB9" w:rsidRPr="001229E8">
        <w:rPr>
          <w:lang w:val="en-GB"/>
        </w:rPr>
        <w:t>e agree</w:t>
      </w:r>
      <w:r w:rsidR="00295857">
        <w:rPr>
          <w:lang w:val="en-GB"/>
        </w:rPr>
        <w:t xml:space="preserve"> </w:t>
      </w:r>
      <w:r w:rsidR="00295857" w:rsidRPr="00295857">
        <w:rPr>
          <w:lang w:val="en-GB"/>
        </w:rPr>
        <w:t>with the approach suggested in relation to the notification of intent to delay disclosure to preserve financial stability</w:t>
      </w:r>
      <w:r w:rsidR="009B7CB9" w:rsidRPr="001229E8">
        <w:rPr>
          <w:lang w:val="en-GB"/>
        </w:rPr>
        <w:t>.</w:t>
      </w:r>
    </w:p>
    <w:p w:rsidR="009B7CB9" w:rsidRPr="001229E8" w:rsidRDefault="001229E8" w:rsidP="00C8031C">
      <w:pPr>
        <w:tabs>
          <w:tab w:val="left" w:pos="709"/>
        </w:tabs>
        <w:rPr>
          <w:lang w:val="en-GB"/>
        </w:rPr>
      </w:pPr>
      <w:r>
        <w:rPr>
          <w:lang w:val="en-GB"/>
        </w:rPr>
        <w:t xml:space="preserve">Q83: </w:t>
      </w:r>
      <w:r w:rsidR="00C8031C">
        <w:rPr>
          <w:lang w:val="en-GB"/>
        </w:rPr>
        <w:tab/>
      </w:r>
      <w:r w:rsidR="00295857">
        <w:rPr>
          <w:lang w:val="en-GB"/>
        </w:rPr>
        <w:t>Yes, w</w:t>
      </w:r>
      <w:r w:rsidR="009B7CB9" w:rsidRPr="001229E8">
        <w:rPr>
          <w:lang w:val="en-GB"/>
        </w:rPr>
        <w:t>e agree</w:t>
      </w:r>
      <w:r w:rsidR="00295857">
        <w:rPr>
          <w:lang w:val="en-GB"/>
        </w:rPr>
        <w:t xml:space="preserve"> with </w:t>
      </w:r>
      <w:r w:rsidR="00295857" w:rsidRPr="00295857">
        <w:rPr>
          <w:lang w:val="en-GB"/>
        </w:rPr>
        <w:t>the main categories of situations identified.</w:t>
      </w:r>
      <w:r w:rsidR="00295857">
        <w:rPr>
          <w:rFonts w:cstheme="minorBidi"/>
          <w:sz w:val="20"/>
          <w:szCs w:val="20"/>
          <w:lang w:val="en-GB"/>
        </w:rPr>
        <w:t xml:space="preserve"> </w:t>
      </w:r>
    </w:p>
    <w:p w:rsidR="009B7CB9" w:rsidRPr="001229E8" w:rsidRDefault="009B7CB9" w:rsidP="00C8031C">
      <w:pPr>
        <w:tabs>
          <w:tab w:val="left" w:pos="709"/>
        </w:tabs>
        <w:ind w:left="705" w:hanging="705"/>
        <w:rPr>
          <w:lang w:val="en-GB"/>
        </w:rPr>
      </w:pPr>
      <w:r w:rsidRPr="001229E8">
        <w:rPr>
          <w:lang w:val="en-GB"/>
        </w:rPr>
        <w:t xml:space="preserve">Q84: </w:t>
      </w:r>
      <w:r w:rsidR="00C8031C">
        <w:rPr>
          <w:lang w:val="en-GB"/>
        </w:rPr>
        <w:tab/>
      </w:r>
      <w:r w:rsidRPr="001229E8">
        <w:rPr>
          <w:lang w:val="en-GB"/>
        </w:rPr>
        <w:t>Regarding the home address and a national identification number it should be</w:t>
      </w:r>
      <w:r w:rsidR="00C8031C">
        <w:rPr>
          <w:lang w:val="en-GB"/>
        </w:rPr>
        <w:br/>
      </w:r>
      <w:r w:rsidRPr="001229E8">
        <w:rPr>
          <w:lang w:val="en-GB"/>
        </w:rPr>
        <w:t>questioned if it would be sufficient if these data were known by the company involved.</w:t>
      </w:r>
    </w:p>
    <w:p w:rsidR="009B7CB9" w:rsidRPr="001229E8" w:rsidRDefault="009B7CB9" w:rsidP="00C8031C">
      <w:pPr>
        <w:tabs>
          <w:tab w:val="left" w:pos="709"/>
        </w:tabs>
        <w:rPr>
          <w:lang w:val="en-GB"/>
        </w:rPr>
      </w:pPr>
      <w:r w:rsidRPr="001229E8">
        <w:rPr>
          <w:lang w:val="en-GB"/>
        </w:rPr>
        <w:t xml:space="preserve">Q86: </w:t>
      </w:r>
      <w:r w:rsidR="00C8031C">
        <w:rPr>
          <w:lang w:val="en-GB"/>
        </w:rPr>
        <w:tab/>
      </w:r>
      <w:r w:rsidR="00295857">
        <w:rPr>
          <w:lang w:val="en-GB"/>
        </w:rPr>
        <w:t>Yes, w</w:t>
      </w:r>
      <w:r w:rsidRPr="001229E8">
        <w:rPr>
          <w:lang w:val="en-GB"/>
        </w:rPr>
        <w:t>e agree</w:t>
      </w:r>
      <w:r w:rsidR="00295857">
        <w:rPr>
          <w:lang w:val="en-GB"/>
        </w:rPr>
        <w:t xml:space="preserve"> </w:t>
      </w:r>
      <w:r w:rsidR="00295857" w:rsidRPr="00295857">
        <w:rPr>
          <w:lang w:val="en-GB"/>
        </w:rPr>
        <w:t>on the proposal on the language of the insider list</w:t>
      </w:r>
      <w:r w:rsidR="001229E8">
        <w:rPr>
          <w:lang w:val="en-GB"/>
        </w:rPr>
        <w:t>.</w:t>
      </w:r>
    </w:p>
    <w:p w:rsidR="009B7CB9" w:rsidRPr="001229E8" w:rsidRDefault="009B7CB9" w:rsidP="00C8031C">
      <w:pPr>
        <w:tabs>
          <w:tab w:val="left" w:pos="709"/>
        </w:tabs>
        <w:rPr>
          <w:lang w:val="en-GB"/>
        </w:rPr>
      </w:pPr>
      <w:r w:rsidRPr="001229E8">
        <w:rPr>
          <w:lang w:val="en-GB"/>
        </w:rPr>
        <w:lastRenderedPageBreak/>
        <w:t xml:space="preserve">Q87: </w:t>
      </w:r>
      <w:r w:rsidR="00C8031C">
        <w:rPr>
          <w:lang w:val="en-GB"/>
        </w:rPr>
        <w:tab/>
      </w:r>
      <w:r w:rsidR="00295857">
        <w:rPr>
          <w:lang w:val="en-GB"/>
        </w:rPr>
        <w:t>Yes, w</w:t>
      </w:r>
      <w:r w:rsidRPr="001229E8">
        <w:rPr>
          <w:lang w:val="en-GB"/>
        </w:rPr>
        <w:t>e agree</w:t>
      </w:r>
      <w:r w:rsidR="00295857">
        <w:rPr>
          <w:lang w:val="en-GB"/>
        </w:rPr>
        <w:t xml:space="preserve"> </w:t>
      </w:r>
      <w:r w:rsidR="00295857" w:rsidRPr="00295857">
        <w:rPr>
          <w:lang w:val="en-GB"/>
        </w:rPr>
        <w:t>on the standards for submission</w:t>
      </w:r>
      <w:r w:rsidR="001229E8">
        <w:rPr>
          <w:lang w:val="en-GB"/>
        </w:rPr>
        <w:t>.</w:t>
      </w:r>
    </w:p>
    <w:p w:rsidR="009B7CB9" w:rsidRPr="001229E8" w:rsidRDefault="001229E8" w:rsidP="00C8031C">
      <w:pPr>
        <w:tabs>
          <w:tab w:val="left" w:pos="709"/>
        </w:tabs>
        <w:rPr>
          <w:lang w:val="en-GB"/>
        </w:rPr>
      </w:pPr>
      <w:r>
        <w:rPr>
          <w:lang w:val="en-GB"/>
        </w:rPr>
        <w:t xml:space="preserve">Q89: </w:t>
      </w:r>
      <w:r w:rsidR="00C8031C">
        <w:rPr>
          <w:lang w:val="en-GB"/>
        </w:rPr>
        <w:tab/>
      </w:r>
      <w:r>
        <w:rPr>
          <w:lang w:val="en-GB"/>
        </w:rPr>
        <w:t>Y</w:t>
      </w:r>
      <w:r w:rsidR="009B7CB9" w:rsidRPr="001229E8">
        <w:rPr>
          <w:lang w:val="en-GB"/>
        </w:rPr>
        <w:t>es</w:t>
      </w:r>
      <w:r w:rsidR="00295857">
        <w:rPr>
          <w:lang w:val="en-GB"/>
        </w:rPr>
        <w:t xml:space="preserve">, we agree </w:t>
      </w:r>
      <w:r w:rsidR="00295857" w:rsidRPr="00295857">
        <w:rPr>
          <w:lang w:val="en-GB"/>
        </w:rPr>
        <w:t>on the procedure for updating insider lists</w:t>
      </w:r>
      <w:r w:rsidR="009B7CB9" w:rsidRPr="001229E8">
        <w:rPr>
          <w:lang w:val="en-GB"/>
        </w:rPr>
        <w:t>.</w:t>
      </w:r>
    </w:p>
    <w:p w:rsidR="009B7CB9" w:rsidRPr="001229E8" w:rsidRDefault="001229E8" w:rsidP="00295857">
      <w:pPr>
        <w:tabs>
          <w:tab w:val="left" w:pos="709"/>
        </w:tabs>
        <w:ind w:left="705" w:hanging="705"/>
        <w:rPr>
          <w:lang w:val="en-GB"/>
        </w:rPr>
      </w:pPr>
      <w:r>
        <w:rPr>
          <w:lang w:val="en-GB"/>
        </w:rPr>
        <w:t xml:space="preserve">Q90: </w:t>
      </w:r>
      <w:r w:rsidR="00C8031C">
        <w:rPr>
          <w:lang w:val="en-GB"/>
        </w:rPr>
        <w:tab/>
      </w:r>
      <w:r>
        <w:rPr>
          <w:lang w:val="en-GB"/>
        </w:rPr>
        <w:t>Y</w:t>
      </w:r>
      <w:r w:rsidR="009B7CB9" w:rsidRPr="001229E8">
        <w:rPr>
          <w:lang w:val="en-GB"/>
        </w:rPr>
        <w:t>es</w:t>
      </w:r>
      <w:r w:rsidR="00295857">
        <w:rPr>
          <w:lang w:val="en-GB"/>
        </w:rPr>
        <w:t xml:space="preserve">, we agree on </w:t>
      </w:r>
      <w:r w:rsidR="00295857" w:rsidRPr="00295857">
        <w:rPr>
          <w:lang w:val="en-GB"/>
        </w:rPr>
        <w:t>the proposal to put in place an internal system/process whereby the relevant information is recorded and available to facilitate the effective fulfilment of the requirement</w:t>
      </w:r>
      <w:r w:rsidR="00295857">
        <w:rPr>
          <w:lang w:val="en-GB"/>
        </w:rPr>
        <w:t>.</w:t>
      </w:r>
    </w:p>
    <w:p w:rsidR="009B7CB9" w:rsidRPr="001229E8" w:rsidRDefault="009B7CB9" w:rsidP="00C8031C">
      <w:pPr>
        <w:tabs>
          <w:tab w:val="left" w:pos="709"/>
        </w:tabs>
        <w:rPr>
          <w:lang w:val="en-GB"/>
        </w:rPr>
      </w:pPr>
      <w:r w:rsidRPr="001229E8">
        <w:rPr>
          <w:lang w:val="en-GB"/>
        </w:rPr>
        <w:t xml:space="preserve">Q91: </w:t>
      </w:r>
      <w:r w:rsidR="00C8031C">
        <w:rPr>
          <w:lang w:val="en-GB"/>
        </w:rPr>
        <w:tab/>
      </w:r>
      <w:r w:rsidR="00295857">
        <w:rPr>
          <w:lang w:val="en-GB"/>
        </w:rPr>
        <w:t>Yes, t</w:t>
      </w:r>
      <w:r w:rsidRPr="001229E8">
        <w:rPr>
          <w:lang w:val="en-GB"/>
        </w:rPr>
        <w:t>he characteristics are sufficiently clear.</w:t>
      </w:r>
    </w:p>
    <w:p w:rsidR="009B7CB9" w:rsidRPr="001229E8" w:rsidRDefault="001229E8" w:rsidP="00295857">
      <w:pPr>
        <w:tabs>
          <w:tab w:val="left" w:pos="709"/>
        </w:tabs>
        <w:ind w:left="705" w:hanging="705"/>
        <w:rPr>
          <w:lang w:val="en-GB"/>
        </w:rPr>
      </w:pPr>
      <w:r>
        <w:rPr>
          <w:lang w:val="en-GB"/>
        </w:rPr>
        <w:t xml:space="preserve">Q93: </w:t>
      </w:r>
      <w:r w:rsidR="00C8031C">
        <w:rPr>
          <w:lang w:val="en-GB"/>
        </w:rPr>
        <w:tab/>
      </w:r>
      <w:r>
        <w:rPr>
          <w:lang w:val="en-GB"/>
        </w:rPr>
        <w:t>N</w:t>
      </w:r>
      <w:r w:rsidR="009B7CB9" w:rsidRPr="001229E8">
        <w:rPr>
          <w:lang w:val="en-GB"/>
        </w:rPr>
        <w:t>o</w:t>
      </w:r>
      <w:r w:rsidR="00295857">
        <w:rPr>
          <w:lang w:val="en-GB"/>
        </w:rPr>
        <w:t xml:space="preserve">, </w:t>
      </w:r>
      <w:r w:rsidR="00295857" w:rsidRPr="00295857">
        <w:rPr>
          <w:lang w:val="en-GB"/>
        </w:rPr>
        <w:t>we do not see additional types of transactions that should be mentioned to the non-exhaustive of examples of transactions that should be notified</w:t>
      </w:r>
      <w:r w:rsidR="009B7CB9" w:rsidRPr="001229E8">
        <w:rPr>
          <w:lang w:val="en-GB"/>
        </w:rPr>
        <w:t>.</w:t>
      </w:r>
    </w:p>
    <w:p w:rsidR="009B7CB9" w:rsidRPr="001229E8" w:rsidRDefault="009B7CB9" w:rsidP="00C8031C">
      <w:pPr>
        <w:tabs>
          <w:tab w:val="left" w:pos="709"/>
        </w:tabs>
        <w:ind w:left="705" w:hanging="705"/>
        <w:rPr>
          <w:lang w:val="en-GB"/>
        </w:rPr>
      </w:pPr>
      <w:r w:rsidRPr="001229E8">
        <w:rPr>
          <w:lang w:val="en-GB"/>
        </w:rPr>
        <w:t xml:space="preserve">Q98: </w:t>
      </w:r>
      <w:r w:rsidR="00C8031C">
        <w:rPr>
          <w:lang w:val="en-GB"/>
        </w:rPr>
        <w:tab/>
      </w:r>
      <w:r w:rsidRPr="001229E8">
        <w:rPr>
          <w:lang w:val="en-GB"/>
        </w:rPr>
        <w:t>Yes, there should be a threshold. It would be good to have at least some guidance</w:t>
      </w:r>
      <w:r w:rsidR="00C8031C">
        <w:rPr>
          <w:lang w:val="en-GB"/>
        </w:rPr>
        <w:br/>
      </w:r>
      <w:r w:rsidRPr="001229E8">
        <w:rPr>
          <w:lang w:val="en-GB"/>
        </w:rPr>
        <w:t>on how to decide if a recommendation is intended for the public.</w:t>
      </w:r>
    </w:p>
    <w:p w:rsidR="009B7CB9" w:rsidRPr="001229E8" w:rsidRDefault="009B7CB9" w:rsidP="00295857">
      <w:pPr>
        <w:tabs>
          <w:tab w:val="left" w:pos="709"/>
        </w:tabs>
        <w:ind w:left="705" w:hanging="705"/>
        <w:rPr>
          <w:lang w:val="en-GB"/>
        </w:rPr>
      </w:pPr>
      <w:r w:rsidRPr="001229E8">
        <w:rPr>
          <w:lang w:val="en-GB"/>
        </w:rPr>
        <w:t xml:space="preserve">Q99: </w:t>
      </w:r>
      <w:r w:rsidR="00C8031C">
        <w:rPr>
          <w:lang w:val="en-GB"/>
        </w:rPr>
        <w:tab/>
      </w:r>
      <w:r w:rsidR="00295857">
        <w:rPr>
          <w:lang w:val="en-GB"/>
        </w:rPr>
        <w:t xml:space="preserve">Yes, we agree </w:t>
      </w:r>
      <w:r w:rsidR="00295857" w:rsidRPr="00295857">
        <w:rPr>
          <w:lang w:val="en-GB"/>
        </w:rPr>
        <w:t>that the existing requirements on the identity of producers of recommendations should be maintained.</w:t>
      </w:r>
    </w:p>
    <w:p w:rsidR="009B7CB9" w:rsidRPr="001229E8" w:rsidRDefault="009B7CB9" w:rsidP="006666F9">
      <w:pPr>
        <w:tabs>
          <w:tab w:val="left" w:pos="709"/>
        </w:tabs>
        <w:ind w:left="705" w:hanging="705"/>
        <w:rPr>
          <w:lang w:val="en-GB"/>
        </w:rPr>
      </w:pPr>
      <w:r w:rsidRPr="001229E8">
        <w:rPr>
          <w:lang w:val="en-GB"/>
        </w:rPr>
        <w:t>Q100:</w:t>
      </w:r>
      <w:r w:rsidR="00C8031C">
        <w:rPr>
          <w:lang w:val="en-GB"/>
        </w:rPr>
        <w:tab/>
      </w:r>
      <w:r w:rsidR="00295857">
        <w:rPr>
          <w:lang w:val="en-GB"/>
        </w:rPr>
        <w:t xml:space="preserve">Yes, we agree that </w:t>
      </w:r>
      <w:r w:rsidR="00295857" w:rsidRPr="006666F9">
        <w:rPr>
          <w:lang w:val="en-GB"/>
        </w:rPr>
        <w:t>as a starting point, ESMA should keep the approach adopted in the existing level 2 rules, with respect to objective presentation of investment recommendations</w:t>
      </w:r>
      <w:r w:rsidR="006666F9" w:rsidRPr="006666F9">
        <w:rPr>
          <w:lang w:val="en-GB"/>
        </w:rPr>
        <w:t>.</w:t>
      </w:r>
    </w:p>
    <w:p w:rsidR="009B7CB9" w:rsidRPr="001229E8" w:rsidRDefault="001229E8" w:rsidP="003E541C">
      <w:pPr>
        <w:tabs>
          <w:tab w:val="left" w:pos="709"/>
        </w:tabs>
        <w:ind w:left="705" w:hanging="705"/>
        <w:rPr>
          <w:lang w:val="en-GB"/>
        </w:rPr>
      </w:pPr>
      <w:r>
        <w:rPr>
          <w:lang w:val="en-GB"/>
        </w:rPr>
        <w:t xml:space="preserve">Q101: </w:t>
      </w:r>
      <w:r w:rsidR="00C8031C">
        <w:rPr>
          <w:lang w:val="en-GB"/>
        </w:rPr>
        <w:tab/>
      </w:r>
      <w:r w:rsidR="003E541C">
        <w:rPr>
          <w:lang w:val="en-GB"/>
        </w:rPr>
        <w:t xml:space="preserve">Yes, we agree with </w:t>
      </w:r>
      <w:r w:rsidR="003E541C" w:rsidRPr="003E541C">
        <w:rPr>
          <w:lang w:val="en-GB"/>
        </w:rPr>
        <w:t>the suggested approach.</w:t>
      </w:r>
      <w:r w:rsidR="003E541C">
        <w:rPr>
          <w:rFonts w:cstheme="minorBidi"/>
          <w:sz w:val="20"/>
          <w:szCs w:val="20"/>
          <w:lang w:val="en-GB"/>
        </w:rPr>
        <w:t xml:space="preserve"> </w:t>
      </w:r>
    </w:p>
    <w:p w:rsidR="009B7CB9" w:rsidRPr="001229E8" w:rsidRDefault="001229E8" w:rsidP="003E541C">
      <w:pPr>
        <w:tabs>
          <w:tab w:val="left" w:pos="709"/>
        </w:tabs>
        <w:ind w:left="705" w:hanging="705"/>
        <w:rPr>
          <w:lang w:val="en-GB"/>
        </w:rPr>
      </w:pPr>
      <w:r>
        <w:rPr>
          <w:lang w:val="en-GB"/>
        </w:rPr>
        <w:t xml:space="preserve">Q102: </w:t>
      </w:r>
      <w:r w:rsidR="00C8031C">
        <w:rPr>
          <w:lang w:val="en-GB"/>
        </w:rPr>
        <w:tab/>
      </w:r>
      <w:r>
        <w:rPr>
          <w:lang w:val="en-GB"/>
        </w:rPr>
        <w:t>Y</w:t>
      </w:r>
      <w:r w:rsidR="009B7CB9" w:rsidRPr="001229E8">
        <w:rPr>
          <w:lang w:val="en-GB"/>
        </w:rPr>
        <w:t>es, we agree</w:t>
      </w:r>
      <w:r w:rsidR="003E541C">
        <w:rPr>
          <w:lang w:val="en-GB"/>
        </w:rPr>
        <w:t xml:space="preserve"> that</w:t>
      </w:r>
      <w:r w:rsidR="003E541C" w:rsidRPr="003E541C">
        <w:rPr>
          <w:lang w:val="en-GB"/>
        </w:rPr>
        <w:t>, as a starting point, ESMA should keep the approach adopted in the existing level 2 rules with respect to disclosure of particular interests or indications of conflicts of interest</w:t>
      </w:r>
      <w:r w:rsidR="003E541C">
        <w:rPr>
          <w:lang w:val="en-GB"/>
        </w:rPr>
        <w:t xml:space="preserve">. </w:t>
      </w:r>
    </w:p>
    <w:p w:rsidR="009B7CB9" w:rsidRPr="001229E8" w:rsidRDefault="009B7CB9" w:rsidP="003E541C">
      <w:pPr>
        <w:tabs>
          <w:tab w:val="left" w:pos="709"/>
        </w:tabs>
        <w:ind w:left="705" w:hanging="705"/>
        <w:rPr>
          <w:lang w:val="en-GB"/>
        </w:rPr>
      </w:pPr>
      <w:r w:rsidRPr="001229E8">
        <w:rPr>
          <w:lang w:val="en-GB"/>
        </w:rPr>
        <w:t xml:space="preserve">Q106: </w:t>
      </w:r>
      <w:r w:rsidR="00C8031C">
        <w:rPr>
          <w:lang w:val="en-GB"/>
        </w:rPr>
        <w:tab/>
      </w:r>
      <w:r w:rsidR="003E541C">
        <w:rPr>
          <w:lang w:val="en-GB"/>
        </w:rPr>
        <w:t xml:space="preserve">No, we do not believe </w:t>
      </w:r>
      <w:r w:rsidR="003E541C" w:rsidRPr="003E541C">
        <w:rPr>
          <w:lang w:val="en-GB"/>
        </w:rPr>
        <w:t>that additional specific thresholds should be specified with respect to other ‘non-equities’ financial instruments.</w:t>
      </w:r>
      <w:r w:rsidR="003E541C">
        <w:rPr>
          <w:rFonts w:cstheme="minorBidi"/>
          <w:sz w:val="20"/>
          <w:szCs w:val="20"/>
          <w:lang w:val="en-GB"/>
        </w:rPr>
        <w:t xml:space="preserve"> </w:t>
      </w:r>
    </w:p>
    <w:p w:rsidR="009B7CB9" w:rsidRPr="001229E8" w:rsidRDefault="00D57C14" w:rsidP="00C8031C">
      <w:pPr>
        <w:tabs>
          <w:tab w:val="left" w:pos="709"/>
        </w:tabs>
        <w:rPr>
          <w:lang w:val="en-GB"/>
        </w:rPr>
      </w:pPr>
      <w:r>
        <w:rPr>
          <w:lang w:val="en-GB"/>
        </w:rPr>
        <w:t xml:space="preserve">Q109: </w:t>
      </w:r>
      <w:r w:rsidR="00C8031C">
        <w:rPr>
          <w:lang w:val="en-GB"/>
        </w:rPr>
        <w:tab/>
      </w:r>
      <w:r w:rsidR="003E541C">
        <w:rPr>
          <w:lang w:val="en-GB"/>
        </w:rPr>
        <w:t>Yes, w</w:t>
      </w:r>
      <w:r w:rsidR="009B7CB9" w:rsidRPr="001229E8">
        <w:rPr>
          <w:lang w:val="en-GB"/>
        </w:rPr>
        <w:t>e agree</w:t>
      </w:r>
      <w:r w:rsidR="003E541C">
        <w:rPr>
          <w:lang w:val="en-GB"/>
        </w:rPr>
        <w:t xml:space="preserve"> with the suggested approach. </w:t>
      </w:r>
    </w:p>
    <w:p w:rsidR="009B7CB9" w:rsidRPr="001229E8" w:rsidRDefault="00D57C14" w:rsidP="00C8031C">
      <w:pPr>
        <w:tabs>
          <w:tab w:val="left" w:pos="709"/>
        </w:tabs>
        <w:rPr>
          <w:lang w:val="en-GB"/>
        </w:rPr>
      </w:pPr>
      <w:r>
        <w:rPr>
          <w:lang w:val="en-GB"/>
        </w:rPr>
        <w:t xml:space="preserve">Q111: </w:t>
      </w:r>
      <w:r w:rsidR="00C8031C">
        <w:rPr>
          <w:lang w:val="en-GB"/>
        </w:rPr>
        <w:tab/>
      </w:r>
      <w:r>
        <w:rPr>
          <w:lang w:val="en-GB"/>
        </w:rPr>
        <w:t>Y</w:t>
      </w:r>
      <w:r w:rsidR="009B7CB9" w:rsidRPr="001229E8">
        <w:rPr>
          <w:lang w:val="en-GB"/>
        </w:rPr>
        <w:t>es, they should be updated.</w:t>
      </w:r>
    </w:p>
    <w:p w:rsidR="009B7CB9" w:rsidRPr="001229E8" w:rsidRDefault="009B7CB9" w:rsidP="00C8031C">
      <w:pPr>
        <w:tabs>
          <w:tab w:val="left" w:pos="709"/>
        </w:tabs>
        <w:rPr>
          <w:lang w:val="en-GB"/>
        </w:rPr>
      </w:pPr>
      <w:r w:rsidRPr="001229E8">
        <w:rPr>
          <w:lang w:val="en-GB"/>
        </w:rPr>
        <w:t xml:space="preserve">Q112: </w:t>
      </w:r>
      <w:r w:rsidR="00C8031C">
        <w:rPr>
          <w:lang w:val="en-GB"/>
        </w:rPr>
        <w:tab/>
      </w:r>
      <w:r w:rsidR="006E5DC6">
        <w:rPr>
          <w:lang w:val="en-GB"/>
        </w:rPr>
        <w:t>Yes, w</w:t>
      </w:r>
      <w:r w:rsidRPr="001229E8">
        <w:rPr>
          <w:lang w:val="en-GB"/>
        </w:rPr>
        <w:t>e agree</w:t>
      </w:r>
      <w:r w:rsidR="006E5DC6">
        <w:rPr>
          <w:lang w:val="en-GB"/>
        </w:rPr>
        <w:t xml:space="preserve"> on the proposed approach. </w:t>
      </w:r>
    </w:p>
    <w:p w:rsidR="003A1E58" w:rsidRPr="001229E8" w:rsidRDefault="00D57C14" w:rsidP="00C8031C">
      <w:pPr>
        <w:tabs>
          <w:tab w:val="left" w:pos="709"/>
        </w:tabs>
        <w:ind w:left="705" w:hanging="705"/>
        <w:rPr>
          <w:lang w:val="en-GB"/>
        </w:rPr>
      </w:pPr>
      <w:r>
        <w:rPr>
          <w:lang w:val="en-GB"/>
        </w:rPr>
        <w:t xml:space="preserve">Q113: </w:t>
      </w:r>
      <w:r w:rsidR="00C8031C">
        <w:rPr>
          <w:lang w:val="en-GB"/>
        </w:rPr>
        <w:tab/>
      </w:r>
      <w:r w:rsidR="006E5DC6">
        <w:rPr>
          <w:lang w:val="en-GB"/>
        </w:rPr>
        <w:t>Yes, w</w:t>
      </w:r>
      <w:r w:rsidR="009B7CB9" w:rsidRPr="001229E8">
        <w:rPr>
          <w:lang w:val="en-GB"/>
        </w:rPr>
        <w:t>e agree. The requirements should be aligned with the ones provided</w:t>
      </w:r>
      <w:r>
        <w:rPr>
          <w:lang w:val="en-GB"/>
        </w:rPr>
        <w:t xml:space="preserve"> for</w:t>
      </w:r>
      <w:r w:rsidR="009B7CB9" w:rsidRPr="001229E8">
        <w:rPr>
          <w:lang w:val="en-GB"/>
        </w:rPr>
        <w:t xml:space="preserve"> in the</w:t>
      </w:r>
      <w:r w:rsidR="001B224A">
        <w:rPr>
          <w:lang w:val="en-GB"/>
        </w:rPr>
        <w:t xml:space="preserve"> </w:t>
      </w:r>
      <w:r w:rsidR="009B7CB9" w:rsidRPr="001229E8">
        <w:rPr>
          <w:lang w:val="en-GB"/>
        </w:rPr>
        <w:t>CRD.</w:t>
      </w:r>
    </w:p>
    <w:p w:rsidR="003A1E58" w:rsidRDefault="003A1E58" w:rsidP="00AD145A">
      <w:pPr>
        <w:ind w:left="360"/>
        <w:rPr>
          <w:lang w:val="en-GB"/>
        </w:rPr>
      </w:pPr>
    </w:p>
    <w:p w:rsidR="003A1E58" w:rsidRDefault="003A1E58" w:rsidP="003A1E58">
      <w:pPr>
        <w:rPr>
          <w:noProof/>
          <w:lang w:val="en-GB"/>
        </w:rPr>
      </w:pPr>
      <w:r>
        <w:rPr>
          <w:noProof/>
          <w:lang w:val="en-GB"/>
        </w:rPr>
        <w:t>Kindly give our remarks due consideration.</w:t>
      </w:r>
    </w:p>
    <w:p w:rsidR="003A1E58" w:rsidRDefault="003A1E58" w:rsidP="003A1E58">
      <w:pPr>
        <w:rPr>
          <w:noProof/>
          <w:lang w:val="en-GB"/>
        </w:rPr>
      </w:pPr>
    </w:p>
    <w:p w:rsidR="003A1E58" w:rsidRDefault="003A1E58" w:rsidP="003A1E58">
      <w:pPr>
        <w:rPr>
          <w:noProof/>
          <w:lang w:val="en-GB"/>
        </w:rPr>
      </w:pPr>
      <w:r>
        <w:rPr>
          <w:noProof/>
          <w:lang w:val="en-GB"/>
        </w:rPr>
        <w:t>Yours sincerely,</w:t>
      </w:r>
    </w:p>
    <w:p w:rsidR="003A1E58" w:rsidRDefault="003A1E58" w:rsidP="003A1E58">
      <w:pPr>
        <w:rPr>
          <w:noProof/>
          <w:lang w:val="en-GB"/>
        </w:rPr>
      </w:pPr>
    </w:p>
    <w:p w:rsidR="003A1E58" w:rsidRDefault="003A1E58" w:rsidP="003A1E58">
      <w:pPr>
        <w:rPr>
          <w:noProof/>
          <w:lang w:val="en-GB"/>
        </w:rPr>
      </w:pPr>
    </w:p>
    <w:p w:rsidR="003A1E58" w:rsidRDefault="003A1E58" w:rsidP="003A1E58">
      <w:pPr>
        <w:rPr>
          <w:noProof/>
          <w:lang w:val="en-GB"/>
        </w:rPr>
      </w:pPr>
    </w:p>
    <w:p w:rsidR="003A1E58" w:rsidRDefault="003A1E58" w:rsidP="003A1E58">
      <w:pPr>
        <w:rPr>
          <w:noProof/>
          <w:lang w:val="en-GB"/>
        </w:rPr>
      </w:pPr>
      <w:r>
        <w:rPr>
          <w:noProof/>
          <w:lang w:val="en-GB"/>
        </w:rPr>
        <w:t xml:space="preserve">Dr. Franz Rudorfer </w:t>
      </w:r>
    </w:p>
    <w:p w:rsidR="003A1E58" w:rsidRDefault="003A1E58" w:rsidP="003A1E58">
      <w:pPr>
        <w:rPr>
          <w:noProof/>
          <w:lang w:val="en-GB"/>
        </w:rPr>
      </w:pPr>
      <w:r>
        <w:rPr>
          <w:noProof/>
          <w:lang w:val="en-GB"/>
        </w:rPr>
        <w:t>Managing Director</w:t>
      </w:r>
    </w:p>
    <w:p w:rsidR="003A1E58" w:rsidRDefault="003A1E58" w:rsidP="003A1E58">
      <w:pPr>
        <w:rPr>
          <w:noProof/>
          <w:lang w:val="en-GB"/>
        </w:rPr>
      </w:pPr>
      <w:r>
        <w:rPr>
          <w:noProof/>
          <w:lang w:val="en-GB"/>
        </w:rPr>
        <w:t xml:space="preserve">Division Bank &amp; Insurance </w:t>
      </w:r>
    </w:p>
    <w:p w:rsidR="003A1E58" w:rsidRDefault="003A1E58" w:rsidP="003A1E58">
      <w:pPr>
        <w:rPr>
          <w:noProof/>
          <w:lang w:val="en-GB"/>
        </w:rPr>
      </w:pPr>
      <w:r>
        <w:rPr>
          <w:noProof/>
          <w:lang w:val="en-GB"/>
        </w:rPr>
        <w:t>Austrian Federal Economic Chamber</w:t>
      </w:r>
      <w:bookmarkStart w:id="2" w:name="_PictureBullets"/>
      <w:r>
        <w:rPr>
          <w:noProof/>
          <w:vanish/>
          <w:lang w:val="de-AT" w:eastAsia="de-AT"/>
        </w:rPr>
        <w:drawing>
          <wp:inline distT="0" distB="0" distL="0" distR="0" wp14:anchorId="0C8F6E19" wp14:editId="757F7C69">
            <wp:extent cx="142875" cy="1428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End w:id="2"/>
    </w:p>
    <w:p w:rsidR="003A1E58" w:rsidRPr="007A175F" w:rsidRDefault="003A1E58" w:rsidP="00AD145A">
      <w:pPr>
        <w:ind w:left="360"/>
        <w:rPr>
          <w:lang w:val="en-GB"/>
        </w:rPr>
      </w:pPr>
    </w:p>
    <w:sectPr w:rsidR="003A1E58" w:rsidRPr="007A175F" w:rsidSect="00084FCF">
      <w:foot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F46" w:rsidRDefault="00D83F46" w:rsidP="007A175F">
      <w:pPr>
        <w:spacing w:line="240" w:lineRule="auto"/>
      </w:pPr>
      <w:r>
        <w:separator/>
      </w:r>
    </w:p>
  </w:endnote>
  <w:endnote w:type="continuationSeparator" w:id="0">
    <w:p w:rsidR="00D83F46" w:rsidRDefault="00D83F46" w:rsidP="007A1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876393"/>
      <w:docPartObj>
        <w:docPartGallery w:val="Page Numbers (Bottom of Page)"/>
        <w:docPartUnique/>
      </w:docPartObj>
    </w:sdtPr>
    <w:sdtEndPr/>
    <w:sdtContent>
      <w:p w:rsidR="00084FCF" w:rsidRDefault="00084FCF">
        <w:pPr>
          <w:pStyle w:val="Fuzeile"/>
          <w:jc w:val="center"/>
        </w:pPr>
        <w:r>
          <w:fldChar w:fldCharType="begin"/>
        </w:r>
        <w:r>
          <w:instrText>PAGE   \* MERGEFORMAT</w:instrText>
        </w:r>
        <w:r>
          <w:fldChar w:fldCharType="separate"/>
        </w:r>
        <w:r w:rsidR="003F67EF">
          <w:rPr>
            <w:noProof/>
          </w:rPr>
          <w:t>2</w:t>
        </w:r>
        <w:r>
          <w:fldChar w:fldCharType="end"/>
        </w:r>
      </w:p>
    </w:sdtContent>
  </w:sdt>
  <w:p w:rsidR="00084FCF" w:rsidRDefault="00084FC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F46" w:rsidRDefault="00D83F46" w:rsidP="007A175F">
      <w:pPr>
        <w:spacing w:line="240" w:lineRule="auto"/>
      </w:pPr>
      <w:r>
        <w:separator/>
      </w:r>
    </w:p>
  </w:footnote>
  <w:footnote w:type="continuationSeparator" w:id="0">
    <w:p w:rsidR="00D83F46" w:rsidRDefault="00D83F46" w:rsidP="007A17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34F24"/>
    <w:multiLevelType w:val="hybridMultilevel"/>
    <w:tmpl w:val="CB4492D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259D30DD"/>
    <w:multiLevelType w:val="hybridMultilevel"/>
    <w:tmpl w:val="A5DA0A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77856DB"/>
    <w:multiLevelType w:val="hybridMultilevel"/>
    <w:tmpl w:val="9E0257B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9ED2B5F"/>
    <w:multiLevelType w:val="hybridMultilevel"/>
    <w:tmpl w:val="1EF85184"/>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nsid w:val="2F273833"/>
    <w:multiLevelType w:val="hybridMultilevel"/>
    <w:tmpl w:val="58C4DF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0AE02BE"/>
    <w:multiLevelType w:val="hybridMultilevel"/>
    <w:tmpl w:val="EAA8CF36"/>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cs="Wingdings" w:hint="default"/>
      </w:rPr>
    </w:lvl>
    <w:lvl w:ilvl="3" w:tplc="0C070001">
      <w:start w:val="1"/>
      <w:numFmt w:val="bullet"/>
      <w:lvlText w:val=""/>
      <w:lvlJc w:val="left"/>
      <w:pPr>
        <w:ind w:left="2520" w:hanging="360"/>
      </w:pPr>
      <w:rPr>
        <w:rFonts w:ascii="Symbol" w:hAnsi="Symbol" w:cs="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cs="Wingdings" w:hint="default"/>
      </w:rPr>
    </w:lvl>
    <w:lvl w:ilvl="6" w:tplc="0C070001">
      <w:start w:val="1"/>
      <w:numFmt w:val="bullet"/>
      <w:lvlText w:val=""/>
      <w:lvlJc w:val="left"/>
      <w:pPr>
        <w:ind w:left="4680" w:hanging="360"/>
      </w:pPr>
      <w:rPr>
        <w:rFonts w:ascii="Symbol" w:hAnsi="Symbol" w:cs="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cs="Wingdings" w:hint="default"/>
      </w:rPr>
    </w:lvl>
  </w:abstractNum>
  <w:abstractNum w:abstractNumId="6">
    <w:nsid w:val="435E2B5D"/>
    <w:multiLevelType w:val="hybridMultilevel"/>
    <w:tmpl w:val="AD2A98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AA6014C"/>
    <w:multiLevelType w:val="hybridMultilevel"/>
    <w:tmpl w:val="E990F3B8"/>
    <w:lvl w:ilvl="0" w:tplc="0C070001">
      <w:start w:val="1"/>
      <w:numFmt w:val="bullet"/>
      <w:lvlText w:val=""/>
      <w:lvlJc w:val="left"/>
      <w:pPr>
        <w:ind w:left="360" w:hanging="360"/>
      </w:pPr>
      <w:rPr>
        <w:rFonts w:ascii="Symbol" w:hAnsi="Symbol" w:cs="Symbol" w:hint="default"/>
      </w:rPr>
    </w:lvl>
    <w:lvl w:ilvl="1" w:tplc="0C070001">
      <w:start w:val="1"/>
      <w:numFmt w:val="bullet"/>
      <w:lvlText w:val=""/>
      <w:lvlJc w:val="left"/>
      <w:pPr>
        <w:ind w:left="786" w:hanging="360"/>
      </w:pPr>
      <w:rPr>
        <w:rFonts w:ascii="Symbol" w:hAnsi="Symbol" w:hint="default"/>
      </w:rPr>
    </w:lvl>
    <w:lvl w:ilvl="2" w:tplc="0C070005">
      <w:start w:val="1"/>
      <w:numFmt w:val="bullet"/>
      <w:lvlText w:val=""/>
      <w:lvlJc w:val="left"/>
      <w:pPr>
        <w:ind w:left="1800" w:hanging="360"/>
      </w:pPr>
      <w:rPr>
        <w:rFonts w:ascii="Wingdings" w:hAnsi="Wingdings" w:cs="Wingdings" w:hint="default"/>
      </w:rPr>
    </w:lvl>
    <w:lvl w:ilvl="3" w:tplc="0C070001">
      <w:start w:val="1"/>
      <w:numFmt w:val="bullet"/>
      <w:lvlText w:val=""/>
      <w:lvlJc w:val="left"/>
      <w:pPr>
        <w:ind w:left="2520" w:hanging="360"/>
      </w:pPr>
      <w:rPr>
        <w:rFonts w:ascii="Symbol" w:hAnsi="Symbol" w:cs="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cs="Wingdings" w:hint="default"/>
      </w:rPr>
    </w:lvl>
    <w:lvl w:ilvl="6" w:tplc="0C070001">
      <w:start w:val="1"/>
      <w:numFmt w:val="bullet"/>
      <w:lvlText w:val=""/>
      <w:lvlJc w:val="left"/>
      <w:pPr>
        <w:ind w:left="4680" w:hanging="360"/>
      </w:pPr>
      <w:rPr>
        <w:rFonts w:ascii="Symbol" w:hAnsi="Symbol" w:cs="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cs="Wingdings" w:hint="default"/>
      </w:rPr>
    </w:lvl>
  </w:abstractNum>
  <w:abstractNum w:abstractNumId="8">
    <w:nsid w:val="65675ABC"/>
    <w:multiLevelType w:val="hybridMultilevel"/>
    <w:tmpl w:val="B1DA68D2"/>
    <w:lvl w:ilvl="0" w:tplc="0C070001">
      <w:start w:val="1"/>
      <w:numFmt w:val="bullet"/>
      <w:lvlText w:val=""/>
      <w:lvlJc w:val="left"/>
      <w:pPr>
        <w:ind w:left="360" w:hanging="360"/>
      </w:pPr>
      <w:rPr>
        <w:rFonts w:ascii="Symbol" w:hAnsi="Symbol" w:cs="Symbol" w:hint="default"/>
      </w:rPr>
    </w:lvl>
    <w:lvl w:ilvl="1" w:tplc="0C07000F">
      <w:start w:val="1"/>
      <w:numFmt w:val="decimal"/>
      <w:lvlText w:val="%2."/>
      <w:lvlJc w:val="left"/>
      <w:pPr>
        <w:ind w:left="786" w:hanging="360"/>
      </w:pPr>
      <w:rPr>
        <w:rFonts w:hint="default"/>
      </w:rPr>
    </w:lvl>
    <w:lvl w:ilvl="2" w:tplc="0C070005">
      <w:start w:val="1"/>
      <w:numFmt w:val="bullet"/>
      <w:lvlText w:val=""/>
      <w:lvlJc w:val="left"/>
      <w:pPr>
        <w:ind w:left="1800" w:hanging="360"/>
      </w:pPr>
      <w:rPr>
        <w:rFonts w:ascii="Wingdings" w:hAnsi="Wingdings" w:cs="Wingdings" w:hint="default"/>
      </w:rPr>
    </w:lvl>
    <w:lvl w:ilvl="3" w:tplc="0C070001">
      <w:start w:val="1"/>
      <w:numFmt w:val="bullet"/>
      <w:lvlText w:val=""/>
      <w:lvlJc w:val="left"/>
      <w:pPr>
        <w:ind w:left="2520" w:hanging="360"/>
      </w:pPr>
      <w:rPr>
        <w:rFonts w:ascii="Symbol" w:hAnsi="Symbol" w:cs="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cs="Wingdings" w:hint="default"/>
      </w:rPr>
    </w:lvl>
    <w:lvl w:ilvl="6" w:tplc="0C070001">
      <w:start w:val="1"/>
      <w:numFmt w:val="bullet"/>
      <w:lvlText w:val=""/>
      <w:lvlJc w:val="left"/>
      <w:pPr>
        <w:ind w:left="4680" w:hanging="360"/>
      </w:pPr>
      <w:rPr>
        <w:rFonts w:ascii="Symbol" w:hAnsi="Symbol" w:cs="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cs="Wingdings" w:hint="default"/>
      </w:rPr>
    </w:lvl>
  </w:abstractNum>
  <w:abstractNum w:abstractNumId="9">
    <w:nsid w:val="6FFA2853"/>
    <w:multiLevelType w:val="hybridMultilevel"/>
    <w:tmpl w:val="99E2131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72C07E62"/>
    <w:multiLevelType w:val="hybridMultilevel"/>
    <w:tmpl w:val="8758B7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7892440C"/>
    <w:multiLevelType w:val="hybridMultilevel"/>
    <w:tmpl w:val="97506FC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1"/>
  </w:num>
  <w:num w:numId="4">
    <w:abstractNumId w:val="4"/>
  </w:num>
  <w:num w:numId="5">
    <w:abstractNumId w:val="10"/>
  </w:num>
  <w:num w:numId="6">
    <w:abstractNumId w:val="7"/>
  </w:num>
  <w:num w:numId="7">
    <w:abstractNumId w:val="11"/>
  </w:num>
  <w:num w:numId="8">
    <w:abstractNumId w:val="3"/>
  </w:num>
  <w:num w:numId="9">
    <w:abstractNumId w:val="9"/>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75F"/>
    <w:rsid w:val="00002CAE"/>
    <w:rsid w:val="00005D84"/>
    <w:rsid w:val="0000713F"/>
    <w:rsid w:val="000118FD"/>
    <w:rsid w:val="000127E2"/>
    <w:rsid w:val="00012D1A"/>
    <w:rsid w:val="00016D43"/>
    <w:rsid w:val="0003719F"/>
    <w:rsid w:val="00041E2C"/>
    <w:rsid w:val="000608E2"/>
    <w:rsid w:val="000641B8"/>
    <w:rsid w:val="00064CB6"/>
    <w:rsid w:val="00071001"/>
    <w:rsid w:val="00075857"/>
    <w:rsid w:val="00082C8C"/>
    <w:rsid w:val="00084FCF"/>
    <w:rsid w:val="000A71B3"/>
    <w:rsid w:val="000A71EA"/>
    <w:rsid w:val="000B7855"/>
    <w:rsid w:val="000C4EA0"/>
    <w:rsid w:val="000D607B"/>
    <w:rsid w:val="000D7CD2"/>
    <w:rsid w:val="000F1496"/>
    <w:rsid w:val="000F19C6"/>
    <w:rsid w:val="000F69DE"/>
    <w:rsid w:val="00102C32"/>
    <w:rsid w:val="00102E04"/>
    <w:rsid w:val="00103E15"/>
    <w:rsid w:val="00106C6F"/>
    <w:rsid w:val="001229E8"/>
    <w:rsid w:val="00123FF7"/>
    <w:rsid w:val="00140931"/>
    <w:rsid w:val="00142008"/>
    <w:rsid w:val="001455FF"/>
    <w:rsid w:val="00146ABE"/>
    <w:rsid w:val="00166D5F"/>
    <w:rsid w:val="001675EA"/>
    <w:rsid w:val="0017298B"/>
    <w:rsid w:val="00193FBA"/>
    <w:rsid w:val="001A04D8"/>
    <w:rsid w:val="001A1F7F"/>
    <w:rsid w:val="001B224A"/>
    <w:rsid w:val="001C5380"/>
    <w:rsid w:val="001E2D12"/>
    <w:rsid w:val="001F25D1"/>
    <w:rsid w:val="00200EC8"/>
    <w:rsid w:val="0020107C"/>
    <w:rsid w:val="00213287"/>
    <w:rsid w:val="00220E0E"/>
    <w:rsid w:val="00226ADD"/>
    <w:rsid w:val="0023104C"/>
    <w:rsid w:val="00240497"/>
    <w:rsid w:val="00241954"/>
    <w:rsid w:val="002464A8"/>
    <w:rsid w:val="002535CA"/>
    <w:rsid w:val="00253970"/>
    <w:rsid w:val="00257103"/>
    <w:rsid w:val="00261367"/>
    <w:rsid w:val="00261C4B"/>
    <w:rsid w:val="00271D63"/>
    <w:rsid w:val="00277E56"/>
    <w:rsid w:val="00283BF5"/>
    <w:rsid w:val="00287A87"/>
    <w:rsid w:val="00295857"/>
    <w:rsid w:val="002971D3"/>
    <w:rsid w:val="002A2E36"/>
    <w:rsid w:val="002A6A53"/>
    <w:rsid w:val="002C1F6C"/>
    <w:rsid w:val="002C33A7"/>
    <w:rsid w:val="002D4063"/>
    <w:rsid w:val="002E40B7"/>
    <w:rsid w:val="003258AF"/>
    <w:rsid w:val="00326AD7"/>
    <w:rsid w:val="00331C9B"/>
    <w:rsid w:val="003351AC"/>
    <w:rsid w:val="003446CE"/>
    <w:rsid w:val="00352396"/>
    <w:rsid w:val="00353145"/>
    <w:rsid w:val="00354C94"/>
    <w:rsid w:val="00356823"/>
    <w:rsid w:val="003622EC"/>
    <w:rsid w:val="0037643C"/>
    <w:rsid w:val="00382B0A"/>
    <w:rsid w:val="00385222"/>
    <w:rsid w:val="003925AD"/>
    <w:rsid w:val="003A1E58"/>
    <w:rsid w:val="003C7BD4"/>
    <w:rsid w:val="003D1A2B"/>
    <w:rsid w:val="003D621A"/>
    <w:rsid w:val="003D70C4"/>
    <w:rsid w:val="003D7AD3"/>
    <w:rsid w:val="003E3102"/>
    <w:rsid w:val="003E541C"/>
    <w:rsid w:val="003F3096"/>
    <w:rsid w:val="003F4F0A"/>
    <w:rsid w:val="003F67EF"/>
    <w:rsid w:val="003F6C84"/>
    <w:rsid w:val="003F72E9"/>
    <w:rsid w:val="003F792D"/>
    <w:rsid w:val="00411B54"/>
    <w:rsid w:val="004270E2"/>
    <w:rsid w:val="00442A54"/>
    <w:rsid w:val="00446AEB"/>
    <w:rsid w:val="00446BE3"/>
    <w:rsid w:val="00450DC1"/>
    <w:rsid w:val="00454F8D"/>
    <w:rsid w:val="00460169"/>
    <w:rsid w:val="00470A23"/>
    <w:rsid w:val="00471400"/>
    <w:rsid w:val="00482ED1"/>
    <w:rsid w:val="00484B00"/>
    <w:rsid w:val="004A0C5F"/>
    <w:rsid w:val="004A2074"/>
    <w:rsid w:val="004C5BD9"/>
    <w:rsid w:val="004D5B87"/>
    <w:rsid w:val="004F23C4"/>
    <w:rsid w:val="00503D89"/>
    <w:rsid w:val="005073AE"/>
    <w:rsid w:val="005154D9"/>
    <w:rsid w:val="00517862"/>
    <w:rsid w:val="005246B6"/>
    <w:rsid w:val="00527B54"/>
    <w:rsid w:val="00531490"/>
    <w:rsid w:val="00547A59"/>
    <w:rsid w:val="005501F5"/>
    <w:rsid w:val="005534B9"/>
    <w:rsid w:val="00564C18"/>
    <w:rsid w:val="00596D89"/>
    <w:rsid w:val="00597E44"/>
    <w:rsid w:val="005A7E33"/>
    <w:rsid w:val="005B7474"/>
    <w:rsid w:val="005B7B2B"/>
    <w:rsid w:val="005C5376"/>
    <w:rsid w:val="005D0BA5"/>
    <w:rsid w:val="005D282D"/>
    <w:rsid w:val="005D3BF4"/>
    <w:rsid w:val="005D6B25"/>
    <w:rsid w:val="005D714A"/>
    <w:rsid w:val="005D7994"/>
    <w:rsid w:val="005F6829"/>
    <w:rsid w:val="0060498F"/>
    <w:rsid w:val="00617DBA"/>
    <w:rsid w:val="00626C2B"/>
    <w:rsid w:val="00631FED"/>
    <w:rsid w:val="006327CF"/>
    <w:rsid w:val="00640476"/>
    <w:rsid w:val="0066391E"/>
    <w:rsid w:val="00665515"/>
    <w:rsid w:val="006666F9"/>
    <w:rsid w:val="00667712"/>
    <w:rsid w:val="00682470"/>
    <w:rsid w:val="006A78D2"/>
    <w:rsid w:val="006B464D"/>
    <w:rsid w:val="006D58B7"/>
    <w:rsid w:val="006E0005"/>
    <w:rsid w:val="006E2E0E"/>
    <w:rsid w:val="006E5DC6"/>
    <w:rsid w:val="006E5EB7"/>
    <w:rsid w:val="006F2C6D"/>
    <w:rsid w:val="006F68C7"/>
    <w:rsid w:val="007050C2"/>
    <w:rsid w:val="00733E21"/>
    <w:rsid w:val="00737458"/>
    <w:rsid w:val="00744E03"/>
    <w:rsid w:val="00746591"/>
    <w:rsid w:val="007572B2"/>
    <w:rsid w:val="00757D59"/>
    <w:rsid w:val="007624B1"/>
    <w:rsid w:val="00764C39"/>
    <w:rsid w:val="00765216"/>
    <w:rsid w:val="00765322"/>
    <w:rsid w:val="00765939"/>
    <w:rsid w:val="0077184E"/>
    <w:rsid w:val="007766FC"/>
    <w:rsid w:val="00780333"/>
    <w:rsid w:val="00782F87"/>
    <w:rsid w:val="00786DF5"/>
    <w:rsid w:val="00797D64"/>
    <w:rsid w:val="007A175F"/>
    <w:rsid w:val="007A6524"/>
    <w:rsid w:val="007B7159"/>
    <w:rsid w:val="007D472B"/>
    <w:rsid w:val="007F0DCC"/>
    <w:rsid w:val="007F47AD"/>
    <w:rsid w:val="008042C9"/>
    <w:rsid w:val="00813C58"/>
    <w:rsid w:val="00813D37"/>
    <w:rsid w:val="00820F08"/>
    <w:rsid w:val="00822213"/>
    <w:rsid w:val="00831F79"/>
    <w:rsid w:val="00835A38"/>
    <w:rsid w:val="008401B3"/>
    <w:rsid w:val="00841B66"/>
    <w:rsid w:val="0085688E"/>
    <w:rsid w:val="00861D96"/>
    <w:rsid w:val="00864BB9"/>
    <w:rsid w:val="00873CCE"/>
    <w:rsid w:val="00875856"/>
    <w:rsid w:val="008862DB"/>
    <w:rsid w:val="00886998"/>
    <w:rsid w:val="00886C7F"/>
    <w:rsid w:val="00897409"/>
    <w:rsid w:val="008A0FF8"/>
    <w:rsid w:val="008A24DF"/>
    <w:rsid w:val="008A713B"/>
    <w:rsid w:val="008B46EE"/>
    <w:rsid w:val="008B68DE"/>
    <w:rsid w:val="008C62EC"/>
    <w:rsid w:val="008D08A5"/>
    <w:rsid w:val="008D2C0E"/>
    <w:rsid w:val="008D6D1E"/>
    <w:rsid w:val="008F40A5"/>
    <w:rsid w:val="00902674"/>
    <w:rsid w:val="00905D69"/>
    <w:rsid w:val="00910272"/>
    <w:rsid w:val="009109E5"/>
    <w:rsid w:val="00917065"/>
    <w:rsid w:val="00947228"/>
    <w:rsid w:val="00951D89"/>
    <w:rsid w:val="00954E0A"/>
    <w:rsid w:val="00964715"/>
    <w:rsid w:val="00976333"/>
    <w:rsid w:val="00982719"/>
    <w:rsid w:val="00990658"/>
    <w:rsid w:val="009A254F"/>
    <w:rsid w:val="009A789A"/>
    <w:rsid w:val="009B14CE"/>
    <w:rsid w:val="009B2CAC"/>
    <w:rsid w:val="009B7CB9"/>
    <w:rsid w:val="009C58B4"/>
    <w:rsid w:val="009D6188"/>
    <w:rsid w:val="009F7963"/>
    <w:rsid w:val="00A01D86"/>
    <w:rsid w:val="00A04226"/>
    <w:rsid w:val="00A07A71"/>
    <w:rsid w:val="00A26AF1"/>
    <w:rsid w:val="00A30D99"/>
    <w:rsid w:val="00A34023"/>
    <w:rsid w:val="00A40993"/>
    <w:rsid w:val="00A40F7B"/>
    <w:rsid w:val="00A44660"/>
    <w:rsid w:val="00A64AB1"/>
    <w:rsid w:val="00A675D0"/>
    <w:rsid w:val="00A741F1"/>
    <w:rsid w:val="00A7711D"/>
    <w:rsid w:val="00A802EB"/>
    <w:rsid w:val="00AB13FF"/>
    <w:rsid w:val="00AC215F"/>
    <w:rsid w:val="00AC28F5"/>
    <w:rsid w:val="00AC617A"/>
    <w:rsid w:val="00AD057B"/>
    <w:rsid w:val="00AD104F"/>
    <w:rsid w:val="00AD145A"/>
    <w:rsid w:val="00AD16CA"/>
    <w:rsid w:val="00AD3D9B"/>
    <w:rsid w:val="00AD6225"/>
    <w:rsid w:val="00AE2B70"/>
    <w:rsid w:val="00AE5875"/>
    <w:rsid w:val="00B05EEA"/>
    <w:rsid w:val="00B157F5"/>
    <w:rsid w:val="00B158EE"/>
    <w:rsid w:val="00B20F70"/>
    <w:rsid w:val="00B259C5"/>
    <w:rsid w:val="00B27DDA"/>
    <w:rsid w:val="00B313B9"/>
    <w:rsid w:val="00B3531E"/>
    <w:rsid w:val="00B36246"/>
    <w:rsid w:val="00B469A7"/>
    <w:rsid w:val="00B56534"/>
    <w:rsid w:val="00BA1C24"/>
    <w:rsid w:val="00BB4B43"/>
    <w:rsid w:val="00BB5056"/>
    <w:rsid w:val="00BB6754"/>
    <w:rsid w:val="00BB757C"/>
    <w:rsid w:val="00BC2477"/>
    <w:rsid w:val="00BC6C12"/>
    <w:rsid w:val="00BD0C25"/>
    <w:rsid w:val="00BD39D5"/>
    <w:rsid w:val="00BD567B"/>
    <w:rsid w:val="00BE79A7"/>
    <w:rsid w:val="00BF2B69"/>
    <w:rsid w:val="00BF312C"/>
    <w:rsid w:val="00BF5ABD"/>
    <w:rsid w:val="00C04A90"/>
    <w:rsid w:val="00C10E89"/>
    <w:rsid w:val="00C160EC"/>
    <w:rsid w:val="00C36B74"/>
    <w:rsid w:val="00C42CFE"/>
    <w:rsid w:val="00C60A05"/>
    <w:rsid w:val="00C65C5C"/>
    <w:rsid w:val="00C779A5"/>
    <w:rsid w:val="00C8031C"/>
    <w:rsid w:val="00C8448C"/>
    <w:rsid w:val="00CB1F99"/>
    <w:rsid w:val="00CB4B04"/>
    <w:rsid w:val="00CB71CB"/>
    <w:rsid w:val="00CD434B"/>
    <w:rsid w:val="00CD6209"/>
    <w:rsid w:val="00CD7345"/>
    <w:rsid w:val="00CE1B86"/>
    <w:rsid w:val="00CE4DF9"/>
    <w:rsid w:val="00CE7A80"/>
    <w:rsid w:val="00CF5188"/>
    <w:rsid w:val="00CF54DF"/>
    <w:rsid w:val="00D00A67"/>
    <w:rsid w:val="00D00D00"/>
    <w:rsid w:val="00D04C94"/>
    <w:rsid w:val="00D45AC1"/>
    <w:rsid w:val="00D4620F"/>
    <w:rsid w:val="00D5367E"/>
    <w:rsid w:val="00D55033"/>
    <w:rsid w:val="00D55BF3"/>
    <w:rsid w:val="00D57C14"/>
    <w:rsid w:val="00D60841"/>
    <w:rsid w:val="00D615F1"/>
    <w:rsid w:val="00D710D2"/>
    <w:rsid w:val="00D83F46"/>
    <w:rsid w:val="00D86C87"/>
    <w:rsid w:val="00D90FF5"/>
    <w:rsid w:val="00D956B6"/>
    <w:rsid w:val="00D96F6A"/>
    <w:rsid w:val="00DA37ED"/>
    <w:rsid w:val="00DA5D6E"/>
    <w:rsid w:val="00DB3E70"/>
    <w:rsid w:val="00DB65F5"/>
    <w:rsid w:val="00DB6699"/>
    <w:rsid w:val="00DC7BC0"/>
    <w:rsid w:val="00DD11C1"/>
    <w:rsid w:val="00DD288B"/>
    <w:rsid w:val="00DD4F51"/>
    <w:rsid w:val="00DD6B4B"/>
    <w:rsid w:val="00DE0837"/>
    <w:rsid w:val="00DE516A"/>
    <w:rsid w:val="00DE5505"/>
    <w:rsid w:val="00DE7501"/>
    <w:rsid w:val="00DF0080"/>
    <w:rsid w:val="00E11A80"/>
    <w:rsid w:val="00E13EC2"/>
    <w:rsid w:val="00E33347"/>
    <w:rsid w:val="00E3381F"/>
    <w:rsid w:val="00E50617"/>
    <w:rsid w:val="00E51955"/>
    <w:rsid w:val="00E70AE7"/>
    <w:rsid w:val="00E736C4"/>
    <w:rsid w:val="00E76A26"/>
    <w:rsid w:val="00E8086C"/>
    <w:rsid w:val="00E95F0C"/>
    <w:rsid w:val="00EA367F"/>
    <w:rsid w:val="00EB42A2"/>
    <w:rsid w:val="00EB432D"/>
    <w:rsid w:val="00EB5344"/>
    <w:rsid w:val="00EC5392"/>
    <w:rsid w:val="00EC5E56"/>
    <w:rsid w:val="00EC6603"/>
    <w:rsid w:val="00EC7F62"/>
    <w:rsid w:val="00EE25FD"/>
    <w:rsid w:val="00F11A35"/>
    <w:rsid w:val="00F12014"/>
    <w:rsid w:val="00F2629E"/>
    <w:rsid w:val="00F31D66"/>
    <w:rsid w:val="00F325D3"/>
    <w:rsid w:val="00F4230E"/>
    <w:rsid w:val="00F45B5D"/>
    <w:rsid w:val="00F55D8F"/>
    <w:rsid w:val="00F56473"/>
    <w:rsid w:val="00F67460"/>
    <w:rsid w:val="00F7001B"/>
    <w:rsid w:val="00F723C7"/>
    <w:rsid w:val="00F850D5"/>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175F"/>
    <w:rPr>
      <w:rFonts w:ascii="Trebuchet MS" w:hAnsi="Trebuchet MS" w:cs="Trebuchet MS"/>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99"/>
    <w:qFormat/>
    <w:rsid w:val="007A175F"/>
    <w:pPr>
      <w:ind w:left="720"/>
    </w:pPr>
  </w:style>
  <w:style w:type="character" w:styleId="Kommentarzeichen">
    <w:name w:val="annotation reference"/>
    <w:basedOn w:val="Absatz-Standardschriftart"/>
    <w:uiPriority w:val="99"/>
    <w:semiHidden/>
    <w:unhideWhenUsed/>
    <w:rsid w:val="007A175F"/>
    <w:rPr>
      <w:sz w:val="16"/>
      <w:szCs w:val="16"/>
    </w:rPr>
  </w:style>
  <w:style w:type="paragraph" w:styleId="Kommentartext">
    <w:name w:val="annotation text"/>
    <w:basedOn w:val="Standard"/>
    <w:link w:val="KommentartextZchn"/>
    <w:uiPriority w:val="99"/>
    <w:semiHidden/>
    <w:unhideWhenUsed/>
    <w:rsid w:val="007A17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175F"/>
    <w:rPr>
      <w:rFonts w:ascii="Trebuchet MS" w:hAnsi="Trebuchet MS" w:cs="Trebuchet MS"/>
      <w:sz w:val="20"/>
      <w:szCs w:val="20"/>
      <w:lang w:val="de-DE" w:eastAsia="de-DE"/>
    </w:rPr>
  </w:style>
  <w:style w:type="paragraph" w:styleId="Kopfzeile">
    <w:name w:val="header"/>
    <w:basedOn w:val="Standard"/>
    <w:link w:val="KopfzeileZchn"/>
    <w:uiPriority w:val="99"/>
    <w:unhideWhenUsed/>
    <w:rsid w:val="007A175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A175F"/>
    <w:rPr>
      <w:rFonts w:ascii="Trebuchet MS" w:hAnsi="Trebuchet MS" w:cs="Trebuchet MS"/>
      <w:lang w:val="de-DE" w:eastAsia="de-DE"/>
    </w:rPr>
  </w:style>
  <w:style w:type="paragraph" w:styleId="Fuzeile">
    <w:name w:val="footer"/>
    <w:basedOn w:val="Standard"/>
    <w:link w:val="FuzeileZchn"/>
    <w:uiPriority w:val="99"/>
    <w:unhideWhenUsed/>
    <w:rsid w:val="007A175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A175F"/>
    <w:rPr>
      <w:rFonts w:ascii="Trebuchet MS" w:hAnsi="Trebuchet MS" w:cs="Trebuchet MS"/>
      <w:lang w:val="de-DE" w:eastAsia="de-DE"/>
    </w:rPr>
  </w:style>
  <w:style w:type="paragraph" w:customStyle="1" w:styleId="Default">
    <w:name w:val="Default"/>
    <w:rsid w:val="0017298B"/>
    <w:pPr>
      <w:autoSpaceDE w:val="0"/>
      <w:autoSpaceDN w:val="0"/>
      <w:adjustRightInd w:val="0"/>
      <w:spacing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175F"/>
    <w:rPr>
      <w:rFonts w:ascii="Trebuchet MS" w:hAnsi="Trebuchet MS" w:cs="Trebuchet MS"/>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99"/>
    <w:qFormat/>
    <w:rsid w:val="007A175F"/>
    <w:pPr>
      <w:ind w:left="720"/>
    </w:pPr>
  </w:style>
  <w:style w:type="character" w:styleId="Kommentarzeichen">
    <w:name w:val="annotation reference"/>
    <w:basedOn w:val="Absatz-Standardschriftart"/>
    <w:uiPriority w:val="99"/>
    <w:semiHidden/>
    <w:unhideWhenUsed/>
    <w:rsid w:val="007A175F"/>
    <w:rPr>
      <w:sz w:val="16"/>
      <w:szCs w:val="16"/>
    </w:rPr>
  </w:style>
  <w:style w:type="paragraph" w:styleId="Kommentartext">
    <w:name w:val="annotation text"/>
    <w:basedOn w:val="Standard"/>
    <w:link w:val="KommentartextZchn"/>
    <w:uiPriority w:val="99"/>
    <w:semiHidden/>
    <w:unhideWhenUsed/>
    <w:rsid w:val="007A17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175F"/>
    <w:rPr>
      <w:rFonts w:ascii="Trebuchet MS" w:hAnsi="Trebuchet MS" w:cs="Trebuchet MS"/>
      <w:sz w:val="20"/>
      <w:szCs w:val="20"/>
      <w:lang w:val="de-DE" w:eastAsia="de-DE"/>
    </w:rPr>
  </w:style>
  <w:style w:type="paragraph" w:styleId="Kopfzeile">
    <w:name w:val="header"/>
    <w:basedOn w:val="Standard"/>
    <w:link w:val="KopfzeileZchn"/>
    <w:uiPriority w:val="99"/>
    <w:unhideWhenUsed/>
    <w:rsid w:val="007A175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A175F"/>
    <w:rPr>
      <w:rFonts w:ascii="Trebuchet MS" w:hAnsi="Trebuchet MS" w:cs="Trebuchet MS"/>
      <w:lang w:val="de-DE" w:eastAsia="de-DE"/>
    </w:rPr>
  </w:style>
  <w:style w:type="paragraph" w:styleId="Fuzeile">
    <w:name w:val="footer"/>
    <w:basedOn w:val="Standard"/>
    <w:link w:val="FuzeileZchn"/>
    <w:uiPriority w:val="99"/>
    <w:unhideWhenUsed/>
    <w:rsid w:val="007A175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A175F"/>
    <w:rPr>
      <w:rFonts w:ascii="Trebuchet MS" w:hAnsi="Trebuchet MS" w:cs="Trebuchet MS"/>
      <w:lang w:val="de-DE" w:eastAsia="de-DE"/>
    </w:rPr>
  </w:style>
  <w:style w:type="paragraph" w:customStyle="1" w:styleId="Default">
    <w:name w:val="Default"/>
    <w:rsid w:val="0017298B"/>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8707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Hausmann Victoria, WKÖ BSBV</dc:creator>
  <cp:lastModifiedBy>Hausmann Victoria, WKÖ BSBV</cp:lastModifiedBy>
  <cp:revision>3</cp:revision>
  <cp:lastPrinted>2014-01-16T10:08:00Z</cp:lastPrinted>
  <dcterms:created xsi:type="dcterms:W3CDTF">2014-01-16T10:09:00Z</dcterms:created>
  <dcterms:modified xsi:type="dcterms:W3CDTF">2014-01-16T12:18:00Z</dcterms:modified>
</cp:coreProperties>
</file>