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31" w:rsidRPr="00F85594" w:rsidRDefault="00C10B31">
      <w:pPr>
        <w:rPr>
          <w:sz w:val="24"/>
        </w:rPr>
      </w:pPr>
    </w:p>
    <w:tbl>
      <w:tblPr>
        <w:tblW w:w="9751" w:type="dxa"/>
        <w:tblLayout w:type="fixed"/>
        <w:tblCellMar>
          <w:left w:w="70" w:type="dxa"/>
          <w:right w:w="70" w:type="dxa"/>
        </w:tblCellMar>
        <w:tblLook w:val="0000" w:firstRow="0" w:lastRow="0" w:firstColumn="0" w:lastColumn="0" w:noHBand="0" w:noVBand="0"/>
      </w:tblPr>
      <w:tblGrid>
        <w:gridCol w:w="5102"/>
        <w:gridCol w:w="4649"/>
      </w:tblGrid>
      <w:tr w:rsidR="00640CF8" w:rsidRPr="00F85594" w:rsidTr="00B57120">
        <w:trPr>
          <w:trHeight w:hRule="exact" w:val="3261"/>
        </w:trPr>
        <w:tc>
          <w:tcPr>
            <w:tcW w:w="5102" w:type="dxa"/>
          </w:tcPr>
          <w:p w:rsidR="00640CF8" w:rsidRDefault="00640CF8" w:rsidP="00C10B31">
            <w:pPr>
              <w:tabs>
                <w:tab w:val="center" w:pos="2481"/>
              </w:tabs>
              <w:ind w:right="-1"/>
              <w:rPr>
                <w:szCs w:val="22"/>
                <w:lang w:val="pt-BR"/>
              </w:rPr>
            </w:pPr>
          </w:p>
          <w:p w:rsidR="00640CF8" w:rsidRPr="00027A3E" w:rsidRDefault="00640CF8" w:rsidP="00640CF8">
            <w:pPr>
              <w:autoSpaceDE w:val="0"/>
              <w:autoSpaceDN w:val="0"/>
              <w:adjustRightInd w:val="0"/>
              <w:spacing w:line="240" w:lineRule="auto"/>
              <w:rPr>
                <w:rFonts w:cs="Arial"/>
                <w:b/>
                <w:sz w:val="28"/>
                <w:lang w:val="en-GB" w:eastAsia="de-AT"/>
              </w:rPr>
            </w:pPr>
            <w:r w:rsidRPr="00027A3E">
              <w:rPr>
                <w:rFonts w:cs="Arial"/>
                <w:b/>
                <w:sz w:val="28"/>
                <w:lang w:val="en-GB" w:eastAsia="de-AT"/>
              </w:rPr>
              <w:t>ES</w:t>
            </w:r>
            <w:r>
              <w:rPr>
                <w:rFonts w:cs="Arial"/>
                <w:b/>
                <w:sz w:val="28"/>
                <w:lang w:val="en-GB" w:eastAsia="de-AT"/>
              </w:rPr>
              <w:t>M</w:t>
            </w:r>
            <w:r w:rsidRPr="00027A3E">
              <w:rPr>
                <w:rFonts w:cs="Arial"/>
                <w:b/>
                <w:sz w:val="28"/>
                <w:lang w:val="en-GB" w:eastAsia="de-AT"/>
              </w:rPr>
              <w:t>A</w:t>
            </w:r>
          </w:p>
          <w:p w:rsidR="00640CF8" w:rsidRPr="002C7A03" w:rsidRDefault="00640CF8" w:rsidP="00640CF8">
            <w:pPr>
              <w:autoSpaceDE w:val="0"/>
              <w:autoSpaceDN w:val="0"/>
              <w:adjustRightInd w:val="0"/>
              <w:spacing w:line="240" w:lineRule="auto"/>
              <w:rPr>
                <w:rFonts w:cs="Arial"/>
                <w:b/>
                <w:lang w:val="en-GB" w:eastAsia="de-AT"/>
              </w:rPr>
            </w:pPr>
          </w:p>
          <w:p w:rsidR="00640CF8" w:rsidRPr="00640CF8" w:rsidRDefault="00640CF8" w:rsidP="00640CF8">
            <w:pPr>
              <w:tabs>
                <w:tab w:val="center" w:pos="2481"/>
              </w:tabs>
              <w:ind w:right="-1"/>
              <w:rPr>
                <w:szCs w:val="22"/>
                <w:lang w:val="pt-BR"/>
              </w:rPr>
            </w:pPr>
            <w:r w:rsidRPr="00911E9E">
              <w:rPr>
                <w:sz w:val="24"/>
                <w:szCs w:val="24"/>
                <w:lang w:eastAsia="de-AT"/>
              </w:rPr>
              <w:t>info@esma.europa.eu</w:t>
            </w:r>
          </w:p>
          <w:p w:rsidR="00640CF8" w:rsidRPr="00F85594" w:rsidRDefault="00640CF8" w:rsidP="00107BA2">
            <w:pPr>
              <w:tabs>
                <w:tab w:val="center" w:pos="2481"/>
              </w:tabs>
              <w:ind w:right="-1"/>
              <w:rPr>
                <w:b/>
                <w:sz w:val="24"/>
                <w:szCs w:val="22"/>
                <w:lang w:val="pt-BR"/>
              </w:rPr>
            </w:pPr>
          </w:p>
        </w:tc>
        <w:tc>
          <w:tcPr>
            <w:tcW w:w="4649" w:type="dxa"/>
          </w:tcPr>
          <w:p w:rsidR="00640CF8" w:rsidRPr="00712A84" w:rsidRDefault="00640CF8" w:rsidP="004C2D3C">
            <w:pPr>
              <w:spacing w:line="220" w:lineRule="atLeast"/>
              <w:jc w:val="right"/>
              <w:rPr>
                <w:b/>
                <w:bCs/>
                <w:color w:val="000000"/>
                <w:sz w:val="6"/>
                <w:szCs w:val="6"/>
                <w:lang w:val="en-GB"/>
              </w:rPr>
            </w:pPr>
          </w:p>
          <w:p w:rsidR="00640CF8" w:rsidRPr="00712A84" w:rsidRDefault="00640CF8" w:rsidP="004C2D3C">
            <w:pPr>
              <w:spacing w:line="220" w:lineRule="atLeast"/>
              <w:jc w:val="right"/>
              <w:rPr>
                <w:b/>
                <w:bCs/>
                <w:color w:val="000000"/>
                <w:sz w:val="6"/>
                <w:szCs w:val="6"/>
                <w:lang w:val="en-GB"/>
              </w:rPr>
            </w:pPr>
          </w:p>
          <w:p w:rsidR="00640CF8" w:rsidRPr="00712A84" w:rsidRDefault="00640CF8" w:rsidP="004C2D3C">
            <w:pPr>
              <w:spacing w:line="220" w:lineRule="atLeast"/>
              <w:jc w:val="right"/>
              <w:rPr>
                <w:b/>
                <w:bCs/>
                <w:color w:val="000000"/>
                <w:sz w:val="6"/>
                <w:szCs w:val="6"/>
                <w:lang w:val="en-GB"/>
              </w:rPr>
            </w:pPr>
          </w:p>
          <w:p w:rsidR="00640CF8" w:rsidRPr="00712A84" w:rsidRDefault="00640CF8" w:rsidP="004C2D3C">
            <w:pPr>
              <w:spacing w:line="260" w:lineRule="atLeast"/>
              <w:jc w:val="right"/>
              <w:rPr>
                <w:b/>
                <w:bCs/>
                <w:color w:val="000000"/>
                <w:sz w:val="18"/>
                <w:szCs w:val="18"/>
                <w:lang w:val="en-GB"/>
              </w:rPr>
            </w:pPr>
            <w:r w:rsidRPr="00712A84">
              <w:rPr>
                <w:b/>
                <w:bCs/>
                <w:color w:val="000000"/>
                <w:sz w:val="18"/>
                <w:szCs w:val="18"/>
                <w:lang w:val="en-GB"/>
              </w:rPr>
              <w:t xml:space="preserve"> Division Bank and Insurance</w:t>
            </w:r>
          </w:p>
          <w:p w:rsidR="00640CF8" w:rsidRPr="00712A84" w:rsidRDefault="00640CF8" w:rsidP="004C2D3C">
            <w:pPr>
              <w:spacing w:line="260" w:lineRule="atLeast"/>
              <w:jc w:val="right"/>
              <w:rPr>
                <w:color w:val="000000"/>
                <w:sz w:val="18"/>
                <w:szCs w:val="18"/>
                <w:lang w:val="en-GB"/>
              </w:rPr>
            </w:pPr>
            <w:r w:rsidRPr="00712A84">
              <w:rPr>
                <w:color w:val="000000"/>
                <w:sz w:val="18"/>
                <w:szCs w:val="18"/>
                <w:lang w:val="en-GB"/>
              </w:rPr>
              <w:t>Austrian Federal Economic Chamber</w:t>
            </w:r>
          </w:p>
          <w:p w:rsidR="00640CF8" w:rsidRPr="005230FD" w:rsidRDefault="00640CF8" w:rsidP="004C2D3C">
            <w:pPr>
              <w:spacing w:line="260" w:lineRule="atLeast"/>
              <w:jc w:val="right"/>
              <w:rPr>
                <w:color w:val="000000"/>
                <w:sz w:val="18"/>
                <w:szCs w:val="18"/>
                <w:lang w:val="de-AT"/>
              </w:rPr>
            </w:pPr>
            <w:proofErr w:type="spellStart"/>
            <w:r w:rsidRPr="005230FD">
              <w:rPr>
                <w:color w:val="000000"/>
                <w:sz w:val="18"/>
                <w:szCs w:val="18"/>
                <w:lang w:val="de-AT"/>
              </w:rPr>
              <w:t>Wiedner</w:t>
            </w:r>
            <w:proofErr w:type="spellEnd"/>
            <w:r w:rsidRPr="005230FD">
              <w:rPr>
                <w:color w:val="000000"/>
                <w:sz w:val="18"/>
                <w:szCs w:val="18"/>
                <w:lang w:val="de-AT"/>
              </w:rPr>
              <w:t xml:space="preserve"> Hauptstraße 63 | P.O. Box 320</w:t>
            </w:r>
          </w:p>
          <w:p w:rsidR="00640CF8" w:rsidRPr="005230FD" w:rsidRDefault="00640CF8" w:rsidP="004C2D3C">
            <w:pPr>
              <w:spacing w:line="260" w:lineRule="atLeast"/>
              <w:jc w:val="right"/>
              <w:rPr>
                <w:color w:val="000000"/>
                <w:sz w:val="18"/>
                <w:szCs w:val="18"/>
                <w:lang w:val="de-AT"/>
              </w:rPr>
            </w:pPr>
            <w:r w:rsidRPr="005230FD">
              <w:rPr>
                <w:color w:val="000000"/>
                <w:sz w:val="18"/>
                <w:szCs w:val="18"/>
                <w:lang w:val="de-AT"/>
              </w:rPr>
              <w:t>1045 Vienna</w:t>
            </w:r>
          </w:p>
          <w:p w:rsidR="00640CF8" w:rsidRPr="005230FD" w:rsidRDefault="00640CF8" w:rsidP="004C2D3C">
            <w:pPr>
              <w:spacing w:line="260" w:lineRule="atLeast"/>
              <w:jc w:val="right"/>
              <w:rPr>
                <w:color w:val="000000"/>
                <w:sz w:val="18"/>
                <w:szCs w:val="18"/>
                <w:lang w:val="de-AT"/>
              </w:rPr>
            </w:pPr>
            <w:r w:rsidRPr="005230FD">
              <w:rPr>
                <w:color w:val="000000"/>
                <w:sz w:val="18"/>
                <w:szCs w:val="18"/>
                <w:lang w:val="de-AT"/>
              </w:rPr>
              <w:t>T +43 (0)5 90 900-DW | F +43 (0)5 90 900-272</w:t>
            </w:r>
          </w:p>
          <w:p w:rsidR="00640CF8" w:rsidRPr="005230FD" w:rsidRDefault="00640CF8" w:rsidP="004C2D3C">
            <w:pPr>
              <w:spacing w:line="260" w:lineRule="atLeast"/>
              <w:jc w:val="right"/>
              <w:rPr>
                <w:color w:val="000000"/>
                <w:sz w:val="18"/>
                <w:szCs w:val="18"/>
                <w:lang w:val="de-AT"/>
              </w:rPr>
            </w:pPr>
            <w:r w:rsidRPr="005230FD">
              <w:rPr>
                <w:color w:val="000000"/>
                <w:sz w:val="18"/>
                <w:szCs w:val="18"/>
                <w:lang w:val="de-AT"/>
              </w:rPr>
              <w:t>E  bsbv@wko.at</w:t>
            </w:r>
          </w:p>
          <w:p w:rsidR="00640CF8" w:rsidRPr="00712A84" w:rsidRDefault="00640CF8" w:rsidP="004C2D3C">
            <w:pPr>
              <w:spacing w:line="260" w:lineRule="atLeast"/>
              <w:jc w:val="right"/>
              <w:rPr>
                <w:lang w:val="en-GB"/>
              </w:rPr>
            </w:pPr>
            <w:r w:rsidRPr="00712A84">
              <w:rPr>
                <w:color w:val="000000"/>
                <w:sz w:val="18"/>
                <w:szCs w:val="18"/>
                <w:lang w:val="en-GB"/>
              </w:rPr>
              <w:t>W  http://wko.at/bsbv</w:t>
            </w:r>
          </w:p>
        </w:tc>
      </w:tr>
    </w:tbl>
    <w:p w:rsidR="00640CF8" w:rsidRPr="00712A84" w:rsidRDefault="00640CF8" w:rsidP="00640CF8">
      <w:pPr>
        <w:tabs>
          <w:tab w:val="left" w:pos="2892"/>
          <w:tab w:val="left" w:pos="5783"/>
          <w:tab w:val="left" w:pos="7655"/>
        </w:tabs>
        <w:rPr>
          <w:color w:val="000000"/>
          <w:sz w:val="16"/>
          <w:szCs w:val="16"/>
          <w:lang w:val="en-GB"/>
        </w:rPr>
      </w:pPr>
      <w:r w:rsidRPr="00712A84">
        <w:rPr>
          <w:color w:val="000000"/>
          <w:sz w:val="16"/>
          <w:szCs w:val="16"/>
          <w:lang w:val="en-GB"/>
        </w:rPr>
        <w:t xml:space="preserve">Your ref., </w:t>
      </w:r>
      <w:proofErr w:type="gramStart"/>
      <w:r w:rsidRPr="00712A84">
        <w:rPr>
          <w:color w:val="000000"/>
          <w:sz w:val="16"/>
          <w:szCs w:val="16"/>
          <w:lang w:val="en-GB"/>
        </w:rPr>
        <w:t>Your</w:t>
      </w:r>
      <w:proofErr w:type="gramEnd"/>
      <w:r w:rsidRPr="00712A84">
        <w:rPr>
          <w:color w:val="000000"/>
          <w:sz w:val="16"/>
          <w:szCs w:val="16"/>
          <w:lang w:val="en-GB"/>
        </w:rPr>
        <w:t xml:space="preserve"> message of</w:t>
      </w:r>
      <w:r w:rsidRPr="00712A84">
        <w:rPr>
          <w:color w:val="000000"/>
          <w:sz w:val="16"/>
          <w:szCs w:val="16"/>
          <w:lang w:val="en-GB"/>
        </w:rPr>
        <w:tab/>
        <w:t>Our ref., person in charge</w:t>
      </w:r>
      <w:r w:rsidRPr="00712A84">
        <w:rPr>
          <w:color w:val="000000"/>
          <w:sz w:val="16"/>
          <w:szCs w:val="16"/>
          <w:lang w:val="en-GB"/>
        </w:rPr>
        <w:tab/>
        <w:t>Extension</w:t>
      </w:r>
      <w:r w:rsidRPr="00712A84">
        <w:rPr>
          <w:color w:val="000000"/>
          <w:sz w:val="16"/>
          <w:szCs w:val="16"/>
          <w:lang w:val="en-GB"/>
        </w:rPr>
        <w:tab/>
        <w:t>Date</w:t>
      </w:r>
    </w:p>
    <w:p w:rsidR="0081262C" w:rsidRPr="007834F9" w:rsidRDefault="0081262C" w:rsidP="00F0083F">
      <w:pPr>
        <w:tabs>
          <w:tab w:val="left" w:pos="2977"/>
          <w:tab w:val="left" w:pos="5954"/>
          <w:tab w:val="left" w:pos="7655"/>
        </w:tabs>
        <w:ind w:right="-1"/>
        <w:rPr>
          <w:snapToGrid w:val="0"/>
          <w:color w:val="000000"/>
          <w:szCs w:val="22"/>
          <w:u w:color="000000"/>
        </w:rPr>
      </w:pPr>
      <w:r w:rsidRPr="00F85594">
        <w:rPr>
          <w:snapToGrid w:val="0"/>
          <w:color w:val="000000"/>
          <w:sz w:val="26"/>
          <w:szCs w:val="24"/>
          <w:u w:color="000000"/>
        </w:rPr>
        <w:tab/>
      </w:r>
      <w:r w:rsidR="007834F9">
        <w:rPr>
          <w:snapToGrid w:val="0"/>
          <w:color w:val="000000"/>
          <w:szCs w:val="22"/>
          <w:u w:color="000000"/>
        </w:rPr>
        <w:t>Dr. Priester/Ha</w:t>
      </w:r>
      <w:r w:rsidR="007834F9">
        <w:rPr>
          <w:snapToGrid w:val="0"/>
          <w:color w:val="000000"/>
          <w:szCs w:val="22"/>
          <w:u w:color="000000"/>
        </w:rPr>
        <w:tab/>
        <w:t>3132</w:t>
      </w:r>
      <w:r w:rsidR="007834F9">
        <w:rPr>
          <w:snapToGrid w:val="0"/>
          <w:color w:val="000000"/>
          <w:szCs w:val="22"/>
          <w:u w:color="000000"/>
        </w:rPr>
        <w:tab/>
        <w:t>01.02.2013</w:t>
      </w:r>
    </w:p>
    <w:p w:rsidR="0081262C" w:rsidRPr="00F85594" w:rsidRDefault="00F0083F" w:rsidP="00F0083F">
      <w:pPr>
        <w:tabs>
          <w:tab w:val="left" w:pos="2977"/>
        </w:tabs>
        <w:spacing w:line="240" w:lineRule="auto"/>
        <w:ind w:right="-1"/>
        <w:rPr>
          <w:snapToGrid w:val="0"/>
          <w:color w:val="000000"/>
          <w:sz w:val="24"/>
          <w:szCs w:val="22"/>
          <w:u w:color="000000"/>
        </w:rPr>
      </w:pPr>
      <w:r w:rsidRPr="00F85594">
        <w:rPr>
          <w:snapToGrid w:val="0"/>
          <w:color w:val="000000"/>
          <w:sz w:val="24"/>
          <w:szCs w:val="22"/>
          <w:u w:color="000000"/>
        </w:rPr>
        <w:tab/>
      </w:r>
    </w:p>
    <w:p w:rsidR="00C10B31" w:rsidRPr="00F85594" w:rsidRDefault="00C10B31" w:rsidP="00F0083F">
      <w:pPr>
        <w:spacing w:line="240" w:lineRule="auto"/>
        <w:ind w:right="-1"/>
        <w:rPr>
          <w:snapToGrid w:val="0"/>
          <w:color w:val="000000"/>
          <w:sz w:val="26"/>
          <w:szCs w:val="24"/>
          <w:u w:color="000000"/>
        </w:rPr>
      </w:pPr>
    </w:p>
    <w:p w:rsidR="00845DA3" w:rsidRPr="00F85594" w:rsidRDefault="00845DA3" w:rsidP="00F0083F">
      <w:pPr>
        <w:spacing w:line="240" w:lineRule="auto"/>
        <w:ind w:right="-1"/>
        <w:rPr>
          <w:snapToGrid w:val="0"/>
          <w:color w:val="000000"/>
          <w:sz w:val="26"/>
          <w:szCs w:val="24"/>
          <w:u w:color="000000"/>
        </w:rPr>
      </w:pPr>
    </w:p>
    <w:p w:rsidR="007C6CFC" w:rsidRPr="00F85594" w:rsidRDefault="00F85594" w:rsidP="00F0083F">
      <w:pPr>
        <w:spacing w:line="240" w:lineRule="auto"/>
        <w:ind w:right="-1"/>
        <w:rPr>
          <w:b/>
          <w:snapToGrid w:val="0"/>
          <w:color w:val="000000"/>
          <w:sz w:val="32"/>
          <w:szCs w:val="24"/>
          <w:u w:color="000000"/>
        </w:rPr>
      </w:pPr>
      <w:r w:rsidRPr="00F85594">
        <w:rPr>
          <w:b/>
          <w:snapToGrid w:val="0"/>
          <w:color w:val="000000"/>
          <w:sz w:val="32"/>
          <w:szCs w:val="24"/>
          <w:u w:color="000000"/>
        </w:rPr>
        <w:t>ESMA-</w:t>
      </w:r>
      <w:proofErr w:type="spellStart"/>
      <w:r w:rsidR="00640CF8">
        <w:rPr>
          <w:b/>
          <w:snapToGrid w:val="0"/>
          <w:color w:val="000000"/>
          <w:sz w:val="32"/>
          <w:szCs w:val="24"/>
          <w:u w:color="000000"/>
        </w:rPr>
        <w:t>Consultation</w:t>
      </w:r>
      <w:proofErr w:type="spellEnd"/>
      <w:r w:rsidRPr="00F85594">
        <w:rPr>
          <w:b/>
          <w:snapToGrid w:val="0"/>
          <w:color w:val="000000"/>
          <w:sz w:val="32"/>
          <w:szCs w:val="24"/>
          <w:u w:color="000000"/>
        </w:rPr>
        <w:t xml:space="preserve"> AIFMD</w:t>
      </w:r>
    </w:p>
    <w:p w:rsidR="00C10B31" w:rsidRPr="00F85594" w:rsidRDefault="00C10B31" w:rsidP="00F0083F">
      <w:pPr>
        <w:spacing w:line="240" w:lineRule="auto"/>
        <w:ind w:right="-1"/>
        <w:rPr>
          <w:b/>
          <w:snapToGrid w:val="0"/>
          <w:color w:val="000000"/>
          <w:sz w:val="24"/>
          <w:szCs w:val="22"/>
          <w:u w:color="000000"/>
        </w:rPr>
      </w:pPr>
    </w:p>
    <w:p w:rsidR="00FD0DD3" w:rsidRDefault="00C64FE7" w:rsidP="006A6CFB">
      <w:pPr>
        <w:jc w:val="both"/>
        <w:rPr>
          <w:rFonts w:cs="Arial"/>
          <w:sz w:val="24"/>
          <w:szCs w:val="22"/>
        </w:rPr>
      </w:pPr>
      <w:r w:rsidRPr="00C64FE7">
        <w:rPr>
          <w:rFonts w:cs="Arial"/>
          <w:sz w:val="24"/>
          <w:szCs w:val="22"/>
        </w:rPr>
        <w:t xml:space="preserve">The Division Bank </w:t>
      </w:r>
      <w:proofErr w:type="spellStart"/>
      <w:r w:rsidRPr="00C64FE7">
        <w:rPr>
          <w:rFonts w:cs="Arial"/>
          <w:sz w:val="24"/>
          <w:szCs w:val="22"/>
        </w:rPr>
        <w:t>and</w:t>
      </w:r>
      <w:proofErr w:type="spellEnd"/>
      <w:r w:rsidRPr="00C64FE7">
        <w:rPr>
          <w:rFonts w:cs="Arial"/>
          <w:sz w:val="24"/>
          <w:szCs w:val="22"/>
        </w:rPr>
        <w:t xml:space="preserve"> Insurance </w:t>
      </w:r>
      <w:proofErr w:type="spellStart"/>
      <w:r w:rsidRPr="00C64FE7">
        <w:rPr>
          <w:rFonts w:cs="Arial"/>
          <w:sz w:val="24"/>
          <w:szCs w:val="22"/>
        </w:rPr>
        <w:t>of</w:t>
      </w:r>
      <w:proofErr w:type="spellEnd"/>
      <w:r w:rsidRPr="00C64FE7">
        <w:rPr>
          <w:rFonts w:cs="Arial"/>
          <w:sz w:val="24"/>
          <w:szCs w:val="22"/>
        </w:rPr>
        <w:t xml:space="preserve"> </w:t>
      </w:r>
      <w:proofErr w:type="spellStart"/>
      <w:r w:rsidRPr="00C64FE7">
        <w:rPr>
          <w:rFonts w:cs="Arial"/>
          <w:sz w:val="24"/>
          <w:szCs w:val="22"/>
        </w:rPr>
        <w:t>the</w:t>
      </w:r>
      <w:proofErr w:type="spellEnd"/>
      <w:r w:rsidRPr="00C64FE7">
        <w:rPr>
          <w:rFonts w:cs="Arial"/>
          <w:sz w:val="24"/>
          <w:szCs w:val="22"/>
        </w:rPr>
        <w:t xml:space="preserve"> Austrian Federal </w:t>
      </w:r>
      <w:proofErr w:type="spellStart"/>
      <w:r w:rsidRPr="00C64FE7">
        <w:rPr>
          <w:rFonts w:cs="Arial"/>
          <w:sz w:val="24"/>
          <w:szCs w:val="22"/>
        </w:rPr>
        <w:t>Economic</w:t>
      </w:r>
      <w:proofErr w:type="spellEnd"/>
      <w:r w:rsidRPr="00C64FE7">
        <w:rPr>
          <w:rFonts w:cs="Arial"/>
          <w:sz w:val="24"/>
          <w:szCs w:val="22"/>
        </w:rPr>
        <w:t xml:space="preserve"> </w:t>
      </w:r>
      <w:proofErr w:type="spellStart"/>
      <w:r w:rsidRPr="00C64FE7">
        <w:rPr>
          <w:rFonts w:cs="Arial"/>
          <w:sz w:val="24"/>
          <w:szCs w:val="22"/>
        </w:rPr>
        <w:t>Chamber</w:t>
      </w:r>
      <w:proofErr w:type="spellEnd"/>
      <w:r w:rsidRPr="00C64FE7">
        <w:rPr>
          <w:rFonts w:cs="Arial"/>
          <w:sz w:val="24"/>
          <w:szCs w:val="22"/>
        </w:rPr>
        <w:t xml:space="preserve">, </w:t>
      </w:r>
      <w:proofErr w:type="spellStart"/>
      <w:r w:rsidRPr="00C64FE7">
        <w:rPr>
          <w:rFonts w:cs="Arial"/>
          <w:sz w:val="24"/>
          <w:szCs w:val="22"/>
        </w:rPr>
        <w:t>as</w:t>
      </w:r>
      <w:proofErr w:type="spellEnd"/>
      <w:r w:rsidRPr="00C64FE7">
        <w:rPr>
          <w:rFonts w:cs="Arial"/>
          <w:sz w:val="24"/>
          <w:szCs w:val="22"/>
        </w:rPr>
        <w:t xml:space="preserve"> </w:t>
      </w:r>
      <w:proofErr w:type="spellStart"/>
      <w:r w:rsidRPr="00C64FE7">
        <w:rPr>
          <w:rFonts w:cs="Arial"/>
          <w:sz w:val="24"/>
          <w:szCs w:val="22"/>
        </w:rPr>
        <w:t>representative</w:t>
      </w:r>
      <w:proofErr w:type="spellEnd"/>
      <w:r w:rsidRPr="00C64FE7">
        <w:rPr>
          <w:rFonts w:cs="Arial"/>
          <w:sz w:val="24"/>
          <w:szCs w:val="22"/>
        </w:rPr>
        <w:t xml:space="preserve"> </w:t>
      </w:r>
      <w:proofErr w:type="spellStart"/>
      <w:r w:rsidRPr="00C64FE7">
        <w:rPr>
          <w:rFonts w:cs="Arial"/>
          <w:sz w:val="24"/>
          <w:szCs w:val="22"/>
        </w:rPr>
        <w:t>of</w:t>
      </w:r>
      <w:proofErr w:type="spellEnd"/>
      <w:r w:rsidRPr="00C64FE7">
        <w:rPr>
          <w:rFonts w:cs="Arial"/>
          <w:sz w:val="24"/>
          <w:szCs w:val="22"/>
        </w:rPr>
        <w:t xml:space="preserve"> </w:t>
      </w:r>
      <w:proofErr w:type="spellStart"/>
      <w:r w:rsidRPr="00C64FE7">
        <w:rPr>
          <w:rFonts w:cs="Arial"/>
          <w:sz w:val="24"/>
          <w:szCs w:val="22"/>
        </w:rPr>
        <w:t>the</w:t>
      </w:r>
      <w:proofErr w:type="spellEnd"/>
      <w:r w:rsidRPr="00C64FE7">
        <w:rPr>
          <w:rFonts w:cs="Arial"/>
          <w:sz w:val="24"/>
          <w:szCs w:val="22"/>
        </w:rPr>
        <w:t xml:space="preserve"> </w:t>
      </w:r>
      <w:proofErr w:type="spellStart"/>
      <w:r w:rsidRPr="00C64FE7">
        <w:rPr>
          <w:rFonts w:cs="Arial"/>
          <w:sz w:val="24"/>
          <w:szCs w:val="22"/>
        </w:rPr>
        <w:t>entire</w:t>
      </w:r>
      <w:proofErr w:type="spellEnd"/>
      <w:r w:rsidRPr="00C64FE7">
        <w:rPr>
          <w:rFonts w:cs="Arial"/>
          <w:sz w:val="24"/>
          <w:szCs w:val="22"/>
        </w:rPr>
        <w:t xml:space="preserve"> Austrian </w:t>
      </w:r>
      <w:proofErr w:type="spellStart"/>
      <w:r w:rsidRPr="00C64FE7">
        <w:rPr>
          <w:rFonts w:cs="Arial"/>
          <w:sz w:val="24"/>
          <w:szCs w:val="22"/>
        </w:rPr>
        <w:t>banking</w:t>
      </w:r>
      <w:proofErr w:type="spellEnd"/>
      <w:r w:rsidRPr="00C64FE7">
        <w:rPr>
          <w:rFonts w:cs="Arial"/>
          <w:sz w:val="24"/>
          <w:szCs w:val="22"/>
        </w:rPr>
        <w:t xml:space="preserve"> </w:t>
      </w:r>
      <w:proofErr w:type="spellStart"/>
      <w:r w:rsidRPr="00C64FE7">
        <w:rPr>
          <w:rFonts w:cs="Arial"/>
          <w:sz w:val="24"/>
          <w:szCs w:val="22"/>
        </w:rPr>
        <w:t>industry</w:t>
      </w:r>
      <w:proofErr w:type="spellEnd"/>
      <w:r w:rsidRPr="00C64FE7">
        <w:rPr>
          <w:rFonts w:cs="Arial"/>
          <w:sz w:val="24"/>
          <w:szCs w:val="22"/>
        </w:rPr>
        <w:t xml:space="preserve">, </w:t>
      </w:r>
      <w:proofErr w:type="spellStart"/>
      <w:r w:rsidRPr="00C64FE7">
        <w:rPr>
          <w:rFonts w:cs="Arial"/>
          <w:sz w:val="24"/>
          <w:szCs w:val="22"/>
        </w:rPr>
        <w:t>appreciates</w:t>
      </w:r>
      <w:proofErr w:type="spellEnd"/>
      <w:r w:rsidRPr="00C64FE7">
        <w:rPr>
          <w:rFonts w:cs="Arial"/>
          <w:sz w:val="24"/>
          <w:szCs w:val="22"/>
        </w:rPr>
        <w:t xml:space="preserve"> </w:t>
      </w:r>
      <w:proofErr w:type="spellStart"/>
      <w:r w:rsidRPr="00C64FE7">
        <w:rPr>
          <w:rFonts w:cs="Arial"/>
          <w:sz w:val="24"/>
          <w:szCs w:val="22"/>
        </w:rPr>
        <w:t>the</w:t>
      </w:r>
      <w:proofErr w:type="spellEnd"/>
      <w:r w:rsidRPr="00C64FE7">
        <w:rPr>
          <w:rFonts w:cs="Arial"/>
          <w:sz w:val="24"/>
          <w:szCs w:val="22"/>
        </w:rPr>
        <w:t xml:space="preserve"> </w:t>
      </w:r>
      <w:proofErr w:type="spellStart"/>
      <w:r w:rsidRPr="00C64FE7">
        <w:rPr>
          <w:rFonts w:cs="Arial"/>
          <w:sz w:val="24"/>
          <w:szCs w:val="22"/>
        </w:rPr>
        <w:t>possibility</w:t>
      </w:r>
      <w:proofErr w:type="spellEnd"/>
      <w:r w:rsidRPr="00C64FE7">
        <w:rPr>
          <w:rFonts w:cs="Arial"/>
          <w:sz w:val="24"/>
          <w:szCs w:val="22"/>
        </w:rPr>
        <w:t xml:space="preserve"> </w:t>
      </w:r>
      <w:proofErr w:type="spellStart"/>
      <w:r w:rsidRPr="00C64FE7">
        <w:rPr>
          <w:rFonts w:cs="Arial"/>
          <w:sz w:val="24"/>
          <w:szCs w:val="22"/>
        </w:rPr>
        <w:t>to</w:t>
      </w:r>
      <w:proofErr w:type="spellEnd"/>
      <w:r w:rsidRPr="00C64FE7">
        <w:rPr>
          <w:rFonts w:cs="Arial"/>
          <w:sz w:val="24"/>
          <w:szCs w:val="22"/>
        </w:rPr>
        <w:t xml:space="preserve"> </w:t>
      </w:r>
      <w:proofErr w:type="spellStart"/>
      <w:r w:rsidRPr="00C64FE7">
        <w:rPr>
          <w:rFonts w:cs="Arial"/>
          <w:sz w:val="24"/>
          <w:szCs w:val="22"/>
        </w:rPr>
        <w:t>comment</w:t>
      </w:r>
      <w:proofErr w:type="spellEnd"/>
      <w:r w:rsidRPr="00C64FE7">
        <w:rPr>
          <w:rFonts w:cs="Arial"/>
          <w:sz w:val="24"/>
          <w:szCs w:val="22"/>
        </w:rPr>
        <w:t xml:space="preserve"> on “E</w:t>
      </w:r>
      <w:r>
        <w:rPr>
          <w:rFonts w:cs="Arial"/>
          <w:sz w:val="24"/>
          <w:szCs w:val="22"/>
        </w:rPr>
        <w:t>SM</w:t>
      </w:r>
      <w:r w:rsidRPr="00C64FE7">
        <w:rPr>
          <w:rFonts w:cs="Arial"/>
          <w:sz w:val="24"/>
          <w:szCs w:val="22"/>
        </w:rPr>
        <w:t>A-</w:t>
      </w:r>
      <w:proofErr w:type="spellStart"/>
      <w:r w:rsidRPr="00C64FE7">
        <w:rPr>
          <w:rFonts w:cs="Arial"/>
          <w:sz w:val="24"/>
          <w:szCs w:val="22"/>
        </w:rPr>
        <w:t>Consultation</w:t>
      </w:r>
      <w:proofErr w:type="spellEnd"/>
      <w:r w:rsidRPr="00C64FE7">
        <w:rPr>
          <w:rFonts w:cs="Arial"/>
          <w:sz w:val="24"/>
          <w:szCs w:val="22"/>
        </w:rPr>
        <w:t xml:space="preserve"> </w:t>
      </w:r>
      <w:r>
        <w:rPr>
          <w:rFonts w:cs="Arial"/>
          <w:sz w:val="24"/>
          <w:szCs w:val="22"/>
        </w:rPr>
        <w:t>AIFMD</w:t>
      </w:r>
      <w:r w:rsidRPr="00C64FE7">
        <w:rPr>
          <w:rFonts w:cs="Arial"/>
          <w:sz w:val="24"/>
          <w:szCs w:val="22"/>
        </w:rPr>
        <w:t xml:space="preserve"> " </w:t>
      </w:r>
      <w:proofErr w:type="spellStart"/>
      <w:r w:rsidRPr="00C64FE7">
        <w:rPr>
          <w:rFonts w:cs="Arial"/>
          <w:sz w:val="24"/>
          <w:szCs w:val="22"/>
        </w:rPr>
        <w:t>and</w:t>
      </w:r>
      <w:proofErr w:type="spellEnd"/>
      <w:r w:rsidRPr="00C64FE7">
        <w:rPr>
          <w:rFonts w:cs="Arial"/>
          <w:sz w:val="24"/>
          <w:szCs w:val="22"/>
        </w:rPr>
        <w:t xml:space="preserve"> </w:t>
      </w:r>
      <w:proofErr w:type="spellStart"/>
      <w:r w:rsidRPr="00C64FE7">
        <w:rPr>
          <w:rFonts w:cs="Arial"/>
          <w:sz w:val="24"/>
          <w:szCs w:val="22"/>
        </w:rPr>
        <w:t>would</w:t>
      </w:r>
      <w:proofErr w:type="spellEnd"/>
      <w:r w:rsidRPr="00C64FE7">
        <w:rPr>
          <w:rFonts w:cs="Arial"/>
          <w:sz w:val="24"/>
          <w:szCs w:val="22"/>
        </w:rPr>
        <w:t xml:space="preserve"> </w:t>
      </w:r>
      <w:proofErr w:type="spellStart"/>
      <w:r w:rsidRPr="00C64FE7">
        <w:rPr>
          <w:rFonts w:cs="Arial"/>
          <w:sz w:val="24"/>
          <w:szCs w:val="22"/>
        </w:rPr>
        <w:t>like</w:t>
      </w:r>
      <w:proofErr w:type="spellEnd"/>
      <w:r w:rsidRPr="00C64FE7">
        <w:rPr>
          <w:rFonts w:cs="Arial"/>
          <w:sz w:val="24"/>
          <w:szCs w:val="22"/>
        </w:rPr>
        <w:t xml:space="preserve"> </w:t>
      </w:r>
      <w:proofErr w:type="spellStart"/>
      <w:r w:rsidRPr="00C64FE7">
        <w:rPr>
          <w:rFonts w:cs="Arial"/>
          <w:sz w:val="24"/>
          <w:szCs w:val="22"/>
        </w:rPr>
        <w:t>to</w:t>
      </w:r>
      <w:proofErr w:type="spellEnd"/>
      <w:r w:rsidRPr="00C64FE7">
        <w:rPr>
          <w:rFonts w:cs="Arial"/>
          <w:sz w:val="24"/>
          <w:szCs w:val="22"/>
        </w:rPr>
        <w:t xml:space="preserve"> </w:t>
      </w:r>
      <w:proofErr w:type="spellStart"/>
      <w:r w:rsidRPr="00C64FE7">
        <w:rPr>
          <w:rFonts w:cs="Arial"/>
          <w:sz w:val="24"/>
          <w:szCs w:val="22"/>
        </w:rPr>
        <w:t>submit</w:t>
      </w:r>
      <w:proofErr w:type="spellEnd"/>
      <w:r w:rsidRPr="00C64FE7">
        <w:rPr>
          <w:rFonts w:cs="Arial"/>
          <w:sz w:val="24"/>
          <w:szCs w:val="22"/>
        </w:rPr>
        <w:t xml:space="preserve"> </w:t>
      </w:r>
      <w:proofErr w:type="spellStart"/>
      <w:r w:rsidRPr="00C64FE7">
        <w:rPr>
          <w:rFonts w:cs="Arial"/>
          <w:sz w:val="24"/>
          <w:szCs w:val="22"/>
        </w:rPr>
        <w:t>the</w:t>
      </w:r>
      <w:proofErr w:type="spellEnd"/>
      <w:r w:rsidRPr="00C64FE7">
        <w:rPr>
          <w:rFonts w:cs="Arial"/>
          <w:sz w:val="24"/>
          <w:szCs w:val="22"/>
        </w:rPr>
        <w:t xml:space="preserve"> </w:t>
      </w:r>
      <w:proofErr w:type="spellStart"/>
      <w:r w:rsidRPr="00C64FE7">
        <w:rPr>
          <w:rFonts w:cs="Arial"/>
          <w:sz w:val="24"/>
          <w:szCs w:val="22"/>
        </w:rPr>
        <w:t>following</w:t>
      </w:r>
      <w:proofErr w:type="spellEnd"/>
      <w:r w:rsidRPr="00C64FE7">
        <w:rPr>
          <w:rFonts w:cs="Arial"/>
          <w:sz w:val="24"/>
          <w:szCs w:val="22"/>
        </w:rPr>
        <w:t xml:space="preserve"> </w:t>
      </w:r>
      <w:proofErr w:type="spellStart"/>
      <w:r w:rsidRPr="00C64FE7">
        <w:rPr>
          <w:rFonts w:cs="Arial"/>
          <w:sz w:val="24"/>
          <w:szCs w:val="22"/>
        </w:rPr>
        <w:t>position</w:t>
      </w:r>
      <w:proofErr w:type="spellEnd"/>
      <w:r w:rsidRPr="00C64FE7">
        <w:rPr>
          <w:rFonts w:cs="Arial"/>
          <w:sz w:val="24"/>
          <w:szCs w:val="22"/>
        </w:rPr>
        <w:t>:</w:t>
      </w:r>
    </w:p>
    <w:p w:rsidR="00C64FE7" w:rsidRPr="00F85594" w:rsidRDefault="00C64FE7" w:rsidP="006A6CFB">
      <w:pPr>
        <w:jc w:val="both"/>
        <w:rPr>
          <w:rFonts w:cs="Arial"/>
          <w:sz w:val="24"/>
          <w:szCs w:val="22"/>
        </w:rPr>
      </w:pPr>
      <w:bookmarkStart w:id="0" w:name="_GoBack"/>
      <w:bookmarkEnd w:id="0"/>
    </w:p>
    <w:p w:rsidR="00F85594" w:rsidRPr="00F85594" w:rsidRDefault="00F85594" w:rsidP="00F85594">
      <w:pPr>
        <w:numPr>
          <w:ilvl w:val="0"/>
          <w:numId w:val="30"/>
        </w:numPr>
        <w:autoSpaceDE w:val="0"/>
        <w:autoSpaceDN w:val="0"/>
        <w:adjustRightInd w:val="0"/>
        <w:spacing w:line="276" w:lineRule="auto"/>
        <w:contextualSpacing/>
        <w:jc w:val="both"/>
        <w:rPr>
          <w:rFonts w:eastAsia="Calibri" w:cs="Arial"/>
          <w:b/>
          <w:bCs/>
          <w:iCs/>
          <w:lang w:eastAsia="en-US"/>
        </w:rPr>
      </w:pPr>
      <w:r w:rsidRPr="00F85594">
        <w:rPr>
          <w:rFonts w:eastAsia="Calibri" w:cs="Arial"/>
          <w:b/>
          <w:bCs/>
          <w:iCs/>
          <w:lang w:eastAsia="en-US"/>
        </w:rPr>
        <w:t>General Comments</w:t>
      </w:r>
    </w:p>
    <w:p w:rsidR="00F85594" w:rsidRPr="00F85594" w:rsidRDefault="00F85594" w:rsidP="00F85594">
      <w:pPr>
        <w:autoSpaceDE w:val="0"/>
        <w:autoSpaceDN w:val="0"/>
        <w:adjustRightInd w:val="0"/>
        <w:spacing w:line="276" w:lineRule="auto"/>
        <w:jc w:val="both"/>
        <w:rPr>
          <w:rFonts w:eastAsia="Calibri" w:cs="Arial"/>
          <w:b/>
          <w:bCs/>
          <w:iCs/>
          <w:lang w:eastAsia="en-US"/>
        </w:rPr>
      </w:pPr>
    </w:p>
    <w:p w:rsidR="00F85594" w:rsidRPr="00F85594" w:rsidRDefault="00F85594" w:rsidP="00F85594">
      <w:pPr>
        <w:numPr>
          <w:ilvl w:val="0"/>
          <w:numId w:val="31"/>
        </w:numPr>
        <w:pBdr>
          <w:top w:val="single" w:sz="4" w:space="1" w:color="auto"/>
          <w:left w:val="single" w:sz="4" w:space="4" w:color="auto"/>
          <w:bottom w:val="single" w:sz="4" w:space="1" w:color="auto"/>
          <w:right w:val="single" w:sz="4" w:space="4" w:color="auto"/>
        </w:pBdr>
        <w:spacing w:line="276" w:lineRule="auto"/>
        <w:ind w:hanging="720"/>
        <w:contextualSpacing/>
        <w:jc w:val="both"/>
        <w:rPr>
          <w:rFonts w:cs="Arial"/>
          <w:b/>
          <w:lang w:val="de-AT" w:eastAsia="fr-FR"/>
        </w:rPr>
      </w:pPr>
      <w:r w:rsidRPr="00F85594">
        <w:rPr>
          <w:rFonts w:cs="Arial"/>
          <w:b/>
          <w:lang w:val="de-AT" w:eastAsia="fr-FR"/>
        </w:rPr>
        <w:t xml:space="preserve">AIFM </w:t>
      </w:r>
      <w:proofErr w:type="spellStart"/>
      <w:r w:rsidRPr="00F85594">
        <w:rPr>
          <w:rFonts w:cs="Arial"/>
          <w:b/>
          <w:lang w:val="de-AT" w:eastAsia="fr-FR"/>
        </w:rPr>
        <w:t>managing</w:t>
      </w:r>
      <w:proofErr w:type="spellEnd"/>
      <w:r w:rsidRPr="00F85594">
        <w:rPr>
          <w:rFonts w:cs="Arial"/>
          <w:b/>
          <w:lang w:val="de-AT" w:eastAsia="fr-FR"/>
        </w:rPr>
        <w:t xml:space="preserve"> </w:t>
      </w:r>
      <w:proofErr w:type="spellStart"/>
      <w:r w:rsidRPr="00F85594">
        <w:rPr>
          <w:rFonts w:cs="Arial"/>
          <w:b/>
          <w:lang w:val="de-AT" w:eastAsia="fr-FR"/>
        </w:rPr>
        <w:t>both</w:t>
      </w:r>
      <w:proofErr w:type="spellEnd"/>
      <w:r w:rsidRPr="00F85594">
        <w:rPr>
          <w:rFonts w:cs="Arial"/>
          <w:b/>
          <w:lang w:val="de-AT" w:eastAsia="fr-FR"/>
        </w:rPr>
        <w:t xml:space="preserve"> open-</w:t>
      </w:r>
      <w:proofErr w:type="spellStart"/>
      <w:r w:rsidRPr="00F85594">
        <w:rPr>
          <w:rFonts w:cs="Arial"/>
          <w:b/>
          <w:lang w:val="de-AT" w:eastAsia="fr-FR"/>
        </w:rPr>
        <w:t>ended</w:t>
      </w:r>
      <w:proofErr w:type="spellEnd"/>
      <w:r w:rsidRPr="00F85594">
        <w:rPr>
          <w:rFonts w:cs="Arial"/>
          <w:b/>
          <w:lang w:val="de-AT" w:eastAsia="fr-FR"/>
        </w:rPr>
        <w:t xml:space="preserve"> </w:t>
      </w:r>
      <w:proofErr w:type="spellStart"/>
      <w:r w:rsidRPr="00F85594">
        <w:rPr>
          <w:rFonts w:cs="Arial"/>
          <w:b/>
          <w:lang w:val="de-AT" w:eastAsia="fr-FR"/>
        </w:rPr>
        <w:t>and</w:t>
      </w:r>
      <w:proofErr w:type="spellEnd"/>
      <w:r w:rsidRPr="00F85594">
        <w:rPr>
          <w:rFonts w:cs="Arial"/>
          <w:b/>
          <w:lang w:val="de-AT" w:eastAsia="fr-FR"/>
        </w:rPr>
        <w:t xml:space="preserve"> </w:t>
      </w:r>
      <w:proofErr w:type="spellStart"/>
      <w:r w:rsidRPr="00F85594">
        <w:rPr>
          <w:rFonts w:cs="Arial"/>
          <w:b/>
          <w:lang w:val="de-AT" w:eastAsia="fr-FR"/>
        </w:rPr>
        <w:t>closed-ended</w:t>
      </w:r>
      <w:proofErr w:type="spellEnd"/>
      <w:r w:rsidRPr="00F85594">
        <w:rPr>
          <w:rFonts w:cs="Arial"/>
          <w:b/>
          <w:lang w:val="de-AT" w:eastAsia="fr-FR"/>
        </w:rPr>
        <w:t xml:space="preserve"> AIFs</w:t>
      </w:r>
    </w:p>
    <w:p w:rsidR="00F85594" w:rsidRPr="00F85594" w:rsidRDefault="00F85594" w:rsidP="00F85594">
      <w:pPr>
        <w:spacing w:line="240" w:lineRule="auto"/>
        <w:jc w:val="both"/>
        <w:rPr>
          <w:rFonts w:cs="Arial"/>
          <w:lang w:val="de-AT" w:eastAsia="fr-FR"/>
        </w:rPr>
      </w:pPr>
    </w:p>
    <w:p w:rsidR="00F85594" w:rsidRPr="00F85594" w:rsidRDefault="00F85594" w:rsidP="00F85594">
      <w:pPr>
        <w:spacing w:line="360" w:lineRule="auto"/>
        <w:rPr>
          <w:rFonts w:cs="Arial"/>
          <w:lang w:val="de-AT" w:eastAsia="fr-FR"/>
        </w:rPr>
      </w:pPr>
      <w:proofErr w:type="spellStart"/>
      <w:r>
        <w:rPr>
          <w:rFonts w:cs="Arial"/>
          <w:lang w:val="de-AT" w:eastAsia="fr-FR"/>
        </w:rPr>
        <w:t>We</w:t>
      </w:r>
      <w:proofErr w:type="spellEnd"/>
      <w:r w:rsidRPr="00F85594">
        <w:rPr>
          <w:rFonts w:cs="Arial"/>
          <w:lang w:val="de-AT" w:eastAsia="fr-FR"/>
        </w:rPr>
        <w:t xml:space="preserve"> </w:t>
      </w:r>
      <w:proofErr w:type="spellStart"/>
      <w:r w:rsidRPr="00F85594">
        <w:rPr>
          <w:rFonts w:cs="Arial"/>
          <w:lang w:val="de-AT" w:eastAsia="fr-FR"/>
        </w:rPr>
        <w:t>ask</w:t>
      </w:r>
      <w:proofErr w:type="spellEnd"/>
      <w:r w:rsidRPr="00F85594">
        <w:rPr>
          <w:rFonts w:cs="Arial"/>
          <w:lang w:val="de-AT" w:eastAsia="fr-FR"/>
        </w:rPr>
        <w:t xml:space="preserve"> ESMA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modify</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proposed</w:t>
      </w:r>
      <w:proofErr w:type="spellEnd"/>
      <w:r w:rsidRPr="00F85594">
        <w:rPr>
          <w:rFonts w:cs="Arial"/>
          <w:lang w:val="de-AT" w:eastAsia="fr-FR"/>
        </w:rPr>
        <w:t xml:space="preserve"> </w:t>
      </w:r>
      <w:proofErr w:type="spellStart"/>
      <w:r w:rsidRPr="00F85594">
        <w:rPr>
          <w:rFonts w:cs="Arial"/>
          <w:lang w:val="de-AT" w:eastAsia="fr-FR"/>
        </w:rPr>
        <w:t>Article</w:t>
      </w:r>
      <w:proofErr w:type="spellEnd"/>
      <w:r w:rsidRPr="00F85594">
        <w:rPr>
          <w:rFonts w:cs="Arial"/>
          <w:lang w:val="de-AT" w:eastAsia="fr-FR"/>
        </w:rPr>
        <w:t xml:space="preserve"> 1 (1)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RTS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clarify</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an AIFM </w:t>
      </w:r>
      <w:proofErr w:type="spellStart"/>
      <w:r w:rsidRPr="00F85594">
        <w:rPr>
          <w:rFonts w:cs="Arial"/>
          <w:lang w:val="de-AT" w:eastAsia="fr-FR"/>
        </w:rPr>
        <w:t>may</w:t>
      </w:r>
      <w:proofErr w:type="spellEnd"/>
      <w:r w:rsidRPr="00F85594">
        <w:rPr>
          <w:rFonts w:cs="Arial"/>
          <w:lang w:val="de-AT" w:eastAsia="fr-FR"/>
        </w:rPr>
        <w:t xml:space="preserve"> manage </w:t>
      </w:r>
      <w:proofErr w:type="spellStart"/>
      <w:r w:rsidRPr="00F85594">
        <w:rPr>
          <w:rFonts w:cs="Arial"/>
          <w:lang w:val="de-AT" w:eastAsia="fr-FR"/>
        </w:rPr>
        <w:t>at</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same time </w:t>
      </w:r>
      <w:proofErr w:type="spellStart"/>
      <w:r w:rsidRPr="00F85594">
        <w:rPr>
          <w:rFonts w:cs="Arial"/>
          <w:lang w:val="de-AT" w:eastAsia="fr-FR"/>
        </w:rPr>
        <w:t>both</w:t>
      </w:r>
      <w:proofErr w:type="spellEnd"/>
      <w:r w:rsidRPr="00F85594">
        <w:rPr>
          <w:rFonts w:cs="Arial"/>
          <w:lang w:val="de-AT" w:eastAsia="fr-FR"/>
        </w:rPr>
        <w:t xml:space="preserve"> open-</w:t>
      </w:r>
      <w:proofErr w:type="spellStart"/>
      <w:r w:rsidRPr="00F85594">
        <w:rPr>
          <w:rFonts w:cs="Arial"/>
          <w:lang w:val="de-AT" w:eastAsia="fr-FR"/>
        </w:rPr>
        <w:t>ended</w:t>
      </w:r>
      <w:proofErr w:type="spellEnd"/>
      <w:r w:rsidRPr="00F85594">
        <w:rPr>
          <w:rFonts w:cs="Arial"/>
          <w:lang w:val="de-AT" w:eastAsia="fr-FR"/>
        </w:rPr>
        <w:t xml:space="preserve"> </w:t>
      </w:r>
      <w:proofErr w:type="spellStart"/>
      <w:r w:rsidRPr="00F85594">
        <w:rPr>
          <w:rFonts w:cs="Arial"/>
          <w:lang w:val="de-AT" w:eastAsia="fr-FR"/>
        </w:rPr>
        <w:t>and</w:t>
      </w:r>
      <w:proofErr w:type="spellEnd"/>
      <w:r w:rsidRPr="00F85594">
        <w:rPr>
          <w:rFonts w:cs="Arial"/>
          <w:lang w:val="de-AT" w:eastAsia="fr-FR"/>
        </w:rPr>
        <w:t xml:space="preserve"> </w:t>
      </w:r>
      <w:proofErr w:type="spellStart"/>
      <w:r w:rsidRPr="00F85594">
        <w:rPr>
          <w:rFonts w:cs="Arial"/>
          <w:lang w:val="de-AT" w:eastAsia="fr-FR"/>
        </w:rPr>
        <w:t>closed-ended</w:t>
      </w:r>
      <w:proofErr w:type="spellEnd"/>
      <w:r w:rsidRPr="00F85594">
        <w:rPr>
          <w:rFonts w:cs="Arial"/>
          <w:lang w:val="de-AT" w:eastAsia="fr-FR"/>
        </w:rPr>
        <w:t xml:space="preserve"> AIF. </w:t>
      </w:r>
    </w:p>
    <w:p w:rsidR="00F85594" w:rsidRPr="00F85594" w:rsidRDefault="00F85594" w:rsidP="00F85594">
      <w:pPr>
        <w:spacing w:line="360" w:lineRule="auto"/>
        <w:rPr>
          <w:rFonts w:cs="Arial"/>
          <w:lang w:val="de-AT" w:eastAsia="fr-FR"/>
        </w:rPr>
      </w:pPr>
    </w:p>
    <w:p w:rsidR="00F85594" w:rsidRPr="00F85594" w:rsidRDefault="00F85594" w:rsidP="00F85594">
      <w:pPr>
        <w:spacing w:line="360" w:lineRule="auto"/>
        <w:rPr>
          <w:rFonts w:cs="Arial"/>
          <w:lang w:val="de-AT" w:eastAsia="fr-FR"/>
        </w:rPr>
      </w:pPr>
      <w:r w:rsidRPr="00F85594">
        <w:rPr>
          <w:rFonts w:cs="Arial"/>
          <w:lang w:val="de-AT" w:eastAsia="fr-FR"/>
        </w:rPr>
        <w:t xml:space="preserve">AIFMD Level 1 </w:t>
      </w:r>
      <w:proofErr w:type="spellStart"/>
      <w:r w:rsidRPr="00F85594">
        <w:rPr>
          <w:rFonts w:cs="Arial"/>
          <w:lang w:val="de-AT" w:eastAsia="fr-FR"/>
        </w:rPr>
        <w:t>does</w:t>
      </w:r>
      <w:proofErr w:type="spellEnd"/>
      <w:r w:rsidRPr="00F85594">
        <w:rPr>
          <w:rFonts w:cs="Arial"/>
          <w:lang w:val="de-AT" w:eastAsia="fr-FR"/>
        </w:rPr>
        <w:t xml:space="preserve"> not </w:t>
      </w:r>
      <w:proofErr w:type="spellStart"/>
      <w:r w:rsidRPr="00F85594">
        <w:rPr>
          <w:rFonts w:cs="Arial"/>
          <w:lang w:val="de-AT" w:eastAsia="fr-FR"/>
        </w:rPr>
        <w:t>limit</w:t>
      </w:r>
      <w:proofErr w:type="spellEnd"/>
      <w:r w:rsidRPr="00F85594">
        <w:rPr>
          <w:rFonts w:cs="Arial"/>
          <w:lang w:val="de-AT" w:eastAsia="fr-FR"/>
        </w:rPr>
        <w:t xml:space="preserve"> an AIFM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management</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either</w:t>
      </w:r>
      <w:proofErr w:type="spellEnd"/>
      <w:r w:rsidRPr="00F85594">
        <w:rPr>
          <w:rFonts w:cs="Arial"/>
          <w:lang w:val="de-AT" w:eastAsia="fr-FR"/>
        </w:rPr>
        <w:t xml:space="preserve"> open-</w:t>
      </w:r>
      <w:proofErr w:type="spellStart"/>
      <w:r w:rsidRPr="00F85594">
        <w:rPr>
          <w:rFonts w:cs="Arial"/>
          <w:lang w:val="de-AT" w:eastAsia="fr-FR"/>
        </w:rPr>
        <w:t>ended</w:t>
      </w:r>
      <w:proofErr w:type="spellEnd"/>
      <w:r w:rsidRPr="00F85594">
        <w:rPr>
          <w:rFonts w:cs="Arial"/>
          <w:lang w:val="de-AT" w:eastAsia="fr-FR"/>
        </w:rPr>
        <w:t xml:space="preserve"> </w:t>
      </w:r>
      <w:proofErr w:type="spellStart"/>
      <w:r w:rsidRPr="00F85594">
        <w:rPr>
          <w:rFonts w:cs="Arial"/>
          <w:lang w:val="de-AT" w:eastAsia="fr-FR"/>
        </w:rPr>
        <w:t>or</w:t>
      </w:r>
      <w:proofErr w:type="spellEnd"/>
      <w:r w:rsidRPr="00F85594">
        <w:rPr>
          <w:rFonts w:cs="Arial"/>
          <w:lang w:val="de-AT" w:eastAsia="fr-FR"/>
        </w:rPr>
        <w:t xml:space="preserve"> </w:t>
      </w:r>
      <w:proofErr w:type="spellStart"/>
      <w:r w:rsidRPr="00F85594">
        <w:rPr>
          <w:rFonts w:cs="Arial"/>
          <w:lang w:val="de-AT" w:eastAsia="fr-FR"/>
        </w:rPr>
        <w:t>closed-ended</w:t>
      </w:r>
      <w:proofErr w:type="spellEnd"/>
      <w:r w:rsidRPr="00F85594">
        <w:rPr>
          <w:rFonts w:cs="Arial"/>
          <w:lang w:val="de-AT" w:eastAsia="fr-FR"/>
        </w:rPr>
        <w:t xml:space="preserve"> AIF. </w:t>
      </w:r>
      <w:proofErr w:type="spellStart"/>
      <w:r w:rsidRPr="00F85594">
        <w:rPr>
          <w:rFonts w:cs="Arial"/>
          <w:lang w:val="de-AT" w:eastAsia="fr-FR"/>
        </w:rPr>
        <w:t>Article</w:t>
      </w:r>
      <w:proofErr w:type="spellEnd"/>
      <w:r w:rsidRPr="00F85594">
        <w:rPr>
          <w:rFonts w:cs="Arial"/>
          <w:lang w:val="de-AT" w:eastAsia="fr-FR"/>
        </w:rPr>
        <w:t xml:space="preserve"> 2 (2a) AIFMD </w:t>
      </w:r>
      <w:proofErr w:type="spellStart"/>
      <w:r w:rsidRPr="00F85594">
        <w:rPr>
          <w:rFonts w:cs="Arial"/>
          <w:lang w:val="de-AT" w:eastAsia="fr-FR"/>
        </w:rPr>
        <w:t>only</w:t>
      </w:r>
      <w:proofErr w:type="spellEnd"/>
      <w:r w:rsidRPr="00F85594">
        <w:rPr>
          <w:rFonts w:cs="Arial"/>
          <w:lang w:val="de-AT" w:eastAsia="fr-FR"/>
        </w:rPr>
        <w:t xml:space="preserve"> </w:t>
      </w:r>
      <w:proofErr w:type="spellStart"/>
      <w:r w:rsidRPr="00F85594">
        <w:rPr>
          <w:rFonts w:cs="Arial"/>
          <w:lang w:val="de-AT" w:eastAsia="fr-FR"/>
        </w:rPr>
        <w:t>provides</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w:t>
      </w:r>
      <w:proofErr w:type="spellStart"/>
      <w:r w:rsidRPr="00F85594">
        <w:rPr>
          <w:rFonts w:cs="Arial"/>
          <w:lang w:val="de-AT" w:eastAsia="fr-FR"/>
        </w:rPr>
        <w:t>for</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scope</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application</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AIFMD </w:t>
      </w:r>
      <w:proofErr w:type="spellStart"/>
      <w:r w:rsidRPr="00F85594">
        <w:rPr>
          <w:rFonts w:cs="Arial"/>
          <w:lang w:val="de-AT" w:eastAsia="fr-FR"/>
        </w:rPr>
        <w:t>it</w:t>
      </w:r>
      <w:proofErr w:type="spellEnd"/>
      <w:r w:rsidRPr="00F85594">
        <w:rPr>
          <w:rFonts w:cs="Arial"/>
          <w:lang w:val="de-AT" w:eastAsia="fr-FR"/>
        </w:rPr>
        <w:t xml:space="preserve"> </w:t>
      </w:r>
      <w:proofErr w:type="spellStart"/>
      <w:r w:rsidRPr="00F85594">
        <w:rPr>
          <w:rFonts w:cs="Arial"/>
          <w:lang w:val="de-AT" w:eastAsia="fr-FR"/>
        </w:rPr>
        <w:t>is</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no</w:t>
      </w:r>
      <w:proofErr w:type="spellEnd"/>
      <w:r w:rsidRPr="00F85594">
        <w:rPr>
          <w:rFonts w:cs="Arial"/>
          <w:lang w:val="de-AT" w:eastAsia="fr-FR"/>
        </w:rPr>
        <w:t xml:space="preserve"> </w:t>
      </w:r>
      <w:proofErr w:type="spellStart"/>
      <w:r w:rsidRPr="00F85594">
        <w:rPr>
          <w:rFonts w:cs="Arial"/>
          <w:lang w:val="de-AT" w:eastAsia="fr-FR"/>
        </w:rPr>
        <w:t>significance</w:t>
      </w:r>
      <w:proofErr w:type="spellEnd"/>
      <w:r w:rsidRPr="00F85594">
        <w:rPr>
          <w:rFonts w:cs="Arial"/>
          <w:lang w:val="de-AT" w:eastAsia="fr-FR"/>
        </w:rPr>
        <w:t xml:space="preserve"> </w:t>
      </w:r>
      <w:proofErr w:type="spellStart"/>
      <w:r w:rsidRPr="00F85594">
        <w:rPr>
          <w:rFonts w:cs="Arial"/>
          <w:lang w:val="de-AT" w:eastAsia="fr-FR"/>
        </w:rPr>
        <w:t>whether</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AIF </w:t>
      </w:r>
      <w:proofErr w:type="spellStart"/>
      <w:r w:rsidRPr="00F85594">
        <w:rPr>
          <w:rFonts w:cs="Arial"/>
          <w:lang w:val="de-AT" w:eastAsia="fr-FR"/>
        </w:rPr>
        <w:t>belongs</w:t>
      </w:r>
      <w:proofErr w:type="spellEnd"/>
      <w:r w:rsidRPr="00F85594">
        <w:rPr>
          <w:rFonts w:cs="Arial"/>
          <w:lang w:val="de-AT" w:eastAsia="fr-FR"/>
        </w:rPr>
        <w:t xml:space="preserve">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open-</w:t>
      </w:r>
      <w:proofErr w:type="spellStart"/>
      <w:r w:rsidRPr="00F85594">
        <w:rPr>
          <w:rFonts w:cs="Arial"/>
          <w:lang w:val="de-AT" w:eastAsia="fr-FR"/>
        </w:rPr>
        <w:t>ended</w:t>
      </w:r>
      <w:proofErr w:type="spellEnd"/>
      <w:r w:rsidRPr="00F85594">
        <w:rPr>
          <w:rFonts w:cs="Arial"/>
          <w:lang w:val="de-AT" w:eastAsia="fr-FR"/>
        </w:rPr>
        <w:t xml:space="preserve"> </w:t>
      </w:r>
      <w:proofErr w:type="spellStart"/>
      <w:r w:rsidRPr="00F85594">
        <w:rPr>
          <w:rFonts w:cs="Arial"/>
          <w:lang w:val="de-AT" w:eastAsia="fr-FR"/>
        </w:rPr>
        <w:t>or</w:t>
      </w:r>
      <w:proofErr w:type="spellEnd"/>
      <w:r w:rsidRPr="00F85594">
        <w:rPr>
          <w:rFonts w:cs="Arial"/>
          <w:lang w:val="de-AT" w:eastAsia="fr-FR"/>
        </w:rPr>
        <w:t xml:space="preserve"> </w:t>
      </w:r>
      <w:proofErr w:type="spellStart"/>
      <w:r w:rsidRPr="00F85594">
        <w:rPr>
          <w:rFonts w:cs="Arial"/>
          <w:lang w:val="de-AT" w:eastAsia="fr-FR"/>
        </w:rPr>
        <w:t>closed-ended</w:t>
      </w:r>
      <w:proofErr w:type="spellEnd"/>
      <w:r w:rsidRPr="00F85594">
        <w:rPr>
          <w:rFonts w:cs="Arial"/>
          <w:lang w:val="de-AT" w:eastAsia="fr-FR"/>
        </w:rPr>
        <w:t xml:space="preserve"> type. This </w:t>
      </w:r>
      <w:proofErr w:type="spellStart"/>
      <w:r w:rsidRPr="00F85594">
        <w:rPr>
          <w:rFonts w:cs="Arial"/>
          <w:lang w:val="de-AT" w:eastAsia="fr-FR"/>
        </w:rPr>
        <w:t>article</w:t>
      </w:r>
      <w:proofErr w:type="spellEnd"/>
      <w:r w:rsidRPr="00F85594">
        <w:rPr>
          <w:rFonts w:cs="Arial"/>
          <w:lang w:val="de-AT" w:eastAsia="fr-FR"/>
        </w:rPr>
        <w:t xml:space="preserve"> </w:t>
      </w:r>
      <w:proofErr w:type="spellStart"/>
      <w:r w:rsidRPr="00F85594">
        <w:rPr>
          <w:rFonts w:cs="Arial"/>
          <w:lang w:val="de-AT" w:eastAsia="fr-FR"/>
        </w:rPr>
        <w:t>cannot</w:t>
      </w:r>
      <w:proofErr w:type="spellEnd"/>
      <w:r w:rsidRPr="00F85594">
        <w:rPr>
          <w:rFonts w:cs="Arial"/>
          <w:lang w:val="de-AT" w:eastAsia="fr-FR"/>
        </w:rPr>
        <w:t xml:space="preserve"> </w:t>
      </w:r>
      <w:proofErr w:type="spellStart"/>
      <w:r w:rsidRPr="00F85594">
        <w:rPr>
          <w:rFonts w:cs="Arial"/>
          <w:lang w:val="de-AT" w:eastAsia="fr-FR"/>
        </w:rPr>
        <w:t>be</w:t>
      </w:r>
      <w:proofErr w:type="spellEnd"/>
      <w:r w:rsidRPr="00F85594">
        <w:rPr>
          <w:rFonts w:cs="Arial"/>
          <w:lang w:val="de-AT" w:eastAsia="fr-FR"/>
        </w:rPr>
        <w:t xml:space="preserve"> </w:t>
      </w:r>
      <w:proofErr w:type="spellStart"/>
      <w:r w:rsidRPr="00F85594">
        <w:rPr>
          <w:rFonts w:cs="Arial"/>
          <w:lang w:val="de-AT" w:eastAsia="fr-FR"/>
        </w:rPr>
        <w:t>read</w:t>
      </w:r>
      <w:proofErr w:type="spellEnd"/>
      <w:r w:rsidRPr="00F85594">
        <w:rPr>
          <w:rFonts w:cs="Arial"/>
          <w:lang w:val="de-AT" w:eastAsia="fr-FR"/>
        </w:rPr>
        <w:t xml:space="preserve"> </w:t>
      </w:r>
      <w:proofErr w:type="spellStart"/>
      <w:r w:rsidRPr="00F85594">
        <w:rPr>
          <w:rFonts w:cs="Arial"/>
          <w:lang w:val="de-AT" w:eastAsia="fr-FR"/>
        </w:rPr>
        <w:t>as</w:t>
      </w:r>
      <w:proofErr w:type="spellEnd"/>
      <w:r w:rsidRPr="00F85594">
        <w:rPr>
          <w:rFonts w:cs="Arial"/>
          <w:lang w:val="de-AT" w:eastAsia="fr-FR"/>
        </w:rPr>
        <w:t xml:space="preserve"> a </w:t>
      </w:r>
      <w:proofErr w:type="spellStart"/>
      <w:r w:rsidRPr="00F85594">
        <w:rPr>
          <w:rFonts w:cs="Arial"/>
          <w:lang w:val="de-AT" w:eastAsia="fr-FR"/>
        </w:rPr>
        <w:t>limitation</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activity</w:t>
      </w:r>
      <w:proofErr w:type="spellEnd"/>
      <w:r w:rsidRPr="00F85594">
        <w:rPr>
          <w:rFonts w:cs="Arial"/>
          <w:lang w:val="de-AT" w:eastAsia="fr-FR"/>
        </w:rPr>
        <w:t xml:space="preserve">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management</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one</w:t>
      </w:r>
      <w:proofErr w:type="spellEnd"/>
      <w:r w:rsidRPr="00F85594">
        <w:rPr>
          <w:rFonts w:cs="Arial"/>
          <w:lang w:val="de-AT" w:eastAsia="fr-FR"/>
        </w:rPr>
        <w:t xml:space="preserve"> </w:t>
      </w:r>
      <w:proofErr w:type="spellStart"/>
      <w:r w:rsidRPr="00F85594">
        <w:rPr>
          <w:rFonts w:cs="Arial"/>
          <w:lang w:val="de-AT" w:eastAsia="fr-FR"/>
        </w:rPr>
        <w:t>or</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ot</w:t>
      </w:r>
      <w:r w:rsidR="00AC494D">
        <w:rPr>
          <w:rFonts w:cs="Arial"/>
          <w:lang w:val="de-AT" w:eastAsia="fr-FR"/>
        </w:rPr>
        <w:t>her</w:t>
      </w:r>
      <w:proofErr w:type="spellEnd"/>
      <w:r w:rsidR="00AC494D">
        <w:rPr>
          <w:rFonts w:cs="Arial"/>
          <w:lang w:val="de-AT" w:eastAsia="fr-FR"/>
        </w:rPr>
        <w:t xml:space="preserve"> type </w:t>
      </w:r>
      <w:proofErr w:type="spellStart"/>
      <w:r w:rsidR="00AC494D">
        <w:rPr>
          <w:rFonts w:cs="Arial"/>
          <w:lang w:val="de-AT" w:eastAsia="fr-FR"/>
        </w:rPr>
        <w:t>of</w:t>
      </w:r>
      <w:proofErr w:type="spellEnd"/>
      <w:r w:rsidR="00AC494D">
        <w:rPr>
          <w:rFonts w:cs="Arial"/>
          <w:lang w:val="de-AT" w:eastAsia="fr-FR"/>
        </w:rPr>
        <w:t xml:space="preserve"> AIF. </w:t>
      </w:r>
      <w:proofErr w:type="spellStart"/>
      <w:r w:rsidR="00AC494D">
        <w:rPr>
          <w:rFonts w:cs="Arial"/>
          <w:lang w:val="de-AT" w:eastAsia="fr-FR"/>
        </w:rPr>
        <w:t>Therefore</w:t>
      </w:r>
      <w:proofErr w:type="spellEnd"/>
      <w:r w:rsidR="00AC494D">
        <w:rPr>
          <w:rFonts w:cs="Arial"/>
          <w:lang w:val="de-AT" w:eastAsia="fr-FR"/>
        </w:rPr>
        <w:t xml:space="preserve">, </w:t>
      </w:r>
      <w:proofErr w:type="spellStart"/>
      <w:r w:rsidR="00AC494D">
        <w:rPr>
          <w:rFonts w:cs="Arial"/>
          <w:lang w:val="de-AT" w:eastAsia="fr-FR"/>
        </w:rPr>
        <w:t>we</w:t>
      </w:r>
      <w:proofErr w:type="spellEnd"/>
      <w:r w:rsidR="00AC494D">
        <w:rPr>
          <w:rFonts w:cs="Arial"/>
          <w:lang w:val="de-AT" w:eastAsia="fr-FR"/>
        </w:rPr>
        <w:t xml:space="preserve"> </w:t>
      </w:r>
      <w:proofErr w:type="spellStart"/>
      <w:r w:rsidR="00AC494D">
        <w:rPr>
          <w:rFonts w:cs="Arial"/>
          <w:lang w:val="de-AT" w:eastAsia="fr-FR"/>
        </w:rPr>
        <w:t>propose</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following</w:t>
      </w:r>
      <w:proofErr w:type="spellEnd"/>
      <w:r w:rsidRPr="00F85594">
        <w:rPr>
          <w:rFonts w:cs="Arial"/>
          <w:lang w:val="de-AT" w:eastAsia="fr-FR"/>
        </w:rPr>
        <w:t xml:space="preserve"> </w:t>
      </w:r>
      <w:proofErr w:type="spellStart"/>
      <w:r w:rsidRPr="00F85594">
        <w:rPr>
          <w:rFonts w:cs="Arial"/>
          <w:lang w:val="de-AT" w:eastAsia="fr-FR"/>
        </w:rPr>
        <w:t>amendment</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proposed</w:t>
      </w:r>
      <w:proofErr w:type="spellEnd"/>
      <w:r w:rsidRPr="00F85594">
        <w:rPr>
          <w:rFonts w:cs="Arial"/>
          <w:lang w:val="de-AT" w:eastAsia="fr-FR"/>
        </w:rPr>
        <w:t xml:space="preserve"> </w:t>
      </w:r>
      <w:proofErr w:type="spellStart"/>
      <w:r w:rsidRPr="00F85594">
        <w:rPr>
          <w:rFonts w:cs="Arial"/>
          <w:lang w:val="de-AT" w:eastAsia="fr-FR"/>
        </w:rPr>
        <w:t>Article</w:t>
      </w:r>
      <w:proofErr w:type="spellEnd"/>
      <w:r w:rsidRPr="00F85594">
        <w:rPr>
          <w:rFonts w:cs="Arial"/>
          <w:lang w:val="de-AT" w:eastAsia="fr-FR"/>
        </w:rPr>
        <w:t xml:space="preserve"> 1 (1) RTS:</w:t>
      </w:r>
    </w:p>
    <w:p w:rsidR="00F85594" w:rsidRPr="00F85594" w:rsidRDefault="00F85594" w:rsidP="00F85594">
      <w:pPr>
        <w:spacing w:line="240" w:lineRule="auto"/>
        <w:jc w:val="both"/>
        <w:rPr>
          <w:rFonts w:cs="Arial"/>
          <w:lang w:val="de-AT" w:eastAsia="fr-FR"/>
        </w:rPr>
      </w:pPr>
    </w:p>
    <w:tbl>
      <w:tblPr>
        <w:tblStyle w:val="Tabellenraster"/>
        <w:tblW w:w="0" w:type="auto"/>
        <w:tblInd w:w="198" w:type="dxa"/>
        <w:tblLook w:val="04A0" w:firstRow="1" w:lastRow="0" w:firstColumn="1" w:lastColumn="0" w:noHBand="0" w:noVBand="1"/>
      </w:tblPr>
      <w:tblGrid>
        <w:gridCol w:w="4423"/>
        <w:gridCol w:w="4667"/>
      </w:tblGrid>
      <w:tr w:rsidR="00F85594" w:rsidRPr="00F85594" w:rsidTr="00F85594">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594" w:rsidRPr="00F85594" w:rsidRDefault="00F85594" w:rsidP="00F85594">
            <w:pPr>
              <w:spacing w:line="240" w:lineRule="auto"/>
              <w:jc w:val="both"/>
              <w:rPr>
                <w:rFonts w:eastAsia="Times New Roman" w:cs="Arial"/>
                <w:b/>
                <w:lang w:eastAsia="en-US"/>
              </w:rPr>
            </w:pPr>
            <w:proofErr w:type="spellStart"/>
            <w:r w:rsidRPr="00F85594">
              <w:rPr>
                <w:rFonts w:cs="Arial"/>
                <w:b/>
                <w:lang w:eastAsia="en-US"/>
              </w:rPr>
              <w:t>Proposed</w:t>
            </w:r>
            <w:proofErr w:type="spellEnd"/>
            <w:r w:rsidRPr="00F85594">
              <w:rPr>
                <w:rFonts w:cs="Arial"/>
                <w:b/>
                <w:lang w:eastAsia="en-US"/>
              </w:rPr>
              <w:t xml:space="preserve"> Regulation</w:t>
            </w:r>
          </w:p>
          <w:p w:rsidR="00F85594" w:rsidRPr="00F85594" w:rsidRDefault="00F85594" w:rsidP="00F85594">
            <w:pPr>
              <w:spacing w:line="240" w:lineRule="auto"/>
              <w:jc w:val="both"/>
              <w:rPr>
                <w:rFonts w:eastAsia="Times New Roman" w:cs="Arial"/>
                <w:b/>
                <w:lang w:eastAsia="en-US"/>
              </w:rPr>
            </w:pPr>
          </w:p>
        </w:tc>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594" w:rsidRPr="00F85594" w:rsidRDefault="00F85594" w:rsidP="00F85594">
            <w:pPr>
              <w:spacing w:line="240" w:lineRule="auto"/>
              <w:ind w:left="720"/>
              <w:jc w:val="both"/>
              <w:rPr>
                <w:rFonts w:eastAsia="Times New Roman" w:cs="Arial"/>
                <w:b/>
                <w:lang w:eastAsia="en-US"/>
              </w:rPr>
            </w:pPr>
            <w:proofErr w:type="spellStart"/>
            <w:r w:rsidRPr="00F85594">
              <w:rPr>
                <w:rFonts w:cs="Arial"/>
                <w:b/>
                <w:lang w:eastAsia="en-US"/>
              </w:rPr>
              <w:t>Proposed</w:t>
            </w:r>
            <w:proofErr w:type="spellEnd"/>
            <w:r w:rsidRPr="00F85594">
              <w:rPr>
                <w:rFonts w:cs="Arial"/>
                <w:b/>
                <w:lang w:eastAsia="en-US"/>
              </w:rPr>
              <w:t xml:space="preserve"> </w:t>
            </w:r>
            <w:proofErr w:type="spellStart"/>
            <w:r w:rsidRPr="00F85594">
              <w:rPr>
                <w:rFonts w:cs="Arial"/>
                <w:b/>
                <w:lang w:eastAsia="en-US"/>
              </w:rPr>
              <w:t>amendment</w:t>
            </w:r>
            <w:proofErr w:type="spellEnd"/>
          </w:p>
          <w:p w:rsidR="00F85594" w:rsidRPr="00F85594" w:rsidRDefault="00F85594" w:rsidP="00F85594">
            <w:pPr>
              <w:spacing w:line="240" w:lineRule="auto"/>
              <w:ind w:left="720"/>
              <w:jc w:val="both"/>
              <w:rPr>
                <w:rFonts w:eastAsia="Times New Roman" w:cs="Arial"/>
                <w:b/>
                <w:lang w:eastAsia="en-US"/>
              </w:rPr>
            </w:pPr>
          </w:p>
        </w:tc>
      </w:tr>
      <w:tr w:rsidR="00F85594" w:rsidRPr="00F85594" w:rsidTr="00F85594">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594" w:rsidRPr="00F85594" w:rsidRDefault="00F85594" w:rsidP="00F85594">
            <w:pPr>
              <w:autoSpaceDE w:val="0"/>
              <w:autoSpaceDN w:val="0"/>
              <w:adjustRightInd w:val="0"/>
              <w:spacing w:line="240" w:lineRule="auto"/>
              <w:jc w:val="both"/>
              <w:rPr>
                <w:rFonts w:eastAsia="Times New Roman" w:cs="Arial"/>
                <w:i/>
                <w:color w:val="000000"/>
                <w:lang w:val="en-US" w:eastAsia="en-US"/>
              </w:rPr>
            </w:pPr>
            <w:r w:rsidRPr="00F85594">
              <w:rPr>
                <w:rFonts w:cs="Arial"/>
                <w:i/>
                <w:color w:val="000000"/>
                <w:lang w:val="en-US" w:eastAsia="en-US"/>
              </w:rPr>
              <w:t xml:space="preserve">An AIFM may be </w:t>
            </w:r>
            <w:r w:rsidRPr="00F85594">
              <w:rPr>
                <w:rFonts w:cs="Arial"/>
                <w:b/>
                <w:i/>
                <w:color w:val="000000"/>
                <w:lang w:val="en-US" w:eastAsia="en-US"/>
              </w:rPr>
              <w:t>either of</w:t>
            </w:r>
            <w:r w:rsidRPr="00F85594">
              <w:rPr>
                <w:rFonts w:cs="Arial"/>
                <w:i/>
                <w:color w:val="000000"/>
                <w:lang w:val="en-US" w:eastAsia="en-US"/>
              </w:rPr>
              <w:t xml:space="preserve"> </w:t>
            </w:r>
            <w:r w:rsidRPr="00F85594">
              <w:rPr>
                <w:rFonts w:cs="Arial"/>
                <w:b/>
                <w:i/>
                <w:color w:val="000000"/>
                <w:lang w:val="en-US" w:eastAsia="en-US"/>
              </w:rPr>
              <w:t>the following</w:t>
            </w:r>
            <w:r w:rsidRPr="00F85594">
              <w:rPr>
                <w:rFonts w:cs="Arial"/>
                <w:i/>
                <w:color w:val="000000"/>
                <w:lang w:val="en-US" w:eastAsia="en-US"/>
              </w:rPr>
              <w:t xml:space="preserve">: </w:t>
            </w:r>
          </w:p>
          <w:p w:rsidR="00F85594" w:rsidRPr="00F85594" w:rsidRDefault="00F85594" w:rsidP="00F85594">
            <w:pPr>
              <w:numPr>
                <w:ilvl w:val="0"/>
                <w:numId w:val="32"/>
              </w:numPr>
              <w:spacing w:line="276" w:lineRule="auto"/>
              <w:jc w:val="both"/>
              <w:rPr>
                <w:rFonts w:cs="Arial"/>
                <w:i/>
                <w:lang w:eastAsia="en-US"/>
              </w:rPr>
            </w:pPr>
            <w:r w:rsidRPr="00F85594">
              <w:rPr>
                <w:rFonts w:cs="Arial"/>
                <w:b/>
                <w:i/>
                <w:lang w:eastAsia="en-US"/>
              </w:rPr>
              <w:t xml:space="preserve">an AIFM </w:t>
            </w:r>
            <w:proofErr w:type="spellStart"/>
            <w:r w:rsidRPr="00F85594">
              <w:rPr>
                <w:rFonts w:cs="Arial"/>
                <w:b/>
                <w:i/>
                <w:lang w:eastAsia="en-US"/>
              </w:rPr>
              <w:t>of</w:t>
            </w:r>
            <w:proofErr w:type="spellEnd"/>
            <w:r w:rsidRPr="00F85594">
              <w:rPr>
                <w:rFonts w:cs="Arial"/>
                <w:i/>
                <w:lang w:eastAsia="en-US"/>
              </w:rPr>
              <w:t xml:space="preserve"> open-</w:t>
            </w:r>
            <w:proofErr w:type="spellStart"/>
            <w:r w:rsidRPr="00F85594">
              <w:rPr>
                <w:rFonts w:cs="Arial"/>
                <w:i/>
                <w:lang w:eastAsia="en-US"/>
              </w:rPr>
              <w:t>ended</w:t>
            </w:r>
            <w:proofErr w:type="spellEnd"/>
            <w:r w:rsidRPr="00F85594">
              <w:rPr>
                <w:rFonts w:cs="Arial"/>
                <w:i/>
                <w:lang w:eastAsia="en-US"/>
              </w:rPr>
              <w:t xml:space="preserve"> AIF(s); </w:t>
            </w:r>
          </w:p>
          <w:p w:rsidR="00F85594" w:rsidRPr="00F85594" w:rsidRDefault="00F85594" w:rsidP="00F85594">
            <w:pPr>
              <w:numPr>
                <w:ilvl w:val="0"/>
                <w:numId w:val="32"/>
              </w:numPr>
              <w:spacing w:line="276" w:lineRule="auto"/>
              <w:jc w:val="both"/>
              <w:rPr>
                <w:rFonts w:cs="Arial"/>
                <w:i/>
                <w:lang w:eastAsia="en-US"/>
              </w:rPr>
            </w:pPr>
            <w:r w:rsidRPr="00F85594">
              <w:rPr>
                <w:rFonts w:cs="Arial"/>
                <w:b/>
                <w:i/>
                <w:lang w:eastAsia="en-US"/>
              </w:rPr>
              <w:t xml:space="preserve">an AIFM </w:t>
            </w:r>
            <w:proofErr w:type="spellStart"/>
            <w:r w:rsidRPr="00F85594">
              <w:rPr>
                <w:rFonts w:cs="Arial"/>
                <w:b/>
                <w:i/>
                <w:lang w:eastAsia="en-US"/>
              </w:rPr>
              <w:t>of</w:t>
            </w:r>
            <w:proofErr w:type="spellEnd"/>
            <w:r w:rsidRPr="00F85594">
              <w:rPr>
                <w:rFonts w:cs="Arial"/>
                <w:i/>
                <w:lang w:eastAsia="en-US"/>
              </w:rPr>
              <w:t xml:space="preserve"> </w:t>
            </w:r>
            <w:proofErr w:type="spellStart"/>
            <w:r w:rsidRPr="00F85594">
              <w:rPr>
                <w:rFonts w:cs="Arial"/>
                <w:i/>
                <w:lang w:eastAsia="en-US"/>
              </w:rPr>
              <w:t>closed-ended</w:t>
            </w:r>
            <w:proofErr w:type="spellEnd"/>
            <w:r w:rsidRPr="00F85594">
              <w:rPr>
                <w:rFonts w:cs="Arial"/>
                <w:i/>
                <w:lang w:eastAsia="en-US"/>
              </w:rPr>
              <w:t xml:space="preserve"> AIF(s). </w:t>
            </w:r>
          </w:p>
          <w:p w:rsidR="00F85594" w:rsidRPr="00F85594" w:rsidRDefault="00F85594" w:rsidP="00F85594">
            <w:pPr>
              <w:spacing w:line="240" w:lineRule="auto"/>
              <w:jc w:val="both"/>
              <w:rPr>
                <w:rFonts w:eastAsia="Times New Roman" w:cs="Arial"/>
                <w:i/>
                <w:lang w:val="en-US" w:eastAsia="en-US"/>
              </w:rPr>
            </w:pPr>
          </w:p>
        </w:tc>
        <w:tc>
          <w:tcPr>
            <w:tcW w:w="4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594" w:rsidRPr="00F85594" w:rsidRDefault="00F85594" w:rsidP="00F85594">
            <w:pPr>
              <w:spacing w:line="240" w:lineRule="auto"/>
              <w:jc w:val="both"/>
              <w:rPr>
                <w:rFonts w:eastAsia="Times New Roman" w:cs="Arial"/>
                <w:i/>
                <w:lang w:eastAsia="en-US"/>
              </w:rPr>
            </w:pPr>
            <w:r w:rsidRPr="00F85594">
              <w:rPr>
                <w:rFonts w:cs="Arial"/>
                <w:i/>
                <w:lang w:eastAsia="en-US"/>
              </w:rPr>
              <w:t xml:space="preserve">An AIFM </w:t>
            </w:r>
            <w:proofErr w:type="spellStart"/>
            <w:r w:rsidRPr="00F85594">
              <w:rPr>
                <w:rFonts w:cs="Arial"/>
                <w:b/>
                <w:i/>
                <w:lang w:eastAsia="en-US"/>
              </w:rPr>
              <w:t>manages</w:t>
            </w:r>
            <w:proofErr w:type="spellEnd"/>
            <w:r w:rsidRPr="00F85594">
              <w:rPr>
                <w:rFonts w:cs="Arial"/>
                <w:b/>
                <w:i/>
                <w:lang w:eastAsia="en-US"/>
              </w:rPr>
              <w:t xml:space="preserve"> AIFs </w:t>
            </w:r>
            <w:proofErr w:type="spellStart"/>
            <w:r w:rsidRPr="00F85594">
              <w:rPr>
                <w:rFonts w:cs="Arial"/>
                <w:b/>
                <w:i/>
                <w:lang w:eastAsia="en-US"/>
              </w:rPr>
              <w:t>that</w:t>
            </w:r>
            <w:proofErr w:type="spellEnd"/>
            <w:r w:rsidRPr="00F85594">
              <w:rPr>
                <w:rFonts w:cs="Arial"/>
                <w:i/>
                <w:lang w:eastAsia="en-US"/>
              </w:rPr>
              <w:t xml:space="preserve"> </w:t>
            </w:r>
            <w:proofErr w:type="spellStart"/>
            <w:r w:rsidRPr="00F85594">
              <w:rPr>
                <w:rFonts w:cs="Arial"/>
                <w:i/>
                <w:lang w:eastAsia="en-US"/>
              </w:rPr>
              <w:t>may</w:t>
            </w:r>
            <w:proofErr w:type="spellEnd"/>
            <w:r w:rsidRPr="00F85594">
              <w:rPr>
                <w:rFonts w:cs="Arial"/>
                <w:i/>
                <w:lang w:eastAsia="en-US"/>
              </w:rPr>
              <w:t xml:space="preserve"> </w:t>
            </w:r>
            <w:proofErr w:type="spellStart"/>
            <w:r w:rsidRPr="00F85594">
              <w:rPr>
                <w:rFonts w:cs="Arial"/>
                <w:i/>
                <w:lang w:eastAsia="en-US"/>
              </w:rPr>
              <w:t>be</w:t>
            </w:r>
            <w:proofErr w:type="spellEnd"/>
            <w:r w:rsidRPr="00F85594">
              <w:rPr>
                <w:rFonts w:cs="Arial"/>
                <w:i/>
                <w:lang w:eastAsia="en-US"/>
              </w:rPr>
              <w:t>:</w:t>
            </w:r>
          </w:p>
          <w:p w:rsidR="00F85594" w:rsidRPr="00F85594" w:rsidRDefault="00F85594" w:rsidP="00F85594">
            <w:pPr>
              <w:spacing w:line="240" w:lineRule="auto"/>
              <w:jc w:val="both"/>
              <w:rPr>
                <w:rFonts w:cs="Arial"/>
                <w:i/>
                <w:lang w:eastAsia="en-US"/>
              </w:rPr>
            </w:pPr>
          </w:p>
          <w:p w:rsidR="00F85594" w:rsidRPr="00F85594" w:rsidRDefault="00F85594" w:rsidP="00F85594">
            <w:pPr>
              <w:numPr>
                <w:ilvl w:val="0"/>
                <w:numId w:val="32"/>
              </w:numPr>
              <w:spacing w:line="276" w:lineRule="auto"/>
              <w:jc w:val="both"/>
              <w:rPr>
                <w:rFonts w:cs="Arial"/>
                <w:i/>
                <w:lang w:eastAsia="en-US"/>
              </w:rPr>
            </w:pPr>
            <w:r w:rsidRPr="00F85594">
              <w:rPr>
                <w:rFonts w:cs="Arial"/>
                <w:i/>
                <w:lang w:eastAsia="en-US"/>
              </w:rPr>
              <w:t>open-</w:t>
            </w:r>
            <w:proofErr w:type="spellStart"/>
            <w:r w:rsidRPr="00F85594">
              <w:rPr>
                <w:rFonts w:cs="Arial"/>
                <w:i/>
                <w:lang w:eastAsia="en-US"/>
              </w:rPr>
              <w:t>ended</w:t>
            </w:r>
            <w:proofErr w:type="spellEnd"/>
            <w:r w:rsidRPr="00F85594">
              <w:rPr>
                <w:rFonts w:cs="Arial"/>
                <w:i/>
                <w:lang w:eastAsia="en-US"/>
              </w:rPr>
              <w:t xml:space="preserve"> AIF(s) </w:t>
            </w:r>
            <w:proofErr w:type="spellStart"/>
            <w:r w:rsidRPr="00F85594">
              <w:rPr>
                <w:rFonts w:cs="Arial"/>
                <w:b/>
                <w:i/>
                <w:lang w:eastAsia="en-US"/>
              </w:rPr>
              <w:t>and</w:t>
            </w:r>
            <w:proofErr w:type="spellEnd"/>
            <w:r w:rsidRPr="00F85594">
              <w:rPr>
                <w:rFonts w:cs="Arial"/>
                <w:b/>
                <w:i/>
                <w:lang w:eastAsia="en-US"/>
              </w:rPr>
              <w:t>/</w:t>
            </w:r>
            <w:proofErr w:type="spellStart"/>
            <w:r w:rsidRPr="00F85594">
              <w:rPr>
                <w:rFonts w:cs="Arial"/>
                <w:b/>
                <w:i/>
                <w:lang w:eastAsia="en-US"/>
              </w:rPr>
              <w:t>or</w:t>
            </w:r>
            <w:proofErr w:type="spellEnd"/>
            <w:r w:rsidRPr="00F85594">
              <w:rPr>
                <w:rFonts w:cs="Arial"/>
                <w:b/>
                <w:i/>
                <w:lang w:eastAsia="en-US"/>
              </w:rPr>
              <w:t>,</w:t>
            </w:r>
          </w:p>
          <w:p w:rsidR="00F85594" w:rsidRPr="00F85594" w:rsidRDefault="00F85594" w:rsidP="00F85594">
            <w:pPr>
              <w:numPr>
                <w:ilvl w:val="0"/>
                <w:numId w:val="32"/>
              </w:numPr>
              <w:spacing w:line="276" w:lineRule="auto"/>
              <w:jc w:val="both"/>
              <w:rPr>
                <w:rFonts w:eastAsia="Times New Roman" w:cs="Arial"/>
                <w:i/>
                <w:lang w:eastAsia="en-US"/>
              </w:rPr>
            </w:pPr>
            <w:proofErr w:type="spellStart"/>
            <w:r w:rsidRPr="00F85594">
              <w:rPr>
                <w:rFonts w:cs="Arial"/>
                <w:i/>
                <w:lang w:eastAsia="en-US"/>
              </w:rPr>
              <w:t>closed-ended</w:t>
            </w:r>
            <w:proofErr w:type="spellEnd"/>
            <w:r w:rsidRPr="00F85594">
              <w:rPr>
                <w:rFonts w:cs="Arial"/>
                <w:i/>
                <w:lang w:eastAsia="en-US"/>
              </w:rPr>
              <w:t xml:space="preserve"> AIF(s).</w:t>
            </w:r>
          </w:p>
        </w:tc>
      </w:tr>
    </w:tbl>
    <w:p w:rsidR="00F85594" w:rsidRDefault="00F85594" w:rsidP="00F85594">
      <w:pPr>
        <w:autoSpaceDE w:val="0"/>
        <w:autoSpaceDN w:val="0"/>
        <w:adjustRightInd w:val="0"/>
        <w:spacing w:line="276" w:lineRule="auto"/>
        <w:jc w:val="both"/>
        <w:rPr>
          <w:rFonts w:eastAsia="Calibri" w:cs="Arial"/>
          <w:bCs/>
          <w:iCs/>
          <w:lang w:eastAsia="en-US"/>
        </w:rPr>
      </w:pPr>
    </w:p>
    <w:p w:rsidR="00F85594" w:rsidRDefault="00F85594">
      <w:pPr>
        <w:spacing w:line="240" w:lineRule="auto"/>
        <w:rPr>
          <w:rFonts w:eastAsia="Calibri" w:cs="Arial"/>
          <w:bCs/>
          <w:iCs/>
          <w:lang w:eastAsia="en-US"/>
        </w:rPr>
      </w:pPr>
      <w:r>
        <w:rPr>
          <w:rFonts w:eastAsia="Calibri" w:cs="Arial"/>
          <w:bCs/>
          <w:iCs/>
          <w:lang w:eastAsia="en-US"/>
        </w:rPr>
        <w:br w:type="page"/>
      </w:r>
    </w:p>
    <w:p w:rsidR="00F85594" w:rsidRPr="00F85594" w:rsidRDefault="00F85594" w:rsidP="00F85594">
      <w:pPr>
        <w:numPr>
          <w:ilvl w:val="0"/>
          <w:numId w:val="31"/>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hanging="720"/>
        <w:contextualSpacing/>
        <w:jc w:val="both"/>
        <w:rPr>
          <w:rFonts w:eastAsia="Calibri" w:cs="Arial"/>
          <w:b/>
          <w:bCs/>
          <w:iCs/>
          <w:lang w:eastAsia="en-US"/>
        </w:rPr>
      </w:pPr>
      <w:r w:rsidRPr="00F85594">
        <w:rPr>
          <w:rFonts w:eastAsia="Calibri" w:cs="Arial"/>
          <w:b/>
          <w:bCs/>
          <w:iCs/>
          <w:lang w:eastAsia="en-US"/>
        </w:rPr>
        <w:lastRenderedPageBreak/>
        <w:t xml:space="preserve">Interaction </w:t>
      </w:r>
      <w:proofErr w:type="spellStart"/>
      <w:r w:rsidRPr="00F85594">
        <w:rPr>
          <w:rFonts w:eastAsia="Calibri" w:cs="Arial"/>
          <w:b/>
          <w:bCs/>
          <w:iCs/>
          <w:lang w:eastAsia="en-US"/>
        </w:rPr>
        <w:t>with</w:t>
      </w:r>
      <w:proofErr w:type="spellEnd"/>
      <w:r w:rsidRPr="00F85594">
        <w:rPr>
          <w:rFonts w:eastAsia="Calibri" w:cs="Arial"/>
          <w:b/>
          <w:bCs/>
          <w:iCs/>
          <w:lang w:eastAsia="en-US"/>
        </w:rPr>
        <w:t xml:space="preserve"> </w:t>
      </w:r>
      <w:proofErr w:type="spellStart"/>
      <w:r w:rsidRPr="00F85594">
        <w:rPr>
          <w:rFonts w:eastAsia="Calibri" w:cs="Arial"/>
          <w:b/>
          <w:bCs/>
          <w:iCs/>
          <w:lang w:eastAsia="en-US"/>
        </w:rPr>
        <w:t>other</w:t>
      </w:r>
      <w:proofErr w:type="spellEnd"/>
      <w:r w:rsidRPr="00F85594">
        <w:rPr>
          <w:rFonts w:eastAsia="Calibri" w:cs="Arial"/>
          <w:b/>
          <w:bCs/>
          <w:iCs/>
          <w:lang w:eastAsia="en-US"/>
        </w:rPr>
        <w:t xml:space="preserve"> </w:t>
      </w:r>
      <w:proofErr w:type="spellStart"/>
      <w:r w:rsidRPr="00F85594">
        <w:rPr>
          <w:rFonts w:eastAsia="Calibri" w:cs="Arial"/>
          <w:b/>
          <w:bCs/>
          <w:iCs/>
          <w:lang w:eastAsia="en-US"/>
        </w:rPr>
        <w:t>legislation</w:t>
      </w:r>
      <w:proofErr w:type="spellEnd"/>
    </w:p>
    <w:p w:rsidR="00F85594" w:rsidRPr="00F85594" w:rsidRDefault="00F85594" w:rsidP="00F85594">
      <w:pPr>
        <w:spacing w:line="240" w:lineRule="auto"/>
        <w:rPr>
          <w:rFonts w:cs="Arial"/>
          <w:lang w:val="de-AT" w:eastAsia="fr-FR"/>
        </w:rPr>
      </w:pPr>
    </w:p>
    <w:p w:rsidR="00F85594" w:rsidRPr="00F85594" w:rsidRDefault="00F85594" w:rsidP="00F85594">
      <w:pPr>
        <w:spacing w:line="360" w:lineRule="auto"/>
        <w:rPr>
          <w:rFonts w:cs="Arial"/>
          <w:lang w:val="de-AT" w:eastAsia="fr-FR"/>
        </w:rPr>
      </w:pPr>
      <w:proofErr w:type="spellStart"/>
      <w:r>
        <w:rPr>
          <w:rFonts w:cs="Arial"/>
          <w:lang w:val="de-AT" w:eastAsia="fr-FR"/>
        </w:rPr>
        <w:t>We</w:t>
      </w:r>
      <w:proofErr w:type="spellEnd"/>
      <w:r w:rsidRPr="00F85594">
        <w:rPr>
          <w:rFonts w:cs="Arial"/>
          <w:lang w:val="de-AT" w:eastAsia="fr-FR"/>
        </w:rPr>
        <w:t xml:space="preserve"> </w:t>
      </w:r>
      <w:proofErr w:type="spellStart"/>
      <w:r w:rsidRPr="00F85594">
        <w:rPr>
          <w:rFonts w:cs="Arial"/>
          <w:lang w:val="de-AT" w:eastAsia="fr-FR"/>
        </w:rPr>
        <w:t>understand</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proposed</w:t>
      </w:r>
      <w:proofErr w:type="spellEnd"/>
      <w:r w:rsidRPr="00F85594">
        <w:rPr>
          <w:rFonts w:cs="Arial"/>
          <w:lang w:val="de-AT" w:eastAsia="fr-FR"/>
        </w:rPr>
        <w:t xml:space="preserve"> </w:t>
      </w:r>
      <w:proofErr w:type="spellStart"/>
      <w:r w:rsidRPr="00F85594">
        <w:rPr>
          <w:rFonts w:cs="Arial"/>
          <w:lang w:val="de-AT" w:eastAsia="fr-FR"/>
        </w:rPr>
        <w:t>draft</w:t>
      </w:r>
      <w:proofErr w:type="spellEnd"/>
      <w:r w:rsidRPr="00F85594">
        <w:rPr>
          <w:rFonts w:cs="Arial"/>
          <w:lang w:val="de-AT" w:eastAsia="fr-FR"/>
        </w:rPr>
        <w:t xml:space="preserve"> </w:t>
      </w:r>
      <w:proofErr w:type="spellStart"/>
      <w:r w:rsidRPr="00F85594">
        <w:rPr>
          <w:rFonts w:cs="Arial"/>
          <w:lang w:val="de-AT" w:eastAsia="fr-FR"/>
        </w:rPr>
        <w:t>regulatory</w:t>
      </w:r>
      <w:proofErr w:type="spellEnd"/>
      <w:r w:rsidRPr="00F85594">
        <w:rPr>
          <w:rFonts w:cs="Arial"/>
          <w:lang w:val="de-AT" w:eastAsia="fr-FR"/>
        </w:rPr>
        <w:t xml:space="preserve"> </w:t>
      </w:r>
      <w:proofErr w:type="spellStart"/>
      <w:r w:rsidRPr="00F85594">
        <w:rPr>
          <w:rFonts w:cs="Arial"/>
          <w:lang w:val="de-AT" w:eastAsia="fr-FR"/>
        </w:rPr>
        <w:t>technical</w:t>
      </w:r>
      <w:proofErr w:type="spellEnd"/>
      <w:r w:rsidRPr="00F85594">
        <w:rPr>
          <w:rFonts w:cs="Arial"/>
          <w:lang w:val="de-AT" w:eastAsia="fr-FR"/>
        </w:rPr>
        <w:t xml:space="preserve"> </w:t>
      </w:r>
      <w:proofErr w:type="spellStart"/>
      <w:r w:rsidRPr="00F85594">
        <w:rPr>
          <w:rFonts w:cs="Arial"/>
          <w:lang w:val="de-AT" w:eastAsia="fr-FR"/>
        </w:rPr>
        <w:t>standards</w:t>
      </w:r>
      <w:proofErr w:type="spellEnd"/>
      <w:r w:rsidRPr="00F85594">
        <w:rPr>
          <w:rFonts w:cs="Arial"/>
          <w:lang w:val="de-AT" w:eastAsia="fr-FR"/>
        </w:rPr>
        <w:t xml:space="preserve"> (RTS) </w:t>
      </w:r>
      <w:proofErr w:type="spellStart"/>
      <w:r w:rsidRPr="00F85594">
        <w:rPr>
          <w:rFonts w:cs="Arial"/>
          <w:lang w:val="de-AT" w:eastAsia="fr-FR"/>
        </w:rPr>
        <w:t>only</w:t>
      </w:r>
      <w:proofErr w:type="spellEnd"/>
      <w:r w:rsidRPr="00F85594">
        <w:rPr>
          <w:rFonts w:cs="Arial"/>
          <w:lang w:val="de-AT" w:eastAsia="fr-FR"/>
        </w:rPr>
        <w:t xml:space="preserve"> </w:t>
      </w:r>
      <w:proofErr w:type="spellStart"/>
      <w:r w:rsidRPr="00F85594">
        <w:rPr>
          <w:rFonts w:cs="Arial"/>
          <w:lang w:val="de-AT" w:eastAsia="fr-FR"/>
        </w:rPr>
        <w:t>apply</w:t>
      </w:r>
      <w:proofErr w:type="spellEnd"/>
      <w:r w:rsidRPr="00F85594">
        <w:rPr>
          <w:rFonts w:cs="Arial"/>
          <w:lang w:val="de-AT" w:eastAsia="fr-FR"/>
        </w:rPr>
        <w:t xml:space="preserve"> </w:t>
      </w:r>
      <w:proofErr w:type="spellStart"/>
      <w:r w:rsidRPr="00F85594">
        <w:rPr>
          <w:rFonts w:cs="Arial"/>
          <w:lang w:val="de-AT" w:eastAsia="fr-FR"/>
        </w:rPr>
        <w:t>to</w:t>
      </w:r>
      <w:proofErr w:type="spellEnd"/>
      <w:r w:rsidRPr="00F85594">
        <w:rPr>
          <w:rFonts w:cs="Arial"/>
          <w:lang w:val="de-AT" w:eastAsia="fr-FR"/>
        </w:rPr>
        <w:t xml:space="preserve"> AIFs </w:t>
      </w:r>
      <w:proofErr w:type="spellStart"/>
      <w:r w:rsidRPr="00F85594">
        <w:rPr>
          <w:rFonts w:cs="Arial"/>
          <w:lang w:val="de-AT" w:eastAsia="fr-FR"/>
        </w:rPr>
        <w:t>and</w:t>
      </w:r>
      <w:proofErr w:type="spellEnd"/>
      <w:r w:rsidRPr="00F85594">
        <w:rPr>
          <w:rFonts w:cs="Arial"/>
          <w:lang w:val="de-AT" w:eastAsia="fr-FR"/>
        </w:rPr>
        <w:t xml:space="preserve"> AIFM.</w:t>
      </w:r>
    </w:p>
    <w:p w:rsidR="00F85594" w:rsidRPr="00F85594" w:rsidRDefault="00F85594" w:rsidP="00F85594">
      <w:pPr>
        <w:spacing w:line="360" w:lineRule="auto"/>
        <w:rPr>
          <w:rFonts w:cs="Arial"/>
          <w:lang w:val="de-AT" w:eastAsia="fr-FR"/>
        </w:rPr>
      </w:pPr>
    </w:p>
    <w:p w:rsidR="00F85594" w:rsidRPr="00F85594" w:rsidRDefault="00F85594" w:rsidP="00F85594">
      <w:pPr>
        <w:spacing w:line="360" w:lineRule="auto"/>
        <w:rPr>
          <w:rFonts w:cs="Arial"/>
          <w:lang w:val="de-AT" w:eastAsia="fr-FR"/>
        </w:rPr>
      </w:pPr>
      <w:r w:rsidRPr="00F85594">
        <w:rPr>
          <w:rFonts w:cs="Arial"/>
          <w:lang w:val="de-AT" w:eastAsia="fr-FR"/>
        </w:rPr>
        <w:t xml:space="preserve">In </w:t>
      </w:r>
      <w:proofErr w:type="spellStart"/>
      <w:r w:rsidRPr="00F85594">
        <w:rPr>
          <w:rFonts w:cs="Arial"/>
          <w:lang w:val="de-AT" w:eastAsia="fr-FR"/>
        </w:rPr>
        <w:t>particular</w:t>
      </w:r>
      <w:proofErr w:type="spellEnd"/>
      <w:r w:rsidRPr="00F85594">
        <w:rPr>
          <w:rFonts w:cs="Arial"/>
          <w:lang w:val="de-AT" w:eastAsia="fr-FR"/>
        </w:rPr>
        <w:t xml:space="preserve">, </w:t>
      </w:r>
      <w:proofErr w:type="spellStart"/>
      <w:r>
        <w:rPr>
          <w:rFonts w:cs="Arial"/>
          <w:lang w:val="de-AT" w:eastAsia="fr-FR"/>
        </w:rPr>
        <w:t>we</w:t>
      </w:r>
      <w:proofErr w:type="spellEnd"/>
      <w:r>
        <w:rPr>
          <w:rFonts w:cs="Arial"/>
          <w:lang w:val="de-AT" w:eastAsia="fr-FR"/>
        </w:rPr>
        <w:t xml:space="preserve"> </w:t>
      </w:r>
      <w:proofErr w:type="spellStart"/>
      <w:r>
        <w:rPr>
          <w:rFonts w:cs="Arial"/>
          <w:lang w:val="de-AT" w:eastAsia="fr-FR"/>
        </w:rPr>
        <w:t>understand</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proposed</w:t>
      </w:r>
      <w:proofErr w:type="spellEnd"/>
      <w:r w:rsidRPr="00F85594">
        <w:rPr>
          <w:rFonts w:cs="Arial"/>
          <w:lang w:val="de-AT" w:eastAsia="fr-FR"/>
        </w:rPr>
        <w:t xml:space="preserve"> </w:t>
      </w:r>
      <w:proofErr w:type="spellStart"/>
      <w:r w:rsidRPr="00F85594">
        <w:rPr>
          <w:rFonts w:cs="Arial"/>
          <w:lang w:val="de-AT" w:eastAsia="fr-FR"/>
        </w:rPr>
        <w:t>definition</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closed-ended</w:t>
      </w:r>
      <w:proofErr w:type="spellEnd"/>
      <w:r w:rsidRPr="00F85594">
        <w:rPr>
          <w:rFonts w:cs="Arial"/>
          <w:lang w:val="de-AT" w:eastAsia="fr-FR"/>
        </w:rPr>
        <w:t xml:space="preserve">” </w:t>
      </w:r>
      <w:proofErr w:type="spellStart"/>
      <w:r w:rsidRPr="00F85594">
        <w:rPr>
          <w:rFonts w:cs="Arial"/>
          <w:lang w:val="de-AT" w:eastAsia="fr-FR"/>
        </w:rPr>
        <w:t>and</w:t>
      </w:r>
      <w:proofErr w:type="spellEnd"/>
      <w:r w:rsidRPr="00F85594">
        <w:rPr>
          <w:rFonts w:cs="Arial"/>
          <w:lang w:val="de-AT" w:eastAsia="fr-FR"/>
        </w:rPr>
        <w:t xml:space="preserve"> “open-</w:t>
      </w:r>
      <w:proofErr w:type="spellStart"/>
      <w:r w:rsidRPr="00F85594">
        <w:rPr>
          <w:rFonts w:cs="Arial"/>
          <w:lang w:val="de-AT" w:eastAsia="fr-FR"/>
        </w:rPr>
        <w:t>ended</w:t>
      </w:r>
      <w:proofErr w:type="spellEnd"/>
      <w:r w:rsidRPr="00F85594">
        <w:rPr>
          <w:rFonts w:cs="Arial"/>
          <w:lang w:val="de-AT" w:eastAsia="fr-FR"/>
        </w:rPr>
        <w:t xml:space="preserve">” </w:t>
      </w:r>
      <w:proofErr w:type="spellStart"/>
      <w:r w:rsidRPr="00F85594">
        <w:rPr>
          <w:rFonts w:cs="Arial"/>
          <w:lang w:val="de-AT" w:eastAsia="fr-FR"/>
        </w:rPr>
        <w:t>funds</w:t>
      </w:r>
      <w:proofErr w:type="spellEnd"/>
      <w:r w:rsidRPr="00F85594">
        <w:rPr>
          <w:rFonts w:cs="Arial"/>
          <w:lang w:val="de-AT" w:eastAsia="fr-FR"/>
        </w:rPr>
        <w:t xml:space="preserve"> </w:t>
      </w:r>
      <w:proofErr w:type="spellStart"/>
      <w:r w:rsidRPr="00F85594">
        <w:rPr>
          <w:rFonts w:cs="Arial"/>
          <w:lang w:val="de-AT" w:eastAsia="fr-FR"/>
        </w:rPr>
        <w:t>should</w:t>
      </w:r>
      <w:proofErr w:type="spellEnd"/>
      <w:r w:rsidRPr="00F85594">
        <w:rPr>
          <w:rFonts w:cs="Arial"/>
          <w:lang w:val="de-AT" w:eastAsia="fr-FR"/>
        </w:rPr>
        <w:t xml:space="preserve"> </w:t>
      </w:r>
      <w:proofErr w:type="spellStart"/>
      <w:r w:rsidRPr="00F85594">
        <w:rPr>
          <w:rFonts w:cs="Arial"/>
          <w:lang w:val="de-AT" w:eastAsia="fr-FR"/>
        </w:rPr>
        <w:t>only</w:t>
      </w:r>
      <w:proofErr w:type="spellEnd"/>
      <w:r w:rsidRPr="00F85594">
        <w:rPr>
          <w:rFonts w:cs="Arial"/>
          <w:lang w:val="de-AT" w:eastAsia="fr-FR"/>
        </w:rPr>
        <w:t xml:space="preserve"> </w:t>
      </w:r>
      <w:proofErr w:type="spellStart"/>
      <w:r w:rsidRPr="00F85594">
        <w:rPr>
          <w:rFonts w:cs="Arial"/>
          <w:lang w:val="de-AT" w:eastAsia="fr-FR"/>
        </w:rPr>
        <w:t>apply</w:t>
      </w:r>
      <w:proofErr w:type="spellEnd"/>
      <w:r w:rsidRPr="00F85594">
        <w:rPr>
          <w:rFonts w:cs="Arial"/>
          <w:lang w:val="de-AT" w:eastAsia="fr-FR"/>
        </w:rPr>
        <w:t xml:space="preserve"> in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context</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AIFMD. This </w:t>
      </w:r>
      <w:proofErr w:type="spellStart"/>
      <w:r w:rsidRPr="00F85594">
        <w:rPr>
          <w:rFonts w:cs="Arial"/>
          <w:lang w:val="de-AT" w:eastAsia="fr-FR"/>
        </w:rPr>
        <w:t>definition</w:t>
      </w:r>
      <w:proofErr w:type="spellEnd"/>
      <w:r w:rsidRPr="00F85594">
        <w:rPr>
          <w:rFonts w:cs="Arial"/>
          <w:lang w:val="de-AT" w:eastAsia="fr-FR"/>
        </w:rPr>
        <w:t xml:space="preserve"> </w:t>
      </w:r>
      <w:proofErr w:type="spellStart"/>
      <w:r w:rsidRPr="00F85594">
        <w:rPr>
          <w:rFonts w:cs="Arial"/>
          <w:lang w:val="de-AT" w:eastAsia="fr-FR"/>
        </w:rPr>
        <w:t>does</w:t>
      </w:r>
      <w:proofErr w:type="spellEnd"/>
      <w:r w:rsidRPr="00F85594">
        <w:rPr>
          <w:rFonts w:cs="Arial"/>
          <w:lang w:val="de-AT" w:eastAsia="fr-FR"/>
        </w:rPr>
        <w:t xml:space="preserve"> not </w:t>
      </w:r>
      <w:proofErr w:type="spellStart"/>
      <w:r w:rsidRPr="00F85594">
        <w:rPr>
          <w:rFonts w:cs="Arial"/>
          <w:lang w:val="de-AT" w:eastAsia="fr-FR"/>
        </w:rPr>
        <w:t>apply</w:t>
      </w:r>
      <w:proofErr w:type="spellEnd"/>
      <w:r w:rsidRPr="00F85594">
        <w:rPr>
          <w:rFonts w:cs="Arial"/>
          <w:lang w:val="de-AT" w:eastAsia="fr-FR"/>
        </w:rPr>
        <w:t xml:space="preserve"> </w:t>
      </w:r>
      <w:proofErr w:type="spellStart"/>
      <w:r w:rsidRPr="00F85594">
        <w:rPr>
          <w:rFonts w:cs="Arial"/>
          <w:lang w:val="de-AT" w:eastAsia="fr-FR"/>
        </w:rPr>
        <w:t>to</w:t>
      </w:r>
      <w:proofErr w:type="spellEnd"/>
      <w:r w:rsidRPr="00F85594">
        <w:rPr>
          <w:rFonts w:cs="Arial"/>
          <w:lang w:val="de-AT" w:eastAsia="fr-FR"/>
        </w:rPr>
        <w:t xml:space="preserve"> UCITS </w:t>
      </w:r>
      <w:proofErr w:type="spellStart"/>
      <w:r w:rsidRPr="00F85594">
        <w:rPr>
          <w:rFonts w:cs="Arial"/>
          <w:lang w:val="de-AT" w:eastAsia="fr-FR"/>
        </w:rPr>
        <w:t>for</w:t>
      </w:r>
      <w:proofErr w:type="spellEnd"/>
      <w:r w:rsidRPr="00F85594">
        <w:rPr>
          <w:rFonts w:cs="Arial"/>
          <w:lang w:val="de-AT" w:eastAsia="fr-FR"/>
        </w:rPr>
        <w:t xml:space="preserve"> </w:t>
      </w:r>
      <w:proofErr w:type="spellStart"/>
      <w:r w:rsidRPr="00F85594">
        <w:rPr>
          <w:rFonts w:cs="Arial"/>
          <w:lang w:val="de-AT" w:eastAsia="fr-FR"/>
        </w:rPr>
        <w:t>which</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UCITS </w:t>
      </w:r>
      <w:proofErr w:type="spellStart"/>
      <w:r w:rsidRPr="00F85594">
        <w:rPr>
          <w:rFonts w:cs="Arial"/>
          <w:lang w:val="de-AT" w:eastAsia="fr-FR"/>
        </w:rPr>
        <w:t>Directive</w:t>
      </w:r>
      <w:proofErr w:type="spellEnd"/>
      <w:r w:rsidRPr="00F85594">
        <w:rPr>
          <w:rFonts w:cs="Arial"/>
          <w:lang w:val="de-AT" w:eastAsia="fr-FR"/>
        </w:rPr>
        <w:t xml:space="preserve"> also </w:t>
      </w:r>
      <w:proofErr w:type="spellStart"/>
      <w:r w:rsidRPr="00F85594">
        <w:rPr>
          <w:rFonts w:cs="Arial"/>
          <w:lang w:val="de-AT" w:eastAsia="fr-FR"/>
        </w:rPr>
        <w:t>contains</w:t>
      </w:r>
      <w:proofErr w:type="spellEnd"/>
      <w:r w:rsidRPr="00F85594">
        <w:rPr>
          <w:rFonts w:cs="Arial"/>
          <w:lang w:val="de-AT" w:eastAsia="fr-FR"/>
        </w:rPr>
        <w:t xml:space="preserve"> </w:t>
      </w:r>
      <w:proofErr w:type="spellStart"/>
      <w:r w:rsidRPr="00F85594">
        <w:rPr>
          <w:rFonts w:cs="Arial"/>
          <w:lang w:val="de-AT" w:eastAsia="fr-FR"/>
        </w:rPr>
        <w:t>investment</w:t>
      </w:r>
      <w:proofErr w:type="spellEnd"/>
      <w:r w:rsidRPr="00F85594">
        <w:rPr>
          <w:rFonts w:cs="Arial"/>
          <w:lang w:val="de-AT" w:eastAsia="fr-FR"/>
        </w:rPr>
        <w:t xml:space="preserve"> </w:t>
      </w:r>
      <w:proofErr w:type="spellStart"/>
      <w:r w:rsidRPr="00F85594">
        <w:rPr>
          <w:rFonts w:cs="Arial"/>
          <w:lang w:val="de-AT" w:eastAsia="fr-FR"/>
        </w:rPr>
        <w:t>rules</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w:t>
      </w:r>
      <w:proofErr w:type="spellStart"/>
      <w:r w:rsidRPr="00F85594">
        <w:rPr>
          <w:rFonts w:cs="Arial"/>
          <w:lang w:val="de-AT" w:eastAsia="fr-FR"/>
        </w:rPr>
        <w:t>distinguish</w:t>
      </w:r>
      <w:proofErr w:type="spellEnd"/>
      <w:r w:rsidRPr="00F85594">
        <w:rPr>
          <w:rFonts w:cs="Arial"/>
          <w:lang w:val="de-AT" w:eastAsia="fr-FR"/>
        </w:rPr>
        <w:t xml:space="preserve"> open-</w:t>
      </w:r>
      <w:proofErr w:type="spellStart"/>
      <w:r w:rsidRPr="00F85594">
        <w:rPr>
          <w:rFonts w:cs="Arial"/>
          <w:lang w:val="de-AT" w:eastAsia="fr-FR"/>
        </w:rPr>
        <w:t>ended</w:t>
      </w:r>
      <w:proofErr w:type="spellEnd"/>
      <w:r w:rsidRPr="00F85594">
        <w:rPr>
          <w:rFonts w:cs="Arial"/>
          <w:lang w:val="de-AT" w:eastAsia="fr-FR"/>
        </w:rPr>
        <w:t xml:space="preserve"> </w:t>
      </w:r>
      <w:proofErr w:type="spellStart"/>
      <w:r w:rsidRPr="00F85594">
        <w:rPr>
          <w:rFonts w:cs="Arial"/>
          <w:lang w:val="de-AT" w:eastAsia="fr-FR"/>
        </w:rPr>
        <w:t>and</w:t>
      </w:r>
      <w:proofErr w:type="spellEnd"/>
      <w:r w:rsidRPr="00F85594">
        <w:rPr>
          <w:rFonts w:cs="Arial"/>
          <w:lang w:val="de-AT" w:eastAsia="fr-FR"/>
        </w:rPr>
        <w:t xml:space="preserve"> </w:t>
      </w:r>
      <w:proofErr w:type="spellStart"/>
      <w:r w:rsidRPr="00F85594">
        <w:rPr>
          <w:rFonts w:cs="Arial"/>
          <w:lang w:val="de-AT" w:eastAsia="fr-FR"/>
        </w:rPr>
        <w:t>closed-ended</w:t>
      </w:r>
      <w:proofErr w:type="spellEnd"/>
      <w:r w:rsidRPr="00F85594">
        <w:rPr>
          <w:rFonts w:cs="Arial"/>
          <w:lang w:val="de-AT" w:eastAsia="fr-FR"/>
        </w:rPr>
        <w:t xml:space="preserve"> </w:t>
      </w:r>
      <w:proofErr w:type="spellStart"/>
      <w:r w:rsidRPr="00F85594">
        <w:rPr>
          <w:rFonts w:cs="Arial"/>
          <w:lang w:val="de-AT" w:eastAsia="fr-FR"/>
        </w:rPr>
        <w:t>funds</w:t>
      </w:r>
      <w:proofErr w:type="spellEnd"/>
      <w:r w:rsidRPr="00F85594">
        <w:rPr>
          <w:rFonts w:cs="Arial"/>
          <w:lang w:val="de-AT" w:eastAsia="fr-FR"/>
        </w:rPr>
        <w:t xml:space="preserve">. </w:t>
      </w:r>
    </w:p>
    <w:p w:rsidR="00F85594" w:rsidRPr="00F85594" w:rsidRDefault="00F85594" w:rsidP="00F85594">
      <w:pPr>
        <w:autoSpaceDE w:val="0"/>
        <w:autoSpaceDN w:val="0"/>
        <w:adjustRightInd w:val="0"/>
        <w:spacing w:line="276" w:lineRule="auto"/>
        <w:jc w:val="both"/>
        <w:rPr>
          <w:rFonts w:eastAsia="Calibri" w:cs="Arial"/>
          <w:bCs/>
          <w:iCs/>
          <w:lang w:eastAsia="en-US"/>
        </w:rPr>
      </w:pPr>
    </w:p>
    <w:p w:rsidR="00F85594" w:rsidRPr="00F85594" w:rsidRDefault="00F85594" w:rsidP="00F85594">
      <w:pPr>
        <w:autoSpaceDE w:val="0"/>
        <w:autoSpaceDN w:val="0"/>
        <w:adjustRightInd w:val="0"/>
        <w:spacing w:line="276" w:lineRule="auto"/>
        <w:jc w:val="both"/>
        <w:rPr>
          <w:rFonts w:eastAsia="Calibri" w:cs="Arial"/>
          <w:bCs/>
          <w:iCs/>
          <w:lang w:eastAsia="en-US"/>
        </w:rPr>
      </w:pPr>
    </w:p>
    <w:p w:rsidR="00F85594" w:rsidRPr="00F85594" w:rsidRDefault="00F85594" w:rsidP="00F85594">
      <w:pPr>
        <w:numPr>
          <w:ilvl w:val="0"/>
          <w:numId w:val="30"/>
        </w:numPr>
        <w:autoSpaceDE w:val="0"/>
        <w:autoSpaceDN w:val="0"/>
        <w:adjustRightInd w:val="0"/>
        <w:spacing w:line="276" w:lineRule="auto"/>
        <w:contextualSpacing/>
        <w:jc w:val="both"/>
        <w:rPr>
          <w:rFonts w:eastAsia="Calibri" w:cs="Arial"/>
          <w:b/>
          <w:bCs/>
          <w:iCs/>
          <w:lang w:eastAsia="en-US"/>
        </w:rPr>
      </w:pPr>
      <w:proofErr w:type="spellStart"/>
      <w:r w:rsidRPr="00F85594">
        <w:rPr>
          <w:rFonts w:eastAsia="Calibri" w:cs="Arial"/>
          <w:b/>
          <w:bCs/>
          <w:iCs/>
          <w:lang w:eastAsia="en-US"/>
        </w:rPr>
        <w:t>Replies</w:t>
      </w:r>
      <w:proofErr w:type="spellEnd"/>
      <w:r w:rsidRPr="00F85594">
        <w:rPr>
          <w:rFonts w:eastAsia="Calibri" w:cs="Arial"/>
          <w:b/>
          <w:bCs/>
          <w:iCs/>
          <w:lang w:eastAsia="en-US"/>
        </w:rPr>
        <w:t xml:space="preserve"> </w:t>
      </w:r>
      <w:proofErr w:type="spellStart"/>
      <w:r w:rsidRPr="00F85594">
        <w:rPr>
          <w:rFonts w:eastAsia="Calibri" w:cs="Arial"/>
          <w:b/>
          <w:bCs/>
          <w:iCs/>
          <w:lang w:eastAsia="en-US"/>
        </w:rPr>
        <w:t>to</w:t>
      </w:r>
      <w:proofErr w:type="spellEnd"/>
      <w:r w:rsidRPr="00F85594">
        <w:rPr>
          <w:rFonts w:eastAsia="Calibri" w:cs="Arial"/>
          <w:b/>
          <w:bCs/>
          <w:iCs/>
          <w:lang w:eastAsia="en-US"/>
        </w:rPr>
        <w:t xml:space="preserve"> </w:t>
      </w:r>
      <w:proofErr w:type="spellStart"/>
      <w:r w:rsidRPr="00F85594">
        <w:rPr>
          <w:rFonts w:eastAsia="Calibri" w:cs="Arial"/>
          <w:b/>
          <w:bCs/>
          <w:iCs/>
          <w:lang w:eastAsia="en-US"/>
        </w:rPr>
        <w:t>specific</w:t>
      </w:r>
      <w:proofErr w:type="spellEnd"/>
      <w:r w:rsidRPr="00F85594">
        <w:rPr>
          <w:rFonts w:eastAsia="Calibri" w:cs="Arial"/>
          <w:b/>
          <w:bCs/>
          <w:iCs/>
          <w:lang w:eastAsia="en-US"/>
        </w:rPr>
        <w:t xml:space="preserve"> </w:t>
      </w:r>
      <w:proofErr w:type="spellStart"/>
      <w:r w:rsidRPr="00F85594">
        <w:rPr>
          <w:rFonts w:eastAsia="Calibri" w:cs="Arial"/>
          <w:b/>
          <w:bCs/>
          <w:iCs/>
          <w:lang w:eastAsia="en-US"/>
        </w:rPr>
        <w:t>questions</w:t>
      </w:r>
      <w:proofErr w:type="spellEnd"/>
      <w:r w:rsidRPr="00F85594">
        <w:rPr>
          <w:rFonts w:eastAsia="Calibri" w:cs="Arial"/>
          <w:b/>
          <w:bCs/>
          <w:iCs/>
          <w:lang w:eastAsia="en-US"/>
        </w:rPr>
        <w:t xml:space="preserve"> </w:t>
      </w:r>
      <w:proofErr w:type="spellStart"/>
      <w:r w:rsidRPr="00F85594">
        <w:rPr>
          <w:rFonts w:eastAsia="Calibri" w:cs="Arial"/>
          <w:b/>
          <w:bCs/>
          <w:iCs/>
          <w:lang w:eastAsia="en-US"/>
        </w:rPr>
        <w:t>raised</w:t>
      </w:r>
      <w:proofErr w:type="spellEnd"/>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keepNext/>
        <w:keepLines/>
        <w:spacing w:line="240" w:lineRule="auto"/>
        <w:ind w:left="357" w:hanging="357"/>
        <w:contextualSpacing/>
        <w:jc w:val="both"/>
        <w:outlineLvl w:val="0"/>
        <w:rPr>
          <w:rFonts w:cs="Arial"/>
          <w:b/>
          <w:bCs/>
          <w:lang w:val="de-AT" w:eastAsia="en-US"/>
        </w:rPr>
      </w:pPr>
      <w:r w:rsidRPr="00F85594">
        <w:rPr>
          <w:rFonts w:cs="Arial"/>
          <w:b/>
          <w:bCs/>
          <w:lang w:val="de-AT" w:eastAsia="en-US"/>
        </w:rPr>
        <w:t>II. Background</w:t>
      </w:r>
    </w:p>
    <w:p w:rsidR="00F85594" w:rsidRPr="00F85594" w:rsidRDefault="00F85594" w:rsidP="00F85594">
      <w:pPr>
        <w:autoSpaceDE w:val="0"/>
        <w:autoSpaceDN w:val="0"/>
        <w:adjustRightInd w:val="0"/>
        <w:spacing w:line="240" w:lineRule="auto"/>
        <w:jc w:val="both"/>
        <w:rPr>
          <w:rFonts w:cs="Arial"/>
          <w:b/>
          <w:bCs/>
          <w:color w:val="000000"/>
          <w:lang w:val="nl-BE"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40" w:lineRule="auto"/>
        <w:ind w:left="567" w:hanging="567"/>
        <w:jc w:val="both"/>
        <w:rPr>
          <w:rFonts w:cs="Arial"/>
          <w:b/>
          <w:bCs/>
          <w:color w:val="000000"/>
          <w:lang w:val="en-US" w:eastAsia="de-AT"/>
        </w:rPr>
      </w:pPr>
      <w:r w:rsidRPr="00F85594">
        <w:rPr>
          <w:rFonts w:cs="Arial"/>
          <w:b/>
          <w:bCs/>
          <w:color w:val="000000"/>
          <w:lang w:val="en-US" w:eastAsia="de-AT"/>
        </w:rPr>
        <w:t xml:space="preserve">Q1: </w:t>
      </w:r>
      <w:r w:rsidRPr="00F85594">
        <w:rPr>
          <w:rFonts w:cs="Arial"/>
          <w:b/>
          <w:bCs/>
          <w:color w:val="000000"/>
          <w:lang w:val="en-US" w:eastAsia="de-AT"/>
        </w:rPr>
        <w:tab/>
        <w:t xml:space="preserve">Do you agree with the approach suggested above on the topics which should be included in the draft regulatory technical standards? If not, please state the reasons for your answer and also suggest an alternative approach. </w:t>
      </w:r>
    </w:p>
    <w:p w:rsidR="00F85594" w:rsidRPr="00F85594" w:rsidRDefault="00F85594" w:rsidP="00F85594">
      <w:pPr>
        <w:autoSpaceDE w:val="0"/>
        <w:autoSpaceDN w:val="0"/>
        <w:adjustRightInd w:val="0"/>
        <w:spacing w:line="276" w:lineRule="auto"/>
        <w:jc w:val="both"/>
        <w:rPr>
          <w:rFonts w:eastAsia="Calibri" w:cs="Arial"/>
          <w:bCs/>
          <w:iCs/>
          <w:lang w:eastAsia="en-US"/>
        </w:rPr>
      </w:pPr>
    </w:p>
    <w:p w:rsidR="00F85594" w:rsidRPr="00F85594" w:rsidRDefault="00F85594" w:rsidP="00F85594">
      <w:pPr>
        <w:autoSpaceDE w:val="0"/>
        <w:autoSpaceDN w:val="0"/>
        <w:adjustRightInd w:val="0"/>
        <w:spacing w:line="360" w:lineRule="auto"/>
        <w:rPr>
          <w:rFonts w:eastAsia="Calibri" w:cs="Arial"/>
          <w:bCs/>
          <w:iCs/>
          <w:lang w:eastAsia="en-US"/>
        </w:rPr>
      </w:pPr>
      <w:proofErr w:type="spellStart"/>
      <w:r>
        <w:rPr>
          <w:rFonts w:eastAsia="Calibri" w:cs="Arial"/>
          <w:bCs/>
          <w:iCs/>
          <w:lang w:eastAsia="en-US"/>
        </w:rPr>
        <w:t>We</w:t>
      </w:r>
      <w:proofErr w:type="spellEnd"/>
      <w:r w:rsidRPr="00F85594">
        <w:rPr>
          <w:rFonts w:eastAsia="Calibri" w:cs="Arial"/>
          <w:bCs/>
          <w:iCs/>
          <w:lang w:eastAsia="en-US"/>
        </w:rPr>
        <w:t xml:space="preserve"> </w:t>
      </w:r>
      <w:proofErr w:type="spellStart"/>
      <w:r w:rsidRPr="00F85594">
        <w:rPr>
          <w:rFonts w:eastAsia="Calibri" w:cs="Arial"/>
          <w:bCs/>
          <w:iCs/>
          <w:lang w:eastAsia="en-US"/>
        </w:rPr>
        <w:t>regret</w:t>
      </w:r>
      <w:proofErr w:type="spellEnd"/>
      <w:r w:rsidRPr="00F85594">
        <w:rPr>
          <w:rFonts w:eastAsia="Calibri" w:cs="Arial"/>
          <w:bCs/>
          <w:iCs/>
          <w:lang w:eastAsia="en-US"/>
        </w:rPr>
        <w:t xml:space="preserve"> </w:t>
      </w:r>
      <w:proofErr w:type="spellStart"/>
      <w:r w:rsidRPr="00F85594">
        <w:rPr>
          <w:rFonts w:eastAsia="Calibri" w:cs="Arial"/>
          <w:bCs/>
          <w:iCs/>
          <w:lang w:eastAsia="en-US"/>
        </w:rPr>
        <w:t>that</w:t>
      </w:r>
      <w:proofErr w:type="spellEnd"/>
      <w:r w:rsidRPr="00F85594">
        <w:rPr>
          <w:rFonts w:eastAsia="Calibri" w:cs="Arial"/>
          <w:bCs/>
          <w:iCs/>
          <w:lang w:eastAsia="en-US"/>
        </w:rPr>
        <w:t xml:space="preserve"> ESMA </w:t>
      </w:r>
      <w:proofErr w:type="spellStart"/>
      <w:r w:rsidRPr="00F85594">
        <w:rPr>
          <w:rFonts w:eastAsia="Calibri" w:cs="Arial"/>
          <w:bCs/>
          <w:iCs/>
          <w:lang w:eastAsia="en-US"/>
        </w:rPr>
        <w:t>has</w:t>
      </w:r>
      <w:proofErr w:type="spellEnd"/>
      <w:r w:rsidRPr="00F85594">
        <w:rPr>
          <w:rFonts w:eastAsia="Calibri" w:cs="Arial"/>
          <w:bCs/>
          <w:iCs/>
          <w:lang w:eastAsia="en-US"/>
        </w:rPr>
        <w:t xml:space="preserve"> </w:t>
      </w:r>
      <w:proofErr w:type="spellStart"/>
      <w:r w:rsidRPr="00F85594">
        <w:rPr>
          <w:rFonts w:eastAsia="Calibri" w:cs="Arial"/>
          <w:bCs/>
          <w:iCs/>
          <w:lang w:eastAsia="en-US"/>
        </w:rPr>
        <w:t>decided</w:t>
      </w:r>
      <w:proofErr w:type="spellEnd"/>
      <w:r w:rsidRPr="00F85594">
        <w:rPr>
          <w:rFonts w:eastAsia="Calibri" w:cs="Arial"/>
          <w:bCs/>
          <w:iCs/>
          <w:lang w:eastAsia="en-US"/>
        </w:rPr>
        <w:t xml:space="preserve"> not </w:t>
      </w:r>
      <w:proofErr w:type="spellStart"/>
      <w:r w:rsidRPr="00F85594">
        <w:rPr>
          <w:rFonts w:eastAsia="Calibri" w:cs="Arial"/>
          <w:bCs/>
          <w:iCs/>
          <w:lang w:eastAsia="en-US"/>
        </w:rPr>
        <w:t>to</w:t>
      </w:r>
      <w:proofErr w:type="spellEnd"/>
      <w:r w:rsidRPr="00F85594">
        <w:rPr>
          <w:rFonts w:eastAsia="Calibri" w:cs="Arial"/>
          <w:bCs/>
          <w:iCs/>
          <w:lang w:eastAsia="en-US"/>
        </w:rPr>
        <w:t xml:space="preserve"> </w:t>
      </w:r>
      <w:proofErr w:type="spellStart"/>
      <w:r w:rsidRPr="00F85594">
        <w:rPr>
          <w:rFonts w:eastAsia="Calibri" w:cs="Arial"/>
          <w:bCs/>
          <w:iCs/>
          <w:lang w:eastAsia="en-US"/>
        </w:rPr>
        <w:t>include</w:t>
      </w:r>
      <w:proofErr w:type="spellEnd"/>
      <w:r w:rsidRPr="00F85594">
        <w:rPr>
          <w:rFonts w:eastAsia="Calibri" w:cs="Arial"/>
          <w:bCs/>
          <w:iCs/>
          <w:lang w:eastAsia="en-US"/>
        </w:rPr>
        <w:t xml:space="preserve"> </w:t>
      </w:r>
      <w:proofErr w:type="spellStart"/>
      <w:r w:rsidRPr="00F85594">
        <w:rPr>
          <w:rFonts w:eastAsia="Calibri" w:cs="Arial"/>
          <w:bCs/>
          <w:iCs/>
          <w:lang w:eastAsia="en-US"/>
        </w:rPr>
        <w:t>into</w:t>
      </w:r>
      <w:proofErr w:type="spellEnd"/>
      <w:r w:rsidRPr="00F85594">
        <w:rPr>
          <w:rFonts w:eastAsia="Calibri" w:cs="Arial"/>
          <w:bCs/>
          <w:iCs/>
          <w:lang w:eastAsia="en-US"/>
        </w:rPr>
        <w:t xml:space="preserve"> </w:t>
      </w:r>
      <w:proofErr w:type="spellStart"/>
      <w:r w:rsidRPr="00F85594">
        <w:rPr>
          <w:rFonts w:eastAsia="Calibri" w:cs="Arial"/>
          <w:bCs/>
          <w:iCs/>
          <w:lang w:eastAsia="en-US"/>
        </w:rPr>
        <w:t>this</w:t>
      </w:r>
      <w:proofErr w:type="spellEnd"/>
      <w:r w:rsidRPr="00F85594">
        <w:rPr>
          <w:rFonts w:eastAsia="Calibri" w:cs="Arial"/>
          <w:bCs/>
          <w:iCs/>
          <w:lang w:eastAsia="en-US"/>
        </w:rPr>
        <w:t xml:space="preserve"> </w:t>
      </w:r>
      <w:proofErr w:type="spellStart"/>
      <w:r w:rsidRPr="00F85594">
        <w:rPr>
          <w:rFonts w:eastAsia="Calibri" w:cs="Arial"/>
          <w:bCs/>
          <w:iCs/>
          <w:lang w:eastAsia="en-US"/>
        </w:rPr>
        <w:t>Consultation</w:t>
      </w:r>
      <w:proofErr w:type="spellEnd"/>
      <w:r w:rsidRPr="00F85594">
        <w:rPr>
          <w:rFonts w:eastAsia="Calibri" w:cs="Arial"/>
          <w:bCs/>
          <w:iCs/>
          <w:lang w:eastAsia="en-US"/>
        </w:rPr>
        <w:t xml:space="preserve"> Paper </w:t>
      </w:r>
      <w:proofErr w:type="spellStart"/>
      <w:r w:rsidRPr="00F85594">
        <w:rPr>
          <w:rFonts w:eastAsia="Calibri" w:cs="Arial"/>
          <w:bCs/>
          <w:iCs/>
          <w:lang w:eastAsia="en-US"/>
        </w:rPr>
        <w:t>topics</w:t>
      </w:r>
      <w:proofErr w:type="spellEnd"/>
      <w:r w:rsidRPr="00F85594">
        <w:rPr>
          <w:rFonts w:eastAsia="Calibri" w:cs="Arial"/>
          <w:bCs/>
          <w:iCs/>
          <w:lang w:eastAsia="en-US"/>
        </w:rPr>
        <w:t xml:space="preserve"> </w:t>
      </w:r>
      <w:proofErr w:type="spellStart"/>
      <w:r w:rsidRPr="00F85594">
        <w:rPr>
          <w:rFonts w:eastAsia="Calibri" w:cs="Arial"/>
          <w:bCs/>
          <w:iCs/>
          <w:lang w:eastAsia="en-US"/>
        </w:rPr>
        <w:t>which</w:t>
      </w:r>
      <w:proofErr w:type="spellEnd"/>
      <w:r w:rsidRPr="00F85594">
        <w:rPr>
          <w:rFonts w:eastAsia="Calibri" w:cs="Arial"/>
          <w:bCs/>
          <w:iCs/>
          <w:lang w:eastAsia="en-US"/>
        </w:rPr>
        <w:t xml:space="preserve"> </w:t>
      </w:r>
      <w:proofErr w:type="spellStart"/>
      <w:r w:rsidRPr="00F85594">
        <w:rPr>
          <w:rFonts w:eastAsia="Calibri" w:cs="Arial"/>
          <w:bCs/>
          <w:iCs/>
          <w:lang w:eastAsia="en-US"/>
        </w:rPr>
        <w:t>have</w:t>
      </w:r>
      <w:proofErr w:type="spellEnd"/>
      <w:r w:rsidRPr="00F85594">
        <w:rPr>
          <w:rFonts w:eastAsia="Calibri" w:cs="Arial"/>
          <w:bCs/>
          <w:iCs/>
          <w:lang w:eastAsia="en-US"/>
        </w:rPr>
        <w:t xml:space="preserve"> </w:t>
      </w:r>
      <w:proofErr w:type="spellStart"/>
      <w:r w:rsidRPr="00F85594">
        <w:rPr>
          <w:rFonts w:eastAsia="Calibri" w:cs="Arial"/>
          <w:bCs/>
          <w:iCs/>
          <w:lang w:eastAsia="en-US"/>
        </w:rPr>
        <w:t>been</w:t>
      </w:r>
      <w:proofErr w:type="spellEnd"/>
      <w:r w:rsidRPr="00F85594">
        <w:rPr>
          <w:rFonts w:eastAsia="Calibri" w:cs="Arial"/>
          <w:bCs/>
          <w:iCs/>
          <w:lang w:eastAsia="en-US"/>
        </w:rPr>
        <w:t xml:space="preserve"> </w:t>
      </w:r>
      <w:proofErr w:type="spellStart"/>
      <w:r w:rsidRPr="00F85594">
        <w:rPr>
          <w:rFonts w:eastAsia="Calibri" w:cs="Arial"/>
          <w:bCs/>
          <w:iCs/>
          <w:lang w:eastAsia="en-US"/>
        </w:rPr>
        <w:t>covered</w:t>
      </w:r>
      <w:proofErr w:type="spellEnd"/>
      <w:r w:rsidRPr="00F85594">
        <w:rPr>
          <w:rFonts w:eastAsia="Calibri" w:cs="Arial"/>
          <w:bCs/>
          <w:iCs/>
          <w:lang w:eastAsia="en-US"/>
        </w:rPr>
        <w:t xml:space="preserve"> </w:t>
      </w:r>
      <w:proofErr w:type="spellStart"/>
      <w:r w:rsidRPr="00F85594">
        <w:rPr>
          <w:rFonts w:eastAsia="Calibri" w:cs="Arial"/>
          <w:bCs/>
          <w:iCs/>
          <w:lang w:eastAsia="en-US"/>
        </w:rPr>
        <w:t>by</w:t>
      </w:r>
      <w:proofErr w:type="spellEnd"/>
      <w:r w:rsidRPr="00F85594">
        <w:rPr>
          <w:rFonts w:eastAsia="Calibri" w:cs="Arial"/>
          <w:bCs/>
          <w:iCs/>
          <w:lang w:eastAsia="en-US"/>
        </w:rPr>
        <w:t xml:space="preserve"> </w:t>
      </w:r>
      <w:proofErr w:type="spellStart"/>
      <w:r w:rsidRPr="00F85594">
        <w:rPr>
          <w:rFonts w:eastAsia="Calibri" w:cs="Arial"/>
          <w:bCs/>
          <w:iCs/>
          <w:lang w:eastAsia="en-US"/>
        </w:rPr>
        <w:t>the</w:t>
      </w:r>
      <w:proofErr w:type="spellEnd"/>
      <w:r w:rsidRPr="00F85594">
        <w:rPr>
          <w:rFonts w:eastAsia="Calibri" w:cs="Arial"/>
          <w:bCs/>
          <w:iCs/>
          <w:lang w:eastAsia="en-US"/>
        </w:rPr>
        <w:t xml:space="preserve"> </w:t>
      </w:r>
      <w:proofErr w:type="spellStart"/>
      <w:r w:rsidRPr="00F85594">
        <w:rPr>
          <w:rFonts w:eastAsia="Calibri" w:cs="Arial"/>
          <w:bCs/>
          <w:iCs/>
          <w:lang w:eastAsia="en-US"/>
        </w:rPr>
        <w:t>discussion</w:t>
      </w:r>
      <w:proofErr w:type="spellEnd"/>
      <w:r w:rsidRPr="00F85594">
        <w:rPr>
          <w:rFonts w:eastAsia="Calibri" w:cs="Arial"/>
          <w:bCs/>
          <w:iCs/>
          <w:lang w:eastAsia="en-US"/>
        </w:rPr>
        <w:t xml:space="preserve"> </w:t>
      </w:r>
      <w:proofErr w:type="spellStart"/>
      <w:r w:rsidRPr="00F85594">
        <w:rPr>
          <w:rFonts w:eastAsia="Calibri" w:cs="Arial"/>
          <w:bCs/>
          <w:iCs/>
          <w:lang w:eastAsia="en-US"/>
        </w:rPr>
        <w:t>paper</w:t>
      </w:r>
      <w:proofErr w:type="spellEnd"/>
      <w:r w:rsidRPr="00F85594">
        <w:rPr>
          <w:rFonts w:eastAsia="Calibri" w:cs="Arial"/>
          <w:bCs/>
          <w:iCs/>
          <w:lang w:eastAsia="en-US"/>
        </w:rPr>
        <w:t xml:space="preserve"> </w:t>
      </w:r>
      <w:proofErr w:type="spellStart"/>
      <w:r w:rsidRPr="00F85594">
        <w:rPr>
          <w:rFonts w:eastAsia="Calibri" w:cs="Arial"/>
          <w:bCs/>
          <w:iCs/>
          <w:lang w:eastAsia="en-US"/>
        </w:rPr>
        <w:t>of</w:t>
      </w:r>
      <w:proofErr w:type="spellEnd"/>
      <w:r w:rsidRPr="00F85594">
        <w:rPr>
          <w:rFonts w:eastAsia="Calibri" w:cs="Arial"/>
          <w:bCs/>
          <w:iCs/>
          <w:lang w:eastAsia="en-US"/>
        </w:rPr>
        <w:t xml:space="preserve"> 23 </w:t>
      </w:r>
      <w:proofErr w:type="spellStart"/>
      <w:r w:rsidRPr="00F85594">
        <w:rPr>
          <w:rFonts w:eastAsia="Calibri" w:cs="Arial"/>
          <w:bCs/>
          <w:iCs/>
          <w:lang w:eastAsia="en-US"/>
        </w:rPr>
        <w:t>February</w:t>
      </w:r>
      <w:proofErr w:type="spellEnd"/>
      <w:r w:rsidRPr="00F85594">
        <w:rPr>
          <w:rFonts w:eastAsia="Calibri" w:cs="Arial"/>
          <w:bCs/>
          <w:iCs/>
          <w:lang w:eastAsia="en-US"/>
        </w:rPr>
        <w:t xml:space="preserve"> 2012, in </w:t>
      </w:r>
      <w:proofErr w:type="spellStart"/>
      <w:r w:rsidRPr="00F85594">
        <w:rPr>
          <w:rFonts w:eastAsia="Calibri" w:cs="Arial"/>
          <w:bCs/>
          <w:iCs/>
          <w:lang w:eastAsia="en-US"/>
        </w:rPr>
        <w:t>particular</w:t>
      </w:r>
      <w:proofErr w:type="spellEnd"/>
      <w:r w:rsidRPr="00F85594">
        <w:rPr>
          <w:rFonts w:eastAsia="Calibri" w:cs="Arial"/>
          <w:bCs/>
          <w:iCs/>
          <w:lang w:eastAsia="en-US"/>
        </w:rPr>
        <w:t>:</w:t>
      </w:r>
    </w:p>
    <w:p w:rsidR="00F85594" w:rsidRPr="00F85594" w:rsidRDefault="00F85594" w:rsidP="00F85594">
      <w:pPr>
        <w:autoSpaceDE w:val="0"/>
        <w:autoSpaceDN w:val="0"/>
        <w:adjustRightInd w:val="0"/>
        <w:spacing w:line="360" w:lineRule="auto"/>
        <w:jc w:val="both"/>
        <w:rPr>
          <w:rFonts w:eastAsia="Calibri" w:cs="Arial"/>
          <w:bCs/>
          <w:iCs/>
          <w:lang w:eastAsia="en-US"/>
        </w:rPr>
      </w:pPr>
    </w:p>
    <w:p w:rsidR="00F85594" w:rsidRPr="00F85594" w:rsidRDefault="00F85594" w:rsidP="00F85594">
      <w:pPr>
        <w:numPr>
          <w:ilvl w:val="0"/>
          <w:numId w:val="33"/>
        </w:numPr>
        <w:spacing w:line="360" w:lineRule="auto"/>
        <w:contextualSpacing/>
        <w:rPr>
          <w:rFonts w:cs="Arial"/>
          <w:lang w:val="de-AT" w:eastAsia="de-AT"/>
        </w:rPr>
      </w:pPr>
      <w:r w:rsidRPr="00F85594">
        <w:rPr>
          <w:rFonts w:cs="Arial"/>
          <w:lang w:val="de-AT" w:eastAsia="de-AT"/>
        </w:rPr>
        <w:t xml:space="preserve">The </w:t>
      </w:r>
      <w:proofErr w:type="spellStart"/>
      <w:r w:rsidRPr="00F85594">
        <w:rPr>
          <w:rFonts w:cs="Arial"/>
          <w:lang w:val="de-AT" w:eastAsia="de-AT"/>
        </w:rPr>
        <w:t>vehicles</w:t>
      </w:r>
      <w:proofErr w:type="spellEnd"/>
      <w:r w:rsidRPr="00F85594">
        <w:rPr>
          <w:rFonts w:cs="Arial"/>
          <w:lang w:val="de-AT" w:eastAsia="de-AT"/>
        </w:rPr>
        <w:t xml:space="preserve"> </w:t>
      </w:r>
      <w:proofErr w:type="spellStart"/>
      <w:r w:rsidRPr="00F85594">
        <w:rPr>
          <w:rFonts w:cs="Arial"/>
          <w:lang w:val="de-AT" w:eastAsia="de-AT"/>
        </w:rPr>
        <w:t>which</w:t>
      </w:r>
      <w:proofErr w:type="spellEnd"/>
      <w:r w:rsidRPr="00F85594">
        <w:rPr>
          <w:rFonts w:cs="Arial"/>
          <w:lang w:val="de-AT" w:eastAsia="de-AT"/>
        </w:rPr>
        <w:t xml:space="preserve"> </w:t>
      </w:r>
      <w:proofErr w:type="spellStart"/>
      <w:r w:rsidRPr="00F85594">
        <w:rPr>
          <w:rFonts w:cs="Arial"/>
          <w:lang w:val="de-AT" w:eastAsia="de-AT"/>
        </w:rPr>
        <w:t>are</w:t>
      </w:r>
      <w:proofErr w:type="spellEnd"/>
      <w:r w:rsidRPr="00F85594">
        <w:rPr>
          <w:rFonts w:cs="Arial"/>
          <w:lang w:val="de-AT" w:eastAsia="de-AT"/>
        </w:rPr>
        <w:t xml:space="preserve"> not AIFMs </w:t>
      </w:r>
      <w:proofErr w:type="spellStart"/>
      <w:r w:rsidRPr="00F85594">
        <w:rPr>
          <w:rFonts w:cs="Arial"/>
          <w:lang w:val="de-AT" w:eastAsia="de-AT"/>
        </w:rPr>
        <w:t>or</w:t>
      </w:r>
      <w:proofErr w:type="spellEnd"/>
      <w:r w:rsidRPr="00F85594">
        <w:rPr>
          <w:rFonts w:cs="Arial"/>
          <w:lang w:val="de-AT" w:eastAsia="de-AT"/>
        </w:rPr>
        <w:t xml:space="preserve"> AIFs </w:t>
      </w:r>
      <w:proofErr w:type="spellStart"/>
      <w:r w:rsidRPr="00F85594">
        <w:rPr>
          <w:rFonts w:cs="Arial"/>
          <w:lang w:val="de-AT" w:eastAsia="de-AT"/>
        </w:rPr>
        <w:t>or</w:t>
      </w:r>
      <w:proofErr w:type="spellEnd"/>
      <w:r w:rsidRPr="00F85594">
        <w:rPr>
          <w:rFonts w:cs="Arial"/>
          <w:lang w:val="de-AT" w:eastAsia="de-AT"/>
        </w:rPr>
        <w:t xml:space="preserve"> </w:t>
      </w:r>
      <w:proofErr w:type="spellStart"/>
      <w:r w:rsidRPr="00F85594">
        <w:rPr>
          <w:rFonts w:cs="Arial"/>
          <w:lang w:val="de-AT" w:eastAsia="de-AT"/>
        </w:rPr>
        <w:t>are</w:t>
      </w:r>
      <w:proofErr w:type="spellEnd"/>
      <w:r w:rsidRPr="00F85594">
        <w:rPr>
          <w:rFonts w:cs="Arial"/>
          <w:lang w:val="de-AT" w:eastAsia="de-AT"/>
        </w:rPr>
        <w:t xml:space="preserve"> </w:t>
      </w:r>
      <w:proofErr w:type="spellStart"/>
      <w:r w:rsidRPr="00F85594">
        <w:rPr>
          <w:rFonts w:cs="Arial"/>
          <w:lang w:val="de-AT" w:eastAsia="de-AT"/>
        </w:rPr>
        <w:t>exempted</w:t>
      </w:r>
      <w:proofErr w:type="spellEnd"/>
      <w:r w:rsidRPr="00F85594">
        <w:rPr>
          <w:rFonts w:cs="Arial"/>
          <w:lang w:val="de-AT" w:eastAsia="de-AT"/>
        </w:rPr>
        <w:t xml:space="preserve"> </w:t>
      </w:r>
      <w:proofErr w:type="spellStart"/>
      <w:r w:rsidRPr="00F85594">
        <w:rPr>
          <w:rFonts w:cs="Arial"/>
          <w:lang w:val="de-AT" w:eastAsia="de-AT"/>
        </w:rPr>
        <w:t>from</w:t>
      </w:r>
      <w:proofErr w:type="spellEnd"/>
      <w:r w:rsidRPr="00F85594">
        <w:rPr>
          <w:rFonts w:cs="Arial"/>
          <w:lang w:val="de-AT" w:eastAsia="de-AT"/>
        </w:rPr>
        <w:t xml:space="preserve"> </w:t>
      </w:r>
      <w:proofErr w:type="spellStart"/>
      <w:r w:rsidRPr="00F85594">
        <w:rPr>
          <w:rFonts w:cs="Arial"/>
          <w:lang w:val="de-AT" w:eastAsia="de-AT"/>
        </w:rPr>
        <w:t>the</w:t>
      </w:r>
      <w:proofErr w:type="spellEnd"/>
      <w:r w:rsidRPr="00F85594">
        <w:rPr>
          <w:rFonts w:cs="Arial"/>
          <w:lang w:val="de-AT" w:eastAsia="de-AT"/>
        </w:rPr>
        <w:t xml:space="preserve"> </w:t>
      </w:r>
      <w:proofErr w:type="spellStart"/>
      <w:r w:rsidRPr="00F85594">
        <w:rPr>
          <w:rFonts w:cs="Arial"/>
          <w:lang w:val="de-AT" w:eastAsia="de-AT"/>
        </w:rPr>
        <w:t>provisions</w:t>
      </w:r>
      <w:proofErr w:type="spellEnd"/>
      <w:r w:rsidRPr="00F85594">
        <w:rPr>
          <w:rFonts w:cs="Arial"/>
          <w:lang w:val="de-AT" w:eastAsia="de-AT"/>
        </w:rPr>
        <w:t xml:space="preserve"> </w:t>
      </w:r>
      <w:proofErr w:type="spellStart"/>
      <w:r w:rsidRPr="00F85594">
        <w:rPr>
          <w:rFonts w:cs="Arial"/>
          <w:lang w:val="de-AT" w:eastAsia="de-AT"/>
        </w:rPr>
        <w:t>of</w:t>
      </w:r>
      <w:proofErr w:type="spellEnd"/>
      <w:r w:rsidRPr="00F85594">
        <w:rPr>
          <w:rFonts w:cs="Arial"/>
          <w:lang w:val="de-AT" w:eastAsia="de-AT"/>
        </w:rPr>
        <w:t xml:space="preserve"> </w:t>
      </w:r>
      <w:proofErr w:type="spellStart"/>
      <w:r w:rsidRPr="00F85594">
        <w:rPr>
          <w:rFonts w:cs="Arial"/>
          <w:lang w:val="de-AT" w:eastAsia="de-AT"/>
        </w:rPr>
        <w:t>the</w:t>
      </w:r>
      <w:proofErr w:type="spellEnd"/>
      <w:r w:rsidRPr="00F85594">
        <w:rPr>
          <w:rFonts w:cs="Arial"/>
          <w:lang w:val="de-AT" w:eastAsia="de-AT"/>
        </w:rPr>
        <w:t xml:space="preserve"> AIFMD;</w:t>
      </w:r>
    </w:p>
    <w:p w:rsidR="00F85594" w:rsidRPr="00F85594" w:rsidRDefault="00F85594" w:rsidP="00F85594">
      <w:pPr>
        <w:numPr>
          <w:ilvl w:val="0"/>
          <w:numId w:val="33"/>
        </w:numPr>
        <w:spacing w:line="360" w:lineRule="auto"/>
        <w:contextualSpacing/>
        <w:rPr>
          <w:rFonts w:cs="Arial"/>
          <w:lang w:val="de-AT" w:eastAsia="de-AT"/>
        </w:rPr>
      </w:pPr>
      <w:r w:rsidRPr="00F85594">
        <w:rPr>
          <w:rFonts w:cs="Arial"/>
          <w:lang w:val="de-AT" w:eastAsia="de-AT"/>
        </w:rPr>
        <w:t xml:space="preserve">The </w:t>
      </w:r>
      <w:proofErr w:type="spellStart"/>
      <w:r w:rsidRPr="00F85594">
        <w:rPr>
          <w:rFonts w:cs="Arial"/>
          <w:lang w:val="de-AT" w:eastAsia="de-AT"/>
        </w:rPr>
        <w:t>treatment</w:t>
      </w:r>
      <w:proofErr w:type="spellEnd"/>
      <w:r w:rsidRPr="00F85594">
        <w:rPr>
          <w:rFonts w:cs="Arial"/>
          <w:lang w:val="de-AT" w:eastAsia="de-AT"/>
        </w:rPr>
        <w:t xml:space="preserve"> </w:t>
      </w:r>
      <w:proofErr w:type="spellStart"/>
      <w:r w:rsidRPr="00F85594">
        <w:rPr>
          <w:rFonts w:cs="Arial"/>
          <w:lang w:val="de-AT" w:eastAsia="de-AT"/>
        </w:rPr>
        <w:t>of</w:t>
      </w:r>
      <w:proofErr w:type="spellEnd"/>
      <w:r w:rsidRPr="00F85594">
        <w:rPr>
          <w:rFonts w:cs="Arial"/>
          <w:lang w:val="de-AT" w:eastAsia="de-AT"/>
        </w:rPr>
        <w:t xml:space="preserve"> UCITS Management </w:t>
      </w:r>
      <w:proofErr w:type="spellStart"/>
      <w:r w:rsidRPr="00F85594">
        <w:rPr>
          <w:rFonts w:cs="Arial"/>
          <w:lang w:val="de-AT" w:eastAsia="de-AT"/>
        </w:rPr>
        <w:t>companies</w:t>
      </w:r>
      <w:proofErr w:type="spellEnd"/>
      <w:r w:rsidRPr="00F85594">
        <w:rPr>
          <w:rFonts w:cs="Arial"/>
          <w:lang w:val="de-AT" w:eastAsia="de-AT"/>
        </w:rPr>
        <w:t>;</w:t>
      </w:r>
    </w:p>
    <w:p w:rsidR="00F85594" w:rsidRPr="00F85594" w:rsidRDefault="00F85594" w:rsidP="00F85594">
      <w:pPr>
        <w:numPr>
          <w:ilvl w:val="0"/>
          <w:numId w:val="33"/>
        </w:numPr>
        <w:spacing w:line="360" w:lineRule="auto"/>
        <w:contextualSpacing/>
        <w:rPr>
          <w:rFonts w:cs="Arial"/>
          <w:lang w:val="de-AT" w:eastAsia="de-AT"/>
        </w:rPr>
      </w:pPr>
      <w:r w:rsidRPr="00F85594">
        <w:rPr>
          <w:rFonts w:cs="Arial"/>
          <w:lang w:val="de-AT" w:eastAsia="de-AT"/>
        </w:rPr>
        <w:t xml:space="preserve">The </w:t>
      </w:r>
      <w:proofErr w:type="spellStart"/>
      <w:r w:rsidRPr="00F85594">
        <w:rPr>
          <w:rFonts w:cs="Arial"/>
          <w:lang w:val="de-AT" w:eastAsia="de-AT"/>
        </w:rPr>
        <w:t>treatment</w:t>
      </w:r>
      <w:proofErr w:type="spellEnd"/>
      <w:r w:rsidRPr="00F85594">
        <w:rPr>
          <w:rFonts w:cs="Arial"/>
          <w:lang w:val="de-AT" w:eastAsia="de-AT"/>
        </w:rPr>
        <w:t xml:space="preserve"> </w:t>
      </w:r>
      <w:proofErr w:type="spellStart"/>
      <w:r w:rsidRPr="00F85594">
        <w:rPr>
          <w:rFonts w:cs="Arial"/>
          <w:lang w:val="de-AT" w:eastAsia="de-AT"/>
        </w:rPr>
        <w:t>of</w:t>
      </w:r>
      <w:proofErr w:type="spellEnd"/>
      <w:r w:rsidRPr="00F85594">
        <w:rPr>
          <w:rFonts w:cs="Arial"/>
          <w:lang w:val="de-AT" w:eastAsia="de-AT"/>
        </w:rPr>
        <w:t xml:space="preserve"> </w:t>
      </w:r>
      <w:proofErr w:type="spellStart"/>
      <w:r w:rsidRPr="00F85594">
        <w:rPr>
          <w:rFonts w:cs="Arial"/>
          <w:lang w:val="de-AT" w:eastAsia="de-AT"/>
        </w:rPr>
        <w:t>MiFID</w:t>
      </w:r>
      <w:proofErr w:type="spellEnd"/>
      <w:r w:rsidRPr="00F85594">
        <w:rPr>
          <w:rFonts w:cs="Arial"/>
          <w:lang w:val="de-AT" w:eastAsia="de-AT"/>
        </w:rPr>
        <w:t xml:space="preserve"> </w:t>
      </w:r>
      <w:proofErr w:type="spellStart"/>
      <w:r w:rsidRPr="00F85594">
        <w:rPr>
          <w:rFonts w:cs="Arial"/>
          <w:lang w:val="de-AT" w:eastAsia="de-AT"/>
        </w:rPr>
        <w:t>firms</w:t>
      </w:r>
      <w:proofErr w:type="spellEnd"/>
      <w:r w:rsidRPr="00F85594">
        <w:rPr>
          <w:rFonts w:cs="Arial"/>
          <w:lang w:val="de-AT" w:eastAsia="de-AT"/>
        </w:rPr>
        <w:t xml:space="preserve"> </w:t>
      </w:r>
      <w:proofErr w:type="spellStart"/>
      <w:r w:rsidRPr="00F85594">
        <w:rPr>
          <w:rFonts w:cs="Arial"/>
          <w:lang w:val="de-AT" w:eastAsia="de-AT"/>
        </w:rPr>
        <w:t>and</w:t>
      </w:r>
      <w:proofErr w:type="spellEnd"/>
      <w:r w:rsidRPr="00F85594">
        <w:rPr>
          <w:rFonts w:cs="Arial"/>
          <w:lang w:val="de-AT" w:eastAsia="de-AT"/>
        </w:rPr>
        <w:t xml:space="preserve"> </w:t>
      </w:r>
      <w:proofErr w:type="spellStart"/>
      <w:r w:rsidRPr="00F85594">
        <w:rPr>
          <w:rFonts w:cs="Arial"/>
          <w:lang w:val="de-AT" w:eastAsia="de-AT"/>
        </w:rPr>
        <w:t>Credit</w:t>
      </w:r>
      <w:proofErr w:type="spellEnd"/>
      <w:r w:rsidRPr="00F85594">
        <w:rPr>
          <w:rFonts w:cs="Arial"/>
          <w:lang w:val="de-AT" w:eastAsia="de-AT"/>
        </w:rPr>
        <w:t xml:space="preserve"> </w:t>
      </w:r>
      <w:proofErr w:type="spellStart"/>
      <w:r w:rsidRPr="00F85594">
        <w:rPr>
          <w:rFonts w:cs="Arial"/>
          <w:lang w:val="de-AT" w:eastAsia="de-AT"/>
        </w:rPr>
        <w:t>institutions</w:t>
      </w:r>
      <w:proofErr w:type="spellEnd"/>
      <w:r w:rsidRPr="00F85594">
        <w:rPr>
          <w:rFonts w:cs="Arial"/>
          <w:lang w:val="de-AT" w:eastAsia="de-AT"/>
        </w:rPr>
        <w:t>.</w:t>
      </w: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keepNext/>
        <w:keepLines/>
        <w:spacing w:line="240" w:lineRule="auto"/>
        <w:ind w:left="357" w:hanging="357"/>
        <w:contextualSpacing/>
        <w:jc w:val="both"/>
        <w:outlineLvl w:val="0"/>
        <w:rPr>
          <w:rFonts w:cs="Arial"/>
          <w:b/>
          <w:bCs/>
          <w:lang w:val="de-AT" w:eastAsia="en-US"/>
        </w:rPr>
      </w:pPr>
      <w:r w:rsidRPr="00F85594">
        <w:rPr>
          <w:rFonts w:cs="Arial"/>
          <w:b/>
          <w:bCs/>
          <w:lang w:val="de-AT" w:eastAsia="en-US"/>
        </w:rPr>
        <w:t xml:space="preserve">III. AIFMs </w:t>
      </w:r>
      <w:proofErr w:type="spellStart"/>
      <w:r w:rsidRPr="00F85594">
        <w:rPr>
          <w:rFonts w:cs="Arial"/>
          <w:b/>
          <w:bCs/>
          <w:lang w:val="de-AT" w:eastAsia="en-US"/>
        </w:rPr>
        <w:t>of</w:t>
      </w:r>
      <w:proofErr w:type="spellEnd"/>
      <w:r w:rsidRPr="00F85594">
        <w:rPr>
          <w:rFonts w:cs="Arial"/>
          <w:b/>
          <w:bCs/>
          <w:lang w:val="de-AT" w:eastAsia="en-US"/>
        </w:rPr>
        <w:t xml:space="preserve"> open-</w:t>
      </w:r>
      <w:proofErr w:type="spellStart"/>
      <w:r w:rsidRPr="00F85594">
        <w:rPr>
          <w:rFonts w:cs="Arial"/>
          <w:b/>
          <w:bCs/>
          <w:lang w:val="de-AT" w:eastAsia="en-US"/>
        </w:rPr>
        <w:t>ended</w:t>
      </w:r>
      <w:proofErr w:type="spellEnd"/>
      <w:r w:rsidRPr="00F85594">
        <w:rPr>
          <w:rFonts w:cs="Arial"/>
          <w:b/>
          <w:bCs/>
          <w:lang w:val="de-AT" w:eastAsia="en-US"/>
        </w:rPr>
        <w:t>/</w:t>
      </w:r>
      <w:proofErr w:type="spellStart"/>
      <w:r w:rsidRPr="00F85594">
        <w:rPr>
          <w:rFonts w:cs="Arial"/>
          <w:b/>
          <w:bCs/>
          <w:lang w:val="de-AT" w:eastAsia="en-US"/>
        </w:rPr>
        <w:t>closed-ended</w:t>
      </w:r>
      <w:proofErr w:type="spellEnd"/>
      <w:r w:rsidRPr="00F85594">
        <w:rPr>
          <w:rFonts w:cs="Arial"/>
          <w:b/>
          <w:bCs/>
          <w:lang w:val="de-AT" w:eastAsia="en-US"/>
        </w:rPr>
        <w:t xml:space="preserve"> AIF(s)</w:t>
      </w: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40" w:lineRule="auto"/>
        <w:ind w:left="567" w:hanging="567"/>
        <w:jc w:val="both"/>
        <w:rPr>
          <w:rFonts w:cs="Arial"/>
          <w:b/>
          <w:bCs/>
          <w:color w:val="000000"/>
          <w:lang w:val="en-US" w:eastAsia="de-AT"/>
        </w:rPr>
      </w:pPr>
      <w:r w:rsidRPr="00F85594">
        <w:rPr>
          <w:rFonts w:cs="Arial"/>
          <w:b/>
          <w:bCs/>
          <w:color w:val="000000"/>
          <w:lang w:val="en-US" w:eastAsia="de-AT"/>
        </w:rPr>
        <w:t xml:space="preserve">Q2: </w:t>
      </w:r>
      <w:r w:rsidRPr="00F85594">
        <w:rPr>
          <w:rFonts w:cs="Arial"/>
          <w:b/>
          <w:bCs/>
          <w:color w:val="000000"/>
          <w:lang w:val="en-US" w:eastAsia="de-AT"/>
        </w:rPr>
        <w:tab/>
        <w:t>Do you agree with the proposed definition of AIFMs managing AIFs of the open-ended/closed-ended type? If not, do you have any alternative proposal, in particular as regards the relevant frequency of redemptions for the open-ended funds?</w:t>
      </w:r>
    </w:p>
    <w:p w:rsidR="00F85594" w:rsidRPr="00F85594" w:rsidRDefault="00F85594" w:rsidP="00F85594">
      <w:pPr>
        <w:tabs>
          <w:tab w:val="left" w:pos="567"/>
        </w:tabs>
        <w:autoSpaceDE w:val="0"/>
        <w:autoSpaceDN w:val="0"/>
        <w:adjustRightInd w:val="0"/>
        <w:spacing w:line="240" w:lineRule="auto"/>
        <w:ind w:left="567" w:hanging="567"/>
        <w:jc w:val="both"/>
        <w:rPr>
          <w:rFonts w:cs="Arial"/>
          <w:bCs/>
          <w:color w:val="000000"/>
          <w:lang w:val="en-US" w:eastAsia="de-AT"/>
        </w:rPr>
      </w:pPr>
    </w:p>
    <w:p w:rsidR="00F85594" w:rsidRPr="00F85594" w:rsidRDefault="00F85594" w:rsidP="00F85594">
      <w:pPr>
        <w:spacing w:line="360" w:lineRule="auto"/>
        <w:rPr>
          <w:rFonts w:eastAsia="Cambria" w:cs="Arial"/>
          <w:lang w:val="en-US" w:eastAsia="en-US"/>
        </w:rPr>
      </w:pPr>
      <w:r>
        <w:rPr>
          <w:rFonts w:eastAsia="Cambria" w:cs="Arial"/>
          <w:lang w:val="en-US" w:eastAsia="en-US"/>
        </w:rPr>
        <w:t>We agree</w:t>
      </w:r>
      <w:r w:rsidRPr="00F85594">
        <w:rPr>
          <w:rFonts w:eastAsia="Cambria" w:cs="Arial"/>
          <w:lang w:val="en-US" w:eastAsia="en-US"/>
        </w:rPr>
        <w:t xml:space="preserve"> with the proposed definition of AIFs of the open-ended/closed-ended type. </w:t>
      </w:r>
      <w:r>
        <w:rPr>
          <w:rFonts w:eastAsia="Cambria" w:cs="Arial"/>
          <w:lang w:val="en-US" w:eastAsia="en-US"/>
        </w:rPr>
        <w:t>We</w:t>
      </w:r>
      <w:r w:rsidRPr="00F85594">
        <w:rPr>
          <w:rFonts w:eastAsia="Cambria" w:cs="Arial"/>
          <w:lang w:val="en-US" w:eastAsia="en-US"/>
        </w:rPr>
        <w:t xml:space="preserve"> also support ESMA’s opinion that special arrangements for management of liquidity risk such as lock-up periods, side pockets or gates should not be taken into account for determining whether the right of redemption is exercisable by investors at least once a year. </w:t>
      </w:r>
    </w:p>
    <w:p w:rsidR="00F85594" w:rsidRPr="00F85594" w:rsidRDefault="00F85594" w:rsidP="00F85594">
      <w:pPr>
        <w:spacing w:line="360" w:lineRule="auto"/>
        <w:rPr>
          <w:rFonts w:eastAsia="Cambria" w:cs="Arial"/>
          <w:lang w:val="en-US" w:eastAsia="en-US"/>
        </w:rPr>
      </w:pPr>
      <w:r>
        <w:rPr>
          <w:rFonts w:eastAsia="Cambria" w:cs="Arial"/>
          <w:lang w:val="en-US" w:eastAsia="en-US"/>
        </w:rPr>
        <w:t>We</w:t>
      </w:r>
      <w:r w:rsidRPr="00F85594">
        <w:rPr>
          <w:rFonts w:eastAsia="Cambria" w:cs="Arial"/>
          <w:lang w:val="en-US" w:eastAsia="en-US"/>
        </w:rPr>
        <w:t xml:space="preserve"> suggest that in order for an AIF to qualify as open-ended AIF, the length of the initial lock-up period should be restricted to a timeframe one could reasonably expect in relation to the open-ended fund model. In this regard, ESMA should take into account the approach for distinguishing certain types of closed-ended funds enshrined by Article 3(2</w:t>
      </w:r>
      <w:proofErr w:type="gramStart"/>
      <w:r w:rsidRPr="00F85594">
        <w:rPr>
          <w:rFonts w:eastAsia="Cambria" w:cs="Arial"/>
          <w:lang w:val="en-US" w:eastAsia="en-US"/>
        </w:rPr>
        <w:t>)(</w:t>
      </w:r>
      <w:proofErr w:type="gramEnd"/>
      <w:r w:rsidRPr="00F85594">
        <w:rPr>
          <w:rFonts w:eastAsia="Cambria" w:cs="Arial"/>
          <w:lang w:val="en-US" w:eastAsia="en-US"/>
        </w:rPr>
        <w:t xml:space="preserve">b) and Article </w:t>
      </w:r>
      <w:r w:rsidRPr="00F85594">
        <w:rPr>
          <w:rFonts w:eastAsia="Cambria" w:cs="Arial"/>
          <w:lang w:val="en-US" w:eastAsia="en-US"/>
        </w:rPr>
        <w:lastRenderedPageBreak/>
        <w:t>21(3) third subparagraph of the Level 1 Directive. In the context of these provisions, “AIFs which have no redemption rights exercisable during the period of 5 years from the date of the initial investments” are subject to specific rules tailored to their closed-ended nature.</w:t>
      </w:r>
    </w:p>
    <w:p w:rsidR="00F85594" w:rsidRPr="00F85594" w:rsidRDefault="00F85594" w:rsidP="00F85594">
      <w:pPr>
        <w:spacing w:line="240" w:lineRule="auto"/>
        <w:jc w:val="both"/>
        <w:rPr>
          <w:rFonts w:cs="Arial"/>
          <w:bCs/>
          <w:color w:val="000000"/>
          <w:lang w:val="en-US" w:eastAsia="fr-FR"/>
        </w:rPr>
      </w:pPr>
    </w:p>
    <w:p w:rsidR="00F85594" w:rsidRPr="00F85594" w:rsidRDefault="00F85594" w:rsidP="00F85594">
      <w:pPr>
        <w:tabs>
          <w:tab w:val="left" w:pos="567"/>
        </w:tabs>
        <w:autoSpaceDE w:val="0"/>
        <w:autoSpaceDN w:val="0"/>
        <w:adjustRightInd w:val="0"/>
        <w:spacing w:line="240" w:lineRule="auto"/>
        <w:ind w:left="567" w:hanging="567"/>
        <w:jc w:val="both"/>
        <w:rPr>
          <w:rFonts w:cs="Arial"/>
          <w:bCs/>
          <w:color w:val="000000"/>
          <w:lang w:val="de-AT"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40" w:lineRule="auto"/>
        <w:ind w:left="567" w:hanging="567"/>
        <w:jc w:val="both"/>
        <w:rPr>
          <w:rFonts w:cs="Arial"/>
          <w:b/>
          <w:bCs/>
          <w:color w:val="000000"/>
          <w:lang w:val="en-US" w:eastAsia="de-AT"/>
        </w:rPr>
      </w:pPr>
      <w:r w:rsidRPr="00F85594">
        <w:rPr>
          <w:rFonts w:cs="Arial"/>
          <w:b/>
          <w:bCs/>
          <w:color w:val="000000"/>
          <w:lang w:val="en-US" w:eastAsia="de-AT"/>
        </w:rPr>
        <w:t xml:space="preserve">Q3: </w:t>
      </w:r>
      <w:r w:rsidRPr="00F85594">
        <w:rPr>
          <w:rFonts w:cs="Arial"/>
          <w:b/>
          <w:bCs/>
          <w:color w:val="000000"/>
          <w:lang w:val="en-US" w:eastAsia="de-AT"/>
        </w:rPr>
        <w:tab/>
        <w:t>Please provide qualitative and quantitative data on the costs and benefits that the proposed definition of AIFMs managing AIFs of the open-ended/closed-ended type would imply.</w:t>
      </w:r>
    </w:p>
    <w:p w:rsidR="00F85594" w:rsidRPr="00F85594" w:rsidRDefault="00F85594" w:rsidP="00F85594">
      <w:pPr>
        <w:tabs>
          <w:tab w:val="left" w:pos="567"/>
        </w:tabs>
        <w:autoSpaceDE w:val="0"/>
        <w:autoSpaceDN w:val="0"/>
        <w:adjustRightInd w:val="0"/>
        <w:spacing w:line="240" w:lineRule="auto"/>
        <w:ind w:left="567" w:hanging="567"/>
        <w:jc w:val="both"/>
        <w:rPr>
          <w:rFonts w:cs="Arial"/>
          <w:bCs/>
          <w:color w:val="000000"/>
          <w:lang w:val="en-US" w:eastAsia="de-AT"/>
        </w:rPr>
      </w:pPr>
    </w:p>
    <w:p w:rsidR="00F85594" w:rsidRPr="00F85594" w:rsidRDefault="00F85594" w:rsidP="00F85594">
      <w:pPr>
        <w:tabs>
          <w:tab w:val="left" w:pos="567"/>
        </w:tabs>
        <w:autoSpaceDE w:val="0"/>
        <w:autoSpaceDN w:val="0"/>
        <w:adjustRightInd w:val="0"/>
        <w:spacing w:line="240" w:lineRule="auto"/>
        <w:ind w:left="567" w:hanging="567"/>
        <w:jc w:val="both"/>
        <w:rPr>
          <w:rFonts w:cs="Arial"/>
          <w:bCs/>
          <w:color w:val="000000"/>
          <w:lang w:val="de-AT" w:eastAsia="de-AT"/>
        </w:rPr>
      </w:pPr>
      <w:r w:rsidRPr="00F85594">
        <w:rPr>
          <w:rFonts w:cs="Arial"/>
          <w:lang w:val="en-US" w:eastAsia="fr-FR"/>
        </w:rPr>
        <w:t xml:space="preserve">---- </w:t>
      </w:r>
    </w:p>
    <w:p w:rsidR="00F85594" w:rsidRPr="00F85594" w:rsidRDefault="00F85594" w:rsidP="00F85594">
      <w:pPr>
        <w:tabs>
          <w:tab w:val="left" w:pos="567"/>
        </w:tabs>
        <w:autoSpaceDE w:val="0"/>
        <w:autoSpaceDN w:val="0"/>
        <w:adjustRightInd w:val="0"/>
        <w:spacing w:line="240" w:lineRule="auto"/>
        <w:ind w:left="567" w:hanging="567"/>
        <w:jc w:val="both"/>
        <w:rPr>
          <w:rFonts w:cs="Arial"/>
          <w:b/>
          <w:bCs/>
          <w:color w:val="000000"/>
          <w:lang w:val="en-US"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40" w:lineRule="auto"/>
        <w:ind w:left="567" w:hanging="567"/>
        <w:jc w:val="both"/>
        <w:rPr>
          <w:rFonts w:cs="Arial"/>
          <w:b/>
          <w:bCs/>
          <w:color w:val="000000"/>
          <w:lang w:val="en-US" w:eastAsia="de-AT"/>
        </w:rPr>
      </w:pPr>
      <w:r w:rsidRPr="00F85594">
        <w:rPr>
          <w:rFonts w:cs="Arial"/>
          <w:b/>
          <w:bCs/>
          <w:color w:val="000000"/>
          <w:lang w:val="en-US" w:eastAsia="de-AT"/>
        </w:rPr>
        <w:t xml:space="preserve">Q4: </w:t>
      </w:r>
      <w:r w:rsidRPr="00F85594">
        <w:rPr>
          <w:rFonts w:cs="Arial"/>
          <w:b/>
          <w:bCs/>
          <w:color w:val="000000"/>
          <w:lang w:val="en-US" w:eastAsia="de-AT"/>
        </w:rPr>
        <w:tab/>
        <w:t>Do you consider that any possibility to redeem the AIF’s units/shares on the secondary market and not directly from the AIF should be taken into consideration when assessing whether an AIF is open-ended or closed-ended? Or do you consider that, as within the UCITS framework, only any action taken by an AIFM to ensure that the stock exchange value of the units of the AIF it manages does not significantly vary from their net asset value should be regarded as equivalent to granting to unit-holders/shareholders the right to redeem their units or shares out of the assets of this AIF?</w:t>
      </w:r>
    </w:p>
    <w:p w:rsidR="00F85594" w:rsidRPr="00F85594" w:rsidRDefault="00F85594" w:rsidP="00F85594">
      <w:pPr>
        <w:tabs>
          <w:tab w:val="left" w:pos="567"/>
        </w:tabs>
        <w:autoSpaceDE w:val="0"/>
        <w:autoSpaceDN w:val="0"/>
        <w:adjustRightInd w:val="0"/>
        <w:spacing w:line="240" w:lineRule="auto"/>
        <w:ind w:left="567" w:hanging="567"/>
        <w:jc w:val="both"/>
        <w:rPr>
          <w:rFonts w:cs="Arial"/>
          <w:bCs/>
          <w:color w:val="000000"/>
          <w:lang w:val="en-US" w:eastAsia="de-AT"/>
        </w:rPr>
      </w:pPr>
    </w:p>
    <w:p w:rsidR="00F85594" w:rsidRPr="00F85594" w:rsidRDefault="00F85594" w:rsidP="00F85594">
      <w:pPr>
        <w:spacing w:line="360" w:lineRule="auto"/>
        <w:rPr>
          <w:rFonts w:eastAsia="Cambria" w:cs="Arial"/>
          <w:lang w:val="en-US" w:eastAsia="en-US"/>
        </w:rPr>
      </w:pPr>
      <w:r>
        <w:rPr>
          <w:rFonts w:eastAsia="Cambria" w:cs="Arial"/>
          <w:bCs/>
          <w:lang w:val="en-US" w:eastAsia="en-US"/>
        </w:rPr>
        <w:t>We</w:t>
      </w:r>
      <w:r w:rsidRPr="00F85594">
        <w:rPr>
          <w:rFonts w:eastAsia="Cambria" w:cs="Arial"/>
          <w:bCs/>
          <w:lang w:val="en-US" w:eastAsia="en-US"/>
        </w:rPr>
        <w:t xml:space="preserve"> </w:t>
      </w:r>
      <w:r>
        <w:rPr>
          <w:rFonts w:eastAsia="Cambria" w:cs="Arial"/>
          <w:bCs/>
          <w:lang w:val="en-US" w:eastAsia="en-US"/>
        </w:rPr>
        <w:t>are</w:t>
      </w:r>
      <w:r w:rsidRPr="00F85594">
        <w:rPr>
          <w:rFonts w:eastAsia="Cambria" w:cs="Arial"/>
          <w:bCs/>
          <w:lang w:val="en-US" w:eastAsia="en-US"/>
        </w:rPr>
        <w:t xml:space="preserve"> in favor of an alignment with the approach taken under the UCITS framework. </w:t>
      </w:r>
      <w:r>
        <w:rPr>
          <w:rFonts w:eastAsia="Cambria" w:cs="Arial"/>
          <w:bCs/>
          <w:lang w:val="en-US" w:eastAsia="en-US"/>
        </w:rPr>
        <w:t>We therefore consider</w:t>
      </w:r>
      <w:r w:rsidRPr="00F85594">
        <w:rPr>
          <w:rFonts w:eastAsia="Cambria" w:cs="Arial"/>
          <w:lang w:val="en-US" w:eastAsia="en-US"/>
        </w:rPr>
        <w:t xml:space="preserve"> secondary trading should be deemed as equivalent to direct or indirect redemptions if the AIFM takes action to ensure that the stock exchange values of the AIF does not significantly differ from its net asset value.</w:t>
      </w:r>
    </w:p>
    <w:p w:rsidR="00F85594" w:rsidRPr="00F85594" w:rsidRDefault="00F85594" w:rsidP="00F85594">
      <w:pPr>
        <w:tabs>
          <w:tab w:val="left" w:pos="567"/>
        </w:tabs>
        <w:autoSpaceDE w:val="0"/>
        <w:autoSpaceDN w:val="0"/>
        <w:adjustRightInd w:val="0"/>
        <w:spacing w:line="240" w:lineRule="auto"/>
        <w:ind w:left="567" w:hanging="567"/>
        <w:jc w:val="both"/>
        <w:rPr>
          <w:rFonts w:cs="Arial"/>
          <w:b/>
          <w:bCs/>
          <w:color w:val="000000"/>
          <w:lang w:val="en-US"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line="240" w:lineRule="auto"/>
        <w:ind w:left="567" w:hanging="567"/>
        <w:jc w:val="both"/>
        <w:rPr>
          <w:rFonts w:cs="Arial"/>
          <w:b/>
          <w:bCs/>
          <w:color w:val="000000"/>
          <w:lang w:val="en-US" w:eastAsia="de-AT"/>
        </w:rPr>
      </w:pPr>
      <w:r w:rsidRPr="00F85594">
        <w:rPr>
          <w:rFonts w:cs="Arial"/>
          <w:b/>
          <w:bCs/>
          <w:color w:val="000000"/>
          <w:lang w:val="en-US" w:eastAsia="de-AT"/>
        </w:rPr>
        <w:t xml:space="preserve">Q5: </w:t>
      </w:r>
      <w:r w:rsidRPr="00F85594">
        <w:rPr>
          <w:rFonts w:cs="Arial"/>
          <w:b/>
          <w:bCs/>
          <w:color w:val="000000"/>
          <w:lang w:val="en-US" w:eastAsia="de-AT"/>
        </w:rPr>
        <w:tab/>
        <w:t>Do you agree with the proposed approach as regards the treatment of hybrid structures? If not, please explain why and, if possible, provide alternative proposals.</w:t>
      </w:r>
    </w:p>
    <w:p w:rsidR="00F85594" w:rsidRPr="00F85594" w:rsidRDefault="00F85594" w:rsidP="00F85594">
      <w:pPr>
        <w:tabs>
          <w:tab w:val="left" w:pos="567"/>
        </w:tabs>
        <w:autoSpaceDE w:val="0"/>
        <w:autoSpaceDN w:val="0"/>
        <w:adjustRightInd w:val="0"/>
        <w:spacing w:line="240" w:lineRule="auto"/>
        <w:ind w:left="567" w:hanging="567"/>
        <w:jc w:val="both"/>
        <w:rPr>
          <w:rFonts w:cs="Arial"/>
          <w:color w:val="000000"/>
          <w:lang w:val="en-US" w:eastAsia="de-AT"/>
        </w:rPr>
      </w:pPr>
    </w:p>
    <w:p w:rsidR="00F85594" w:rsidRPr="00F85594" w:rsidRDefault="00F85594" w:rsidP="00F85594">
      <w:pPr>
        <w:autoSpaceDE w:val="0"/>
        <w:autoSpaceDN w:val="0"/>
        <w:adjustRightInd w:val="0"/>
        <w:spacing w:line="360" w:lineRule="auto"/>
        <w:rPr>
          <w:rFonts w:cs="Arial"/>
          <w:color w:val="000000"/>
          <w:lang w:val="en-US" w:eastAsia="de-AT"/>
        </w:rPr>
      </w:pPr>
      <w:r>
        <w:rPr>
          <w:rFonts w:cs="Arial"/>
          <w:lang w:val="en-US" w:eastAsia="fr-FR"/>
        </w:rPr>
        <w:t>We</w:t>
      </w:r>
      <w:r w:rsidRPr="00F85594">
        <w:rPr>
          <w:rFonts w:cs="Arial"/>
          <w:lang w:val="en-US" w:eastAsia="fr-FR"/>
        </w:rPr>
        <w:t xml:space="preserve"> agree with the approach proposed by ESMA</w:t>
      </w:r>
      <w:r w:rsidRPr="00F85594">
        <w:rPr>
          <w:rFonts w:cs="Arial"/>
          <w:lang w:val="en-US" w:eastAsia="de-AT"/>
        </w:rPr>
        <w:t xml:space="preserve"> Article 1(4) of Annex VI</w:t>
      </w:r>
      <w:r w:rsidRPr="00F85594">
        <w:rPr>
          <w:rFonts w:cs="Arial"/>
          <w:lang w:val="en-US" w:eastAsia="fr-FR"/>
        </w:rPr>
        <w:t xml:space="preserve"> as regards the treatment of hybrid structures p</w:t>
      </w:r>
      <w:r w:rsidRPr="00F85594">
        <w:rPr>
          <w:rFonts w:cs="Arial"/>
          <w:lang w:val="en-US" w:eastAsia="de-AT"/>
        </w:rPr>
        <w:t xml:space="preserve">rovided that the requirement to adapt to new rules is limited to the particular AIF the type of which has changed. It would not be appropriate to demand changes in several closed-ended AIFs managed by the same AIFM if only one of them acquires the open-ended status. In these circumstances, it is important to recognize that valuation and liquidity management standards may vary among the AIFs managed by one AIFM. </w:t>
      </w:r>
    </w:p>
    <w:p w:rsidR="00F85594" w:rsidRPr="00F85594" w:rsidRDefault="00F85594" w:rsidP="00F85594">
      <w:pPr>
        <w:tabs>
          <w:tab w:val="left" w:pos="567"/>
        </w:tabs>
        <w:autoSpaceDE w:val="0"/>
        <w:autoSpaceDN w:val="0"/>
        <w:adjustRightInd w:val="0"/>
        <w:spacing w:line="240" w:lineRule="auto"/>
        <w:ind w:left="567" w:hanging="567"/>
        <w:jc w:val="both"/>
        <w:rPr>
          <w:rFonts w:cs="Arial"/>
          <w:color w:val="000000"/>
          <w:lang w:val="en-US" w:eastAsia="de-AT"/>
        </w:rPr>
      </w:pPr>
    </w:p>
    <w:p w:rsidR="00F85594" w:rsidRPr="00F85594" w:rsidRDefault="00F85594" w:rsidP="00F85594">
      <w:pPr>
        <w:tabs>
          <w:tab w:val="left" w:pos="567"/>
        </w:tabs>
        <w:autoSpaceDE w:val="0"/>
        <w:autoSpaceDN w:val="0"/>
        <w:adjustRightInd w:val="0"/>
        <w:spacing w:line="240" w:lineRule="auto"/>
        <w:ind w:left="567" w:hanging="567"/>
        <w:jc w:val="both"/>
        <w:rPr>
          <w:rFonts w:cs="Arial"/>
          <w:color w:val="000000"/>
          <w:lang w:val="en-US" w:eastAsia="de-AT"/>
        </w:rPr>
      </w:pPr>
    </w:p>
    <w:p w:rsidR="00F85594" w:rsidRPr="00F85594" w:rsidRDefault="00F85594" w:rsidP="00F85594">
      <w:pPr>
        <w:keepNext/>
        <w:keepLines/>
        <w:spacing w:line="240" w:lineRule="auto"/>
        <w:ind w:left="357" w:hanging="357"/>
        <w:contextualSpacing/>
        <w:jc w:val="both"/>
        <w:outlineLvl w:val="0"/>
        <w:rPr>
          <w:rFonts w:cs="Arial"/>
          <w:b/>
          <w:bCs/>
          <w:lang w:val="de-AT" w:eastAsia="en-US"/>
        </w:rPr>
      </w:pPr>
      <w:r w:rsidRPr="00F85594">
        <w:rPr>
          <w:rFonts w:cs="Arial"/>
          <w:b/>
          <w:bCs/>
          <w:lang w:val="de-AT" w:eastAsia="en-US"/>
        </w:rPr>
        <w:t xml:space="preserve">IV. Other </w:t>
      </w:r>
      <w:proofErr w:type="spellStart"/>
      <w:r w:rsidRPr="00F85594">
        <w:rPr>
          <w:rFonts w:cs="Arial"/>
          <w:b/>
          <w:bCs/>
          <w:lang w:val="de-AT" w:eastAsia="en-US"/>
        </w:rPr>
        <w:t>criteria</w:t>
      </w:r>
      <w:proofErr w:type="spellEnd"/>
      <w:r w:rsidRPr="00F85594">
        <w:rPr>
          <w:rFonts w:cs="Arial"/>
          <w:b/>
          <w:bCs/>
          <w:lang w:val="de-AT" w:eastAsia="en-US"/>
        </w:rPr>
        <w:t xml:space="preserve"> </w:t>
      </w:r>
      <w:proofErr w:type="spellStart"/>
      <w:r w:rsidRPr="00F85594">
        <w:rPr>
          <w:rFonts w:cs="Arial"/>
          <w:b/>
          <w:bCs/>
          <w:lang w:val="de-AT" w:eastAsia="en-US"/>
        </w:rPr>
        <w:t>to</w:t>
      </w:r>
      <w:proofErr w:type="spellEnd"/>
      <w:r w:rsidRPr="00F85594">
        <w:rPr>
          <w:rFonts w:cs="Arial"/>
          <w:b/>
          <w:bCs/>
          <w:lang w:val="de-AT" w:eastAsia="en-US"/>
        </w:rPr>
        <w:t xml:space="preserve"> </w:t>
      </w:r>
      <w:proofErr w:type="spellStart"/>
      <w:r w:rsidRPr="00F85594">
        <w:rPr>
          <w:rFonts w:cs="Arial"/>
          <w:b/>
          <w:bCs/>
          <w:lang w:val="de-AT" w:eastAsia="en-US"/>
        </w:rPr>
        <w:t>determine</w:t>
      </w:r>
      <w:proofErr w:type="spellEnd"/>
      <w:r w:rsidRPr="00F85594">
        <w:rPr>
          <w:rFonts w:cs="Arial"/>
          <w:b/>
          <w:bCs/>
          <w:lang w:val="de-AT" w:eastAsia="en-US"/>
        </w:rPr>
        <w:t xml:space="preserve"> </w:t>
      </w:r>
      <w:proofErr w:type="spellStart"/>
      <w:r w:rsidRPr="00F85594">
        <w:rPr>
          <w:rFonts w:cs="Arial"/>
          <w:b/>
          <w:bCs/>
          <w:lang w:val="de-AT" w:eastAsia="en-US"/>
        </w:rPr>
        <w:t>the</w:t>
      </w:r>
      <w:proofErr w:type="spellEnd"/>
      <w:r w:rsidRPr="00F85594">
        <w:rPr>
          <w:rFonts w:cs="Arial"/>
          <w:b/>
          <w:bCs/>
          <w:lang w:val="de-AT" w:eastAsia="en-US"/>
        </w:rPr>
        <w:t xml:space="preserve"> </w:t>
      </w:r>
      <w:proofErr w:type="spellStart"/>
      <w:r w:rsidRPr="00F85594">
        <w:rPr>
          <w:rFonts w:cs="Arial"/>
          <w:b/>
          <w:bCs/>
          <w:lang w:val="de-AT" w:eastAsia="en-US"/>
        </w:rPr>
        <w:t>application</w:t>
      </w:r>
      <w:proofErr w:type="spellEnd"/>
      <w:r w:rsidRPr="00F85594">
        <w:rPr>
          <w:rFonts w:cs="Arial"/>
          <w:b/>
          <w:bCs/>
          <w:lang w:val="de-AT" w:eastAsia="en-US"/>
        </w:rPr>
        <w:t xml:space="preserve"> </w:t>
      </w:r>
      <w:proofErr w:type="spellStart"/>
      <w:r w:rsidRPr="00F85594">
        <w:rPr>
          <w:rFonts w:cs="Arial"/>
          <w:b/>
          <w:bCs/>
          <w:lang w:val="de-AT" w:eastAsia="en-US"/>
        </w:rPr>
        <w:t>of</w:t>
      </w:r>
      <w:proofErr w:type="spellEnd"/>
      <w:r w:rsidRPr="00F85594">
        <w:rPr>
          <w:rFonts w:cs="Arial"/>
          <w:b/>
          <w:bCs/>
          <w:lang w:val="de-AT" w:eastAsia="en-US"/>
        </w:rPr>
        <w:t xml:space="preserve"> </w:t>
      </w:r>
      <w:proofErr w:type="spellStart"/>
      <w:r w:rsidRPr="00F85594">
        <w:rPr>
          <w:rFonts w:cs="Arial"/>
          <w:b/>
          <w:bCs/>
          <w:lang w:val="de-AT" w:eastAsia="en-US"/>
        </w:rPr>
        <w:t>the</w:t>
      </w:r>
      <w:proofErr w:type="spellEnd"/>
      <w:r w:rsidRPr="00F85594">
        <w:rPr>
          <w:rFonts w:cs="Arial"/>
          <w:b/>
          <w:bCs/>
          <w:lang w:val="de-AT" w:eastAsia="en-US"/>
        </w:rPr>
        <w:t xml:space="preserve"> AIFMD </w:t>
      </w:r>
      <w:proofErr w:type="spellStart"/>
      <w:r w:rsidRPr="00F85594">
        <w:rPr>
          <w:rFonts w:cs="Arial"/>
          <w:b/>
          <w:bCs/>
          <w:lang w:val="de-AT" w:eastAsia="en-US"/>
        </w:rPr>
        <w:t>to</w:t>
      </w:r>
      <w:proofErr w:type="spellEnd"/>
      <w:r w:rsidRPr="00F85594">
        <w:rPr>
          <w:rFonts w:cs="Arial"/>
          <w:b/>
          <w:bCs/>
          <w:lang w:val="de-AT" w:eastAsia="en-US"/>
        </w:rPr>
        <w:t xml:space="preserve"> </w:t>
      </w:r>
      <w:proofErr w:type="spellStart"/>
      <w:r w:rsidRPr="00F85594">
        <w:rPr>
          <w:rFonts w:cs="Arial"/>
          <w:b/>
          <w:bCs/>
          <w:lang w:val="de-AT" w:eastAsia="en-US"/>
        </w:rPr>
        <w:t>certain</w:t>
      </w:r>
      <w:proofErr w:type="spellEnd"/>
      <w:r w:rsidRPr="00F85594">
        <w:rPr>
          <w:rFonts w:cs="Arial"/>
          <w:b/>
          <w:bCs/>
          <w:lang w:val="de-AT" w:eastAsia="en-US"/>
        </w:rPr>
        <w:t xml:space="preserve"> </w:t>
      </w:r>
      <w:proofErr w:type="spellStart"/>
      <w:r w:rsidRPr="00F85594">
        <w:rPr>
          <w:rFonts w:cs="Arial"/>
          <w:b/>
          <w:bCs/>
          <w:lang w:val="de-AT" w:eastAsia="en-US"/>
        </w:rPr>
        <w:t>types</w:t>
      </w:r>
      <w:proofErr w:type="spellEnd"/>
      <w:r w:rsidRPr="00F85594">
        <w:rPr>
          <w:rFonts w:cs="Arial"/>
          <w:b/>
          <w:bCs/>
          <w:lang w:val="de-AT" w:eastAsia="en-US"/>
        </w:rPr>
        <w:t xml:space="preserve"> </w:t>
      </w:r>
      <w:proofErr w:type="spellStart"/>
      <w:r w:rsidRPr="00F85594">
        <w:rPr>
          <w:rFonts w:cs="Arial"/>
          <w:b/>
          <w:bCs/>
          <w:lang w:val="de-AT" w:eastAsia="en-US"/>
        </w:rPr>
        <w:t>of</w:t>
      </w:r>
      <w:proofErr w:type="spellEnd"/>
      <w:r w:rsidRPr="00F85594">
        <w:rPr>
          <w:rFonts w:cs="Arial"/>
          <w:b/>
          <w:bCs/>
          <w:lang w:val="de-AT" w:eastAsia="en-US"/>
        </w:rPr>
        <w:t xml:space="preserve"> AIFMs</w:t>
      </w:r>
    </w:p>
    <w:p w:rsidR="00F85594" w:rsidRPr="00F85594" w:rsidRDefault="00F85594" w:rsidP="00F85594">
      <w:pPr>
        <w:tabs>
          <w:tab w:val="left" w:pos="567"/>
        </w:tabs>
        <w:autoSpaceDE w:val="0"/>
        <w:autoSpaceDN w:val="0"/>
        <w:adjustRightInd w:val="0"/>
        <w:spacing w:line="240" w:lineRule="auto"/>
        <w:ind w:left="720"/>
        <w:contextualSpacing/>
        <w:jc w:val="both"/>
        <w:rPr>
          <w:rFonts w:cs="Arial"/>
          <w:color w:val="000000"/>
          <w:lang w:val="en-US"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color w:val="000000"/>
          <w:lang w:val="en-US" w:eastAsia="de-AT"/>
        </w:rPr>
      </w:pPr>
      <w:r w:rsidRPr="00F85594">
        <w:rPr>
          <w:rFonts w:cs="Arial"/>
          <w:b/>
          <w:bCs/>
          <w:color w:val="000000"/>
          <w:lang w:val="en-US" w:eastAsia="de-AT"/>
        </w:rPr>
        <w:t xml:space="preserve">Q6: Do you see merit in clarifying further the notion of contracts with prime brokers and/or the notion of internally or externally managed? If so, please provide suggestions. In particular, if your answer is yes for the notion of internally or externally managed, please indicate which of the criteria already in </w:t>
      </w:r>
      <w:proofErr w:type="gramStart"/>
      <w:r w:rsidRPr="00F85594">
        <w:rPr>
          <w:rFonts w:cs="Arial"/>
          <w:b/>
          <w:bCs/>
          <w:color w:val="000000"/>
          <w:lang w:val="en-US" w:eastAsia="de-AT"/>
        </w:rPr>
        <w:t>recital (20) of the AIFMD need</w:t>
      </w:r>
      <w:proofErr w:type="gramEnd"/>
      <w:r w:rsidRPr="00F85594">
        <w:rPr>
          <w:rFonts w:cs="Arial"/>
          <w:b/>
          <w:bCs/>
          <w:color w:val="000000"/>
          <w:lang w:val="en-US" w:eastAsia="de-AT"/>
        </w:rPr>
        <w:t xml:space="preserve"> additional clarifications. </w:t>
      </w: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spacing w:line="360" w:lineRule="auto"/>
        <w:rPr>
          <w:rFonts w:eastAsia="Cambria" w:cs="Arial"/>
          <w:color w:val="000000"/>
          <w:lang w:val="en-US" w:eastAsia="en-US"/>
        </w:rPr>
      </w:pPr>
      <w:r>
        <w:rPr>
          <w:rFonts w:eastAsia="Cambria" w:cs="Arial"/>
          <w:lang w:val="en-US" w:eastAsia="en-US"/>
        </w:rPr>
        <w:lastRenderedPageBreak/>
        <w:t>We</w:t>
      </w:r>
      <w:r w:rsidRPr="00F85594">
        <w:rPr>
          <w:rFonts w:eastAsia="Cambria" w:cs="Arial"/>
          <w:lang w:val="en-US" w:eastAsia="en-US"/>
        </w:rPr>
        <w:t xml:space="preserve"> see no benefit in a further clarification of the notion of contracts with prime brokers. The notion of internally or externally managed could be clarified by inserting Recital 20 of the AIFMD in the proposed RTS. </w:t>
      </w: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autoSpaceDE w:val="0"/>
        <w:autoSpaceDN w:val="0"/>
        <w:adjustRightInd w:val="0"/>
        <w:spacing w:line="240" w:lineRule="auto"/>
        <w:jc w:val="both"/>
        <w:rPr>
          <w:rFonts w:cs="Arial"/>
          <w:color w:val="000000"/>
          <w:lang w:val="en-US" w:eastAsia="de-AT"/>
        </w:rPr>
      </w:pPr>
    </w:p>
    <w:p w:rsidR="00F85594" w:rsidRPr="00F85594" w:rsidRDefault="00F85594" w:rsidP="00F85594">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cs="Arial"/>
          <w:color w:val="000000"/>
          <w:lang w:val="en-US" w:eastAsia="de-AT"/>
        </w:rPr>
      </w:pPr>
      <w:r w:rsidRPr="00F85594">
        <w:rPr>
          <w:rFonts w:cs="Arial"/>
          <w:b/>
          <w:bCs/>
          <w:color w:val="000000"/>
          <w:lang w:val="en-US" w:eastAsia="de-AT"/>
        </w:rPr>
        <w:t xml:space="preserve">Q7: Do you consider that there is a need to develop further typologies of AIFMs where relevant in the application of the AIFMD? If yes, please provide details on the additional typologies sought. </w:t>
      </w:r>
    </w:p>
    <w:p w:rsidR="00F85594" w:rsidRPr="00F85594" w:rsidRDefault="00F85594" w:rsidP="00F85594">
      <w:pPr>
        <w:autoSpaceDE w:val="0"/>
        <w:autoSpaceDN w:val="0"/>
        <w:adjustRightInd w:val="0"/>
        <w:spacing w:line="276" w:lineRule="auto"/>
        <w:jc w:val="both"/>
        <w:rPr>
          <w:rFonts w:eastAsia="Calibri" w:cs="Arial"/>
          <w:bCs/>
          <w:iCs/>
          <w:lang w:val="en-US" w:eastAsia="en-US"/>
        </w:rPr>
      </w:pPr>
    </w:p>
    <w:p w:rsidR="00F85594" w:rsidRPr="00F85594" w:rsidRDefault="00F85594" w:rsidP="00F85594">
      <w:pPr>
        <w:autoSpaceDE w:val="0"/>
        <w:autoSpaceDN w:val="0"/>
        <w:adjustRightInd w:val="0"/>
        <w:spacing w:line="360" w:lineRule="auto"/>
        <w:rPr>
          <w:rFonts w:cs="Arial"/>
          <w:lang w:val="de-AT" w:eastAsia="fr-FR"/>
        </w:rPr>
      </w:pPr>
      <w:proofErr w:type="spellStart"/>
      <w:r>
        <w:rPr>
          <w:rFonts w:cs="Arial"/>
          <w:lang w:val="de-AT" w:eastAsia="fr-FR"/>
        </w:rPr>
        <w:t>We</w:t>
      </w:r>
      <w:proofErr w:type="spellEnd"/>
      <w:r w:rsidRPr="00F85594">
        <w:rPr>
          <w:rFonts w:cs="Arial"/>
          <w:lang w:val="de-AT" w:eastAsia="fr-FR"/>
        </w:rPr>
        <w:t xml:space="preserve"> </w:t>
      </w:r>
      <w:proofErr w:type="spellStart"/>
      <w:r w:rsidRPr="00F85594">
        <w:rPr>
          <w:rFonts w:cs="Arial"/>
          <w:lang w:val="de-AT" w:eastAsia="fr-FR"/>
        </w:rPr>
        <w:t>believe</w:t>
      </w:r>
      <w:proofErr w:type="spellEnd"/>
      <w:r w:rsidRPr="00F85594">
        <w:rPr>
          <w:rFonts w:cs="Arial"/>
          <w:lang w:val="de-AT" w:eastAsia="fr-FR"/>
        </w:rPr>
        <w:t xml:space="preserve"> </w:t>
      </w:r>
      <w:proofErr w:type="spellStart"/>
      <w:r w:rsidRPr="00F85594">
        <w:rPr>
          <w:rFonts w:cs="Arial"/>
          <w:lang w:val="de-AT" w:eastAsia="fr-FR"/>
        </w:rPr>
        <w:t>that</w:t>
      </w:r>
      <w:proofErr w:type="spellEnd"/>
      <w:r w:rsidRPr="00F85594">
        <w:rPr>
          <w:rFonts w:cs="Arial"/>
          <w:lang w:val="de-AT" w:eastAsia="fr-FR"/>
        </w:rPr>
        <w:t xml:space="preserve"> </w:t>
      </w:r>
      <w:proofErr w:type="spellStart"/>
      <w:r w:rsidRPr="00F85594">
        <w:rPr>
          <w:rFonts w:cs="Arial"/>
          <w:lang w:val="de-AT" w:eastAsia="fr-FR"/>
        </w:rPr>
        <w:t>it</w:t>
      </w:r>
      <w:proofErr w:type="spellEnd"/>
      <w:r w:rsidRPr="00F85594">
        <w:rPr>
          <w:rFonts w:cs="Arial"/>
          <w:lang w:val="de-AT" w:eastAsia="fr-FR"/>
        </w:rPr>
        <w:t xml:space="preserve"> </w:t>
      </w:r>
      <w:proofErr w:type="spellStart"/>
      <w:r w:rsidRPr="00F85594">
        <w:rPr>
          <w:rFonts w:cs="Arial"/>
          <w:lang w:val="de-AT" w:eastAsia="fr-FR"/>
        </w:rPr>
        <w:t>would</w:t>
      </w:r>
      <w:proofErr w:type="spellEnd"/>
      <w:r w:rsidRPr="00F85594">
        <w:rPr>
          <w:rFonts w:cs="Arial"/>
          <w:lang w:val="de-AT" w:eastAsia="fr-FR"/>
        </w:rPr>
        <w:t xml:space="preserve"> </w:t>
      </w:r>
      <w:proofErr w:type="spellStart"/>
      <w:r w:rsidRPr="00F85594">
        <w:rPr>
          <w:rFonts w:cs="Arial"/>
          <w:lang w:val="de-AT" w:eastAsia="fr-FR"/>
        </w:rPr>
        <w:t>be</w:t>
      </w:r>
      <w:proofErr w:type="spellEnd"/>
      <w:r w:rsidRPr="00F85594">
        <w:rPr>
          <w:rFonts w:cs="Arial"/>
          <w:lang w:val="de-AT" w:eastAsia="fr-FR"/>
        </w:rPr>
        <w:t xml:space="preserve"> </w:t>
      </w:r>
      <w:proofErr w:type="spellStart"/>
      <w:r w:rsidRPr="00F85594">
        <w:rPr>
          <w:rFonts w:cs="Arial"/>
          <w:lang w:val="de-AT" w:eastAsia="fr-FR"/>
        </w:rPr>
        <w:t>helpful</w:t>
      </w:r>
      <w:proofErr w:type="spellEnd"/>
      <w:r w:rsidRPr="00F85594">
        <w:rPr>
          <w:rFonts w:cs="Arial"/>
          <w:lang w:val="de-AT" w:eastAsia="fr-FR"/>
        </w:rPr>
        <w:t xml:space="preserve"> in </w:t>
      </w:r>
      <w:proofErr w:type="spellStart"/>
      <w:r w:rsidRPr="00F85594">
        <w:rPr>
          <w:rFonts w:cs="Arial"/>
          <w:lang w:val="de-AT" w:eastAsia="fr-FR"/>
        </w:rPr>
        <w:t>view</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proper </w:t>
      </w:r>
      <w:proofErr w:type="spellStart"/>
      <w:r w:rsidRPr="00F85594">
        <w:rPr>
          <w:rFonts w:cs="Arial"/>
          <w:lang w:val="de-AT" w:eastAsia="fr-FR"/>
        </w:rPr>
        <w:t>functioning</w:t>
      </w:r>
      <w:proofErr w:type="spellEnd"/>
      <w:r w:rsidRPr="00F85594">
        <w:rPr>
          <w:rFonts w:cs="Arial"/>
          <w:lang w:val="de-AT" w:eastAsia="fr-FR"/>
        </w:rPr>
        <w:t xml:space="preserve"> </w:t>
      </w:r>
      <w:proofErr w:type="spellStart"/>
      <w:r w:rsidRPr="00F85594">
        <w:rPr>
          <w:rFonts w:cs="Arial"/>
          <w:lang w:val="de-AT" w:eastAsia="fr-FR"/>
        </w:rPr>
        <w:t>of</w:t>
      </w:r>
      <w:proofErr w:type="spellEnd"/>
      <w:r w:rsidRPr="00F85594">
        <w:rPr>
          <w:rFonts w:cs="Arial"/>
          <w:lang w:val="de-AT" w:eastAsia="fr-FR"/>
        </w:rPr>
        <w:t xml:space="preserve"> </w:t>
      </w:r>
      <w:proofErr w:type="spellStart"/>
      <w:r w:rsidRPr="00F85594">
        <w:rPr>
          <w:rFonts w:cs="Arial"/>
          <w:lang w:val="de-AT" w:eastAsia="fr-FR"/>
        </w:rPr>
        <w:t>the</w:t>
      </w:r>
      <w:proofErr w:type="spellEnd"/>
      <w:r w:rsidRPr="00F85594">
        <w:rPr>
          <w:rFonts w:cs="Arial"/>
          <w:lang w:val="de-AT" w:eastAsia="fr-FR"/>
        </w:rPr>
        <w:t xml:space="preserve"> AIFM </w:t>
      </w:r>
      <w:proofErr w:type="spellStart"/>
      <w:r w:rsidRPr="00F85594">
        <w:rPr>
          <w:rFonts w:cs="Arial"/>
          <w:lang w:val="de-AT" w:eastAsia="fr-FR"/>
        </w:rPr>
        <w:t>passport</w:t>
      </w:r>
      <w:proofErr w:type="spellEnd"/>
      <w:r w:rsidRPr="00F85594">
        <w:rPr>
          <w:rFonts w:cs="Arial"/>
          <w:lang w:val="de-AT" w:eastAsia="fr-FR"/>
        </w:rPr>
        <w:t xml:space="preserve"> (</w:t>
      </w:r>
      <w:proofErr w:type="spellStart"/>
      <w:r w:rsidRPr="00F85594">
        <w:rPr>
          <w:rFonts w:cs="Arial"/>
          <w:lang w:val="de-AT" w:eastAsia="fr-FR"/>
        </w:rPr>
        <w:t>Article</w:t>
      </w:r>
      <w:proofErr w:type="spellEnd"/>
      <w:r w:rsidRPr="00F85594">
        <w:rPr>
          <w:rFonts w:cs="Arial"/>
          <w:lang w:val="de-AT" w:eastAsia="fr-FR"/>
        </w:rPr>
        <w:t xml:space="preserve"> 33 AIFMD) </w:t>
      </w:r>
      <w:proofErr w:type="spellStart"/>
      <w:r w:rsidRPr="00F85594">
        <w:rPr>
          <w:rFonts w:cs="Arial"/>
          <w:lang w:val="de-AT" w:eastAsia="fr-FR"/>
        </w:rPr>
        <w:t>to</w:t>
      </w:r>
      <w:proofErr w:type="spellEnd"/>
      <w:r w:rsidRPr="00F85594">
        <w:rPr>
          <w:rFonts w:cs="Arial"/>
          <w:lang w:val="de-AT" w:eastAsia="fr-FR"/>
        </w:rPr>
        <w:t xml:space="preserve"> </w:t>
      </w:r>
      <w:proofErr w:type="spellStart"/>
      <w:r w:rsidRPr="00F85594">
        <w:rPr>
          <w:rFonts w:cs="Arial"/>
          <w:lang w:val="de-AT" w:eastAsia="fr-FR"/>
        </w:rPr>
        <w:t>develop</w:t>
      </w:r>
      <w:proofErr w:type="spellEnd"/>
      <w:r w:rsidRPr="00F85594">
        <w:rPr>
          <w:rFonts w:cs="Arial"/>
          <w:lang w:val="de-AT" w:eastAsia="fr-FR"/>
        </w:rPr>
        <w:t xml:space="preserve"> </w:t>
      </w:r>
      <w:proofErr w:type="spellStart"/>
      <w:r w:rsidRPr="00F85594">
        <w:rPr>
          <w:rFonts w:cs="Arial"/>
          <w:lang w:val="de-AT" w:eastAsia="fr-FR"/>
        </w:rPr>
        <w:t>further</w:t>
      </w:r>
      <w:proofErr w:type="spellEnd"/>
      <w:r w:rsidRPr="00F85594">
        <w:rPr>
          <w:rFonts w:cs="Arial"/>
          <w:lang w:val="de-AT" w:eastAsia="fr-FR"/>
        </w:rPr>
        <w:t xml:space="preserve"> </w:t>
      </w:r>
      <w:proofErr w:type="spellStart"/>
      <w:r w:rsidRPr="00F85594">
        <w:rPr>
          <w:rFonts w:cs="Arial"/>
          <w:lang w:val="de-AT" w:eastAsia="fr-FR"/>
        </w:rPr>
        <w:t>typologies</w:t>
      </w:r>
      <w:proofErr w:type="spellEnd"/>
      <w:r w:rsidRPr="00F85594">
        <w:rPr>
          <w:rFonts w:cs="Arial"/>
          <w:lang w:val="de-AT" w:eastAsia="fr-FR"/>
        </w:rPr>
        <w:t xml:space="preserve"> </w:t>
      </w:r>
      <w:proofErr w:type="spellStart"/>
      <w:r w:rsidRPr="00F85594">
        <w:rPr>
          <w:rFonts w:cs="Arial"/>
          <w:lang w:val="de-AT" w:eastAsia="fr-FR"/>
        </w:rPr>
        <w:t>and</w:t>
      </w:r>
      <w:proofErr w:type="spellEnd"/>
      <w:r w:rsidRPr="00F85594">
        <w:rPr>
          <w:rFonts w:cs="Arial"/>
          <w:lang w:val="de-AT" w:eastAsia="fr-FR"/>
        </w:rPr>
        <w:t xml:space="preserve"> </w:t>
      </w:r>
      <w:proofErr w:type="spellStart"/>
      <w:r w:rsidRPr="00F85594">
        <w:rPr>
          <w:rFonts w:cs="Arial"/>
          <w:lang w:val="de-AT" w:eastAsia="fr-FR"/>
        </w:rPr>
        <w:t>thereby</w:t>
      </w:r>
      <w:proofErr w:type="spellEnd"/>
      <w:r w:rsidRPr="00F85594">
        <w:rPr>
          <w:rFonts w:cs="Arial"/>
          <w:lang w:val="de-AT" w:eastAsia="fr-FR"/>
        </w:rPr>
        <w:t xml:space="preserve"> </w:t>
      </w:r>
      <w:proofErr w:type="spellStart"/>
      <w:r w:rsidRPr="00F85594">
        <w:rPr>
          <w:rFonts w:cs="Arial"/>
          <w:lang w:val="de-AT" w:eastAsia="fr-FR"/>
        </w:rPr>
        <w:t>suggests</w:t>
      </w:r>
      <w:proofErr w:type="spellEnd"/>
      <w:r w:rsidRPr="00F85594">
        <w:rPr>
          <w:rFonts w:cs="Arial"/>
          <w:lang w:val="de-AT" w:eastAsia="fr-FR"/>
        </w:rPr>
        <w:t xml:space="preserve"> </w:t>
      </w:r>
      <w:proofErr w:type="spellStart"/>
      <w:r w:rsidRPr="00F85594">
        <w:rPr>
          <w:rFonts w:cs="Arial"/>
          <w:lang w:val="de-AT" w:eastAsia="fr-FR"/>
        </w:rPr>
        <w:t>definitions</w:t>
      </w:r>
      <w:proofErr w:type="spellEnd"/>
      <w:r w:rsidRPr="00F85594">
        <w:rPr>
          <w:rFonts w:cs="Arial"/>
          <w:lang w:val="de-AT" w:eastAsia="fr-FR"/>
        </w:rPr>
        <w:t xml:space="preserve"> </w:t>
      </w:r>
      <w:proofErr w:type="spellStart"/>
      <w:r w:rsidRPr="00F85594">
        <w:rPr>
          <w:rFonts w:cs="Arial"/>
          <w:lang w:val="de-AT" w:eastAsia="fr-FR"/>
        </w:rPr>
        <w:t>based</w:t>
      </w:r>
      <w:proofErr w:type="spellEnd"/>
      <w:r w:rsidRPr="00F85594">
        <w:rPr>
          <w:rFonts w:cs="Arial"/>
          <w:lang w:val="de-AT" w:eastAsia="fr-FR"/>
        </w:rPr>
        <w:t xml:space="preserve"> on </w:t>
      </w:r>
      <w:proofErr w:type="spellStart"/>
      <w:r w:rsidRPr="00F85594">
        <w:rPr>
          <w:rFonts w:cs="Arial"/>
          <w:lang w:val="de-AT" w:eastAsia="fr-FR"/>
        </w:rPr>
        <w:t>the</w:t>
      </w:r>
      <w:proofErr w:type="spellEnd"/>
      <w:r w:rsidRPr="00F85594">
        <w:rPr>
          <w:rFonts w:cs="Arial"/>
          <w:lang w:val="de-AT" w:eastAsia="fr-FR"/>
        </w:rPr>
        <w:t xml:space="preserve"> </w:t>
      </w:r>
      <w:proofErr w:type="spellStart"/>
      <w:r w:rsidRPr="00F85594">
        <w:rPr>
          <w:rFonts w:cs="Arial"/>
          <w:lang w:val="de-AT" w:eastAsia="fr-FR"/>
        </w:rPr>
        <w:t>applicable</w:t>
      </w:r>
      <w:proofErr w:type="spellEnd"/>
      <w:r w:rsidRPr="00F85594">
        <w:rPr>
          <w:rFonts w:cs="Arial"/>
          <w:lang w:val="de-AT" w:eastAsia="fr-FR"/>
        </w:rPr>
        <w:t xml:space="preserve"> </w:t>
      </w:r>
      <w:proofErr w:type="spellStart"/>
      <w:r w:rsidRPr="00F85594">
        <w:rPr>
          <w:rFonts w:cs="Arial"/>
          <w:lang w:val="de-AT" w:eastAsia="fr-FR"/>
        </w:rPr>
        <w:t>investment</w:t>
      </w:r>
      <w:proofErr w:type="spellEnd"/>
      <w:r w:rsidRPr="00F85594">
        <w:rPr>
          <w:rFonts w:cs="Arial"/>
          <w:lang w:val="de-AT" w:eastAsia="fr-FR"/>
        </w:rPr>
        <w:t xml:space="preserve"> </w:t>
      </w:r>
      <w:proofErr w:type="spellStart"/>
      <w:r w:rsidRPr="00F85594">
        <w:rPr>
          <w:rFonts w:cs="Arial"/>
          <w:lang w:val="de-AT" w:eastAsia="fr-FR"/>
        </w:rPr>
        <w:t>strategies</w:t>
      </w:r>
      <w:proofErr w:type="spellEnd"/>
      <w:r w:rsidRPr="00F85594">
        <w:rPr>
          <w:rFonts w:cs="Arial"/>
          <w:lang w:val="de-AT" w:eastAsia="fr-FR"/>
        </w:rPr>
        <w:t xml:space="preserve"> </w:t>
      </w:r>
      <w:proofErr w:type="spellStart"/>
      <w:r w:rsidRPr="00F85594">
        <w:rPr>
          <w:rFonts w:cs="Arial"/>
          <w:lang w:val="de-AT" w:eastAsia="fr-FR"/>
        </w:rPr>
        <w:t>or</w:t>
      </w:r>
      <w:proofErr w:type="spellEnd"/>
      <w:r w:rsidRPr="00F85594">
        <w:rPr>
          <w:rFonts w:cs="Arial"/>
          <w:lang w:val="de-AT" w:eastAsia="fr-FR"/>
        </w:rPr>
        <w:t xml:space="preserve"> a </w:t>
      </w:r>
      <w:proofErr w:type="spellStart"/>
      <w:r w:rsidRPr="00F85594">
        <w:rPr>
          <w:rFonts w:cs="Arial"/>
          <w:lang w:val="de-AT" w:eastAsia="fr-FR"/>
        </w:rPr>
        <w:t>definition</w:t>
      </w:r>
      <w:proofErr w:type="spellEnd"/>
      <w:r w:rsidRPr="00F85594">
        <w:rPr>
          <w:rFonts w:cs="Arial"/>
          <w:lang w:val="de-AT" w:eastAsia="fr-FR"/>
        </w:rPr>
        <w:t xml:space="preserve"> </w:t>
      </w:r>
      <w:proofErr w:type="spellStart"/>
      <w:r w:rsidRPr="00F85594">
        <w:rPr>
          <w:rFonts w:cs="Arial"/>
          <w:lang w:val="de-AT" w:eastAsia="fr-FR"/>
        </w:rPr>
        <w:t>based</w:t>
      </w:r>
      <w:proofErr w:type="spellEnd"/>
      <w:r w:rsidRPr="00F85594">
        <w:rPr>
          <w:rFonts w:cs="Arial"/>
          <w:lang w:val="de-AT" w:eastAsia="fr-FR"/>
        </w:rPr>
        <w:t xml:space="preserve"> on a </w:t>
      </w:r>
      <w:proofErr w:type="spellStart"/>
      <w:r w:rsidRPr="00F85594">
        <w:rPr>
          <w:rFonts w:cs="Arial"/>
          <w:lang w:val="de-AT" w:eastAsia="fr-FR"/>
        </w:rPr>
        <w:t>possible</w:t>
      </w:r>
      <w:proofErr w:type="spellEnd"/>
      <w:r w:rsidRPr="00F85594">
        <w:rPr>
          <w:rFonts w:cs="Arial"/>
          <w:lang w:val="de-AT" w:eastAsia="fr-FR"/>
        </w:rPr>
        <w:t xml:space="preserve"> </w:t>
      </w:r>
      <w:proofErr w:type="spellStart"/>
      <w:r w:rsidRPr="00F85594">
        <w:rPr>
          <w:rFonts w:cs="Arial"/>
          <w:lang w:val="de-AT" w:eastAsia="fr-FR"/>
        </w:rPr>
        <w:t>capital</w:t>
      </w:r>
      <w:proofErr w:type="spellEnd"/>
      <w:r w:rsidRPr="00F85594">
        <w:rPr>
          <w:rFonts w:cs="Arial"/>
          <w:lang w:val="de-AT" w:eastAsia="fr-FR"/>
        </w:rPr>
        <w:t xml:space="preserve"> </w:t>
      </w:r>
      <w:proofErr w:type="spellStart"/>
      <w:r w:rsidRPr="00F85594">
        <w:rPr>
          <w:rFonts w:cs="Arial"/>
          <w:lang w:val="de-AT" w:eastAsia="fr-FR"/>
        </w:rPr>
        <w:t>protection</w:t>
      </w:r>
      <w:proofErr w:type="spellEnd"/>
      <w:r w:rsidRPr="00F85594">
        <w:rPr>
          <w:rFonts w:cs="Arial"/>
          <w:lang w:val="de-AT" w:eastAsia="fr-FR"/>
        </w:rPr>
        <w:t>.</w:t>
      </w:r>
    </w:p>
    <w:p w:rsidR="0051226D" w:rsidRPr="00F85594" w:rsidRDefault="0051226D" w:rsidP="006A6CFB">
      <w:pPr>
        <w:jc w:val="both"/>
        <w:rPr>
          <w:rFonts w:cs="Arial"/>
          <w:sz w:val="24"/>
          <w:szCs w:val="22"/>
        </w:rPr>
      </w:pPr>
    </w:p>
    <w:p w:rsidR="003A6416" w:rsidRPr="00F85594" w:rsidRDefault="003A6416" w:rsidP="006A6CFB">
      <w:pPr>
        <w:jc w:val="both"/>
        <w:rPr>
          <w:rFonts w:cs="Arial"/>
          <w:sz w:val="24"/>
          <w:szCs w:val="22"/>
        </w:rPr>
      </w:pPr>
    </w:p>
    <w:p w:rsidR="003A6416" w:rsidRPr="00F85594" w:rsidRDefault="003A6416" w:rsidP="006A6CFB">
      <w:pPr>
        <w:jc w:val="both"/>
        <w:rPr>
          <w:rFonts w:cs="Arial"/>
          <w:sz w:val="24"/>
          <w:szCs w:val="22"/>
        </w:rPr>
      </w:pPr>
    </w:p>
    <w:p w:rsidR="00F85594" w:rsidRPr="00F85594" w:rsidRDefault="00F85594" w:rsidP="00F85594">
      <w:pPr>
        <w:jc w:val="both"/>
        <w:rPr>
          <w:rFonts w:cs="Arial"/>
          <w:szCs w:val="22"/>
        </w:rPr>
      </w:pPr>
      <w:proofErr w:type="spellStart"/>
      <w:r w:rsidRPr="00F85594">
        <w:rPr>
          <w:rFonts w:cs="Arial"/>
          <w:szCs w:val="22"/>
        </w:rPr>
        <w:t>Yours</w:t>
      </w:r>
      <w:proofErr w:type="spellEnd"/>
      <w:r w:rsidRPr="00F85594">
        <w:rPr>
          <w:rFonts w:cs="Arial"/>
          <w:szCs w:val="22"/>
        </w:rPr>
        <w:t xml:space="preserve"> </w:t>
      </w:r>
      <w:proofErr w:type="spellStart"/>
      <w:r w:rsidRPr="00F85594">
        <w:rPr>
          <w:rFonts w:cs="Arial"/>
          <w:szCs w:val="22"/>
        </w:rPr>
        <w:t>sincerely</w:t>
      </w:r>
      <w:proofErr w:type="spellEnd"/>
      <w:r w:rsidRPr="00F85594">
        <w:rPr>
          <w:rFonts w:cs="Arial"/>
          <w:szCs w:val="22"/>
        </w:rPr>
        <w:t>,</w:t>
      </w:r>
    </w:p>
    <w:p w:rsidR="00F85594" w:rsidRPr="00F85594" w:rsidRDefault="00F85594" w:rsidP="00F85594">
      <w:pPr>
        <w:jc w:val="both"/>
        <w:rPr>
          <w:rFonts w:cs="Arial"/>
          <w:szCs w:val="22"/>
        </w:rPr>
      </w:pPr>
    </w:p>
    <w:p w:rsidR="00F85594" w:rsidRPr="00F85594" w:rsidRDefault="00F85594" w:rsidP="00F85594">
      <w:pPr>
        <w:jc w:val="both"/>
        <w:rPr>
          <w:rFonts w:cs="Arial"/>
          <w:szCs w:val="22"/>
        </w:rPr>
      </w:pPr>
    </w:p>
    <w:p w:rsidR="00F85594" w:rsidRPr="00F85594" w:rsidRDefault="00F85594" w:rsidP="00F85594">
      <w:pPr>
        <w:jc w:val="both"/>
        <w:rPr>
          <w:rFonts w:cs="Arial"/>
          <w:szCs w:val="22"/>
        </w:rPr>
      </w:pPr>
    </w:p>
    <w:p w:rsidR="00F85594" w:rsidRPr="00F85594" w:rsidRDefault="00F85594" w:rsidP="00F85594">
      <w:pPr>
        <w:jc w:val="both"/>
        <w:rPr>
          <w:rFonts w:cs="Arial"/>
          <w:szCs w:val="22"/>
        </w:rPr>
      </w:pPr>
      <w:r w:rsidRPr="00F85594">
        <w:rPr>
          <w:rFonts w:cs="Arial"/>
          <w:szCs w:val="22"/>
        </w:rPr>
        <w:t xml:space="preserve">Dr. Franz Rudorfer  </w:t>
      </w:r>
    </w:p>
    <w:p w:rsidR="00F85594" w:rsidRPr="00F85594" w:rsidRDefault="009C7BE5" w:rsidP="00F85594">
      <w:pPr>
        <w:jc w:val="both"/>
        <w:rPr>
          <w:rFonts w:cs="Arial"/>
          <w:szCs w:val="22"/>
        </w:rPr>
      </w:pPr>
      <w:r>
        <w:rPr>
          <w:rFonts w:cs="Arial"/>
          <w:szCs w:val="22"/>
        </w:rPr>
        <w:t xml:space="preserve">Managing </w:t>
      </w:r>
      <w:proofErr w:type="spellStart"/>
      <w:r>
        <w:rPr>
          <w:rFonts w:cs="Arial"/>
          <w:szCs w:val="22"/>
        </w:rPr>
        <w:t>Director</w:t>
      </w:r>
      <w:proofErr w:type="spellEnd"/>
    </w:p>
    <w:p w:rsidR="00F85594" w:rsidRPr="00F85594" w:rsidRDefault="00F85594" w:rsidP="00F85594">
      <w:pPr>
        <w:jc w:val="both"/>
        <w:rPr>
          <w:rFonts w:cs="Arial"/>
          <w:szCs w:val="22"/>
        </w:rPr>
      </w:pPr>
      <w:r w:rsidRPr="00F85594">
        <w:rPr>
          <w:rFonts w:cs="Arial"/>
          <w:szCs w:val="22"/>
        </w:rPr>
        <w:t xml:space="preserve">Division Bank &amp; Insurance </w:t>
      </w:r>
    </w:p>
    <w:p w:rsidR="009B2A6C" w:rsidRPr="00F85594" w:rsidRDefault="00F85594" w:rsidP="00F85594">
      <w:pPr>
        <w:jc w:val="both"/>
        <w:rPr>
          <w:rFonts w:cs="Arial"/>
          <w:szCs w:val="22"/>
        </w:rPr>
      </w:pPr>
      <w:r w:rsidRPr="00F85594">
        <w:rPr>
          <w:rFonts w:cs="Arial"/>
          <w:szCs w:val="22"/>
        </w:rPr>
        <w:t xml:space="preserve">Austrian Federal </w:t>
      </w:r>
      <w:proofErr w:type="spellStart"/>
      <w:r w:rsidRPr="00F85594">
        <w:rPr>
          <w:rFonts w:cs="Arial"/>
          <w:szCs w:val="22"/>
        </w:rPr>
        <w:t>Economic</w:t>
      </w:r>
      <w:proofErr w:type="spellEnd"/>
      <w:r w:rsidRPr="00F85594">
        <w:rPr>
          <w:rFonts w:cs="Arial"/>
          <w:szCs w:val="22"/>
        </w:rPr>
        <w:t xml:space="preserve"> </w:t>
      </w:r>
      <w:proofErr w:type="spellStart"/>
      <w:r w:rsidRPr="00F85594">
        <w:rPr>
          <w:rFonts w:cs="Arial"/>
          <w:szCs w:val="22"/>
        </w:rPr>
        <w:t>Chamber</w:t>
      </w:r>
      <w:proofErr w:type="spellEnd"/>
    </w:p>
    <w:sectPr w:rsidR="009B2A6C" w:rsidRPr="00F85594" w:rsidSect="00B57120">
      <w:footerReference w:type="default" r:id="rId9"/>
      <w:headerReference w:type="first" r:id="rId10"/>
      <w:footerReference w:type="first" r:id="rId11"/>
      <w:pgSz w:w="11906" w:h="16838"/>
      <w:pgMar w:top="1701" w:right="1133"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45" w:rsidRDefault="009E7B45">
      <w:r>
        <w:separator/>
      </w:r>
    </w:p>
  </w:endnote>
  <w:endnote w:type="continuationSeparator" w:id="0">
    <w:p w:rsidR="009E7B45" w:rsidRDefault="009E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45" w:rsidRPr="007C6CFC" w:rsidRDefault="009E7B45">
    <w:pPr>
      <w:pStyle w:val="Fuzeile"/>
      <w:rPr>
        <w:szCs w:val="22"/>
      </w:rPr>
    </w:pPr>
    <w:r w:rsidRPr="007C6CFC">
      <w:rPr>
        <w:sz w:val="16"/>
        <w:szCs w:val="16"/>
      </w:rPr>
      <w:tab/>
    </w:r>
    <w:r w:rsidRPr="007C6CFC">
      <w:rPr>
        <w:szCs w:val="22"/>
      </w:rPr>
      <w:t xml:space="preserve">- </w:t>
    </w:r>
    <w:r w:rsidRPr="007C6CFC">
      <w:rPr>
        <w:szCs w:val="22"/>
      </w:rPr>
      <w:fldChar w:fldCharType="begin"/>
    </w:r>
    <w:r w:rsidRPr="007C6CFC">
      <w:rPr>
        <w:szCs w:val="22"/>
      </w:rPr>
      <w:instrText xml:space="preserve"> PAGE </w:instrText>
    </w:r>
    <w:r w:rsidRPr="007C6CFC">
      <w:rPr>
        <w:szCs w:val="22"/>
      </w:rPr>
      <w:fldChar w:fldCharType="separate"/>
    </w:r>
    <w:r w:rsidR="00E0087B">
      <w:rPr>
        <w:noProof/>
        <w:szCs w:val="22"/>
      </w:rPr>
      <w:t>4</w:t>
    </w:r>
    <w:r w:rsidRPr="007C6CFC">
      <w:rPr>
        <w:szCs w:val="22"/>
      </w:rPr>
      <w:fldChar w:fldCharType="end"/>
    </w:r>
    <w:r w:rsidRPr="007C6CFC">
      <w:rPr>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45" w:rsidRDefault="009E7B45" w:rsidP="0081262C">
    <w:pPr>
      <w:pStyle w:val="Fuzeile"/>
      <w:rPr>
        <w:snapToGrid w:val="0"/>
        <w:color w:val="000000"/>
        <w:sz w:val="16"/>
        <w:szCs w:val="16"/>
        <w:u w:color="000000"/>
      </w:rPr>
    </w:pPr>
    <w:r w:rsidRPr="00C0405C">
      <w:rPr>
        <w:snapToGrid w:val="0"/>
        <w:color w:val="000000"/>
        <w:sz w:val="16"/>
        <w:szCs w:val="16"/>
        <w:u w:color="000000"/>
      </w:rPr>
      <w:fldChar w:fldCharType="begin"/>
    </w:r>
    <w:r w:rsidRPr="00C0405C">
      <w:rPr>
        <w:snapToGrid w:val="0"/>
        <w:color w:val="000000"/>
        <w:sz w:val="16"/>
        <w:szCs w:val="16"/>
        <w:u w:color="000000"/>
      </w:rPr>
      <w:instrText xml:space="preserve"> FILENAME \p </w:instrText>
    </w:r>
    <w:r w:rsidRPr="00C0405C">
      <w:rPr>
        <w:snapToGrid w:val="0"/>
        <w:color w:val="000000"/>
        <w:sz w:val="16"/>
        <w:szCs w:val="16"/>
        <w:u w:color="000000"/>
      </w:rPr>
      <w:fldChar w:fldCharType="separate"/>
    </w:r>
    <w:r w:rsidR="00E0087B">
      <w:rPr>
        <w:noProof/>
        <w:snapToGrid w:val="0"/>
        <w:color w:val="000000"/>
        <w:sz w:val="16"/>
        <w:szCs w:val="16"/>
        <w:u w:color="000000"/>
      </w:rPr>
      <w:t>I:\Texte\2013\A-H\ESMA\ST_AIFMD.docx</w:t>
    </w:r>
    <w:r w:rsidRPr="00C0405C">
      <w:rPr>
        <w:snapToGrid w:val="0"/>
        <w:color w:val="000000"/>
        <w:sz w:val="16"/>
        <w:szCs w:val="16"/>
        <w:u w:color="000000"/>
      </w:rPr>
      <w:fldChar w:fldCharType="end"/>
    </w:r>
  </w:p>
  <w:p w:rsidR="009E7B45" w:rsidRPr="007C6CFC" w:rsidRDefault="009E7B45" w:rsidP="00C532A4">
    <w:pPr>
      <w:pStyle w:val="Fuzeile"/>
      <w:tabs>
        <w:tab w:val="left" w:pos="3630"/>
      </w:tabs>
      <w:rPr>
        <w:snapToGrid w:val="0"/>
        <w:color w:val="000000"/>
        <w:szCs w:val="22"/>
        <w:u w:color="000000"/>
      </w:rPr>
    </w:pPr>
    <w:r w:rsidRPr="007C6CFC">
      <w:rPr>
        <w:snapToGrid w:val="0"/>
        <w:color w:val="000000"/>
        <w:sz w:val="16"/>
        <w:szCs w:val="16"/>
        <w:u w:color="000000"/>
      </w:rPr>
      <w:tab/>
    </w:r>
    <w:r>
      <w:rPr>
        <w:snapToGrid w:val="0"/>
        <w:color w:val="000000"/>
        <w:sz w:val="16"/>
        <w:szCs w:val="16"/>
        <w:u w:color="000000"/>
      </w:rPr>
      <w:tab/>
    </w:r>
    <w:r w:rsidRPr="007C6CFC">
      <w:rPr>
        <w:snapToGrid w:val="0"/>
        <w:color w:val="000000"/>
        <w:szCs w:val="22"/>
        <w:u w:color="000000"/>
      </w:rPr>
      <w:t xml:space="preserve">- </w:t>
    </w:r>
    <w:r w:rsidRPr="007C6CFC">
      <w:rPr>
        <w:snapToGrid w:val="0"/>
        <w:color w:val="000000"/>
        <w:szCs w:val="22"/>
        <w:u w:color="000000"/>
      </w:rPr>
      <w:fldChar w:fldCharType="begin"/>
    </w:r>
    <w:r w:rsidRPr="007C6CFC">
      <w:rPr>
        <w:snapToGrid w:val="0"/>
        <w:color w:val="000000"/>
        <w:szCs w:val="22"/>
        <w:u w:color="000000"/>
      </w:rPr>
      <w:instrText xml:space="preserve"> PAGE </w:instrText>
    </w:r>
    <w:r w:rsidRPr="007C6CFC">
      <w:rPr>
        <w:snapToGrid w:val="0"/>
        <w:color w:val="000000"/>
        <w:szCs w:val="22"/>
        <w:u w:color="000000"/>
      </w:rPr>
      <w:fldChar w:fldCharType="separate"/>
    </w:r>
    <w:r w:rsidR="00E0087B">
      <w:rPr>
        <w:noProof/>
        <w:snapToGrid w:val="0"/>
        <w:color w:val="000000"/>
        <w:szCs w:val="22"/>
        <w:u w:color="000000"/>
      </w:rPr>
      <w:t>1</w:t>
    </w:r>
    <w:r w:rsidRPr="007C6CFC">
      <w:rPr>
        <w:snapToGrid w:val="0"/>
        <w:color w:val="000000"/>
        <w:szCs w:val="22"/>
        <w:u w:color="000000"/>
      </w:rPr>
      <w:fldChar w:fldCharType="end"/>
    </w:r>
    <w:r w:rsidRPr="007C6CFC">
      <w:rPr>
        <w:snapToGrid w:val="0"/>
        <w:color w:val="000000"/>
        <w:szCs w:val="22"/>
        <w:u w:color="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45" w:rsidRDefault="009E7B45">
      <w:r>
        <w:separator/>
      </w:r>
    </w:p>
  </w:footnote>
  <w:footnote w:type="continuationSeparator" w:id="0">
    <w:p w:rsidR="009E7B45" w:rsidRDefault="009E7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45" w:rsidRPr="0081262C" w:rsidRDefault="009E7B45" w:rsidP="00F0083F">
    <w:pPr>
      <w:pStyle w:val="Kopfzeile"/>
      <w:tabs>
        <w:tab w:val="clear" w:pos="9072"/>
        <w:tab w:val="right" w:pos="9498"/>
      </w:tabs>
      <w:jc w:val="right"/>
    </w:pPr>
    <w:r>
      <w:rPr>
        <w:noProof/>
        <w:lang w:val="de-AT" w:eastAsia="de-AT"/>
      </w:rPr>
      <w:drawing>
        <wp:anchor distT="0" distB="0" distL="114300" distR="114300" simplePos="0" relativeHeight="251657728" behindDoc="0" locked="1" layoutInCell="1" allowOverlap="1" wp14:anchorId="084385FC" wp14:editId="2177D3DD">
          <wp:simplePos x="0" y="0"/>
          <wp:positionH relativeFrom="page">
            <wp:posOffset>4859655</wp:posOffset>
          </wp:positionH>
          <wp:positionV relativeFrom="page">
            <wp:posOffset>197485</wp:posOffset>
          </wp:positionV>
          <wp:extent cx="2210435" cy="861695"/>
          <wp:effectExtent l="19050" t="0" r="0" b="0"/>
          <wp:wrapTopAndBottom/>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210435" cy="86169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763"/>
    <w:multiLevelType w:val="hybridMultilevel"/>
    <w:tmpl w:val="A33CE66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4DD3004"/>
    <w:multiLevelType w:val="hybridMultilevel"/>
    <w:tmpl w:val="67C42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263ABC"/>
    <w:multiLevelType w:val="hybridMultilevel"/>
    <w:tmpl w:val="BDDE7D6C"/>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5562CDC"/>
    <w:multiLevelType w:val="multilevel"/>
    <w:tmpl w:val="6644A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FD79E4"/>
    <w:multiLevelType w:val="multilevel"/>
    <w:tmpl w:val="0C7C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E0A2525"/>
    <w:multiLevelType w:val="hybridMultilevel"/>
    <w:tmpl w:val="F836D698"/>
    <w:lvl w:ilvl="0" w:tplc="0C07000F">
      <w:start w:val="1"/>
      <w:numFmt w:val="decimal"/>
      <w:lvlText w:val="%1."/>
      <w:lvlJc w:val="left"/>
      <w:pPr>
        <w:ind w:left="720" w:hanging="360"/>
      </w:pPr>
      <w:rPr>
        <w:rFonts w:cs="Times New Roman"/>
      </w:rPr>
    </w:lvl>
    <w:lvl w:ilvl="1" w:tplc="0C070019">
      <w:start w:val="1"/>
      <w:numFmt w:val="decimal"/>
      <w:lvlText w:val="%2."/>
      <w:lvlJc w:val="left"/>
      <w:pPr>
        <w:tabs>
          <w:tab w:val="num" w:pos="1440"/>
        </w:tabs>
        <w:ind w:left="1440" w:hanging="360"/>
      </w:pPr>
      <w:rPr>
        <w:rFonts w:cs="Times New Roman"/>
      </w:rPr>
    </w:lvl>
    <w:lvl w:ilvl="2" w:tplc="0C07001B">
      <w:start w:val="1"/>
      <w:numFmt w:val="decimal"/>
      <w:lvlText w:val="%3."/>
      <w:lvlJc w:val="left"/>
      <w:pPr>
        <w:tabs>
          <w:tab w:val="num" w:pos="2160"/>
        </w:tabs>
        <w:ind w:left="2160" w:hanging="360"/>
      </w:pPr>
      <w:rPr>
        <w:rFonts w:cs="Times New Roman"/>
      </w:rPr>
    </w:lvl>
    <w:lvl w:ilvl="3" w:tplc="0C07000F">
      <w:start w:val="1"/>
      <w:numFmt w:val="decimal"/>
      <w:lvlText w:val="%4."/>
      <w:lvlJc w:val="left"/>
      <w:pPr>
        <w:tabs>
          <w:tab w:val="num" w:pos="2880"/>
        </w:tabs>
        <w:ind w:left="2880" w:hanging="360"/>
      </w:pPr>
      <w:rPr>
        <w:rFonts w:cs="Times New Roman"/>
      </w:rPr>
    </w:lvl>
    <w:lvl w:ilvl="4" w:tplc="0C070019">
      <w:start w:val="1"/>
      <w:numFmt w:val="decimal"/>
      <w:lvlText w:val="%5."/>
      <w:lvlJc w:val="left"/>
      <w:pPr>
        <w:tabs>
          <w:tab w:val="num" w:pos="3600"/>
        </w:tabs>
        <w:ind w:left="3600" w:hanging="360"/>
      </w:pPr>
      <w:rPr>
        <w:rFonts w:cs="Times New Roman"/>
      </w:rPr>
    </w:lvl>
    <w:lvl w:ilvl="5" w:tplc="0C07001B">
      <w:start w:val="1"/>
      <w:numFmt w:val="decimal"/>
      <w:lvlText w:val="%6."/>
      <w:lvlJc w:val="left"/>
      <w:pPr>
        <w:tabs>
          <w:tab w:val="num" w:pos="4320"/>
        </w:tabs>
        <w:ind w:left="4320" w:hanging="360"/>
      </w:pPr>
      <w:rPr>
        <w:rFonts w:cs="Times New Roman"/>
      </w:rPr>
    </w:lvl>
    <w:lvl w:ilvl="6" w:tplc="0C07000F">
      <w:start w:val="1"/>
      <w:numFmt w:val="decimal"/>
      <w:lvlText w:val="%7."/>
      <w:lvlJc w:val="left"/>
      <w:pPr>
        <w:tabs>
          <w:tab w:val="num" w:pos="5040"/>
        </w:tabs>
        <w:ind w:left="5040" w:hanging="360"/>
      </w:pPr>
      <w:rPr>
        <w:rFonts w:cs="Times New Roman"/>
      </w:rPr>
    </w:lvl>
    <w:lvl w:ilvl="7" w:tplc="0C070019">
      <w:start w:val="1"/>
      <w:numFmt w:val="decimal"/>
      <w:lvlText w:val="%8."/>
      <w:lvlJc w:val="left"/>
      <w:pPr>
        <w:tabs>
          <w:tab w:val="num" w:pos="5760"/>
        </w:tabs>
        <w:ind w:left="5760" w:hanging="360"/>
      </w:pPr>
      <w:rPr>
        <w:rFonts w:cs="Times New Roman"/>
      </w:rPr>
    </w:lvl>
    <w:lvl w:ilvl="8" w:tplc="0C07001B">
      <w:start w:val="1"/>
      <w:numFmt w:val="decimal"/>
      <w:lvlText w:val="%9."/>
      <w:lvlJc w:val="left"/>
      <w:pPr>
        <w:tabs>
          <w:tab w:val="num" w:pos="6480"/>
        </w:tabs>
        <w:ind w:left="6480" w:hanging="360"/>
      </w:pPr>
      <w:rPr>
        <w:rFonts w:cs="Times New Roman"/>
      </w:rPr>
    </w:lvl>
  </w:abstractNum>
  <w:abstractNum w:abstractNumId="6">
    <w:nsid w:val="203F516D"/>
    <w:multiLevelType w:val="hybridMultilevel"/>
    <w:tmpl w:val="2550E5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2FB2C22"/>
    <w:multiLevelType w:val="hybridMultilevel"/>
    <w:tmpl w:val="B030B2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581739B"/>
    <w:multiLevelType w:val="hybridMultilevel"/>
    <w:tmpl w:val="1BF4DB78"/>
    <w:lvl w:ilvl="0" w:tplc="D8606E6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93C14E2"/>
    <w:multiLevelType w:val="hybridMultilevel"/>
    <w:tmpl w:val="3DE84B8A"/>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0">
    <w:nsid w:val="32897883"/>
    <w:multiLevelType w:val="hybridMultilevel"/>
    <w:tmpl w:val="A9E44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5F03BF4"/>
    <w:multiLevelType w:val="hybridMultilevel"/>
    <w:tmpl w:val="50789B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nsid w:val="4756748D"/>
    <w:multiLevelType w:val="hybridMultilevel"/>
    <w:tmpl w:val="12EC5E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9F9202C"/>
    <w:multiLevelType w:val="multilevel"/>
    <w:tmpl w:val="BF5A7B62"/>
    <w:lvl w:ilvl="0">
      <w:start w:val="1"/>
      <w:numFmt w:val="decimal"/>
      <w:lvlText w:val="%1."/>
      <w:lvlJc w:val="left"/>
      <w:pPr>
        <w:ind w:left="705" w:hanging="705"/>
      </w:pPr>
      <w:rPr>
        <w:rFonts w:hint="default"/>
      </w:rPr>
    </w:lvl>
    <w:lvl w:ilvl="1">
      <w:start w:val="1"/>
      <w:numFmt w:val="upp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B8D2FCD"/>
    <w:multiLevelType w:val="hybridMultilevel"/>
    <w:tmpl w:val="E28A70B2"/>
    <w:lvl w:ilvl="0" w:tplc="BD32E1B6">
      <w:start w:val="1"/>
      <w:numFmt w:val="upperLetter"/>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nsid w:val="4CB32F14"/>
    <w:multiLevelType w:val="hybridMultilevel"/>
    <w:tmpl w:val="DEAAC9CC"/>
    <w:lvl w:ilvl="0" w:tplc="BC86DAA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0383C65"/>
    <w:multiLevelType w:val="hybridMultilevel"/>
    <w:tmpl w:val="4EAA61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52BA0231"/>
    <w:multiLevelType w:val="multilevel"/>
    <w:tmpl w:val="D48EC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3BD4EC3"/>
    <w:multiLevelType w:val="hybridMultilevel"/>
    <w:tmpl w:val="AB0C99F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A7B698F"/>
    <w:multiLevelType w:val="multilevel"/>
    <w:tmpl w:val="3AF05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0CA7114"/>
    <w:multiLevelType w:val="hybridMultilevel"/>
    <w:tmpl w:val="DEB2F6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664A6AD8"/>
    <w:multiLevelType w:val="multilevel"/>
    <w:tmpl w:val="683C3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875251E"/>
    <w:multiLevelType w:val="hybridMultilevel"/>
    <w:tmpl w:val="3C0E327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nsid w:val="6A6B502E"/>
    <w:multiLevelType w:val="hybridMultilevel"/>
    <w:tmpl w:val="08B2E5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AA32C7E"/>
    <w:multiLevelType w:val="hybridMultilevel"/>
    <w:tmpl w:val="54661D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nsid w:val="6E2E2DA6"/>
    <w:multiLevelType w:val="hybridMultilevel"/>
    <w:tmpl w:val="82B0FFD8"/>
    <w:lvl w:ilvl="0" w:tplc="0C070005">
      <w:start w:val="1"/>
      <w:numFmt w:val="bullet"/>
      <w:lvlText w:val=""/>
      <w:lvlJc w:val="left"/>
      <w:pPr>
        <w:tabs>
          <w:tab w:val="num" w:pos="720"/>
        </w:tabs>
        <w:ind w:left="720" w:hanging="360"/>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nsid w:val="730F4E92"/>
    <w:multiLevelType w:val="hybridMultilevel"/>
    <w:tmpl w:val="FAFC353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7800594C"/>
    <w:multiLevelType w:val="hybridMultilevel"/>
    <w:tmpl w:val="F9446F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79DB2946"/>
    <w:multiLevelType w:val="hybridMultilevel"/>
    <w:tmpl w:val="2884AA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7A6667D0"/>
    <w:multiLevelType w:val="hybridMultilevel"/>
    <w:tmpl w:val="E05E30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7A933E24"/>
    <w:multiLevelType w:val="multilevel"/>
    <w:tmpl w:val="649C506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C046DF3"/>
    <w:multiLevelType w:val="hybridMultilevel"/>
    <w:tmpl w:val="95D69CF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D334E98"/>
    <w:multiLevelType w:val="hybridMultilevel"/>
    <w:tmpl w:val="B3DA6AE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0"/>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7"/>
  </w:num>
  <w:num w:numId="5">
    <w:abstractNumId w:val="25"/>
  </w:num>
  <w:num w:numId="6">
    <w:abstractNumId w:val="31"/>
  </w:num>
  <w:num w:numId="7">
    <w:abstractNumId w:val="18"/>
  </w:num>
  <w:num w:numId="8">
    <w:abstractNumId w:val="32"/>
  </w:num>
  <w:num w:numId="9">
    <w:abstractNumId w:val="2"/>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8"/>
  </w:num>
  <w:num w:numId="13">
    <w:abstractNumId w:val="12"/>
  </w:num>
  <w:num w:numId="14">
    <w:abstractNumId w:val="1"/>
  </w:num>
  <w:num w:numId="15">
    <w:abstractNumId w:val="2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9"/>
  </w:num>
  <w:num w:numId="21">
    <w:abstractNumId w:val="26"/>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0"/>
  </w:num>
  <w:num w:numId="25">
    <w:abstractNumId w:val="13"/>
  </w:num>
  <w:num w:numId="26">
    <w:abstractNumId w:val="21"/>
  </w:num>
  <w:num w:numId="27">
    <w:abstractNumId w:val="0"/>
  </w:num>
  <w:num w:numId="28">
    <w:abstractNumId w:val="22"/>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2C"/>
    <w:rsid w:val="0000192C"/>
    <w:rsid w:val="00002869"/>
    <w:rsid w:val="00002AE3"/>
    <w:rsid w:val="00013518"/>
    <w:rsid w:val="00022162"/>
    <w:rsid w:val="00022E3E"/>
    <w:rsid w:val="00027D5E"/>
    <w:rsid w:val="000345E6"/>
    <w:rsid w:val="00034E26"/>
    <w:rsid w:val="00052007"/>
    <w:rsid w:val="00060833"/>
    <w:rsid w:val="00064C5A"/>
    <w:rsid w:val="00081515"/>
    <w:rsid w:val="00081E90"/>
    <w:rsid w:val="0009402A"/>
    <w:rsid w:val="000B445F"/>
    <w:rsid w:val="000B743B"/>
    <w:rsid w:val="000C7E1D"/>
    <w:rsid w:val="000E50B4"/>
    <w:rsid w:val="00105589"/>
    <w:rsid w:val="00107BA2"/>
    <w:rsid w:val="001100E8"/>
    <w:rsid w:val="001231B3"/>
    <w:rsid w:val="001266AB"/>
    <w:rsid w:val="00135B33"/>
    <w:rsid w:val="00137D1A"/>
    <w:rsid w:val="00140840"/>
    <w:rsid w:val="00142215"/>
    <w:rsid w:val="00154B0A"/>
    <w:rsid w:val="0015559A"/>
    <w:rsid w:val="001628C5"/>
    <w:rsid w:val="001669D8"/>
    <w:rsid w:val="001829FA"/>
    <w:rsid w:val="00185ED2"/>
    <w:rsid w:val="00190AE7"/>
    <w:rsid w:val="001914C7"/>
    <w:rsid w:val="001B326E"/>
    <w:rsid w:val="001B472D"/>
    <w:rsid w:val="001B75C9"/>
    <w:rsid w:val="001D7741"/>
    <w:rsid w:val="001D7E2A"/>
    <w:rsid w:val="001E5A71"/>
    <w:rsid w:val="001F1973"/>
    <w:rsid w:val="002038DC"/>
    <w:rsid w:val="00203C40"/>
    <w:rsid w:val="00206C50"/>
    <w:rsid w:val="00215A3D"/>
    <w:rsid w:val="00222E53"/>
    <w:rsid w:val="00230DE4"/>
    <w:rsid w:val="00243539"/>
    <w:rsid w:val="00253D85"/>
    <w:rsid w:val="00266DA4"/>
    <w:rsid w:val="00283AD0"/>
    <w:rsid w:val="00295EBD"/>
    <w:rsid w:val="002D0A04"/>
    <w:rsid w:val="002D1ADE"/>
    <w:rsid w:val="002D424B"/>
    <w:rsid w:val="002D4EDD"/>
    <w:rsid w:val="002E2DD9"/>
    <w:rsid w:val="002E5502"/>
    <w:rsid w:val="00300864"/>
    <w:rsid w:val="003058F8"/>
    <w:rsid w:val="00324CBF"/>
    <w:rsid w:val="00330879"/>
    <w:rsid w:val="00340F56"/>
    <w:rsid w:val="0034723E"/>
    <w:rsid w:val="00371EC8"/>
    <w:rsid w:val="0038214C"/>
    <w:rsid w:val="00390AFC"/>
    <w:rsid w:val="00394D41"/>
    <w:rsid w:val="003A6416"/>
    <w:rsid w:val="003B493B"/>
    <w:rsid w:val="003B7FC8"/>
    <w:rsid w:val="003E2214"/>
    <w:rsid w:val="003E4A87"/>
    <w:rsid w:val="003E775F"/>
    <w:rsid w:val="003F04D5"/>
    <w:rsid w:val="003F3EE9"/>
    <w:rsid w:val="003F7E1B"/>
    <w:rsid w:val="00410C22"/>
    <w:rsid w:val="00415D2F"/>
    <w:rsid w:val="00422F18"/>
    <w:rsid w:val="00423258"/>
    <w:rsid w:val="0042491E"/>
    <w:rsid w:val="00426E66"/>
    <w:rsid w:val="004414C5"/>
    <w:rsid w:val="004501DA"/>
    <w:rsid w:val="00450541"/>
    <w:rsid w:val="00456578"/>
    <w:rsid w:val="00461E46"/>
    <w:rsid w:val="0046510E"/>
    <w:rsid w:val="004660A0"/>
    <w:rsid w:val="00471CAF"/>
    <w:rsid w:val="0049380D"/>
    <w:rsid w:val="00495FD1"/>
    <w:rsid w:val="004A5E30"/>
    <w:rsid w:val="004C3F26"/>
    <w:rsid w:val="004E3F8D"/>
    <w:rsid w:val="004E7C12"/>
    <w:rsid w:val="004F2117"/>
    <w:rsid w:val="004F716A"/>
    <w:rsid w:val="0050486A"/>
    <w:rsid w:val="00505288"/>
    <w:rsid w:val="0051226D"/>
    <w:rsid w:val="00515614"/>
    <w:rsid w:val="00526735"/>
    <w:rsid w:val="005428AB"/>
    <w:rsid w:val="00546DF6"/>
    <w:rsid w:val="00565278"/>
    <w:rsid w:val="005736F9"/>
    <w:rsid w:val="005874F6"/>
    <w:rsid w:val="00591A98"/>
    <w:rsid w:val="005B5AD8"/>
    <w:rsid w:val="005C0A2B"/>
    <w:rsid w:val="005C40BB"/>
    <w:rsid w:val="005D1823"/>
    <w:rsid w:val="005D3F1D"/>
    <w:rsid w:val="005E3AAF"/>
    <w:rsid w:val="00601398"/>
    <w:rsid w:val="00601EB6"/>
    <w:rsid w:val="00612894"/>
    <w:rsid w:val="0062389E"/>
    <w:rsid w:val="00640CF8"/>
    <w:rsid w:val="00650A4A"/>
    <w:rsid w:val="006641EF"/>
    <w:rsid w:val="00666C97"/>
    <w:rsid w:val="00670512"/>
    <w:rsid w:val="00685127"/>
    <w:rsid w:val="006A6CFB"/>
    <w:rsid w:val="006A70A2"/>
    <w:rsid w:val="006B3DEE"/>
    <w:rsid w:val="006C2B9A"/>
    <w:rsid w:val="006C4B6E"/>
    <w:rsid w:val="006D4937"/>
    <w:rsid w:val="006E4A35"/>
    <w:rsid w:val="006E4B16"/>
    <w:rsid w:val="006E65D9"/>
    <w:rsid w:val="006F2076"/>
    <w:rsid w:val="00706BE2"/>
    <w:rsid w:val="00722A2F"/>
    <w:rsid w:val="00734266"/>
    <w:rsid w:val="00737196"/>
    <w:rsid w:val="00737203"/>
    <w:rsid w:val="00745394"/>
    <w:rsid w:val="0074664B"/>
    <w:rsid w:val="00751423"/>
    <w:rsid w:val="00761AFE"/>
    <w:rsid w:val="007649D7"/>
    <w:rsid w:val="00771D3C"/>
    <w:rsid w:val="0077291D"/>
    <w:rsid w:val="007834F9"/>
    <w:rsid w:val="007A0876"/>
    <w:rsid w:val="007A0E8D"/>
    <w:rsid w:val="007A66C5"/>
    <w:rsid w:val="007B301F"/>
    <w:rsid w:val="007B5A8C"/>
    <w:rsid w:val="007B63BB"/>
    <w:rsid w:val="007B7B12"/>
    <w:rsid w:val="007C06B1"/>
    <w:rsid w:val="007C6CFC"/>
    <w:rsid w:val="007C7134"/>
    <w:rsid w:val="007E49FA"/>
    <w:rsid w:val="007F0E88"/>
    <w:rsid w:val="007F1369"/>
    <w:rsid w:val="007F3BC5"/>
    <w:rsid w:val="00803E9D"/>
    <w:rsid w:val="00806F9F"/>
    <w:rsid w:val="0081262C"/>
    <w:rsid w:val="00815EF0"/>
    <w:rsid w:val="008166CA"/>
    <w:rsid w:val="00817A25"/>
    <w:rsid w:val="008220E6"/>
    <w:rsid w:val="008235D3"/>
    <w:rsid w:val="0083509D"/>
    <w:rsid w:val="008367D4"/>
    <w:rsid w:val="00840D12"/>
    <w:rsid w:val="00845DA3"/>
    <w:rsid w:val="0085027F"/>
    <w:rsid w:val="00850ED8"/>
    <w:rsid w:val="0087314E"/>
    <w:rsid w:val="008746C8"/>
    <w:rsid w:val="0087723A"/>
    <w:rsid w:val="00891282"/>
    <w:rsid w:val="00893E20"/>
    <w:rsid w:val="008954E9"/>
    <w:rsid w:val="008B726D"/>
    <w:rsid w:val="008C27E5"/>
    <w:rsid w:val="008C2809"/>
    <w:rsid w:val="008C48B6"/>
    <w:rsid w:val="008D19D9"/>
    <w:rsid w:val="008E69FC"/>
    <w:rsid w:val="00902309"/>
    <w:rsid w:val="0091341A"/>
    <w:rsid w:val="009233A8"/>
    <w:rsid w:val="00927A25"/>
    <w:rsid w:val="00952EF8"/>
    <w:rsid w:val="00955061"/>
    <w:rsid w:val="00955982"/>
    <w:rsid w:val="00981BE4"/>
    <w:rsid w:val="0098417F"/>
    <w:rsid w:val="00985726"/>
    <w:rsid w:val="009924AB"/>
    <w:rsid w:val="00994063"/>
    <w:rsid w:val="009B2A6C"/>
    <w:rsid w:val="009C2649"/>
    <w:rsid w:val="009C4BD6"/>
    <w:rsid w:val="009C7BE5"/>
    <w:rsid w:val="009E6514"/>
    <w:rsid w:val="009E7B45"/>
    <w:rsid w:val="009F2828"/>
    <w:rsid w:val="00A012D7"/>
    <w:rsid w:val="00A01CFD"/>
    <w:rsid w:val="00A0356E"/>
    <w:rsid w:val="00A07A19"/>
    <w:rsid w:val="00A11D27"/>
    <w:rsid w:val="00A22F7C"/>
    <w:rsid w:val="00A30DEB"/>
    <w:rsid w:val="00A4252A"/>
    <w:rsid w:val="00A44D9F"/>
    <w:rsid w:val="00A54E84"/>
    <w:rsid w:val="00A5773B"/>
    <w:rsid w:val="00A616A3"/>
    <w:rsid w:val="00A765C8"/>
    <w:rsid w:val="00A80280"/>
    <w:rsid w:val="00A937FD"/>
    <w:rsid w:val="00A959F8"/>
    <w:rsid w:val="00A978D6"/>
    <w:rsid w:val="00AA1606"/>
    <w:rsid w:val="00AA3155"/>
    <w:rsid w:val="00AB27E0"/>
    <w:rsid w:val="00AB6A97"/>
    <w:rsid w:val="00AB7B66"/>
    <w:rsid w:val="00AC494D"/>
    <w:rsid w:val="00AD3FEF"/>
    <w:rsid w:val="00AD5B1A"/>
    <w:rsid w:val="00AE1C5F"/>
    <w:rsid w:val="00AF6CB0"/>
    <w:rsid w:val="00AF6E41"/>
    <w:rsid w:val="00B119FE"/>
    <w:rsid w:val="00B138AB"/>
    <w:rsid w:val="00B17B8E"/>
    <w:rsid w:val="00B20D7C"/>
    <w:rsid w:val="00B26250"/>
    <w:rsid w:val="00B31CF0"/>
    <w:rsid w:val="00B33A8F"/>
    <w:rsid w:val="00B43319"/>
    <w:rsid w:val="00B57120"/>
    <w:rsid w:val="00B61280"/>
    <w:rsid w:val="00B62E72"/>
    <w:rsid w:val="00B64A59"/>
    <w:rsid w:val="00B709BB"/>
    <w:rsid w:val="00B7200C"/>
    <w:rsid w:val="00B817E4"/>
    <w:rsid w:val="00B827C7"/>
    <w:rsid w:val="00B910A9"/>
    <w:rsid w:val="00BA02A4"/>
    <w:rsid w:val="00BD2A0B"/>
    <w:rsid w:val="00BD3F4F"/>
    <w:rsid w:val="00BD4A6C"/>
    <w:rsid w:val="00BE372F"/>
    <w:rsid w:val="00BF0F7C"/>
    <w:rsid w:val="00C0007B"/>
    <w:rsid w:val="00C0405C"/>
    <w:rsid w:val="00C10B31"/>
    <w:rsid w:val="00C14C89"/>
    <w:rsid w:val="00C37EC5"/>
    <w:rsid w:val="00C4504F"/>
    <w:rsid w:val="00C532A4"/>
    <w:rsid w:val="00C607BA"/>
    <w:rsid w:val="00C64FE7"/>
    <w:rsid w:val="00C6657D"/>
    <w:rsid w:val="00C70879"/>
    <w:rsid w:val="00C72973"/>
    <w:rsid w:val="00C82127"/>
    <w:rsid w:val="00C833E9"/>
    <w:rsid w:val="00C940A8"/>
    <w:rsid w:val="00C96514"/>
    <w:rsid w:val="00CA0FEE"/>
    <w:rsid w:val="00CA3B25"/>
    <w:rsid w:val="00CC563A"/>
    <w:rsid w:val="00CE63B1"/>
    <w:rsid w:val="00CF356C"/>
    <w:rsid w:val="00CF3664"/>
    <w:rsid w:val="00CF38DD"/>
    <w:rsid w:val="00CF59D9"/>
    <w:rsid w:val="00D05A34"/>
    <w:rsid w:val="00D26801"/>
    <w:rsid w:val="00D31CF6"/>
    <w:rsid w:val="00D372B6"/>
    <w:rsid w:val="00D455B6"/>
    <w:rsid w:val="00D55973"/>
    <w:rsid w:val="00D602D4"/>
    <w:rsid w:val="00D641CE"/>
    <w:rsid w:val="00D82210"/>
    <w:rsid w:val="00D90E27"/>
    <w:rsid w:val="00D94527"/>
    <w:rsid w:val="00DA0882"/>
    <w:rsid w:val="00DA093D"/>
    <w:rsid w:val="00DA6E3B"/>
    <w:rsid w:val="00DC505B"/>
    <w:rsid w:val="00DC6E67"/>
    <w:rsid w:val="00DE0E46"/>
    <w:rsid w:val="00DE6886"/>
    <w:rsid w:val="00E0087B"/>
    <w:rsid w:val="00E11CDF"/>
    <w:rsid w:val="00E4709C"/>
    <w:rsid w:val="00E50A3B"/>
    <w:rsid w:val="00E559BE"/>
    <w:rsid w:val="00E73411"/>
    <w:rsid w:val="00E75A9F"/>
    <w:rsid w:val="00E761D4"/>
    <w:rsid w:val="00E779C2"/>
    <w:rsid w:val="00E83742"/>
    <w:rsid w:val="00E86690"/>
    <w:rsid w:val="00EA0873"/>
    <w:rsid w:val="00EA2407"/>
    <w:rsid w:val="00EB2DE1"/>
    <w:rsid w:val="00EC27D6"/>
    <w:rsid w:val="00EC2929"/>
    <w:rsid w:val="00EC6212"/>
    <w:rsid w:val="00ED2DD6"/>
    <w:rsid w:val="00EE2E43"/>
    <w:rsid w:val="00F0083F"/>
    <w:rsid w:val="00F0269B"/>
    <w:rsid w:val="00F23AB3"/>
    <w:rsid w:val="00F26632"/>
    <w:rsid w:val="00F309FC"/>
    <w:rsid w:val="00F32618"/>
    <w:rsid w:val="00F32E59"/>
    <w:rsid w:val="00F341DD"/>
    <w:rsid w:val="00F34255"/>
    <w:rsid w:val="00F63D39"/>
    <w:rsid w:val="00F7743D"/>
    <w:rsid w:val="00F85594"/>
    <w:rsid w:val="00F87143"/>
    <w:rsid w:val="00F9450E"/>
    <w:rsid w:val="00F94D42"/>
    <w:rsid w:val="00F95C0C"/>
    <w:rsid w:val="00F96BEF"/>
    <w:rsid w:val="00FB1CA4"/>
    <w:rsid w:val="00FB7E8C"/>
    <w:rsid w:val="00FC77B2"/>
    <w:rsid w:val="00FD0DD3"/>
    <w:rsid w:val="00FD5274"/>
    <w:rsid w:val="00FE76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6514"/>
    <w:pPr>
      <w:spacing w:line="280" w:lineRule="atLeast"/>
    </w:pPr>
    <w:rPr>
      <w:rFonts w:ascii="Trebuchet MS" w:hAnsi="Trebuchet MS"/>
      <w:sz w:val="22"/>
      <w:lang w:val="de-DE" w:eastAsia="de-DE"/>
    </w:rPr>
  </w:style>
  <w:style w:type="paragraph" w:styleId="berschrift1">
    <w:name w:val="heading 1"/>
    <w:basedOn w:val="Standard"/>
    <w:next w:val="Standard"/>
    <w:qFormat/>
    <w:rsid w:val="009E6514"/>
    <w:pPr>
      <w:keepNext/>
      <w:pageBreakBefore/>
      <w:spacing w:after="360"/>
      <w:outlineLvl w:val="0"/>
    </w:pPr>
    <w:rPr>
      <w:rFonts w:ascii="Optima" w:hAnsi="Optima"/>
      <w:b/>
      <w:caps/>
      <w:kern w:val="28"/>
      <w:sz w:val="48"/>
    </w:rPr>
  </w:style>
  <w:style w:type="paragraph" w:styleId="berschrift2">
    <w:name w:val="heading 2"/>
    <w:basedOn w:val="Standard"/>
    <w:next w:val="Standard"/>
    <w:qFormat/>
    <w:rsid w:val="009E6514"/>
    <w:pPr>
      <w:keepNext/>
      <w:spacing w:before="240" w:after="240"/>
      <w:outlineLvl w:val="1"/>
    </w:pPr>
    <w:rPr>
      <w:rFonts w:ascii="Optima" w:hAnsi="Optima"/>
      <w:b/>
      <w:caps/>
      <w:sz w:val="32"/>
    </w:rPr>
  </w:style>
  <w:style w:type="paragraph" w:styleId="berschrift3">
    <w:name w:val="heading 3"/>
    <w:basedOn w:val="Standard"/>
    <w:next w:val="Standard"/>
    <w:qFormat/>
    <w:rsid w:val="009E6514"/>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9E6514"/>
    <w:rPr>
      <w:sz w:val="18"/>
    </w:rPr>
  </w:style>
  <w:style w:type="paragraph" w:styleId="Kopfzeile">
    <w:name w:val="header"/>
    <w:basedOn w:val="Standard"/>
    <w:rsid w:val="0081262C"/>
    <w:pPr>
      <w:tabs>
        <w:tab w:val="center" w:pos="4536"/>
        <w:tab w:val="right" w:pos="9072"/>
      </w:tabs>
    </w:pPr>
  </w:style>
  <w:style w:type="paragraph" w:styleId="Fuzeile">
    <w:name w:val="footer"/>
    <w:basedOn w:val="Standard"/>
    <w:rsid w:val="0081262C"/>
    <w:pPr>
      <w:tabs>
        <w:tab w:val="center" w:pos="4536"/>
        <w:tab w:val="right" w:pos="9072"/>
      </w:tabs>
    </w:pPr>
  </w:style>
  <w:style w:type="character" w:styleId="Seitenzahl">
    <w:name w:val="page number"/>
    <w:basedOn w:val="Absatz-Standardschriftart"/>
    <w:rsid w:val="0081262C"/>
  </w:style>
  <w:style w:type="paragraph" w:styleId="Sprechblasentext">
    <w:name w:val="Balloon Text"/>
    <w:basedOn w:val="Standard"/>
    <w:semiHidden/>
    <w:rsid w:val="00330879"/>
    <w:rPr>
      <w:rFonts w:ascii="Tahoma" w:hAnsi="Tahoma" w:cs="Tahoma"/>
      <w:sz w:val="16"/>
      <w:szCs w:val="16"/>
    </w:rPr>
  </w:style>
  <w:style w:type="character" w:styleId="Hyperlink">
    <w:name w:val="Hyperlink"/>
    <w:basedOn w:val="Absatz-Standardschriftart"/>
    <w:rsid w:val="0009402A"/>
    <w:rPr>
      <w:color w:val="0000FF"/>
      <w:u w:val="single"/>
    </w:rPr>
  </w:style>
  <w:style w:type="paragraph" w:styleId="StandardWeb">
    <w:name w:val="Normal (Web)"/>
    <w:basedOn w:val="Standard"/>
    <w:uiPriority w:val="99"/>
    <w:unhideWhenUsed/>
    <w:rsid w:val="00F26632"/>
    <w:pPr>
      <w:spacing w:before="100" w:beforeAutospacing="1" w:after="100" w:afterAutospacing="1" w:line="240" w:lineRule="auto"/>
    </w:pPr>
    <w:rPr>
      <w:rFonts w:ascii="Times New Roman" w:eastAsia="Calibri" w:hAnsi="Times New Roman"/>
      <w:sz w:val="24"/>
      <w:szCs w:val="24"/>
      <w:lang w:val="de-AT" w:eastAsia="de-AT"/>
    </w:rPr>
  </w:style>
  <w:style w:type="character" w:styleId="Hervorhebung">
    <w:name w:val="Emphasis"/>
    <w:basedOn w:val="Absatz-Standardschriftart"/>
    <w:uiPriority w:val="20"/>
    <w:qFormat/>
    <w:rsid w:val="00F26632"/>
    <w:rPr>
      <w:i/>
      <w:iCs/>
    </w:rPr>
  </w:style>
  <w:style w:type="paragraph" w:styleId="Listenabsatz">
    <w:name w:val="List Paragraph"/>
    <w:basedOn w:val="Standard"/>
    <w:uiPriority w:val="34"/>
    <w:qFormat/>
    <w:rsid w:val="003F04D5"/>
    <w:pPr>
      <w:ind w:left="720"/>
      <w:contextualSpacing/>
    </w:pPr>
  </w:style>
  <w:style w:type="paragraph" w:styleId="NurText">
    <w:name w:val="Plain Text"/>
    <w:basedOn w:val="Standard"/>
    <w:link w:val="NurTextZchn"/>
    <w:uiPriority w:val="99"/>
    <w:unhideWhenUsed/>
    <w:rsid w:val="007A0876"/>
    <w:pPr>
      <w:spacing w:line="240" w:lineRule="auto"/>
    </w:pPr>
    <w:rPr>
      <w:rFonts w:ascii="Consolas" w:eastAsiaTheme="minorHAnsi" w:hAnsi="Consolas" w:cstheme="minorBidi"/>
      <w:sz w:val="21"/>
      <w:szCs w:val="21"/>
      <w:lang w:val="de-AT" w:eastAsia="en-US"/>
    </w:rPr>
  </w:style>
  <w:style w:type="character" w:customStyle="1" w:styleId="NurTextZchn">
    <w:name w:val="Nur Text Zchn"/>
    <w:basedOn w:val="Absatz-Standardschriftart"/>
    <w:link w:val="NurText"/>
    <w:uiPriority w:val="99"/>
    <w:rsid w:val="007A0876"/>
    <w:rPr>
      <w:rFonts w:ascii="Consolas" w:eastAsiaTheme="minorHAnsi" w:hAnsi="Consolas" w:cstheme="minorBidi"/>
      <w:sz w:val="21"/>
      <w:szCs w:val="21"/>
      <w:lang w:eastAsia="en-US"/>
    </w:rPr>
  </w:style>
  <w:style w:type="character" w:styleId="Funotenzeichen">
    <w:name w:val="footnote reference"/>
    <w:basedOn w:val="Absatz-Standardschriftart"/>
    <w:uiPriority w:val="99"/>
    <w:unhideWhenUsed/>
    <w:rsid w:val="00F85594"/>
    <w:rPr>
      <w:vertAlign w:val="superscript"/>
    </w:rPr>
  </w:style>
  <w:style w:type="table" w:styleId="Tabellenraster">
    <w:name w:val="Table Grid"/>
    <w:basedOn w:val="NormaleTabelle"/>
    <w:rsid w:val="00F85594"/>
    <w:rPr>
      <w:rFonts w:ascii="Calibri" w:eastAsia="Calibri" w:hAnsi="Calibri"/>
      <w:sz w:val="22"/>
      <w:szCs w:val="22"/>
      <w:lang w:val="de-DE"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E6514"/>
    <w:pPr>
      <w:spacing w:line="280" w:lineRule="atLeast"/>
    </w:pPr>
    <w:rPr>
      <w:rFonts w:ascii="Trebuchet MS" w:hAnsi="Trebuchet MS"/>
      <w:sz w:val="22"/>
      <w:lang w:val="de-DE" w:eastAsia="de-DE"/>
    </w:rPr>
  </w:style>
  <w:style w:type="paragraph" w:styleId="berschrift1">
    <w:name w:val="heading 1"/>
    <w:basedOn w:val="Standard"/>
    <w:next w:val="Standard"/>
    <w:qFormat/>
    <w:rsid w:val="009E6514"/>
    <w:pPr>
      <w:keepNext/>
      <w:pageBreakBefore/>
      <w:spacing w:after="360"/>
      <w:outlineLvl w:val="0"/>
    </w:pPr>
    <w:rPr>
      <w:rFonts w:ascii="Optima" w:hAnsi="Optima"/>
      <w:b/>
      <w:caps/>
      <w:kern w:val="28"/>
      <w:sz w:val="48"/>
    </w:rPr>
  </w:style>
  <w:style w:type="paragraph" w:styleId="berschrift2">
    <w:name w:val="heading 2"/>
    <w:basedOn w:val="Standard"/>
    <w:next w:val="Standard"/>
    <w:qFormat/>
    <w:rsid w:val="009E6514"/>
    <w:pPr>
      <w:keepNext/>
      <w:spacing w:before="240" w:after="240"/>
      <w:outlineLvl w:val="1"/>
    </w:pPr>
    <w:rPr>
      <w:rFonts w:ascii="Optima" w:hAnsi="Optima"/>
      <w:b/>
      <w:caps/>
      <w:sz w:val="32"/>
    </w:rPr>
  </w:style>
  <w:style w:type="paragraph" w:styleId="berschrift3">
    <w:name w:val="heading 3"/>
    <w:basedOn w:val="Standard"/>
    <w:next w:val="Standard"/>
    <w:qFormat/>
    <w:rsid w:val="009E6514"/>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9E6514"/>
    <w:rPr>
      <w:sz w:val="18"/>
    </w:rPr>
  </w:style>
  <w:style w:type="paragraph" w:styleId="Kopfzeile">
    <w:name w:val="header"/>
    <w:basedOn w:val="Standard"/>
    <w:rsid w:val="0081262C"/>
    <w:pPr>
      <w:tabs>
        <w:tab w:val="center" w:pos="4536"/>
        <w:tab w:val="right" w:pos="9072"/>
      </w:tabs>
    </w:pPr>
  </w:style>
  <w:style w:type="paragraph" w:styleId="Fuzeile">
    <w:name w:val="footer"/>
    <w:basedOn w:val="Standard"/>
    <w:rsid w:val="0081262C"/>
    <w:pPr>
      <w:tabs>
        <w:tab w:val="center" w:pos="4536"/>
        <w:tab w:val="right" w:pos="9072"/>
      </w:tabs>
    </w:pPr>
  </w:style>
  <w:style w:type="character" w:styleId="Seitenzahl">
    <w:name w:val="page number"/>
    <w:basedOn w:val="Absatz-Standardschriftart"/>
    <w:rsid w:val="0081262C"/>
  </w:style>
  <w:style w:type="paragraph" w:styleId="Sprechblasentext">
    <w:name w:val="Balloon Text"/>
    <w:basedOn w:val="Standard"/>
    <w:semiHidden/>
    <w:rsid w:val="00330879"/>
    <w:rPr>
      <w:rFonts w:ascii="Tahoma" w:hAnsi="Tahoma" w:cs="Tahoma"/>
      <w:sz w:val="16"/>
      <w:szCs w:val="16"/>
    </w:rPr>
  </w:style>
  <w:style w:type="character" w:styleId="Hyperlink">
    <w:name w:val="Hyperlink"/>
    <w:basedOn w:val="Absatz-Standardschriftart"/>
    <w:rsid w:val="0009402A"/>
    <w:rPr>
      <w:color w:val="0000FF"/>
      <w:u w:val="single"/>
    </w:rPr>
  </w:style>
  <w:style w:type="paragraph" w:styleId="StandardWeb">
    <w:name w:val="Normal (Web)"/>
    <w:basedOn w:val="Standard"/>
    <w:uiPriority w:val="99"/>
    <w:unhideWhenUsed/>
    <w:rsid w:val="00F26632"/>
    <w:pPr>
      <w:spacing w:before="100" w:beforeAutospacing="1" w:after="100" w:afterAutospacing="1" w:line="240" w:lineRule="auto"/>
    </w:pPr>
    <w:rPr>
      <w:rFonts w:ascii="Times New Roman" w:eastAsia="Calibri" w:hAnsi="Times New Roman"/>
      <w:sz w:val="24"/>
      <w:szCs w:val="24"/>
      <w:lang w:val="de-AT" w:eastAsia="de-AT"/>
    </w:rPr>
  </w:style>
  <w:style w:type="character" w:styleId="Hervorhebung">
    <w:name w:val="Emphasis"/>
    <w:basedOn w:val="Absatz-Standardschriftart"/>
    <w:uiPriority w:val="20"/>
    <w:qFormat/>
    <w:rsid w:val="00F26632"/>
    <w:rPr>
      <w:i/>
      <w:iCs/>
    </w:rPr>
  </w:style>
  <w:style w:type="paragraph" w:styleId="Listenabsatz">
    <w:name w:val="List Paragraph"/>
    <w:basedOn w:val="Standard"/>
    <w:uiPriority w:val="34"/>
    <w:qFormat/>
    <w:rsid w:val="003F04D5"/>
    <w:pPr>
      <w:ind w:left="720"/>
      <w:contextualSpacing/>
    </w:pPr>
  </w:style>
  <w:style w:type="paragraph" w:styleId="NurText">
    <w:name w:val="Plain Text"/>
    <w:basedOn w:val="Standard"/>
    <w:link w:val="NurTextZchn"/>
    <w:uiPriority w:val="99"/>
    <w:unhideWhenUsed/>
    <w:rsid w:val="007A0876"/>
    <w:pPr>
      <w:spacing w:line="240" w:lineRule="auto"/>
    </w:pPr>
    <w:rPr>
      <w:rFonts w:ascii="Consolas" w:eastAsiaTheme="minorHAnsi" w:hAnsi="Consolas" w:cstheme="minorBidi"/>
      <w:sz w:val="21"/>
      <w:szCs w:val="21"/>
      <w:lang w:val="de-AT" w:eastAsia="en-US"/>
    </w:rPr>
  </w:style>
  <w:style w:type="character" w:customStyle="1" w:styleId="NurTextZchn">
    <w:name w:val="Nur Text Zchn"/>
    <w:basedOn w:val="Absatz-Standardschriftart"/>
    <w:link w:val="NurText"/>
    <w:uiPriority w:val="99"/>
    <w:rsid w:val="007A0876"/>
    <w:rPr>
      <w:rFonts w:ascii="Consolas" w:eastAsiaTheme="minorHAnsi" w:hAnsi="Consolas" w:cstheme="minorBidi"/>
      <w:sz w:val="21"/>
      <w:szCs w:val="21"/>
      <w:lang w:eastAsia="en-US"/>
    </w:rPr>
  </w:style>
  <w:style w:type="character" w:styleId="Funotenzeichen">
    <w:name w:val="footnote reference"/>
    <w:basedOn w:val="Absatz-Standardschriftart"/>
    <w:uiPriority w:val="99"/>
    <w:unhideWhenUsed/>
    <w:rsid w:val="00F85594"/>
    <w:rPr>
      <w:vertAlign w:val="superscript"/>
    </w:rPr>
  </w:style>
  <w:style w:type="table" w:styleId="Tabellenraster">
    <w:name w:val="Table Grid"/>
    <w:basedOn w:val="NormaleTabelle"/>
    <w:rsid w:val="00F85594"/>
    <w:rPr>
      <w:rFonts w:ascii="Calibri" w:eastAsia="Calibri" w:hAnsi="Calibri"/>
      <w:sz w:val="22"/>
      <w:szCs w:val="22"/>
      <w:lang w:val="de-DE"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2952">
      <w:bodyDiv w:val="1"/>
      <w:marLeft w:val="0"/>
      <w:marRight w:val="0"/>
      <w:marTop w:val="0"/>
      <w:marBottom w:val="0"/>
      <w:divBdr>
        <w:top w:val="none" w:sz="0" w:space="0" w:color="auto"/>
        <w:left w:val="none" w:sz="0" w:space="0" w:color="auto"/>
        <w:bottom w:val="none" w:sz="0" w:space="0" w:color="auto"/>
        <w:right w:val="none" w:sz="0" w:space="0" w:color="auto"/>
      </w:divBdr>
    </w:div>
    <w:div w:id="37320598">
      <w:bodyDiv w:val="1"/>
      <w:marLeft w:val="0"/>
      <w:marRight w:val="0"/>
      <w:marTop w:val="0"/>
      <w:marBottom w:val="0"/>
      <w:divBdr>
        <w:top w:val="none" w:sz="0" w:space="0" w:color="auto"/>
        <w:left w:val="none" w:sz="0" w:space="0" w:color="auto"/>
        <w:bottom w:val="none" w:sz="0" w:space="0" w:color="auto"/>
        <w:right w:val="none" w:sz="0" w:space="0" w:color="auto"/>
      </w:divBdr>
    </w:div>
    <w:div w:id="91752816">
      <w:bodyDiv w:val="1"/>
      <w:marLeft w:val="0"/>
      <w:marRight w:val="0"/>
      <w:marTop w:val="0"/>
      <w:marBottom w:val="0"/>
      <w:divBdr>
        <w:top w:val="none" w:sz="0" w:space="0" w:color="auto"/>
        <w:left w:val="none" w:sz="0" w:space="0" w:color="auto"/>
        <w:bottom w:val="none" w:sz="0" w:space="0" w:color="auto"/>
        <w:right w:val="none" w:sz="0" w:space="0" w:color="auto"/>
      </w:divBdr>
    </w:div>
    <w:div w:id="119153639">
      <w:bodyDiv w:val="1"/>
      <w:marLeft w:val="0"/>
      <w:marRight w:val="0"/>
      <w:marTop w:val="0"/>
      <w:marBottom w:val="0"/>
      <w:divBdr>
        <w:top w:val="none" w:sz="0" w:space="0" w:color="auto"/>
        <w:left w:val="none" w:sz="0" w:space="0" w:color="auto"/>
        <w:bottom w:val="none" w:sz="0" w:space="0" w:color="auto"/>
        <w:right w:val="none" w:sz="0" w:space="0" w:color="auto"/>
      </w:divBdr>
    </w:div>
    <w:div w:id="121854178">
      <w:bodyDiv w:val="1"/>
      <w:marLeft w:val="0"/>
      <w:marRight w:val="0"/>
      <w:marTop w:val="0"/>
      <w:marBottom w:val="0"/>
      <w:divBdr>
        <w:top w:val="none" w:sz="0" w:space="0" w:color="auto"/>
        <w:left w:val="none" w:sz="0" w:space="0" w:color="auto"/>
        <w:bottom w:val="none" w:sz="0" w:space="0" w:color="auto"/>
        <w:right w:val="none" w:sz="0" w:space="0" w:color="auto"/>
      </w:divBdr>
    </w:div>
    <w:div w:id="189151992">
      <w:bodyDiv w:val="1"/>
      <w:marLeft w:val="0"/>
      <w:marRight w:val="0"/>
      <w:marTop w:val="0"/>
      <w:marBottom w:val="0"/>
      <w:divBdr>
        <w:top w:val="none" w:sz="0" w:space="0" w:color="auto"/>
        <w:left w:val="none" w:sz="0" w:space="0" w:color="auto"/>
        <w:bottom w:val="none" w:sz="0" w:space="0" w:color="auto"/>
        <w:right w:val="none" w:sz="0" w:space="0" w:color="auto"/>
      </w:divBdr>
    </w:div>
    <w:div w:id="275799535">
      <w:bodyDiv w:val="1"/>
      <w:marLeft w:val="0"/>
      <w:marRight w:val="0"/>
      <w:marTop w:val="0"/>
      <w:marBottom w:val="0"/>
      <w:divBdr>
        <w:top w:val="none" w:sz="0" w:space="0" w:color="auto"/>
        <w:left w:val="none" w:sz="0" w:space="0" w:color="auto"/>
        <w:bottom w:val="none" w:sz="0" w:space="0" w:color="auto"/>
        <w:right w:val="none" w:sz="0" w:space="0" w:color="auto"/>
      </w:divBdr>
    </w:div>
    <w:div w:id="287049058">
      <w:bodyDiv w:val="1"/>
      <w:marLeft w:val="0"/>
      <w:marRight w:val="0"/>
      <w:marTop w:val="0"/>
      <w:marBottom w:val="0"/>
      <w:divBdr>
        <w:top w:val="none" w:sz="0" w:space="0" w:color="auto"/>
        <w:left w:val="none" w:sz="0" w:space="0" w:color="auto"/>
        <w:bottom w:val="none" w:sz="0" w:space="0" w:color="auto"/>
        <w:right w:val="none" w:sz="0" w:space="0" w:color="auto"/>
      </w:divBdr>
    </w:div>
    <w:div w:id="288051687">
      <w:bodyDiv w:val="1"/>
      <w:marLeft w:val="0"/>
      <w:marRight w:val="0"/>
      <w:marTop w:val="0"/>
      <w:marBottom w:val="0"/>
      <w:divBdr>
        <w:top w:val="none" w:sz="0" w:space="0" w:color="auto"/>
        <w:left w:val="none" w:sz="0" w:space="0" w:color="auto"/>
        <w:bottom w:val="none" w:sz="0" w:space="0" w:color="auto"/>
        <w:right w:val="none" w:sz="0" w:space="0" w:color="auto"/>
      </w:divBdr>
    </w:div>
    <w:div w:id="295257968">
      <w:bodyDiv w:val="1"/>
      <w:marLeft w:val="0"/>
      <w:marRight w:val="0"/>
      <w:marTop w:val="0"/>
      <w:marBottom w:val="0"/>
      <w:divBdr>
        <w:top w:val="none" w:sz="0" w:space="0" w:color="auto"/>
        <w:left w:val="none" w:sz="0" w:space="0" w:color="auto"/>
        <w:bottom w:val="none" w:sz="0" w:space="0" w:color="auto"/>
        <w:right w:val="none" w:sz="0" w:space="0" w:color="auto"/>
      </w:divBdr>
    </w:div>
    <w:div w:id="353002061">
      <w:bodyDiv w:val="1"/>
      <w:marLeft w:val="0"/>
      <w:marRight w:val="0"/>
      <w:marTop w:val="0"/>
      <w:marBottom w:val="0"/>
      <w:divBdr>
        <w:top w:val="none" w:sz="0" w:space="0" w:color="auto"/>
        <w:left w:val="none" w:sz="0" w:space="0" w:color="auto"/>
        <w:bottom w:val="none" w:sz="0" w:space="0" w:color="auto"/>
        <w:right w:val="none" w:sz="0" w:space="0" w:color="auto"/>
      </w:divBdr>
    </w:div>
    <w:div w:id="380978603">
      <w:bodyDiv w:val="1"/>
      <w:marLeft w:val="0"/>
      <w:marRight w:val="0"/>
      <w:marTop w:val="0"/>
      <w:marBottom w:val="0"/>
      <w:divBdr>
        <w:top w:val="none" w:sz="0" w:space="0" w:color="auto"/>
        <w:left w:val="none" w:sz="0" w:space="0" w:color="auto"/>
        <w:bottom w:val="none" w:sz="0" w:space="0" w:color="auto"/>
        <w:right w:val="none" w:sz="0" w:space="0" w:color="auto"/>
      </w:divBdr>
    </w:div>
    <w:div w:id="389234778">
      <w:bodyDiv w:val="1"/>
      <w:marLeft w:val="0"/>
      <w:marRight w:val="0"/>
      <w:marTop w:val="0"/>
      <w:marBottom w:val="0"/>
      <w:divBdr>
        <w:top w:val="none" w:sz="0" w:space="0" w:color="auto"/>
        <w:left w:val="none" w:sz="0" w:space="0" w:color="auto"/>
        <w:bottom w:val="none" w:sz="0" w:space="0" w:color="auto"/>
        <w:right w:val="none" w:sz="0" w:space="0" w:color="auto"/>
      </w:divBdr>
    </w:div>
    <w:div w:id="464391801">
      <w:bodyDiv w:val="1"/>
      <w:marLeft w:val="0"/>
      <w:marRight w:val="0"/>
      <w:marTop w:val="0"/>
      <w:marBottom w:val="0"/>
      <w:divBdr>
        <w:top w:val="none" w:sz="0" w:space="0" w:color="auto"/>
        <w:left w:val="none" w:sz="0" w:space="0" w:color="auto"/>
        <w:bottom w:val="none" w:sz="0" w:space="0" w:color="auto"/>
        <w:right w:val="none" w:sz="0" w:space="0" w:color="auto"/>
      </w:divBdr>
    </w:div>
    <w:div w:id="501043414">
      <w:bodyDiv w:val="1"/>
      <w:marLeft w:val="0"/>
      <w:marRight w:val="0"/>
      <w:marTop w:val="0"/>
      <w:marBottom w:val="0"/>
      <w:divBdr>
        <w:top w:val="none" w:sz="0" w:space="0" w:color="auto"/>
        <w:left w:val="none" w:sz="0" w:space="0" w:color="auto"/>
        <w:bottom w:val="none" w:sz="0" w:space="0" w:color="auto"/>
        <w:right w:val="none" w:sz="0" w:space="0" w:color="auto"/>
      </w:divBdr>
    </w:div>
    <w:div w:id="508910533">
      <w:bodyDiv w:val="1"/>
      <w:marLeft w:val="0"/>
      <w:marRight w:val="0"/>
      <w:marTop w:val="0"/>
      <w:marBottom w:val="0"/>
      <w:divBdr>
        <w:top w:val="none" w:sz="0" w:space="0" w:color="auto"/>
        <w:left w:val="none" w:sz="0" w:space="0" w:color="auto"/>
        <w:bottom w:val="none" w:sz="0" w:space="0" w:color="auto"/>
        <w:right w:val="none" w:sz="0" w:space="0" w:color="auto"/>
      </w:divBdr>
    </w:div>
    <w:div w:id="611789156">
      <w:bodyDiv w:val="1"/>
      <w:marLeft w:val="0"/>
      <w:marRight w:val="0"/>
      <w:marTop w:val="0"/>
      <w:marBottom w:val="0"/>
      <w:divBdr>
        <w:top w:val="none" w:sz="0" w:space="0" w:color="auto"/>
        <w:left w:val="none" w:sz="0" w:space="0" w:color="auto"/>
        <w:bottom w:val="none" w:sz="0" w:space="0" w:color="auto"/>
        <w:right w:val="none" w:sz="0" w:space="0" w:color="auto"/>
      </w:divBdr>
    </w:div>
    <w:div w:id="642974984">
      <w:bodyDiv w:val="1"/>
      <w:marLeft w:val="0"/>
      <w:marRight w:val="0"/>
      <w:marTop w:val="0"/>
      <w:marBottom w:val="0"/>
      <w:divBdr>
        <w:top w:val="none" w:sz="0" w:space="0" w:color="auto"/>
        <w:left w:val="none" w:sz="0" w:space="0" w:color="auto"/>
        <w:bottom w:val="none" w:sz="0" w:space="0" w:color="auto"/>
        <w:right w:val="none" w:sz="0" w:space="0" w:color="auto"/>
      </w:divBdr>
    </w:div>
    <w:div w:id="672538048">
      <w:bodyDiv w:val="1"/>
      <w:marLeft w:val="0"/>
      <w:marRight w:val="0"/>
      <w:marTop w:val="0"/>
      <w:marBottom w:val="0"/>
      <w:divBdr>
        <w:top w:val="none" w:sz="0" w:space="0" w:color="auto"/>
        <w:left w:val="none" w:sz="0" w:space="0" w:color="auto"/>
        <w:bottom w:val="none" w:sz="0" w:space="0" w:color="auto"/>
        <w:right w:val="none" w:sz="0" w:space="0" w:color="auto"/>
      </w:divBdr>
    </w:div>
    <w:div w:id="691806594">
      <w:bodyDiv w:val="1"/>
      <w:marLeft w:val="0"/>
      <w:marRight w:val="0"/>
      <w:marTop w:val="0"/>
      <w:marBottom w:val="0"/>
      <w:divBdr>
        <w:top w:val="none" w:sz="0" w:space="0" w:color="auto"/>
        <w:left w:val="none" w:sz="0" w:space="0" w:color="auto"/>
        <w:bottom w:val="none" w:sz="0" w:space="0" w:color="auto"/>
        <w:right w:val="none" w:sz="0" w:space="0" w:color="auto"/>
      </w:divBdr>
    </w:div>
    <w:div w:id="715545184">
      <w:bodyDiv w:val="1"/>
      <w:marLeft w:val="0"/>
      <w:marRight w:val="0"/>
      <w:marTop w:val="0"/>
      <w:marBottom w:val="0"/>
      <w:divBdr>
        <w:top w:val="none" w:sz="0" w:space="0" w:color="auto"/>
        <w:left w:val="none" w:sz="0" w:space="0" w:color="auto"/>
        <w:bottom w:val="none" w:sz="0" w:space="0" w:color="auto"/>
        <w:right w:val="none" w:sz="0" w:space="0" w:color="auto"/>
      </w:divBdr>
    </w:div>
    <w:div w:id="736170313">
      <w:bodyDiv w:val="1"/>
      <w:marLeft w:val="0"/>
      <w:marRight w:val="0"/>
      <w:marTop w:val="0"/>
      <w:marBottom w:val="0"/>
      <w:divBdr>
        <w:top w:val="none" w:sz="0" w:space="0" w:color="auto"/>
        <w:left w:val="none" w:sz="0" w:space="0" w:color="auto"/>
        <w:bottom w:val="none" w:sz="0" w:space="0" w:color="auto"/>
        <w:right w:val="none" w:sz="0" w:space="0" w:color="auto"/>
      </w:divBdr>
    </w:div>
    <w:div w:id="813638609">
      <w:bodyDiv w:val="1"/>
      <w:marLeft w:val="0"/>
      <w:marRight w:val="0"/>
      <w:marTop w:val="0"/>
      <w:marBottom w:val="0"/>
      <w:divBdr>
        <w:top w:val="none" w:sz="0" w:space="0" w:color="auto"/>
        <w:left w:val="none" w:sz="0" w:space="0" w:color="auto"/>
        <w:bottom w:val="none" w:sz="0" w:space="0" w:color="auto"/>
        <w:right w:val="none" w:sz="0" w:space="0" w:color="auto"/>
      </w:divBdr>
    </w:div>
    <w:div w:id="888104019">
      <w:bodyDiv w:val="1"/>
      <w:marLeft w:val="0"/>
      <w:marRight w:val="0"/>
      <w:marTop w:val="0"/>
      <w:marBottom w:val="0"/>
      <w:divBdr>
        <w:top w:val="none" w:sz="0" w:space="0" w:color="auto"/>
        <w:left w:val="none" w:sz="0" w:space="0" w:color="auto"/>
        <w:bottom w:val="none" w:sz="0" w:space="0" w:color="auto"/>
        <w:right w:val="none" w:sz="0" w:space="0" w:color="auto"/>
      </w:divBdr>
    </w:div>
    <w:div w:id="891114702">
      <w:bodyDiv w:val="1"/>
      <w:marLeft w:val="0"/>
      <w:marRight w:val="0"/>
      <w:marTop w:val="0"/>
      <w:marBottom w:val="0"/>
      <w:divBdr>
        <w:top w:val="none" w:sz="0" w:space="0" w:color="auto"/>
        <w:left w:val="none" w:sz="0" w:space="0" w:color="auto"/>
        <w:bottom w:val="none" w:sz="0" w:space="0" w:color="auto"/>
        <w:right w:val="none" w:sz="0" w:space="0" w:color="auto"/>
      </w:divBdr>
    </w:div>
    <w:div w:id="921642618">
      <w:bodyDiv w:val="1"/>
      <w:marLeft w:val="0"/>
      <w:marRight w:val="0"/>
      <w:marTop w:val="0"/>
      <w:marBottom w:val="0"/>
      <w:divBdr>
        <w:top w:val="none" w:sz="0" w:space="0" w:color="auto"/>
        <w:left w:val="none" w:sz="0" w:space="0" w:color="auto"/>
        <w:bottom w:val="none" w:sz="0" w:space="0" w:color="auto"/>
        <w:right w:val="none" w:sz="0" w:space="0" w:color="auto"/>
      </w:divBdr>
    </w:div>
    <w:div w:id="983704136">
      <w:bodyDiv w:val="1"/>
      <w:marLeft w:val="0"/>
      <w:marRight w:val="0"/>
      <w:marTop w:val="0"/>
      <w:marBottom w:val="0"/>
      <w:divBdr>
        <w:top w:val="none" w:sz="0" w:space="0" w:color="auto"/>
        <w:left w:val="none" w:sz="0" w:space="0" w:color="auto"/>
        <w:bottom w:val="none" w:sz="0" w:space="0" w:color="auto"/>
        <w:right w:val="none" w:sz="0" w:space="0" w:color="auto"/>
      </w:divBdr>
    </w:div>
    <w:div w:id="995300604">
      <w:bodyDiv w:val="1"/>
      <w:marLeft w:val="0"/>
      <w:marRight w:val="0"/>
      <w:marTop w:val="0"/>
      <w:marBottom w:val="0"/>
      <w:divBdr>
        <w:top w:val="none" w:sz="0" w:space="0" w:color="auto"/>
        <w:left w:val="none" w:sz="0" w:space="0" w:color="auto"/>
        <w:bottom w:val="none" w:sz="0" w:space="0" w:color="auto"/>
        <w:right w:val="none" w:sz="0" w:space="0" w:color="auto"/>
      </w:divBdr>
    </w:div>
    <w:div w:id="1033574749">
      <w:bodyDiv w:val="1"/>
      <w:marLeft w:val="0"/>
      <w:marRight w:val="0"/>
      <w:marTop w:val="0"/>
      <w:marBottom w:val="0"/>
      <w:divBdr>
        <w:top w:val="none" w:sz="0" w:space="0" w:color="auto"/>
        <w:left w:val="none" w:sz="0" w:space="0" w:color="auto"/>
        <w:bottom w:val="none" w:sz="0" w:space="0" w:color="auto"/>
        <w:right w:val="none" w:sz="0" w:space="0" w:color="auto"/>
      </w:divBdr>
    </w:div>
    <w:div w:id="1044331105">
      <w:bodyDiv w:val="1"/>
      <w:marLeft w:val="0"/>
      <w:marRight w:val="0"/>
      <w:marTop w:val="0"/>
      <w:marBottom w:val="0"/>
      <w:divBdr>
        <w:top w:val="none" w:sz="0" w:space="0" w:color="auto"/>
        <w:left w:val="none" w:sz="0" w:space="0" w:color="auto"/>
        <w:bottom w:val="none" w:sz="0" w:space="0" w:color="auto"/>
        <w:right w:val="none" w:sz="0" w:space="0" w:color="auto"/>
      </w:divBdr>
    </w:div>
    <w:div w:id="1095706353">
      <w:bodyDiv w:val="1"/>
      <w:marLeft w:val="0"/>
      <w:marRight w:val="0"/>
      <w:marTop w:val="0"/>
      <w:marBottom w:val="0"/>
      <w:divBdr>
        <w:top w:val="none" w:sz="0" w:space="0" w:color="auto"/>
        <w:left w:val="none" w:sz="0" w:space="0" w:color="auto"/>
        <w:bottom w:val="none" w:sz="0" w:space="0" w:color="auto"/>
        <w:right w:val="none" w:sz="0" w:space="0" w:color="auto"/>
      </w:divBdr>
    </w:div>
    <w:div w:id="1130629219">
      <w:bodyDiv w:val="1"/>
      <w:marLeft w:val="0"/>
      <w:marRight w:val="0"/>
      <w:marTop w:val="0"/>
      <w:marBottom w:val="0"/>
      <w:divBdr>
        <w:top w:val="none" w:sz="0" w:space="0" w:color="auto"/>
        <w:left w:val="none" w:sz="0" w:space="0" w:color="auto"/>
        <w:bottom w:val="none" w:sz="0" w:space="0" w:color="auto"/>
        <w:right w:val="none" w:sz="0" w:space="0" w:color="auto"/>
      </w:divBdr>
    </w:div>
    <w:div w:id="1137918135">
      <w:bodyDiv w:val="1"/>
      <w:marLeft w:val="0"/>
      <w:marRight w:val="0"/>
      <w:marTop w:val="0"/>
      <w:marBottom w:val="0"/>
      <w:divBdr>
        <w:top w:val="none" w:sz="0" w:space="0" w:color="auto"/>
        <w:left w:val="none" w:sz="0" w:space="0" w:color="auto"/>
        <w:bottom w:val="none" w:sz="0" w:space="0" w:color="auto"/>
        <w:right w:val="none" w:sz="0" w:space="0" w:color="auto"/>
      </w:divBdr>
    </w:div>
    <w:div w:id="1139955535">
      <w:bodyDiv w:val="1"/>
      <w:marLeft w:val="0"/>
      <w:marRight w:val="0"/>
      <w:marTop w:val="0"/>
      <w:marBottom w:val="0"/>
      <w:divBdr>
        <w:top w:val="none" w:sz="0" w:space="0" w:color="auto"/>
        <w:left w:val="none" w:sz="0" w:space="0" w:color="auto"/>
        <w:bottom w:val="none" w:sz="0" w:space="0" w:color="auto"/>
        <w:right w:val="none" w:sz="0" w:space="0" w:color="auto"/>
      </w:divBdr>
    </w:div>
    <w:div w:id="1211918062">
      <w:bodyDiv w:val="1"/>
      <w:marLeft w:val="0"/>
      <w:marRight w:val="0"/>
      <w:marTop w:val="0"/>
      <w:marBottom w:val="0"/>
      <w:divBdr>
        <w:top w:val="none" w:sz="0" w:space="0" w:color="auto"/>
        <w:left w:val="none" w:sz="0" w:space="0" w:color="auto"/>
        <w:bottom w:val="none" w:sz="0" w:space="0" w:color="auto"/>
        <w:right w:val="none" w:sz="0" w:space="0" w:color="auto"/>
      </w:divBdr>
    </w:div>
    <w:div w:id="1215502519">
      <w:bodyDiv w:val="1"/>
      <w:marLeft w:val="0"/>
      <w:marRight w:val="0"/>
      <w:marTop w:val="0"/>
      <w:marBottom w:val="0"/>
      <w:divBdr>
        <w:top w:val="none" w:sz="0" w:space="0" w:color="auto"/>
        <w:left w:val="none" w:sz="0" w:space="0" w:color="auto"/>
        <w:bottom w:val="none" w:sz="0" w:space="0" w:color="auto"/>
        <w:right w:val="none" w:sz="0" w:space="0" w:color="auto"/>
      </w:divBdr>
    </w:div>
    <w:div w:id="1354184124">
      <w:bodyDiv w:val="1"/>
      <w:marLeft w:val="0"/>
      <w:marRight w:val="0"/>
      <w:marTop w:val="0"/>
      <w:marBottom w:val="0"/>
      <w:divBdr>
        <w:top w:val="none" w:sz="0" w:space="0" w:color="auto"/>
        <w:left w:val="none" w:sz="0" w:space="0" w:color="auto"/>
        <w:bottom w:val="none" w:sz="0" w:space="0" w:color="auto"/>
        <w:right w:val="none" w:sz="0" w:space="0" w:color="auto"/>
      </w:divBdr>
    </w:div>
    <w:div w:id="1362704239">
      <w:bodyDiv w:val="1"/>
      <w:marLeft w:val="0"/>
      <w:marRight w:val="0"/>
      <w:marTop w:val="0"/>
      <w:marBottom w:val="0"/>
      <w:divBdr>
        <w:top w:val="none" w:sz="0" w:space="0" w:color="auto"/>
        <w:left w:val="none" w:sz="0" w:space="0" w:color="auto"/>
        <w:bottom w:val="none" w:sz="0" w:space="0" w:color="auto"/>
        <w:right w:val="none" w:sz="0" w:space="0" w:color="auto"/>
      </w:divBdr>
    </w:div>
    <w:div w:id="1421679063">
      <w:bodyDiv w:val="1"/>
      <w:marLeft w:val="0"/>
      <w:marRight w:val="0"/>
      <w:marTop w:val="0"/>
      <w:marBottom w:val="0"/>
      <w:divBdr>
        <w:top w:val="none" w:sz="0" w:space="0" w:color="auto"/>
        <w:left w:val="none" w:sz="0" w:space="0" w:color="auto"/>
        <w:bottom w:val="none" w:sz="0" w:space="0" w:color="auto"/>
        <w:right w:val="none" w:sz="0" w:space="0" w:color="auto"/>
      </w:divBdr>
    </w:div>
    <w:div w:id="1442651929">
      <w:bodyDiv w:val="1"/>
      <w:marLeft w:val="0"/>
      <w:marRight w:val="0"/>
      <w:marTop w:val="0"/>
      <w:marBottom w:val="0"/>
      <w:divBdr>
        <w:top w:val="none" w:sz="0" w:space="0" w:color="auto"/>
        <w:left w:val="none" w:sz="0" w:space="0" w:color="auto"/>
        <w:bottom w:val="none" w:sz="0" w:space="0" w:color="auto"/>
        <w:right w:val="none" w:sz="0" w:space="0" w:color="auto"/>
      </w:divBdr>
    </w:div>
    <w:div w:id="1444156653">
      <w:bodyDiv w:val="1"/>
      <w:marLeft w:val="0"/>
      <w:marRight w:val="0"/>
      <w:marTop w:val="0"/>
      <w:marBottom w:val="0"/>
      <w:divBdr>
        <w:top w:val="none" w:sz="0" w:space="0" w:color="auto"/>
        <w:left w:val="none" w:sz="0" w:space="0" w:color="auto"/>
        <w:bottom w:val="none" w:sz="0" w:space="0" w:color="auto"/>
        <w:right w:val="none" w:sz="0" w:space="0" w:color="auto"/>
      </w:divBdr>
    </w:div>
    <w:div w:id="1512917074">
      <w:bodyDiv w:val="1"/>
      <w:marLeft w:val="0"/>
      <w:marRight w:val="0"/>
      <w:marTop w:val="0"/>
      <w:marBottom w:val="0"/>
      <w:divBdr>
        <w:top w:val="none" w:sz="0" w:space="0" w:color="auto"/>
        <w:left w:val="none" w:sz="0" w:space="0" w:color="auto"/>
        <w:bottom w:val="none" w:sz="0" w:space="0" w:color="auto"/>
        <w:right w:val="none" w:sz="0" w:space="0" w:color="auto"/>
      </w:divBdr>
    </w:div>
    <w:div w:id="1712487497">
      <w:bodyDiv w:val="1"/>
      <w:marLeft w:val="0"/>
      <w:marRight w:val="0"/>
      <w:marTop w:val="0"/>
      <w:marBottom w:val="0"/>
      <w:divBdr>
        <w:top w:val="none" w:sz="0" w:space="0" w:color="auto"/>
        <w:left w:val="none" w:sz="0" w:space="0" w:color="auto"/>
        <w:bottom w:val="none" w:sz="0" w:space="0" w:color="auto"/>
        <w:right w:val="none" w:sz="0" w:space="0" w:color="auto"/>
      </w:divBdr>
    </w:div>
    <w:div w:id="1760297803">
      <w:bodyDiv w:val="1"/>
      <w:marLeft w:val="0"/>
      <w:marRight w:val="0"/>
      <w:marTop w:val="0"/>
      <w:marBottom w:val="0"/>
      <w:divBdr>
        <w:top w:val="none" w:sz="0" w:space="0" w:color="auto"/>
        <w:left w:val="none" w:sz="0" w:space="0" w:color="auto"/>
        <w:bottom w:val="none" w:sz="0" w:space="0" w:color="auto"/>
        <w:right w:val="none" w:sz="0" w:space="0" w:color="auto"/>
      </w:divBdr>
    </w:div>
    <w:div w:id="1774352921">
      <w:bodyDiv w:val="1"/>
      <w:marLeft w:val="0"/>
      <w:marRight w:val="0"/>
      <w:marTop w:val="0"/>
      <w:marBottom w:val="0"/>
      <w:divBdr>
        <w:top w:val="none" w:sz="0" w:space="0" w:color="auto"/>
        <w:left w:val="none" w:sz="0" w:space="0" w:color="auto"/>
        <w:bottom w:val="none" w:sz="0" w:space="0" w:color="auto"/>
        <w:right w:val="none" w:sz="0" w:space="0" w:color="auto"/>
      </w:divBdr>
    </w:div>
    <w:div w:id="1786000330">
      <w:bodyDiv w:val="1"/>
      <w:marLeft w:val="0"/>
      <w:marRight w:val="0"/>
      <w:marTop w:val="0"/>
      <w:marBottom w:val="0"/>
      <w:divBdr>
        <w:top w:val="none" w:sz="0" w:space="0" w:color="auto"/>
        <w:left w:val="none" w:sz="0" w:space="0" w:color="auto"/>
        <w:bottom w:val="none" w:sz="0" w:space="0" w:color="auto"/>
        <w:right w:val="none" w:sz="0" w:space="0" w:color="auto"/>
      </w:divBdr>
    </w:div>
    <w:div w:id="1892375518">
      <w:bodyDiv w:val="1"/>
      <w:marLeft w:val="0"/>
      <w:marRight w:val="0"/>
      <w:marTop w:val="0"/>
      <w:marBottom w:val="0"/>
      <w:divBdr>
        <w:top w:val="none" w:sz="0" w:space="0" w:color="auto"/>
        <w:left w:val="none" w:sz="0" w:space="0" w:color="auto"/>
        <w:bottom w:val="none" w:sz="0" w:space="0" w:color="auto"/>
        <w:right w:val="none" w:sz="0" w:space="0" w:color="auto"/>
      </w:divBdr>
    </w:div>
    <w:div w:id="1901014274">
      <w:bodyDiv w:val="1"/>
      <w:marLeft w:val="0"/>
      <w:marRight w:val="0"/>
      <w:marTop w:val="0"/>
      <w:marBottom w:val="0"/>
      <w:divBdr>
        <w:top w:val="none" w:sz="0" w:space="0" w:color="auto"/>
        <w:left w:val="none" w:sz="0" w:space="0" w:color="auto"/>
        <w:bottom w:val="none" w:sz="0" w:space="0" w:color="auto"/>
        <w:right w:val="none" w:sz="0" w:space="0" w:color="auto"/>
      </w:divBdr>
    </w:div>
    <w:div w:id="1954171790">
      <w:bodyDiv w:val="1"/>
      <w:marLeft w:val="0"/>
      <w:marRight w:val="0"/>
      <w:marTop w:val="0"/>
      <w:marBottom w:val="0"/>
      <w:divBdr>
        <w:top w:val="none" w:sz="0" w:space="0" w:color="auto"/>
        <w:left w:val="none" w:sz="0" w:space="0" w:color="auto"/>
        <w:bottom w:val="none" w:sz="0" w:space="0" w:color="auto"/>
        <w:right w:val="none" w:sz="0" w:space="0" w:color="auto"/>
      </w:divBdr>
    </w:div>
    <w:div w:id="1976329900">
      <w:bodyDiv w:val="1"/>
      <w:marLeft w:val="0"/>
      <w:marRight w:val="0"/>
      <w:marTop w:val="0"/>
      <w:marBottom w:val="0"/>
      <w:divBdr>
        <w:top w:val="none" w:sz="0" w:space="0" w:color="auto"/>
        <w:left w:val="none" w:sz="0" w:space="0" w:color="auto"/>
        <w:bottom w:val="none" w:sz="0" w:space="0" w:color="auto"/>
        <w:right w:val="none" w:sz="0" w:space="0" w:color="auto"/>
      </w:divBdr>
    </w:div>
    <w:div w:id="2043509609">
      <w:bodyDiv w:val="1"/>
      <w:marLeft w:val="0"/>
      <w:marRight w:val="0"/>
      <w:marTop w:val="0"/>
      <w:marBottom w:val="0"/>
      <w:divBdr>
        <w:top w:val="none" w:sz="0" w:space="0" w:color="auto"/>
        <w:left w:val="none" w:sz="0" w:space="0" w:color="auto"/>
        <w:bottom w:val="none" w:sz="0" w:space="0" w:color="auto"/>
        <w:right w:val="none" w:sz="0" w:space="0" w:color="auto"/>
      </w:divBdr>
    </w:div>
    <w:div w:id="2096854678">
      <w:bodyDiv w:val="1"/>
      <w:marLeft w:val="0"/>
      <w:marRight w:val="0"/>
      <w:marTop w:val="0"/>
      <w:marBottom w:val="0"/>
      <w:divBdr>
        <w:top w:val="none" w:sz="0" w:space="0" w:color="auto"/>
        <w:left w:val="none" w:sz="0" w:space="0" w:color="auto"/>
        <w:bottom w:val="none" w:sz="0" w:space="0" w:color="auto"/>
        <w:right w:val="none" w:sz="0" w:space="0" w:color="auto"/>
      </w:divBdr>
      <w:divsChild>
        <w:div w:id="984549960">
          <w:marLeft w:val="0"/>
          <w:marRight w:val="0"/>
          <w:marTop w:val="0"/>
          <w:marBottom w:val="0"/>
          <w:divBdr>
            <w:top w:val="none" w:sz="0" w:space="0" w:color="auto"/>
            <w:left w:val="none" w:sz="0" w:space="0" w:color="auto"/>
            <w:bottom w:val="none" w:sz="0" w:space="0" w:color="auto"/>
            <w:right w:val="none" w:sz="0" w:space="0" w:color="auto"/>
          </w:divBdr>
          <w:divsChild>
            <w:div w:id="1791823147">
              <w:marLeft w:val="0"/>
              <w:marRight w:val="0"/>
              <w:marTop w:val="0"/>
              <w:marBottom w:val="0"/>
              <w:divBdr>
                <w:top w:val="none" w:sz="0" w:space="0" w:color="auto"/>
                <w:left w:val="none" w:sz="0" w:space="0" w:color="auto"/>
                <w:bottom w:val="none" w:sz="0" w:space="0" w:color="auto"/>
                <w:right w:val="none" w:sz="0" w:space="0" w:color="auto"/>
              </w:divBdr>
              <w:divsChild>
                <w:div w:id="250283061">
                  <w:marLeft w:val="0"/>
                  <w:marRight w:val="0"/>
                  <w:marTop w:val="0"/>
                  <w:marBottom w:val="0"/>
                  <w:divBdr>
                    <w:top w:val="none" w:sz="0" w:space="0" w:color="auto"/>
                    <w:left w:val="none" w:sz="0" w:space="0" w:color="auto"/>
                    <w:bottom w:val="none" w:sz="0" w:space="0" w:color="auto"/>
                    <w:right w:val="none" w:sz="0" w:space="0" w:color="auto"/>
                  </w:divBdr>
                  <w:divsChild>
                    <w:div w:id="39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AB20-8C2C-4DC5-8B02-3559B3B7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WKOe</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Nader Ruth, WKÖ BSBV</dc:creator>
  <cp:lastModifiedBy>Hausmann Victoria, WKÖ BSBV</cp:lastModifiedBy>
  <cp:revision>14</cp:revision>
  <cp:lastPrinted>2013-02-01T08:52:00Z</cp:lastPrinted>
  <dcterms:created xsi:type="dcterms:W3CDTF">2013-01-28T14:00:00Z</dcterms:created>
  <dcterms:modified xsi:type="dcterms:W3CDTF">2013-02-01T08:52:00Z</dcterms:modified>
</cp:coreProperties>
</file>